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مطارح الأنظار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12024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012026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012028_128044782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5012030_1280447820">
            <w:r>
              <w:rPr>
                <w:webHidden/>
                <w:rStyle w:val="IndexLink"/>
                <w:rtl w:val="true"/>
              </w:rPr>
              <w:t>[</w:t>
            </w:r>
            <w:r>
              <w:rPr>
                <w:rStyle w:val="IndexLink"/>
                <w:rtl w:val="true"/>
              </w:rPr>
              <w:t>الاستصحاب</w:t>
            </w:r>
            <w:r>
              <w:rPr>
                <w:rStyle w:val="IndexLink"/>
                <w:rtl w:val="true"/>
              </w:rPr>
              <w:t>]</w:t>
              <w:tab/>
            </w:r>
            <w:r>
              <w:rPr>
                <w:rStyle w:val="IndexLink"/>
              </w:rPr>
              <w:t>11</w:t>
            </w:r>
          </w:hyperlink>
        </w:p>
        <w:p>
          <w:pPr>
            <w:pStyle w:val="Contents3"/>
            <w:tabs>
              <w:tab w:val="clear" w:pos="8459"/>
              <w:tab w:val="right" w:pos="9026" w:leader="dot"/>
            </w:tabs>
            <w:rPr/>
          </w:pPr>
          <w:hyperlink w:anchor="__RefHeading___Toc5012032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5012034_1280447820">
            <w:r>
              <w:rPr>
                <w:webHidden/>
                <w:rStyle w:val="IndexLink"/>
                <w:rtl w:val="true"/>
              </w:rPr>
              <w:t>القول في الاستصحاب</w:t>
            </w:r>
            <w:r>
              <w:rPr>
                <w:rStyle w:val="IndexLink"/>
                <w:rtl w:val="true"/>
              </w:rPr>
              <w:tab/>
            </w:r>
            <w:r>
              <w:rPr>
                <w:rStyle w:val="IndexLink"/>
              </w:rPr>
              <w:t>12</w:t>
            </w:r>
          </w:hyperlink>
        </w:p>
        <w:p>
          <w:pPr>
            <w:pStyle w:val="Contents3"/>
            <w:tabs>
              <w:tab w:val="clear" w:pos="8459"/>
              <w:tab w:val="right" w:pos="9026" w:leader="dot"/>
            </w:tabs>
            <w:rPr/>
          </w:pPr>
          <w:hyperlink w:anchor="__RefHeading___Toc5012036_1280447820">
            <w:r>
              <w:rPr>
                <w:webHidden/>
                <w:rStyle w:val="IndexLink"/>
                <w:rtl w:val="true"/>
              </w:rPr>
              <w:t xml:space="preserve">[ </w:t>
            </w:r>
            <w:r>
              <w:rPr>
                <w:rStyle w:val="IndexLink"/>
                <w:rtl w:val="true"/>
              </w:rPr>
              <w:t xml:space="preserve">تعريف الاستصحاب </w:t>
            </w:r>
            <w:r>
              <w:rPr>
                <w:rStyle w:val="IndexLink"/>
                <w:rtl w:val="true"/>
              </w:rPr>
              <w:t>]</w:t>
              <w:tab/>
            </w:r>
            <w:r>
              <w:rPr>
                <w:rStyle w:val="IndexLink"/>
              </w:rPr>
              <w:t>12</w:t>
            </w:r>
          </w:hyperlink>
        </w:p>
        <w:p>
          <w:pPr>
            <w:pStyle w:val="Contents3"/>
            <w:tabs>
              <w:tab w:val="clear" w:pos="8459"/>
              <w:tab w:val="right" w:pos="9026" w:leader="dot"/>
            </w:tabs>
            <w:rPr/>
          </w:pPr>
          <w:hyperlink w:anchor="__RefHeading___Toc5012038_1280447820">
            <w:r>
              <w:rPr>
                <w:webHidden/>
                <w:rStyle w:val="IndexLink"/>
                <w:rtl w:val="true"/>
              </w:rPr>
              <w:t xml:space="preserve">هداية </w:t>
            </w:r>
            <w:r>
              <w:rPr>
                <w:rStyle w:val="IndexLink"/>
                <w:rtl w:val="true"/>
              </w:rPr>
              <w:t xml:space="preserve">[ </w:t>
            </w:r>
            <w:r>
              <w:rPr>
                <w:rStyle w:val="IndexLink"/>
                <w:rtl w:val="true"/>
              </w:rPr>
              <w:t xml:space="preserve">في أنّ الاستصحاب من الأدلّة أو من القواعد الفقهية </w:t>
            </w:r>
            <w:r>
              <w:rPr>
                <w:rStyle w:val="IndexLink"/>
                <w:rtl w:val="true"/>
              </w:rPr>
              <w:t>]</w:t>
              <w:tab/>
            </w:r>
            <w:r>
              <w:rPr>
                <w:rStyle w:val="IndexLink"/>
              </w:rPr>
              <w:t>20</w:t>
            </w:r>
          </w:hyperlink>
        </w:p>
        <w:p>
          <w:pPr>
            <w:pStyle w:val="Contents4"/>
            <w:tabs>
              <w:tab w:val="clear" w:pos="8176"/>
              <w:tab w:val="right" w:pos="9026" w:leader="dot"/>
            </w:tabs>
            <w:rPr/>
          </w:pPr>
          <w:hyperlink w:anchor="__RefHeading___Toc5012040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5012042_1280447820">
            <w:r>
              <w:rPr>
                <w:webHidden/>
                <w:rStyle w:val="IndexLink"/>
                <w:rtl w:val="true"/>
              </w:rPr>
              <w:t xml:space="preserve">[ </w:t>
            </w:r>
            <w:r>
              <w:rPr>
                <w:rStyle w:val="IndexLink"/>
                <w:rtl w:val="true"/>
              </w:rPr>
              <w:t xml:space="preserve">المقام </w:t>
            </w:r>
            <w:r>
              <w:rPr>
                <w:rStyle w:val="IndexLink"/>
                <w:rtl w:val="true"/>
              </w:rPr>
              <w:t xml:space="preserve">] </w:t>
            </w:r>
            <w:r>
              <w:rPr>
                <w:rStyle w:val="IndexLink"/>
                <w:rtl w:val="true"/>
              </w:rPr>
              <w:t>الأوّل</w:t>
            </w:r>
            <w:r>
              <w:rPr>
                <w:rStyle w:val="IndexLink"/>
                <w:rtl w:val="true"/>
              </w:rPr>
              <w:tab/>
            </w:r>
            <w:r>
              <w:rPr>
                <w:rStyle w:val="IndexLink"/>
              </w:rPr>
              <w:t>20</w:t>
            </w:r>
          </w:hyperlink>
        </w:p>
        <w:p>
          <w:pPr>
            <w:pStyle w:val="Contents4"/>
            <w:tabs>
              <w:tab w:val="clear" w:pos="8176"/>
              <w:tab w:val="right" w:pos="9026" w:leader="dot"/>
            </w:tabs>
            <w:rPr/>
          </w:pPr>
          <w:hyperlink w:anchor="__RefHeading___Toc5012044_1280447820">
            <w:r>
              <w:rPr>
                <w:webHidden/>
                <w:rStyle w:val="IndexLink"/>
                <w:rtl w:val="true"/>
              </w:rPr>
              <w:t>المقام الثاني</w:t>
            </w:r>
            <w:r>
              <w:rPr>
                <w:rStyle w:val="IndexLink"/>
                <w:rtl w:val="true"/>
              </w:rPr>
              <w:tab/>
            </w:r>
            <w:r>
              <w:rPr>
                <w:rStyle w:val="IndexLink"/>
              </w:rPr>
              <w:t>22</w:t>
            </w:r>
          </w:hyperlink>
        </w:p>
        <w:p>
          <w:pPr>
            <w:pStyle w:val="Contents4"/>
            <w:tabs>
              <w:tab w:val="clear" w:pos="8176"/>
              <w:tab w:val="right" w:pos="9026" w:leader="dot"/>
            </w:tabs>
            <w:rPr/>
          </w:pPr>
          <w:hyperlink w:anchor="__RefHeading___Toc5012046_1280447820">
            <w:r>
              <w:rPr>
                <w:webHidden/>
                <w:rStyle w:val="IndexLink"/>
                <w:rtl w:val="true"/>
              </w:rPr>
              <w:t xml:space="preserve">المقام الأوّل </w:t>
            </w:r>
            <w:r>
              <w:rPr>
                <w:rStyle w:val="IndexLink"/>
                <w:rtl w:val="true"/>
              </w:rPr>
              <w:t xml:space="preserve">: </w:t>
            </w:r>
            <w:r>
              <w:rPr>
                <w:rStyle w:val="IndexLink"/>
                <w:rtl w:val="true"/>
              </w:rPr>
              <w:t>في تشخيص أصناف الاستصحاب</w:t>
            </w:r>
            <w:r>
              <w:rPr>
                <w:rStyle w:val="IndexLink"/>
                <w:rtl w:val="true"/>
              </w:rPr>
              <w:tab/>
            </w:r>
            <w:r>
              <w:rPr>
                <w:rStyle w:val="IndexLink"/>
              </w:rPr>
              <w:t>25</w:t>
            </w:r>
          </w:hyperlink>
        </w:p>
        <w:p>
          <w:pPr>
            <w:pStyle w:val="Contents4"/>
            <w:tabs>
              <w:tab w:val="clear" w:pos="8176"/>
              <w:tab w:val="right" w:pos="9026" w:leader="dot"/>
            </w:tabs>
            <w:rPr/>
          </w:pPr>
          <w:hyperlink w:anchor="__RefHeading___Toc5012048_1280447820">
            <w:r>
              <w:rPr>
                <w:webHidden/>
                <w:rStyle w:val="IndexLink"/>
                <w:rtl w:val="true"/>
              </w:rPr>
              <w:t xml:space="preserve">المقام الثاني </w:t>
            </w:r>
            <w:r>
              <w:rPr>
                <w:rStyle w:val="IndexLink"/>
                <w:rtl w:val="true"/>
              </w:rPr>
              <w:t xml:space="preserve">: </w:t>
            </w:r>
            <w:r>
              <w:rPr>
                <w:rStyle w:val="IndexLink"/>
                <w:rtl w:val="true"/>
              </w:rPr>
              <w:t>في أنّ الاستصحاب على أيّ وجه من أيّ المسائل</w:t>
            </w:r>
            <w:r>
              <w:rPr>
                <w:rStyle w:val="IndexLink"/>
                <w:rtl w:val="true"/>
              </w:rPr>
              <w:tab/>
            </w:r>
            <w:r>
              <w:rPr>
                <w:rStyle w:val="IndexLink"/>
              </w:rPr>
              <w:t>30</w:t>
            </w:r>
          </w:hyperlink>
        </w:p>
        <w:p>
          <w:pPr>
            <w:pStyle w:val="Contents3"/>
            <w:tabs>
              <w:tab w:val="clear" w:pos="8459"/>
              <w:tab w:val="right" w:pos="9026" w:leader="dot"/>
            </w:tabs>
            <w:rPr/>
          </w:pPr>
          <w:hyperlink w:anchor="__RefHeading___Toc5012050_1280447820">
            <w:r>
              <w:rPr>
                <w:webHidden/>
                <w:rStyle w:val="IndexLink"/>
                <w:rtl w:val="true"/>
              </w:rPr>
              <w:t xml:space="preserve">هداية </w:t>
            </w:r>
            <w:r>
              <w:rPr>
                <w:rStyle w:val="IndexLink"/>
                <w:rtl w:val="true"/>
              </w:rPr>
              <w:t xml:space="preserve">[ </w:t>
            </w:r>
            <w:r>
              <w:rPr>
                <w:rStyle w:val="IndexLink"/>
                <w:rtl w:val="true"/>
              </w:rPr>
              <w:t xml:space="preserve">في تقسيمات الاستصحاب </w:t>
            </w:r>
            <w:r>
              <w:rPr>
                <w:rStyle w:val="IndexLink"/>
                <w:rtl w:val="true"/>
              </w:rPr>
              <w:t>]</w:t>
              <w:tab/>
            </w:r>
            <w:r>
              <w:rPr>
                <w:rStyle w:val="IndexLink"/>
              </w:rPr>
              <w:t>32</w:t>
            </w:r>
          </w:hyperlink>
        </w:p>
        <w:p>
          <w:pPr>
            <w:pStyle w:val="Contents4"/>
            <w:tabs>
              <w:tab w:val="clear" w:pos="8176"/>
              <w:tab w:val="right" w:pos="9026" w:leader="dot"/>
            </w:tabs>
            <w:rPr/>
          </w:pPr>
          <w:hyperlink w:anchor="__RefHeading___Toc5012052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5012054_1280447820">
            <w:r>
              <w:rPr>
                <w:webHidden/>
                <w:rStyle w:val="IndexLink"/>
                <w:rtl w:val="true"/>
              </w:rPr>
              <w:t xml:space="preserve">[ </w:t>
            </w:r>
            <w:r>
              <w:rPr>
                <w:rStyle w:val="IndexLink"/>
                <w:rtl w:val="true"/>
              </w:rPr>
              <w:t xml:space="preserve">أقسام الشكّ في المقتضي </w:t>
            </w:r>
            <w:r>
              <w:rPr>
                <w:rStyle w:val="IndexLink"/>
                <w:rtl w:val="true"/>
              </w:rPr>
              <w:t>]</w:t>
              <w:tab/>
            </w:r>
            <w:r>
              <w:rPr>
                <w:rStyle w:val="IndexLink"/>
              </w:rPr>
              <w:t>36</w:t>
            </w:r>
          </w:hyperlink>
        </w:p>
        <w:p>
          <w:pPr>
            <w:pStyle w:val="Contents4"/>
            <w:tabs>
              <w:tab w:val="clear" w:pos="8176"/>
              <w:tab w:val="right" w:pos="9026" w:leader="dot"/>
            </w:tabs>
            <w:rPr/>
          </w:pPr>
          <w:hyperlink w:anchor="__RefHeading___Toc5012056_1280447820">
            <w:r>
              <w:rPr>
                <w:webHidden/>
                <w:rStyle w:val="IndexLink"/>
                <w:rtl w:val="true"/>
              </w:rPr>
              <w:t xml:space="preserve">[ </w:t>
            </w:r>
            <w:r>
              <w:rPr>
                <w:rStyle w:val="IndexLink"/>
                <w:rtl w:val="true"/>
              </w:rPr>
              <w:t xml:space="preserve">أقسام الشكّ في المانع </w:t>
            </w:r>
            <w:r>
              <w:rPr>
                <w:rStyle w:val="IndexLink"/>
                <w:rtl w:val="true"/>
              </w:rPr>
              <w:t>]</w:t>
              <w:tab/>
            </w:r>
            <w:r>
              <w:rPr>
                <w:rStyle w:val="IndexLink"/>
              </w:rPr>
              <w:t>37</w:t>
            </w:r>
          </w:hyperlink>
        </w:p>
        <w:p>
          <w:pPr>
            <w:pStyle w:val="Contents3"/>
            <w:tabs>
              <w:tab w:val="clear" w:pos="8459"/>
              <w:tab w:val="right" w:pos="9026" w:leader="dot"/>
            </w:tabs>
            <w:rPr/>
          </w:pPr>
          <w:hyperlink w:anchor="__RefHeading___Toc5012058_1280447820">
            <w:r>
              <w:rPr>
                <w:webHidden/>
                <w:rStyle w:val="IndexLink"/>
                <w:rtl w:val="true"/>
              </w:rPr>
              <w:t xml:space="preserve">هداية </w:t>
            </w:r>
            <w:r>
              <w:rPr>
                <w:rStyle w:val="IndexLink"/>
                <w:rtl w:val="true"/>
              </w:rPr>
              <w:t xml:space="preserve">[ </w:t>
            </w:r>
            <w:r>
              <w:rPr>
                <w:rStyle w:val="IndexLink"/>
                <w:rtl w:val="true"/>
              </w:rPr>
              <w:t xml:space="preserve">في تعميم النزاع لأقسام الاستصحاب </w:t>
            </w:r>
            <w:r>
              <w:rPr>
                <w:rStyle w:val="IndexLink"/>
                <w:rtl w:val="true"/>
              </w:rPr>
              <w:t>]</w:t>
              <w:tab/>
            </w:r>
            <w:r>
              <w:rPr>
                <w:rStyle w:val="IndexLink"/>
              </w:rPr>
              <w:t>40</w:t>
            </w:r>
          </w:hyperlink>
        </w:p>
        <w:p>
          <w:pPr>
            <w:pStyle w:val="Contents4"/>
            <w:tabs>
              <w:tab w:val="clear" w:pos="8176"/>
              <w:tab w:val="right" w:pos="9026" w:leader="dot"/>
            </w:tabs>
            <w:rPr/>
          </w:pPr>
          <w:hyperlink w:anchor="__RefHeading___Toc5012060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5012062_1280447820">
            <w:r>
              <w:rPr>
                <w:webHidden/>
                <w:rStyle w:val="IndexLink"/>
                <w:rtl w:val="true"/>
              </w:rPr>
              <w:t xml:space="preserve">[ </w:t>
            </w:r>
            <w:r>
              <w:rPr>
                <w:rStyle w:val="IndexLink"/>
                <w:rtl w:val="true"/>
              </w:rPr>
              <w:t xml:space="preserve">المقام </w:t>
            </w:r>
            <w:r>
              <w:rPr>
                <w:rStyle w:val="IndexLink"/>
                <w:rtl w:val="true"/>
              </w:rPr>
              <w:t xml:space="preserve">] </w:t>
            </w:r>
            <w:r>
              <w:rPr>
                <w:rStyle w:val="IndexLink"/>
                <w:rtl w:val="true"/>
              </w:rPr>
              <w:t>الأوّل</w:t>
            </w:r>
            <w:r>
              <w:rPr>
                <w:rStyle w:val="IndexLink"/>
                <w:rtl w:val="true"/>
              </w:rPr>
              <w:tab/>
            </w:r>
            <w:r>
              <w:rPr>
                <w:rStyle w:val="IndexLink"/>
              </w:rPr>
              <w:t>40</w:t>
            </w:r>
          </w:hyperlink>
        </w:p>
        <w:p>
          <w:pPr>
            <w:pStyle w:val="Contents4"/>
            <w:tabs>
              <w:tab w:val="clear" w:pos="8176"/>
              <w:tab w:val="right" w:pos="9026" w:leader="dot"/>
            </w:tabs>
            <w:rPr/>
          </w:pPr>
          <w:hyperlink w:anchor="__RefHeading___Toc5012064_1280447820">
            <w:r>
              <w:rPr>
                <w:webHidden/>
                <w:rStyle w:val="IndexLink"/>
                <w:rtl w:val="true"/>
              </w:rPr>
              <w:t>المقام الثاني</w:t>
            </w:r>
            <w:r>
              <w:rPr>
                <w:rStyle w:val="IndexLink"/>
                <w:rtl w:val="true"/>
              </w:rPr>
              <w:tab/>
            </w:r>
            <w:r>
              <w:rPr>
                <w:rStyle w:val="IndexLink"/>
              </w:rPr>
              <w:t>53</w:t>
            </w:r>
          </w:hyperlink>
        </w:p>
        <w:p>
          <w:pPr>
            <w:pStyle w:val="Contents4"/>
            <w:tabs>
              <w:tab w:val="clear" w:pos="8176"/>
              <w:tab w:val="right" w:pos="9026" w:leader="dot"/>
            </w:tabs>
            <w:rPr/>
          </w:pPr>
          <w:hyperlink w:anchor="__RefHeading___Toc5012066_1280447820">
            <w:r>
              <w:rPr>
                <w:webHidden/>
                <w:rStyle w:val="IndexLink"/>
                <w:rtl w:val="true"/>
              </w:rPr>
              <w:t>المقام الثالث</w:t>
            </w:r>
            <w:r>
              <w:rPr>
                <w:rStyle w:val="IndexLink"/>
                <w:rtl w:val="true"/>
              </w:rPr>
              <w:tab/>
            </w:r>
            <w:r>
              <w:rPr>
                <w:rStyle w:val="IndexLink"/>
              </w:rPr>
              <w:t>54</w:t>
            </w:r>
          </w:hyperlink>
        </w:p>
        <w:p>
          <w:pPr>
            <w:pStyle w:val="Contents4"/>
            <w:tabs>
              <w:tab w:val="clear" w:pos="8176"/>
              <w:tab w:val="right" w:pos="9026" w:leader="dot"/>
            </w:tabs>
            <w:rPr/>
          </w:pPr>
          <w:hyperlink w:anchor="__RefHeading___Toc5012068_1280447820">
            <w:r>
              <w:rPr>
                <w:webHidden/>
                <w:rStyle w:val="IndexLink"/>
                <w:rtl w:val="true"/>
              </w:rPr>
              <w:t>المقام الرابع</w:t>
            </w:r>
            <w:r>
              <w:rPr>
                <w:rStyle w:val="IndexLink"/>
                <w:rtl w:val="true"/>
              </w:rPr>
              <w:tab/>
            </w:r>
            <w:r>
              <w:rPr>
                <w:rStyle w:val="IndexLink"/>
              </w:rPr>
              <w:t>58</w:t>
            </w:r>
          </w:hyperlink>
        </w:p>
        <w:p>
          <w:pPr>
            <w:pStyle w:val="Contents4"/>
            <w:tabs>
              <w:tab w:val="clear" w:pos="8176"/>
              <w:tab w:val="right" w:pos="9026" w:leader="dot"/>
            </w:tabs>
            <w:rPr/>
          </w:pPr>
          <w:hyperlink w:anchor="__RefHeading___Toc5012070_1280447820">
            <w:r>
              <w:rPr>
                <w:webHidden/>
                <w:rStyle w:val="IndexLink"/>
                <w:rtl w:val="true"/>
              </w:rPr>
              <w:t>تذنيب</w:t>
            </w:r>
            <w:r>
              <w:rPr>
                <w:rStyle w:val="IndexLink"/>
                <w:rtl w:val="true"/>
              </w:rPr>
              <w:tab/>
            </w:r>
            <w:r>
              <w:rPr>
                <w:rStyle w:val="IndexLink"/>
              </w:rPr>
              <w:t>60</w:t>
            </w:r>
          </w:hyperlink>
        </w:p>
        <w:p>
          <w:pPr>
            <w:pStyle w:val="Contents3"/>
            <w:tabs>
              <w:tab w:val="clear" w:pos="8459"/>
              <w:tab w:val="right" w:pos="9026" w:leader="dot"/>
            </w:tabs>
            <w:rPr/>
          </w:pPr>
          <w:hyperlink w:anchor="__RefHeading___Toc5012072_1280447820">
            <w:r>
              <w:rPr>
                <w:webHidden/>
                <w:rStyle w:val="IndexLink"/>
                <w:rtl w:val="true"/>
              </w:rPr>
              <w:t xml:space="preserve">هداية </w:t>
            </w:r>
            <w:r>
              <w:rPr>
                <w:rStyle w:val="IndexLink"/>
                <w:rtl w:val="true"/>
              </w:rPr>
              <w:t xml:space="preserve">[ </w:t>
            </w:r>
            <w:r>
              <w:rPr>
                <w:rStyle w:val="IndexLink"/>
                <w:rtl w:val="true"/>
              </w:rPr>
              <w:t xml:space="preserve">في ذكر الأقوال في اعتبار الاستصحاب </w:t>
            </w:r>
            <w:r>
              <w:rPr>
                <w:rStyle w:val="IndexLink"/>
                <w:rtl w:val="true"/>
              </w:rPr>
              <w:t>]</w:t>
              <w:tab/>
            </w:r>
            <w:r>
              <w:rPr>
                <w:rStyle w:val="IndexLink"/>
              </w:rPr>
              <w:t>64</w:t>
            </w:r>
          </w:hyperlink>
        </w:p>
        <w:p>
          <w:pPr>
            <w:pStyle w:val="Contents3"/>
            <w:tabs>
              <w:tab w:val="clear" w:pos="8459"/>
              <w:tab w:val="right" w:pos="9026" w:leader="dot"/>
            </w:tabs>
            <w:rPr/>
          </w:pPr>
          <w:hyperlink w:anchor="__RefHeading___Toc5012074_1280447820">
            <w:r>
              <w:rPr>
                <w:webHidden/>
                <w:rStyle w:val="IndexLink"/>
                <w:rtl w:val="true"/>
              </w:rPr>
              <w:t>هداية في ذكر حجج المطلقين في الحجّية من حيث الظنّ</w:t>
            </w:r>
            <w:r>
              <w:rPr>
                <w:rStyle w:val="IndexLink"/>
                <w:rtl w:val="true"/>
              </w:rPr>
              <w:tab/>
            </w:r>
            <w:r>
              <w:rPr>
                <w:rStyle w:val="IndexLink"/>
              </w:rPr>
              <w:t>70</w:t>
            </w:r>
          </w:hyperlink>
        </w:p>
        <w:p>
          <w:pPr>
            <w:pStyle w:val="Contents3"/>
            <w:tabs>
              <w:tab w:val="clear" w:pos="8459"/>
              <w:tab w:val="right" w:pos="9026" w:leader="dot"/>
            </w:tabs>
            <w:rPr/>
          </w:pPr>
          <w:hyperlink w:anchor="__RefHeading___Toc5012076_1280447820">
            <w:r>
              <w:rPr>
                <w:webHidden/>
                <w:rStyle w:val="IndexLink"/>
                <w:rtl w:val="true"/>
              </w:rPr>
              <w:t xml:space="preserve">هداية حاوية للنهاية والبداية </w:t>
            </w:r>
            <w:r>
              <w:rPr>
                <w:rStyle w:val="IndexLink"/>
                <w:rtl w:val="true"/>
              </w:rPr>
              <w:t xml:space="preserve">[ </w:t>
            </w:r>
            <w:r>
              <w:rPr>
                <w:rStyle w:val="IndexLink"/>
                <w:rtl w:val="true"/>
              </w:rPr>
              <w:t xml:space="preserve">في ذكر أدلّة حجّية الاستصحاب </w:t>
            </w:r>
            <w:r>
              <w:rPr>
                <w:rStyle w:val="IndexLink"/>
                <w:rtl w:val="true"/>
              </w:rPr>
              <w:t>]</w:t>
              <w:tab/>
            </w:r>
            <w:r>
              <w:rPr>
                <w:rStyle w:val="IndexLink"/>
              </w:rPr>
              <w:t>92</w:t>
            </w:r>
          </w:hyperlink>
        </w:p>
        <w:p>
          <w:pPr>
            <w:pStyle w:val="Contents4"/>
            <w:tabs>
              <w:tab w:val="clear" w:pos="8176"/>
              <w:tab w:val="right" w:pos="9026" w:leader="dot"/>
            </w:tabs>
            <w:rPr/>
          </w:pPr>
          <w:hyperlink w:anchor="__RefHeading___Toc5012078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5012080_1280447820">
            <w:r>
              <w:rPr>
                <w:webHidden/>
                <w:rStyle w:val="IndexLink"/>
                <w:rtl w:val="true"/>
              </w:rPr>
              <w:t xml:space="preserve">وقد يتمسّك بأخبار خاصّة واردة في مقامات خاصة </w:t>
            </w:r>
            <w:r>
              <w:rPr>
                <w:rStyle w:val="IndexLink"/>
                <w:rtl w:val="true"/>
              </w:rPr>
              <w:t>:</w:t>
              <w:tab/>
            </w:r>
            <w:r>
              <w:rPr>
                <w:rStyle w:val="IndexLink"/>
              </w:rPr>
              <w:t>110</w:t>
            </w:r>
          </w:hyperlink>
        </w:p>
        <w:p>
          <w:pPr>
            <w:pStyle w:val="Contents3"/>
            <w:tabs>
              <w:tab w:val="clear" w:pos="8459"/>
              <w:tab w:val="right" w:pos="9026" w:leader="dot"/>
            </w:tabs>
            <w:rPr/>
          </w:pPr>
          <w:hyperlink w:anchor="__RefHeading___Toc5012082_1280447820">
            <w:r>
              <w:rPr>
                <w:webHidden/>
                <w:rStyle w:val="IndexLink"/>
                <w:rtl w:val="true"/>
              </w:rPr>
              <w:t xml:space="preserve">هداية </w:t>
            </w:r>
            <w:r>
              <w:rPr>
                <w:rStyle w:val="IndexLink"/>
                <w:rtl w:val="true"/>
              </w:rPr>
              <w:t xml:space="preserve">[ </w:t>
            </w:r>
            <w:r>
              <w:rPr>
                <w:rStyle w:val="IndexLink"/>
                <w:rtl w:val="true"/>
              </w:rPr>
              <w:t xml:space="preserve">في حجّية الاستصحاب في الوضعيات دون الطلبيات </w:t>
            </w:r>
            <w:r>
              <w:rPr>
                <w:rStyle w:val="IndexLink"/>
                <w:rtl w:val="true"/>
              </w:rPr>
              <w:t>]</w:t>
              <w:tab/>
            </w:r>
            <w:r>
              <w:rPr>
                <w:rStyle w:val="IndexLink"/>
              </w:rPr>
              <w:t>118</w:t>
            </w:r>
          </w:hyperlink>
        </w:p>
        <w:p>
          <w:pPr>
            <w:pStyle w:val="Contents4"/>
            <w:tabs>
              <w:tab w:val="clear" w:pos="8176"/>
              <w:tab w:val="right" w:pos="9026" w:leader="dot"/>
            </w:tabs>
            <w:rPr/>
          </w:pPr>
          <w:hyperlink w:anchor="__RefHeading___Toc5012084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5012086_1280447820">
            <w:r>
              <w:rPr>
                <w:webHidden/>
                <w:rStyle w:val="IndexLink"/>
                <w:rtl w:val="true"/>
              </w:rPr>
              <w:t>تنبيه</w:t>
            </w:r>
            <w:r>
              <w:rPr>
                <w:rStyle w:val="IndexLink"/>
                <w:rtl w:val="true"/>
              </w:rPr>
              <w:tab/>
            </w:r>
            <w:r>
              <w:rPr>
                <w:rStyle w:val="IndexLink"/>
              </w:rPr>
              <w:t>128</w:t>
            </w:r>
          </w:hyperlink>
        </w:p>
        <w:p>
          <w:pPr>
            <w:pStyle w:val="Contents3"/>
            <w:tabs>
              <w:tab w:val="clear" w:pos="8459"/>
              <w:tab w:val="right" w:pos="9026" w:leader="dot"/>
            </w:tabs>
            <w:rPr/>
          </w:pPr>
          <w:hyperlink w:anchor="__RefHeading___Toc5012088_1280447820">
            <w:r>
              <w:rPr>
                <w:webHidden/>
                <w:rStyle w:val="IndexLink"/>
                <w:rtl w:val="true"/>
              </w:rPr>
              <w:t xml:space="preserve">هداية شريفة في تحقيق مقالة منيفة </w:t>
            </w:r>
            <w:r>
              <w:rPr>
                <w:rStyle w:val="IndexLink"/>
                <w:rtl w:val="true"/>
              </w:rPr>
              <w:t xml:space="preserve">[ </w:t>
            </w:r>
            <w:r>
              <w:rPr>
                <w:rStyle w:val="IndexLink"/>
                <w:rtl w:val="true"/>
              </w:rPr>
              <w:t xml:space="preserve">في اختصاص الأخبار بالشكّ في الرافع </w:t>
            </w:r>
            <w:r>
              <w:rPr>
                <w:rStyle w:val="IndexLink"/>
                <w:rtl w:val="true"/>
              </w:rPr>
              <w:t>]</w:t>
              <w:tab/>
            </w:r>
            <w:r>
              <w:rPr>
                <w:rStyle w:val="IndexLink"/>
              </w:rPr>
              <w:t>130</w:t>
            </w:r>
          </w:hyperlink>
        </w:p>
        <w:p>
          <w:pPr>
            <w:pStyle w:val="Contents4"/>
            <w:tabs>
              <w:tab w:val="clear" w:pos="8176"/>
              <w:tab w:val="right" w:pos="9026" w:leader="dot"/>
            </w:tabs>
            <w:rPr/>
          </w:pPr>
          <w:hyperlink w:anchor="__RefHeading___Toc5012090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5012092_1280447820">
            <w:r>
              <w:rPr>
                <w:webHidden/>
                <w:rStyle w:val="IndexLink"/>
                <w:rtl w:val="true"/>
              </w:rPr>
              <w:t>تذنيب</w:t>
            </w:r>
            <w:r>
              <w:rPr>
                <w:rStyle w:val="IndexLink"/>
                <w:rtl w:val="true"/>
              </w:rPr>
              <w:tab/>
            </w:r>
            <w:r>
              <w:rPr>
                <w:rStyle w:val="IndexLink"/>
              </w:rPr>
              <w:t>156</w:t>
            </w:r>
          </w:hyperlink>
        </w:p>
        <w:p>
          <w:pPr>
            <w:pStyle w:val="Contents3"/>
            <w:tabs>
              <w:tab w:val="clear" w:pos="8459"/>
              <w:tab w:val="right" w:pos="9026" w:leader="dot"/>
            </w:tabs>
            <w:rPr/>
          </w:pPr>
          <w:hyperlink w:anchor="__RefHeading___Toc5012094_1280447820">
            <w:r>
              <w:rPr>
                <w:webHidden/>
                <w:rStyle w:val="IndexLink"/>
                <w:rtl w:val="true"/>
              </w:rPr>
              <w:t xml:space="preserve">هداية استطرادية </w:t>
            </w:r>
            <w:r>
              <w:rPr>
                <w:rStyle w:val="IndexLink"/>
                <w:rtl w:val="true"/>
              </w:rPr>
              <w:t xml:space="preserve">[ </w:t>
            </w:r>
            <w:r>
              <w:rPr>
                <w:rStyle w:val="IndexLink"/>
                <w:rtl w:val="true"/>
              </w:rPr>
              <w:t xml:space="preserve">في الأحكام الوضعية </w:t>
            </w:r>
            <w:r>
              <w:rPr>
                <w:rStyle w:val="IndexLink"/>
                <w:rtl w:val="true"/>
              </w:rPr>
              <w:t>]</w:t>
              <w:tab/>
            </w:r>
            <w:r>
              <w:rPr>
                <w:rStyle w:val="IndexLink"/>
              </w:rPr>
              <w:t>164</w:t>
            </w:r>
          </w:hyperlink>
        </w:p>
        <w:p>
          <w:pPr>
            <w:pStyle w:val="Contents4"/>
            <w:tabs>
              <w:tab w:val="clear" w:pos="8176"/>
              <w:tab w:val="right" w:pos="9026" w:leader="dot"/>
            </w:tabs>
            <w:rPr/>
          </w:pPr>
          <w:hyperlink w:anchor="__RefHeading___Toc5012096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5012098_1280447820">
            <w:r>
              <w:rPr>
                <w:webHidden/>
                <w:rStyle w:val="IndexLink"/>
                <w:rtl w:val="true"/>
              </w:rPr>
              <w:t>تنبيه</w:t>
            </w:r>
            <w:r>
              <w:rPr>
                <w:rStyle w:val="IndexLink"/>
                <w:rtl w:val="true"/>
              </w:rPr>
              <w:tab/>
            </w:r>
            <w:r>
              <w:rPr>
                <w:rStyle w:val="IndexLink"/>
              </w:rPr>
              <w:t>177</w:t>
            </w:r>
          </w:hyperlink>
        </w:p>
        <w:p>
          <w:pPr>
            <w:pStyle w:val="Contents3"/>
            <w:tabs>
              <w:tab w:val="clear" w:pos="8459"/>
              <w:tab w:val="right" w:pos="9026" w:leader="dot"/>
            </w:tabs>
            <w:rPr/>
          </w:pPr>
          <w:hyperlink w:anchor="__RefHeading___Toc5012100_1280447820">
            <w:r>
              <w:rPr>
                <w:webHidden/>
                <w:rStyle w:val="IndexLink"/>
                <w:rtl w:val="true"/>
              </w:rPr>
              <w:t xml:space="preserve">هداية </w:t>
            </w:r>
            <w:r>
              <w:rPr>
                <w:rStyle w:val="IndexLink"/>
                <w:rtl w:val="true"/>
              </w:rPr>
              <w:t xml:space="preserve">[ </w:t>
            </w:r>
            <w:r>
              <w:rPr>
                <w:rStyle w:val="IndexLink"/>
                <w:rtl w:val="true"/>
              </w:rPr>
              <w:t xml:space="preserve">في اعتبار الاستصحاب عند الشكّ في عروض القادح </w:t>
            </w:r>
            <w:r>
              <w:rPr>
                <w:rStyle w:val="IndexLink"/>
                <w:rtl w:val="true"/>
              </w:rPr>
              <w:t>]</w:t>
              <w:tab/>
            </w:r>
            <w:r>
              <w:rPr>
                <w:rStyle w:val="IndexLink"/>
              </w:rPr>
              <w:t>180</w:t>
            </w:r>
          </w:hyperlink>
        </w:p>
        <w:p>
          <w:pPr>
            <w:pStyle w:val="Contents3"/>
            <w:tabs>
              <w:tab w:val="clear" w:pos="8459"/>
              <w:tab w:val="right" w:pos="9026" w:leader="dot"/>
            </w:tabs>
            <w:rPr/>
          </w:pPr>
          <w:hyperlink w:anchor="__RefHeading___Toc5012102_1280447820">
            <w:r>
              <w:rPr>
                <w:webHidden/>
                <w:rStyle w:val="IndexLink"/>
                <w:rtl w:val="true"/>
              </w:rPr>
              <w:t xml:space="preserve">هداية </w:t>
            </w:r>
            <w:r>
              <w:rPr>
                <w:rStyle w:val="IndexLink"/>
                <w:rtl w:val="true"/>
              </w:rPr>
              <w:t xml:space="preserve">[ </w:t>
            </w:r>
            <w:r>
              <w:rPr>
                <w:rStyle w:val="IndexLink"/>
                <w:rtl w:val="true"/>
              </w:rPr>
              <w:t xml:space="preserve">في التفصيل بين الأحكام الكلّية والأحكام الجزئية </w:t>
            </w:r>
            <w:r>
              <w:rPr>
                <w:rStyle w:val="IndexLink"/>
                <w:rtl w:val="true"/>
              </w:rPr>
              <w:t>]</w:t>
              <w:tab/>
            </w:r>
            <w:r>
              <w:rPr>
                <w:rStyle w:val="IndexLink"/>
              </w:rPr>
              <w:t>188</w:t>
            </w:r>
          </w:hyperlink>
        </w:p>
        <w:p>
          <w:pPr>
            <w:pStyle w:val="Contents3"/>
            <w:tabs>
              <w:tab w:val="clear" w:pos="8459"/>
              <w:tab w:val="right" w:pos="9026" w:leader="dot"/>
            </w:tabs>
            <w:rPr/>
          </w:pPr>
          <w:hyperlink w:anchor="__RefHeading___Toc5012104_1280447820">
            <w:r>
              <w:rPr>
                <w:webHidden/>
                <w:rStyle w:val="IndexLink"/>
                <w:rtl w:val="true"/>
              </w:rPr>
              <w:t xml:space="preserve">هداية </w:t>
            </w:r>
            <w:r>
              <w:rPr>
                <w:rStyle w:val="IndexLink"/>
                <w:rtl w:val="true"/>
              </w:rPr>
              <w:t xml:space="preserve">[ </w:t>
            </w:r>
            <w:r>
              <w:rPr>
                <w:rStyle w:val="IndexLink"/>
                <w:rtl w:val="true"/>
              </w:rPr>
              <w:t xml:space="preserve">في التفصيل بين كون دليل المستصحب الإجماع أو النصّ </w:t>
            </w:r>
            <w:r>
              <w:rPr>
                <w:rStyle w:val="IndexLink"/>
                <w:rtl w:val="true"/>
              </w:rPr>
              <w:t>]</w:t>
              <w:tab/>
            </w:r>
            <w:r>
              <w:rPr>
                <w:rStyle w:val="IndexLink"/>
              </w:rPr>
              <w:t>202</w:t>
            </w:r>
          </w:hyperlink>
        </w:p>
        <w:p>
          <w:pPr>
            <w:pStyle w:val="Contents3"/>
            <w:tabs>
              <w:tab w:val="clear" w:pos="8459"/>
              <w:tab w:val="right" w:pos="9026" w:leader="dot"/>
            </w:tabs>
            <w:rPr/>
          </w:pPr>
          <w:hyperlink w:anchor="__RefHeading___Toc5012106_1280447820">
            <w:r>
              <w:rPr>
                <w:webHidden/>
                <w:rStyle w:val="IndexLink"/>
                <w:rtl w:val="true"/>
              </w:rPr>
              <w:t xml:space="preserve">هداية </w:t>
            </w:r>
            <w:r>
              <w:rPr>
                <w:rStyle w:val="IndexLink"/>
                <w:rtl w:val="true"/>
              </w:rPr>
              <w:t xml:space="preserve">[ </w:t>
            </w:r>
            <w:r>
              <w:rPr>
                <w:rStyle w:val="IndexLink"/>
                <w:rtl w:val="true"/>
              </w:rPr>
              <w:t xml:space="preserve">في جواب المحقّق القمّي عن استصحاب الكتابي وردّه </w:t>
            </w:r>
            <w:r>
              <w:rPr>
                <w:rStyle w:val="IndexLink"/>
                <w:rtl w:val="true"/>
              </w:rPr>
              <w:t>]</w:t>
              <w:tab/>
            </w:r>
            <w:r>
              <w:rPr>
                <w:rStyle w:val="IndexLink"/>
              </w:rPr>
              <w:t>208</w:t>
            </w:r>
          </w:hyperlink>
        </w:p>
        <w:p>
          <w:pPr>
            <w:pStyle w:val="Contents3"/>
            <w:tabs>
              <w:tab w:val="clear" w:pos="8459"/>
              <w:tab w:val="right" w:pos="9026" w:leader="dot"/>
            </w:tabs>
            <w:rPr/>
          </w:pPr>
          <w:hyperlink w:anchor="__RefHeading___Toc5012108_1280447820">
            <w:r>
              <w:rPr>
                <w:webHidden/>
                <w:rStyle w:val="IndexLink"/>
                <w:rtl w:val="true"/>
              </w:rPr>
              <w:t xml:space="preserve">هداية </w:t>
            </w:r>
            <w:r>
              <w:rPr>
                <w:rStyle w:val="IndexLink"/>
                <w:rtl w:val="true"/>
              </w:rPr>
              <w:t xml:space="preserve">[ </w:t>
            </w:r>
            <w:r>
              <w:rPr>
                <w:rStyle w:val="IndexLink"/>
                <w:rtl w:val="true"/>
              </w:rPr>
              <w:t xml:space="preserve">في استصحاب الأحكام العقلية </w:t>
            </w:r>
            <w:r>
              <w:rPr>
                <w:rStyle w:val="IndexLink"/>
                <w:rtl w:val="true"/>
              </w:rPr>
              <w:t>]</w:t>
              <w:tab/>
            </w:r>
            <w:r>
              <w:rPr>
                <w:rStyle w:val="IndexLink"/>
              </w:rPr>
              <w:t>226</w:t>
            </w:r>
          </w:hyperlink>
        </w:p>
        <w:p>
          <w:pPr>
            <w:pStyle w:val="Contents3"/>
            <w:tabs>
              <w:tab w:val="clear" w:pos="8459"/>
              <w:tab w:val="right" w:pos="9026" w:leader="dot"/>
            </w:tabs>
            <w:rPr/>
          </w:pPr>
          <w:hyperlink w:anchor="__RefHeading___Toc5012110_1280447820">
            <w:r>
              <w:rPr>
                <w:webHidden/>
                <w:rStyle w:val="IndexLink"/>
                <w:rtl w:val="true"/>
              </w:rPr>
              <w:t xml:space="preserve">هداية </w:t>
            </w:r>
            <w:r>
              <w:rPr>
                <w:rStyle w:val="IndexLink"/>
                <w:rtl w:val="true"/>
              </w:rPr>
              <w:t xml:space="preserve">[ </w:t>
            </w:r>
            <w:r>
              <w:rPr>
                <w:rStyle w:val="IndexLink"/>
                <w:rtl w:val="true"/>
              </w:rPr>
              <w:t xml:space="preserve">في التفصيل بين كون المستصحب وجوديا وبين كونه عدميا </w:t>
            </w:r>
            <w:r>
              <w:rPr>
                <w:rStyle w:val="IndexLink"/>
                <w:rtl w:val="true"/>
              </w:rPr>
              <w:t>]</w:t>
              <w:tab/>
            </w:r>
            <w:r>
              <w:rPr>
                <w:rStyle w:val="IndexLink"/>
              </w:rPr>
              <w:t>234</w:t>
            </w:r>
          </w:hyperlink>
        </w:p>
        <w:p>
          <w:pPr>
            <w:pStyle w:val="Contents3"/>
            <w:tabs>
              <w:tab w:val="clear" w:pos="8459"/>
              <w:tab w:val="right" w:pos="9026" w:leader="dot"/>
            </w:tabs>
            <w:rPr/>
          </w:pPr>
          <w:hyperlink w:anchor="__RefHeading___Toc5012112_1280447820">
            <w:r>
              <w:rPr>
                <w:webHidden/>
                <w:rStyle w:val="IndexLink"/>
                <w:rtl w:val="true"/>
              </w:rPr>
              <w:t xml:space="preserve">هداية </w:t>
            </w:r>
            <w:r>
              <w:rPr>
                <w:rStyle w:val="IndexLink"/>
                <w:rtl w:val="true"/>
              </w:rPr>
              <w:t xml:space="preserve">[ </w:t>
            </w:r>
            <w:r>
              <w:rPr>
                <w:rStyle w:val="IndexLink"/>
                <w:rtl w:val="true"/>
              </w:rPr>
              <w:t xml:space="preserve">في كلام النراقي في معارضة الاستصحاب الوجودي والعدمي </w:t>
            </w:r>
            <w:r>
              <w:rPr>
                <w:rStyle w:val="IndexLink"/>
                <w:rtl w:val="true"/>
              </w:rPr>
              <w:t>]</w:t>
              <w:tab/>
            </w:r>
            <w:r>
              <w:rPr>
                <w:rStyle w:val="IndexLink"/>
              </w:rPr>
              <w:t>244</w:t>
            </w:r>
          </w:hyperlink>
        </w:p>
        <w:p>
          <w:pPr>
            <w:pStyle w:val="Contents3"/>
            <w:tabs>
              <w:tab w:val="clear" w:pos="8459"/>
              <w:tab w:val="right" w:pos="9026" w:leader="dot"/>
            </w:tabs>
            <w:rPr/>
          </w:pPr>
          <w:hyperlink w:anchor="__RefHeading___Toc5012114_1280447820">
            <w:r>
              <w:rPr>
                <w:webHidden/>
                <w:rStyle w:val="IndexLink"/>
                <w:rtl w:val="true"/>
              </w:rPr>
              <w:t xml:space="preserve">هداية </w:t>
            </w:r>
            <w:r>
              <w:rPr>
                <w:rStyle w:val="IndexLink"/>
                <w:rtl w:val="true"/>
              </w:rPr>
              <w:t xml:space="preserve">[ </w:t>
            </w:r>
            <w:r>
              <w:rPr>
                <w:rStyle w:val="IndexLink"/>
                <w:rtl w:val="true"/>
              </w:rPr>
              <w:t xml:space="preserve">في الاستصحاب في الاعتقاديات </w:t>
            </w:r>
            <w:r>
              <w:rPr>
                <w:rStyle w:val="IndexLink"/>
                <w:rtl w:val="true"/>
              </w:rPr>
              <w:t>]</w:t>
              <w:tab/>
            </w:r>
            <w:r>
              <w:rPr>
                <w:rStyle w:val="IndexLink"/>
              </w:rPr>
              <w:t>254</w:t>
            </w:r>
          </w:hyperlink>
        </w:p>
        <w:p>
          <w:pPr>
            <w:pStyle w:val="Contents3"/>
            <w:tabs>
              <w:tab w:val="clear" w:pos="8459"/>
              <w:tab w:val="right" w:pos="9026" w:leader="dot"/>
            </w:tabs>
            <w:rPr/>
          </w:pPr>
          <w:hyperlink w:anchor="__RefHeading___Toc5012116_1280447820">
            <w:r>
              <w:rPr>
                <w:webHidden/>
                <w:rStyle w:val="IndexLink"/>
                <w:rtl w:val="true"/>
              </w:rPr>
              <w:t xml:space="preserve">هداية </w:t>
            </w:r>
            <w:r>
              <w:rPr>
                <w:rStyle w:val="IndexLink"/>
                <w:rtl w:val="true"/>
              </w:rPr>
              <w:t xml:space="preserve">[ </w:t>
            </w:r>
            <w:r>
              <w:rPr>
                <w:rStyle w:val="IndexLink"/>
                <w:rtl w:val="true"/>
              </w:rPr>
              <w:t xml:space="preserve">في الأصل المثبت </w:t>
            </w:r>
            <w:r>
              <w:rPr>
                <w:rStyle w:val="IndexLink"/>
                <w:rtl w:val="true"/>
              </w:rPr>
              <w:t>]</w:t>
              <w:tab/>
            </w:r>
            <w:r>
              <w:rPr>
                <w:rStyle w:val="IndexLink"/>
              </w:rPr>
              <w:t>258</w:t>
            </w:r>
          </w:hyperlink>
        </w:p>
        <w:p>
          <w:pPr>
            <w:pStyle w:val="Contents4"/>
            <w:tabs>
              <w:tab w:val="clear" w:pos="8176"/>
              <w:tab w:val="right" w:pos="9026" w:leader="dot"/>
            </w:tabs>
            <w:rPr/>
          </w:pPr>
          <w:hyperlink w:anchor="__RefHeading___Toc5012118_1280447820">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5012120_1280447820">
            <w:r>
              <w:rPr>
                <w:webHidden/>
                <w:rStyle w:val="IndexLink"/>
                <w:rtl w:val="true"/>
              </w:rPr>
              <w:t xml:space="preserve">[ </w:t>
            </w:r>
            <w:r>
              <w:rPr>
                <w:rStyle w:val="IndexLink"/>
                <w:rtl w:val="true"/>
              </w:rPr>
              <w:t xml:space="preserve">المقام </w:t>
            </w:r>
            <w:r>
              <w:rPr>
                <w:rStyle w:val="IndexLink"/>
                <w:rtl w:val="true"/>
              </w:rPr>
              <w:t xml:space="preserve">] </w:t>
            </w:r>
            <w:r>
              <w:rPr>
                <w:rStyle w:val="IndexLink"/>
                <w:rtl w:val="true"/>
              </w:rPr>
              <w:t>الأوّل</w:t>
            </w:r>
            <w:r>
              <w:rPr>
                <w:rStyle w:val="IndexLink"/>
                <w:rtl w:val="true"/>
              </w:rPr>
              <w:tab/>
            </w:r>
            <w:r>
              <w:rPr>
                <w:rStyle w:val="IndexLink"/>
              </w:rPr>
              <w:t>259</w:t>
            </w:r>
          </w:hyperlink>
        </w:p>
        <w:p>
          <w:pPr>
            <w:pStyle w:val="Contents4"/>
            <w:tabs>
              <w:tab w:val="clear" w:pos="8176"/>
              <w:tab w:val="right" w:pos="9026" w:leader="dot"/>
            </w:tabs>
            <w:rPr/>
          </w:pPr>
          <w:hyperlink w:anchor="__RefHeading___Toc5012122_1280447820">
            <w:r>
              <w:rPr>
                <w:webHidden/>
                <w:rStyle w:val="IndexLink"/>
                <w:rtl w:val="true"/>
              </w:rPr>
              <w:t>المقام الثاني</w:t>
            </w:r>
            <w:r>
              <w:rPr>
                <w:rStyle w:val="IndexLink"/>
                <w:rtl w:val="true"/>
              </w:rPr>
              <w:tab/>
            </w:r>
            <w:r>
              <w:rPr>
                <w:rStyle w:val="IndexLink"/>
              </w:rPr>
              <w:t>261</w:t>
            </w:r>
          </w:hyperlink>
        </w:p>
        <w:p>
          <w:pPr>
            <w:pStyle w:val="Contents4"/>
            <w:tabs>
              <w:tab w:val="clear" w:pos="8176"/>
              <w:tab w:val="right" w:pos="9026" w:leader="dot"/>
            </w:tabs>
            <w:rPr/>
          </w:pPr>
          <w:hyperlink w:anchor="__RefHeading___Toc5012124_1280447820">
            <w:r>
              <w:rPr>
                <w:webHidden/>
                <w:rStyle w:val="IndexLink"/>
                <w:rtl w:val="true"/>
              </w:rPr>
              <w:t>المقام الثالث</w:t>
            </w:r>
            <w:r>
              <w:rPr>
                <w:rStyle w:val="IndexLink"/>
                <w:rtl w:val="true"/>
              </w:rPr>
              <w:tab/>
            </w:r>
            <w:r>
              <w:rPr>
                <w:rStyle w:val="IndexLink"/>
              </w:rPr>
              <w:t>264</w:t>
            </w:r>
          </w:hyperlink>
        </w:p>
        <w:p>
          <w:pPr>
            <w:pStyle w:val="Contents3"/>
            <w:tabs>
              <w:tab w:val="clear" w:pos="8459"/>
              <w:tab w:val="right" w:pos="9026" w:leader="dot"/>
            </w:tabs>
            <w:rPr/>
          </w:pPr>
          <w:hyperlink w:anchor="__RefHeading___Toc5012126_1280447820">
            <w:r>
              <w:rPr>
                <w:webHidden/>
                <w:rStyle w:val="IndexLink"/>
                <w:rtl w:val="true"/>
              </w:rPr>
              <w:t xml:space="preserve">هداية </w:t>
            </w:r>
            <w:r>
              <w:rPr>
                <w:rStyle w:val="IndexLink"/>
                <w:rtl w:val="true"/>
              </w:rPr>
              <w:t xml:space="preserve">[ </w:t>
            </w:r>
            <w:r>
              <w:rPr>
                <w:rStyle w:val="IndexLink"/>
                <w:rtl w:val="true"/>
              </w:rPr>
              <w:t xml:space="preserve">في أصالة تأخّر الحادث </w:t>
            </w:r>
            <w:r>
              <w:rPr>
                <w:rStyle w:val="IndexLink"/>
                <w:rtl w:val="true"/>
              </w:rPr>
              <w:t>]</w:t>
              <w:tab/>
            </w:r>
            <w:r>
              <w:rPr>
                <w:rStyle w:val="IndexLink"/>
              </w:rPr>
              <w:t>284</w:t>
            </w:r>
          </w:hyperlink>
        </w:p>
        <w:p>
          <w:pPr>
            <w:pStyle w:val="Contents4"/>
            <w:tabs>
              <w:tab w:val="clear" w:pos="8176"/>
              <w:tab w:val="right" w:pos="9026" w:leader="dot"/>
            </w:tabs>
            <w:rPr/>
          </w:pPr>
          <w:hyperlink w:anchor="__RefHeading___Toc5012128_128044782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5012130_1280447820">
            <w:r>
              <w:rPr>
                <w:webHidden/>
                <w:rStyle w:val="IndexLink"/>
                <w:rtl w:val="true"/>
              </w:rPr>
              <w:t xml:space="preserve">[ </w:t>
            </w:r>
            <w:r>
              <w:rPr>
                <w:rStyle w:val="IndexLink"/>
                <w:rtl w:val="true"/>
              </w:rPr>
              <w:t xml:space="preserve">المقام </w:t>
            </w:r>
            <w:r>
              <w:rPr>
                <w:rStyle w:val="IndexLink"/>
                <w:rtl w:val="true"/>
              </w:rPr>
              <w:t xml:space="preserve">] </w:t>
            </w:r>
            <w:r>
              <w:rPr>
                <w:rStyle w:val="IndexLink"/>
                <w:rtl w:val="true"/>
              </w:rPr>
              <w:t>الأوّل</w:t>
            </w:r>
            <w:r>
              <w:rPr>
                <w:rStyle w:val="IndexLink"/>
                <w:rtl w:val="true"/>
              </w:rPr>
              <w:tab/>
            </w:r>
            <w:r>
              <w:rPr>
                <w:rStyle w:val="IndexLink"/>
              </w:rPr>
              <w:t>285</w:t>
            </w:r>
          </w:hyperlink>
        </w:p>
        <w:p>
          <w:pPr>
            <w:pStyle w:val="Contents4"/>
            <w:tabs>
              <w:tab w:val="clear" w:pos="8176"/>
              <w:tab w:val="right" w:pos="9026" w:leader="dot"/>
            </w:tabs>
            <w:rPr/>
          </w:pPr>
          <w:hyperlink w:anchor="__RefHeading___Toc5012132_1280447820">
            <w:r>
              <w:rPr>
                <w:webHidden/>
                <w:rStyle w:val="IndexLink"/>
                <w:rtl w:val="true"/>
              </w:rPr>
              <w:t>المقام الثاني</w:t>
            </w:r>
            <w:r>
              <w:rPr>
                <w:rStyle w:val="IndexLink"/>
                <w:rtl w:val="true"/>
              </w:rPr>
              <w:tab/>
            </w:r>
            <w:r>
              <w:rPr>
                <w:rStyle w:val="IndexLink"/>
              </w:rPr>
              <w:t>286</w:t>
            </w:r>
          </w:hyperlink>
        </w:p>
        <w:p>
          <w:pPr>
            <w:pStyle w:val="Contents4"/>
            <w:tabs>
              <w:tab w:val="clear" w:pos="8176"/>
              <w:tab w:val="right" w:pos="9026" w:leader="dot"/>
            </w:tabs>
            <w:rPr/>
          </w:pPr>
          <w:hyperlink w:anchor="__RefHeading___Toc5012134_1280447820">
            <w:r>
              <w:rPr>
                <w:webHidden/>
                <w:rStyle w:val="IndexLink"/>
                <w:rtl w:val="true"/>
              </w:rPr>
              <w:t>تذنيب</w:t>
            </w:r>
            <w:r>
              <w:rPr>
                <w:rStyle w:val="IndexLink"/>
                <w:rtl w:val="true"/>
              </w:rPr>
              <w:tab/>
            </w:r>
            <w:r>
              <w:rPr>
                <w:rStyle w:val="IndexLink"/>
              </w:rPr>
              <w:t>291</w:t>
            </w:r>
          </w:hyperlink>
        </w:p>
        <w:p>
          <w:pPr>
            <w:pStyle w:val="Contents3"/>
            <w:tabs>
              <w:tab w:val="clear" w:pos="8459"/>
              <w:tab w:val="right" w:pos="9026" w:leader="dot"/>
            </w:tabs>
            <w:rPr/>
          </w:pPr>
          <w:hyperlink w:anchor="__RefHeading___Toc5012136_1280447820">
            <w:r>
              <w:rPr>
                <w:webHidden/>
                <w:rStyle w:val="IndexLink"/>
                <w:rtl w:val="true"/>
              </w:rPr>
              <w:t xml:space="preserve">هداية </w:t>
            </w:r>
            <w:r>
              <w:rPr>
                <w:rStyle w:val="IndexLink"/>
                <w:rtl w:val="true"/>
              </w:rPr>
              <w:t xml:space="preserve">[ </w:t>
            </w:r>
            <w:r>
              <w:rPr>
                <w:rStyle w:val="IndexLink"/>
                <w:rtl w:val="true"/>
              </w:rPr>
              <w:t xml:space="preserve">في استصحاب الصحّة </w:t>
            </w:r>
            <w:r>
              <w:rPr>
                <w:rStyle w:val="IndexLink"/>
                <w:rtl w:val="true"/>
              </w:rPr>
              <w:t>]</w:t>
              <w:tab/>
            </w:r>
            <w:r>
              <w:rPr>
                <w:rStyle w:val="IndexLink"/>
              </w:rPr>
              <w:t>294</w:t>
            </w:r>
          </w:hyperlink>
        </w:p>
        <w:p>
          <w:pPr>
            <w:pStyle w:val="Contents3"/>
            <w:tabs>
              <w:tab w:val="clear" w:pos="8459"/>
              <w:tab w:val="right" w:pos="9026" w:leader="dot"/>
            </w:tabs>
            <w:rPr/>
          </w:pPr>
          <w:hyperlink w:anchor="__RefHeading___Toc5012138_1280447820">
            <w:r>
              <w:rPr>
                <w:webHidden/>
                <w:rStyle w:val="IndexLink"/>
                <w:rtl w:val="true"/>
              </w:rPr>
              <w:t xml:space="preserve">هداية </w:t>
            </w:r>
            <w:r>
              <w:rPr>
                <w:rStyle w:val="IndexLink"/>
                <w:rtl w:val="true"/>
              </w:rPr>
              <w:t xml:space="preserve">[ </w:t>
            </w:r>
            <w:r>
              <w:rPr>
                <w:rStyle w:val="IndexLink"/>
                <w:rtl w:val="true"/>
              </w:rPr>
              <w:t xml:space="preserve">في استصحاب الاشتغال </w:t>
            </w:r>
            <w:r>
              <w:rPr>
                <w:rStyle w:val="IndexLink"/>
                <w:rtl w:val="true"/>
              </w:rPr>
              <w:t>]</w:t>
              <w:tab/>
            </w:r>
            <w:r>
              <w:rPr>
                <w:rStyle w:val="IndexLink"/>
              </w:rPr>
              <w:t>304</w:t>
            </w:r>
          </w:hyperlink>
        </w:p>
        <w:p>
          <w:pPr>
            <w:pStyle w:val="Contents4"/>
            <w:tabs>
              <w:tab w:val="clear" w:pos="8176"/>
              <w:tab w:val="right" w:pos="9026" w:leader="dot"/>
            </w:tabs>
            <w:rPr/>
          </w:pPr>
          <w:hyperlink w:anchor="__RefHeading___Toc5012140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5012142_1280447820">
            <w:r>
              <w:rPr>
                <w:webHidden/>
                <w:rStyle w:val="IndexLink"/>
                <w:rtl w:val="true"/>
              </w:rPr>
              <w:t>المقام الأوّل</w:t>
            </w:r>
            <w:r>
              <w:rPr>
                <w:rStyle w:val="IndexLink"/>
                <w:rtl w:val="true"/>
              </w:rPr>
              <w:tab/>
            </w:r>
            <w:r>
              <w:rPr>
                <w:rStyle w:val="IndexLink"/>
              </w:rPr>
              <w:t>305</w:t>
            </w:r>
          </w:hyperlink>
        </w:p>
        <w:p>
          <w:pPr>
            <w:pStyle w:val="Contents4"/>
            <w:tabs>
              <w:tab w:val="clear" w:pos="8176"/>
              <w:tab w:val="right" w:pos="9026" w:leader="dot"/>
            </w:tabs>
            <w:rPr/>
          </w:pPr>
          <w:hyperlink w:anchor="__RefHeading___Toc5012144_1280447820">
            <w:r>
              <w:rPr>
                <w:webHidden/>
                <w:rStyle w:val="IndexLink"/>
                <w:rtl w:val="true"/>
              </w:rPr>
              <w:t>المقام الثاني</w:t>
            </w:r>
            <w:r>
              <w:rPr>
                <w:rStyle w:val="IndexLink"/>
                <w:rtl w:val="true"/>
              </w:rPr>
              <w:tab/>
            </w:r>
            <w:r>
              <w:rPr>
                <w:rStyle w:val="IndexLink"/>
              </w:rPr>
              <w:t>308</w:t>
            </w:r>
          </w:hyperlink>
        </w:p>
        <w:p>
          <w:pPr>
            <w:pStyle w:val="Contents3"/>
            <w:tabs>
              <w:tab w:val="clear" w:pos="8459"/>
              <w:tab w:val="right" w:pos="9026" w:leader="dot"/>
            </w:tabs>
            <w:rPr/>
          </w:pPr>
          <w:hyperlink w:anchor="__RefHeading___Toc5012146_1280447820">
            <w:r>
              <w:rPr>
                <w:webHidden/>
                <w:rStyle w:val="IndexLink"/>
                <w:rtl w:val="true"/>
              </w:rPr>
              <w:t xml:space="preserve">هداية </w:t>
            </w:r>
            <w:r>
              <w:rPr>
                <w:rStyle w:val="IndexLink"/>
                <w:rtl w:val="true"/>
              </w:rPr>
              <w:t xml:space="preserve">[ </w:t>
            </w:r>
            <w:r>
              <w:rPr>
                <w:rStyle w:val="IndexLink"/>
                <w:rtl w:val="true"/>
              </w:rPr>
              <w:t xml:space="preserve">في استصحاب الفرد المردّد </w:t>
            </w:r>
            <w:r>
              <w:rPr>
                <w:rStyle w:val="IndexLink"/>
                <w:rtl w:val="true"/>
              </w:rPr>
              <w:t>]</w:t>
              <w:tab/>
            </w:r>
            <w:r>
              <w:rPr>
                <w:rStyle w:val="IndexLink"/>
              </w:rPr>
              <w:t>310</w:t>
            </w:r>
          </w:hyperlink>
        </w:p>
        <w:p>
          <w:pPr>
            <w:pStyle w:val="Contents3"/>
            <w:tabs>
              <w:tab w:val="clear" w:pos="8459"/>
              <w:tab w:val="right" w:pos="9026" w:leader="dot"/>
            </w:tabs>
            <w:rPr/>
          </w:pPr>
          <w:hyperlink w:anchor="__RefHeading___Toc5012148_1280447820">
            <w:r>
              <w:rPr>
                <w:webHidden/>
                <w:rStyle w:val="IndexLink"/>
                <w:rtl w:val="true"/>
              </w:rPr>
              <w:t xml:space="preserve">هداية </w:t>
            </w:r>
            <w:r>
              <w:rPr>
                <w:rStyle w:val="IndexLink"/>
                <w:rtl w:val="true"/>
              </w:rPr>
              <w:t xml:space="preserve">[ </w:t>
            </w:r>
            <w:r>
              <w:rPr>
                <w:rStyle w:val="IndexLink"/>
                <w:rtl w:val="true"/>
              </w:rPr>
              <w:t xml:space="preserve">في الاستصحاب في الأجزاء بعد تعذّر الكلّ </w:t>
            </w:r>
            <w:r>
              <w:rPr>
                <w:rStyle w:val="IndexLink"/>
                <w:rtl w:val="true"/>
              </w:rPr>
              <w:t>]</w:t>
              <w:tab/>
            </w:r>
            <w:r>
              <w:rPr>
                <w:rStyle w:val="IndexLink"/>
              </w:rPr>
              <w:t>316</w:t>
            </w:r>
          </w:hyperlink>
        </w:p>
        <w:p>
          <w:pPr>
            <w:pStyle w:val="Contents3"/>
            <w:tabs>
              <w:tab w:val="clear" w:pos="8459"/>
              <w:tab w:val="right" w:pos="9026" w:leader="dot"/>
            </w:tabs>
            <w:rPr/>
          </w:pPr>
          <w:hyperlink w:anchor="__RefHeading___Toc5012150_1280447820">
            <w:r>
              <w:rPr>
                <w:webHidden/>
                <w:rStyle w:val="IndexLink"/>
                <w:rtl w:val="true"/>
              </w:rPr>
              <w:t xml:space="preserve">هداية </w:t>
            </w:r>
            <w:r>
              <w:rPr>
                <w:rStyle w:val="IndexLink"/>
                <w:rtl w:val="true"/>
              </w:rPr>
              <w:t xml:space="preserve">[ </w:t>
            </w:r>
            <w:r>
              <w:rPr>
                <w:rStyle w:val="IndexLink"/>
                <w:rtl w:val="true"/>
              </w:rPr>
              <w:t xml:space="preserve">في قاعدة اليقين </w:t>
            </w:r>
            <w:r>
              <w:rPr>
                <w:rStyle w:val="IndexLink"/>
                <w:rtl w:val="true"/>
              </w:rPr>
              <w:t>]</w:t>
              <w:tab/>
            </w:r>
            <w:r>
              <w:rPr>
                <w:rStyle w:val="IndexLink"/>
              </w:rPr>
              <w:t>322</w:t>
            </w:r>
          </w:hyperlink>
        </w:p>
        <w:p>
          <w:pPr>
            <w:pStyle w:val="Contents4"/>
            <w:tabs>
              <w:tab w:val="clear" w:pos="8176"/>
              <w:tab w:val="right" w:pos="9026" w:leader="dot"/>
            </w:tabs>
            <w:rPr/>
          </w:pPr>
          <w:hyperlink w:anchor="__RefHeading___Toc5012152_1280447820">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5012154_1280447820">
            <w:r>
              <w:rPr>
                <w:webHidden/>
                <w:rStyle w:val="IndexLink"/>
                <w:rtl w:val="true"/>
              </w:rPr>
              <w:t xml:space="preserve">[ </w:t>
            </w:r>
            <w:r>
              <w:rPr>
                <w:rStyle w:val="IndexLink"/>
                <w:rtl w:val="true"/>
              </w:rPr>
              <w:t xml:space="preserve">المقام </w:t>
            </w:r>
            <w:r>
              <w:rPr>
                <w:rStyle w:val="IndexLink"/>
                <w:rtl w:val="true"/>
              </w:rPr>
              <w:t xml:space="preserve">] </w:t>
            </w:r>
            <w:r>
              <w:rPr>
                <w:rStyle w:val="IndexLink"/>
                <w:rtl w:val="true"/>
              </w:rPr>
              <w:t xml:space="preserve">الأوّل </w:t>
            </w:r>
            <w:r>
              <w:rPr>
                <w:rStyle w:val="IndexLink"/>
                <w:rtl w:val="true"/>
              </w:rPr>
              <w:t>:</w:t>
              <w:tab/>
            </w:r>
            <w:r>
              <w:rPr>
                <w:rStyle w:val="IndexLink"/>
              </w:rPr>
              <w:t>323</w:t>
            </w:r>
          </w:hyperlink>
        </w:p>
        <w:p>
          <w:pPr>
            <w:pStyle w:val="Contents4"/>
            <w:tabs>
              <w:tab w:val="clear" w:pos="8176"/>
              <w:tab w:val="right" w:pos="9026" w:leader="dot"/>
            </w:tabs>
            <w:rPr/>
          </w:pPr>
          <w:hyperlink w:anchor="__RefHeading___Toc5012156_1280447820">
            <w:r>
              <w:rPr>
                <w:webHidden/>
                <w:rStyle w:val="IndexLink"/>
                <w:rtl w:val="true"/>
              </w:rPr>
              <w:t>المقام الثاني</w:t>
            </w:r>
            <w:r>
              <w:rPr>
                <w:rStyle w:val="IndexLink"/>
                <w:rtl w:val="true"/>
              </w:rPr>
              <w:tab/>
            </w:r>
            <w:r>
              <w:rPr>
                <w:rStyle w:val="IndexLink"/>
              </w:rPr>
              <w:t>326</w:t>
            </w:r>
          </w:hyperlink>
        </w:p>
        <w:p>
          <w:pPr>
            <w:pStyle w:val="Contents4"/>
            <w:tabs>
              <w:tab w:val="clear" w:pos="8176"/>
              <w:tab w:val="right" w:pos="9026" w:leader="dot"/>
            </w:tabs>
            <w:rPr/>
          </w:pPr>
          <w:hyperlink w:anchor="__RefHeading___Toc5012158_1280447820">
            <w:r>
              <w:rPr>
                <w:webHidden/>
                <w:rStyle w:val="IndexLink"/>
                <w:rtl w:val="true"/>
              </w:rPr>
              <w:t>تنبيه</w:t>
            </w:r>
            <w:r>
              <w:rPr>
                <w:rStyle w:val="IndexLink"/>
                <w:rtl w:val="true"/>
              </w:rPr>
              <w:tab/>
            </w:r>
            <w:r>
              <w:rPr>
                <w:rStyle w:val="IndexLink"/>
              </w:rPr>
              <w:t>328</w:t>
            </w:r>
          </w:hyperlink>
        </w:p>
        <w:p>
          <w:pPr>
            <w:pStyle w:val="Contents4"/>
            <w:tabs>
              <w:tab w:val="clear" w:pos="8176"/>
              <w:tab w:val="right" w:pos="9026" w:leader="dot"/>
            </w:tabs>
            <w:rPr/>
          </w:pPr>
          <w:hyperlink w:anchor="__RefHeading___Toc5012160_1280447820">
            <w:r>
              <w:rPr>
                <w:webHidden/>
                <w:rStyle w:val="IndexLink"/>
                <w:rtl w:val="true"/>
              </w:rPr>
              <w:t>تذنيب</w:t>
            </w:r>
            <w:r>
              <w:rPr>
                <w:rStyle w:val="IndexLink"/>
                <w:rtl w:val="true"/>
              </w:rPr>
              <w:tab/>
            </w:r>
            <w:r>
              <w:rPr>
                <w:rStyle w:val="IndexLink"/>
              </w:rPr>
              <w:t>331</w:t>
            </w:r>
          </w:hyperlink>
        </w:p>
        <w:p>
          <w:pPr>
            <w:pStyle w:val="Contents3"/>
            <w:tabs>
              <w:tab w:val="clear" w:pos="8459"/>
              <w:tab w:val="right" w:pos="9026" w:leader="dot"/>
            </w:tabs>
            <w:rPr/>
          </w:pPr>
          <w:hyperlink w:anchor="__RefHeading___Toc5012162_1280447820">
            <w:r>
              <w:rPr>
                <w:webHidden/>
                <w:rStyle w:val="IndexLink"/>
                <w:rtl w:val="true"/>
              </w:rPr>
              <w:t xml:space="preserve">هداية </w:t>
            </w:r>
            <w:r>
              <w:rPr>
                <w:rStyle w:val="IndexLink"/>
                <w:rtl w:val="true"/>
              </w:rPr>
              <w:t xml:space="preserve">[ </w:t>
            </w:r>
            <w:r>
              <w:rPr>
                <w:rStyle w:val="IndexLink"/>
                <w:rtl w:val="true"/>
              </w:rPr>
              <w:t xml:space="preserve">في الاستصحاب التعليقي </w:t>
            </w:r>
            <w:r>
              <w:rPr>
                <w:rStyle w:val="IndexLink"/>
                <w:rtl w:val="true"/>
              </w:rPr>
              <w:t>]</w:t>
              <w:tab/>
            </w:r>
            <w:r>
              <w:rPr>
                <w:rStyle w:val="IndexLink"/>
              </w:rPr>
              <w:t>334</w:t>
            </w:r>
          </w:hyperlink>
        </w:p>
        <w:p>
          <w:pPr>
            <w:pStyle w:val="Contents3"/>
            <w:tabs>
              <w:tab w:val="clear" w:pos="8459"/>
              <w:tab w:val="right" w:pos="9026" w:leader="dot"/>
            </w:tabs>
            <w:rPr/>
          </w:pPr>
          <w:hyperlink w:anchor="__RefHeading___Toc5012164_1280447820">
            <w:r>
              <w:rPr>
                <w:webHidden/>
                <w:rStyle w:val="IndexLink"/>
                <w:rtl w:val="true"/>
              </w:rPr>
              <w:t xml:space="preserve">هداية </w:t>
            </w:r>
            <w:r>
              <w:rPr>
                <w:rStyle w:val="IndexLink"/>
                <w:rtl w:val="true"/>
              </w:rPr>
              <w:t xml:space="preserve">[ </w:t>
            </w:r>
            <w:r>
              <w:rPr>
                <w:rStyle w:val="IndexLink"/>
                <w:rtl w:val="true"/>
              </w:rPr>
              <w:t xml:space="preserve">في بيان استصحاب الحكم المخصّص </w:t>
            </w:r>
            <w:r>
              <w:rPr>
                <w:rStyle w:val="IndexLink"/>
                <w:rtl w:val="true"/>
              </w:rPr>
              <w:t>]</w:t>
              <w:tab/>
            </w:r>
            <w:r>
              <w:rPr>
                <w:rStyle w:val="IndexLink"/>
              </w:rPr>
              <w:t>340</w:t>
            </w:r>
          </w:hyperlink>
        </w:p>
        <w:p>
          <w:pPr>
            <w:pStyle w:val="Contents3"/>
            <w:tabs>
              <w:tab w:val="clear" w:pos="8459"/>
              <w:tab w:val="right" w:pos="9026" w:leader="dot"/>
            </w:tabs>
            <w:rPr/>
          </w:pPr>
          <w:hyperlink w:anchor="__RefHeading___Toc5012166_1280447820">
            <w:r>
              <w:rPr>
                <w:webHidden/>
                <w:rStyle w:val="IndexLink"/>
                <w:rtl w:val="true"/>
              </w:rPr>
              <w:t xml:space="preserve">هداية </w:t>
            </w:r>
            <w:r>
              <w:rPr>
                <w:rStyle w:val="IndexLink"/>
                <w:rtl w:val="true"/>
              </w:rPr>
              <w:t xml:space="preserve">[ ( </w:t>
            </w:r>
            <w:r>
              <w:rPr>
                <w:rStyle w:val="IndexLink"/>
                <w:rtl w:val="true"/>
              </w:rPr>
              <w:t xml:space="preserve">في الاستصحاب </w:t>
            </w:r>
            <w:r>
              <w:rPr>
                <w:rStyle w:val="IndexLink"/>
                <w:rtl w:val="true"/>
              </w:rPr>
              <w:t xml:space="preserve">) </w:t>
            </w:r>
            <w:r>
              <w:rPr>
                <w:rStyle w:val="IndexLink"/>
                <w:rtl w:val="true"/>
              </w:rPr>
              <w:t xml:space="preserve">في الأمور التدريجية </w:t>
            </w:r>
            <w:r>
              <w:rPr>
                <w:rStyle w:val="IndexLink"/>
                <w:rtl w:val="true"/>
              </w:rPr>
              <w:t>]</w:t>
              <w:tab/>
            </w:r>
            <w:r>
              <w:rPr>
                <w:rStyle w:val="IndexLink"/>
              </w:rPr>
              <w:t>350</w:t>
            </w:r>
          </w:hyperlink>
        </w:p>
        <w:p>
          <w:pPr>
            <w:pStyle w:val="Contents3"/>
            <w:tabs>
              <w:tab w:val="clear" w:pos="8459"/>
              <w:tab w:val="right" w:pos="9026" w:leader="dot"/>
            </w:tabs>
            <w:rPr/>
          </w:pPr>
          <w:hyperlink w:anchor="__RefHeading___Toc5012168_1280447820">
            <w:r>
              <w:rPr>
                <w:webHidden/>
                <w:rStyle w:val="IndexLink"/>
                <w:rtl w:val="true"/>
              </w:rPr>
              <w:t xml:space="preserve">هداية </w:t>
            </w:r>
            <w:r>
              <w:rPr>
                <w:rStyle w:val="IndexLink"/>
                <w:rtl w:val="true"/>
              </w:rPr>
              <w:t xml:space="preserve">[ </w:t>
            </w:r>
            <w:r>
              <w:rPr>
                <w:rStyle w:val="IndexLink"/>
                <w:rtl w:val="true"/>
              </w:rPr>
              <w:t xml:space="preserve">في استصحاب الكلّي </w:t>
            </w:r>
            <w:r>
              <w:rPr>
                <w:rStyle w:val="IndexLink"/>
                <w:rtl w:val="true"/>
              </w:rPr>
              <w:t>]</w:t>
              <w:tab/>
            </w:r>
            <w:r>
              <w:rPr>
                <w:rStyle w:val="IndexLink"/>
              </w:rPr>
              <w:t>354</w:t>
            </w:r>
          </w:hyperlink>
        </w:p>
        <w:p>
          <w:pPr>
            <w:pStyle w:val="Contents3"/>
            <w:tabs>
              <w:tab w:val="clear" w:pos="8459"/>
              <w:tab w:val="right" w:pos="9026" w:leader="dot"/>
            </w:tabs>
            <w:rPr/>
          </w:pPr>
          <w:hyperlink w:anchor="__RefHeading___Toc5012170_1280447820">
            <w:r>
              <w:rPr>
                <w:webHidden/>
                <w:rStyle w:val="IndexLink"/>
                <w:rtl w:val="true"/>
              </w:rPr>
              <w:t xml:space="preserve">هداية </w:t>
            </w:r>
            <w:r>
              <w:rPr>
                <w:rStyle w:val="IndexLink"/>
                <w:rtl w:val="true"/>
              </w:rPr>
              <w:t xml:space="preserve">[ </w:t>
            </w:r>
            <w:r>
              <w:rPr>
                <w:rStyle w:val="IndexLink"/>
                <w:rtl w:val="true"/>
              </w:rPr>
              <w:t xml:space="preserve">في استصحاب أحكام الشرائع السابقة </w:t>
            </w:r>
            <w:r>
              <w:rPr>
                <w:rStyle w:val="IndexLink"/>
                <w:rtl w:val="true"/>
              </w:rPr>
              <w:t>]</w:t>
              <w:tab/>
            </w:r>
            <w:r>
              <w:rPr>
                <w:rStyle w:val="IndexLink"/>
              </w:rPr>
              <w:t>362</w:t>
            </w:r>
          </w:hyperlink>
        </w:p>
        <w:p>
          <w:pPr>
            <w:pStyle w:val="Contents4"/>
            <w:tabs>
              <w:tab w:val="clear" w:pos="8176"/>
              <w:tab w:val="right" w:pos="9026" w:leader="dot"/>
            </w:tabs>
            <w:rPr/>
          </w:pPr>
          <w:hyperlink w:anchor="__RefHeading___Toc5012172_1280447820">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5012174_1280447820">
            <w:r>
              <w:rPr>
                <w:webHidden/>
                <w:rStyle w:val="IndexLink"/>
                <w:rtl w:val="true"/>
              </w:rPr>
              <w:t>تذنيب</w:t>
            </w:r>
            <w:r>
              <w:rPr>
                <w:rStyle w:val="IndexLink"/>
                <w:rtl w:val="true"/>
              </w:rPr>
              <w:tab/>
            </w:r>
            <w:r>
              <w:rPr>
                <w:rStyle w:val="IndexLink"/>
              </w:rPr>
              <w:t>374</w:t>
            </w:r>
          </w:hyperlink>
        </w:p>
        <w:p>
          <w:pPr>
            <w:pStyle w:val="Contents3"/>
            <w:tabs>
              <w:tab w:val="clear" w:pos="8459"/>
              <w:tab w:val="right" w:pos="9026" w:leader="dot"/>
            </w:tabs>
            <w:rPr/>
          </w:pPr>
          <w:hyperlink w:anchor="__RefHeading___Toc5012176_1280447820">
            <w:r>
              <w:rPr>
                <w:webHidden/>
                <w:rStyle w:val="IndexLink"/>
                <w:rtl w:val="true"/>
              </w:rPr>
              <w:t xml:space="preserve">هداية </w:t>
            </w:r>
            <w:r>
              <w:rPr>
                <w:rStyle w:val="IndexLink"/>
                <w:rtl w:val="true"/>
              </w:rPr>
              <w:t xml:space="preserve">[ </w:t>
            </w:r>
            <w:r>
              <w:rPr>
                <w:rStyle w:val="IndexLink"/>
                <w:rtl w:val="true"/>
              </w:rPr>
              <w:t xml:space="preserve">في تقوّم الاستصحاب ببقاء الموضوع </w:t>
            </w:r>
            <w:r>
              <w:rPr>
                <w:rStyle w:val="IndexLink"/>
                <w:rtl w:val="true"/>
              </w:rPr>
              <w:t>]</w:t>
              <w:tab/>
            </w:r>
            <w:r>
              <w:rPr>
                <w:rStyle w:val="IndexLink"/>
              </w:rPr>
              <w:t>380</w:t>
            </w:r>
          </w:hyperlink>
        </w:p>
        <w:p>
          <w:pPr>
            <w:pStyle w:val="Contents3"/>
            <w:tabs>
              <w:tab w:val="clear" w:pos="8459"/>
              <w:tab w:val="right" w:pos="9026" w:leader="dot"/>
            </w:tabs>
            <w:rPr/>
          </w:pPr>
          <w:hyperlink w:anchor="__RefHeading___Toc5012178_1280447820">
            <w:r>
              <w:rPr>
                <w:webHidden/>
                <w:rStyle w:val="IndexLink"/>
                <w:rtl w:val="true"/>
              </w:rPr>
              <w:t xml:space="preserve">هداية </w:t>
            </w:r>
            <w:r>
              <w:rPr>
                <w:rStyle w:val="IndexLink"/>
                <w:rtl w:val="true"/>
              </w:rPr>
              <w:t xml:space="preserve">[ </w:t>
            </w:r>
            <w:r>
              <w:rPr>
                <w:rStyle w:val="IndexLink"/>
                <w:rtl w:val="true"/>
              </w:rPr>
              <w:t xml:space="preserve">في عدم جريان الاستصحاب مع وجود المعارض </w:t>
            </w:r>
            <w:r>
              <w:rPr>
                <w:rStyle w:val="IndexLink"/>
                <w:rtl w:val="true"/>
              </w:rPr>
              <w:t>]</w:t>
              <w:tab/>
            </w:r>
            <w:r>
              <w:rPr>
                <w:rStyle w:val="IndexLink"/>
              </w:rPr>
              <w:t>404</w:t>
            </w:r>
          </w:hyperlink>
        </w:p>
        <w:p>
          <w:pPr>
            <w:pStyle w:val="Contents3"/>
            <w:tabs>
              <w:tab w:val="clear" w:pos="8459"/>
              <w:tab w:val="right" w:pos="9026" w:leader="dot"/>
            </w:tabs>
            <w:rPr/>
          </w:pPr>
          <w:hyperlink w:anchor="__RefHeading___Toc5012180_1280447820">
            <w:r>
              <w:rPr>
                <w:webHidden/>
                <w:rStyle w:val="IndexLink"/>
                <w:rtl w:val="true"/>
              </w:rPr>
              <w:t xml:space="preserve">هداية </w:t>
            </w:r>
            <w:r>
              <w:rPr>
                <w:rStyle w:val="IndexLink"/>
                <w:rtl w:val="true"/>
              </w:rPr>
              <w:t xml:space="preserve">[ </w:t>
            </w:r>
            <w:r>
              <w:rPr>
                <w:rStyle w:val="IndexLink"/>
                <w:rtl w:val="true"/>
              </w:rPr>
              <w:t xml:space="preserve">في حكومة الأمارات على الاستصحاب </w:t>
            </w:r>
            <w:r>
              <w:rPr>
                <w:rStyle w:val="IndexLink"/>
                <w:rtl w:val="true"/>
              </w:rPr>
              <w:t>]</w:t>
              <w:tab/>
            </w:r>
            <w:r>
              <w:rPr>
                <w:rStyle w:val="IndexLink"/>
              </w:rPr>
              <w:t>406</w:t>
            </w:r>
          </w:hyperlink>
        </w:p>
        <w:p>
          <w:pPr>
            <w:pStyle w:val="Contents4"/>
            <w:tabs>
              <w:tab w:val="clear" w:pos="8176"/>
              <w:tab w:val="right" w:pos="9026" w:leader="dot"/>
            </w:tabs>
            <w:rPr/>
          </w:pPr>
          <w:hyperlink w:anchor="__RefHeading___Toc5012182_1280447820">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5012184_1280447820">
            <w:r>
              <w:rPr>
                <w:webHidden/>
                <w:rStyle w:val="IndexLink"/>
                <w:rtl w:val="true"/>
              </w:rPr>
              <w:t>تذنيب</w:t>
            </w:r>
            <w:r>
              <w:rPr>
                <w:rStyle w:val="IndexLink"/>
                <w:rtl w:val="true"/>
              </w:rPr>
              <w:tab/>
            </w:r>
            <w:r>
              <w:rPr>
                <w:rStyle w:val="IndexLink"/>
              </w:rPr>
              <w:t>426</w:t>
            </w:r>
          </w:hyperlink>
        </w:p>
        <w:p>
          <w:pPr>
            <w:pStyle w:val="Contents3"/>
            <w:tabs>
              <w:tab w:val="clear" w:pos="8459"/>
              <w:tab w:val="right" w:pos="9026" w:leader="dot"/>
            </w:tabs>
            <w:rPr/>
          </w:pPr>
          <w:hyperlink w:anchor="__RefHeading___Toc5012186_1280447820">
            <w:r>
              <w:rPr>
                <w:webHidden/>
                <w:rStyle w:val="IndexLink"/>
                <w:rtl w:val="true"/>
              </w:rPr>
              <w:t xml:space="preserve">هداية </w:t>
            </w:r>
            <w:r>
              <w:rPr>
                <w:rStyle w:val="IndexLink"/>
                <w:rtl w:val="true"/>
              </w:rPr>
              <w:t xml:space="preserve">[ </w:t>
            </w:r>
            <w:r>
              <w:rPr>
                <w:rStyle w:val="IndexLink"/>
                <w:rtl w:val="true"/>
              </w:rPr>
              <w:t xml:space="preserve">في تعارض الاستصحاب مع الأصول العملية </w:t>
            </w:r>
            <w:r>
              <w:rPr>
                <w:rStyle w:val="IndexLink"/>
                <w:rtl w:val="true"/>
              </w:rPr>
              <w:t>]</w:t>
              <w:tab/>
            </w:r>
            <w:r>
              <w:rPr>
                <w:rStyle w:val="IndexLink"/>
              </w:rPr>
              <w:t>430</w:t>
            </w:r>
          </w:hyperlink>
        </w:p>
        <w:p>
          <w:pPr>
            <w:pStyle w:val="Contents3"/>
            <w:tabs>
              <w:tab w:val="clear" w:pos="8459"/>
              <w:tab w:val="right" w:pos="9026" w:leader="dot"/>
            </w:tabs>
            <w:rPr/>
          </w:pPr>
          <w:hyperlink w:anchor="__RefHeading___Toc5012188_1280447820">
            <w:r>
              <w:rPr>
                <w:webHidden/>
                <w:rStyle w:val="IndexLink"/>
                <w:rtl w:val="true"/>
              </w:rPr>
              <w:t xml:space="preserve">هداية </w:t>
            </w:r>
            <w:r>
              <w:rPr>
                <w:rStyle w:val="IndexLink"/>
                <w:rtl w:val="true"/>
              </w:rPr>
              <w:t xml:space="preserve">[ </w:t>
            </w:r>
            <w:r>
              <w:rPr>
                <w:rStyle w:val="IndexLink"/>
                <w:rtl w:val="true"/>
              </w:rPr>
              <w:t xml:space="preserve">في تعارض الاستصحاب مع القرعة </w:t>
            </w:r>
            <w:r>
              <w:rPr>
                <w:rStyle w:val="IndexLink"/>
                <w:rtl w:val="true"/>
              </w:rPr>
              <w:t>]</w:t>
              <w:tab/>
            </w:r>
            <w:r>
              <w:rPr>
                <w:rStyle w:val="IndexLink"/>
              </w:rPr>
              <w:t>436</w:t>
            </w:r>
          </w:hyperlink>
        </w:p>
        <w:p>
          <w:pPr>
            <w:pStyle w:val="Contents3"/>
            <w:tabs>
              <w:tab w:val="clear" w:pos="8459"/>
              <w:tab w:val="right" w:pos="9026" w:leader="dot"/>
            </w:tabs>
            <w:rPr/>
          </w:pPr>
          <w:hyperlink w:anchor="__RefHeading___Toc5012190_1280447820">
            <w:r>
              <w:rPr>
                <w:webHidden/>
                <w:rStyle w:val="IndexLink"/>
                <w:rtl w:val="true"/>
              </w:rPr>
              <w:t xml:space="preserve">هداية </w:t>
            </w:r>
            <w:r>
              <w:rPr>
                <w:rStyle w:val="IndexLink"/>
                <w:rtl w:val="true"/>
              </w:rPr>
              <w:t xml:space="preserve">[ </w:t>
            </w:r>
            <w:r>
              <w:rPr>
                <w:rStyle w:val="IndexLink"/>
                <w:rtl w:val="true"/>
              </w:rPr>
              <w:t xml:space="preserve">في تعارض الاستصحاب مع اليد </w:t>
            </w:r>
            <w:r>
              <w:rPr>
                <w:rStyle w:val="IndexLink"/>
                <w:rtl w:val="true"/>
              </w:rPr>
              <w:t>]</w:t>
              <w:tab/>
            </w:r>
            <w:r>
              <w:rPr>
                <w:rStyle w:val="IndexLink"/>
              </w:rPr>
              <w:t>444</w:t>
            </w:r>
          </w:hyperlink>
        </w:p>
        <w:p>
          <w:pPr>
            <w:pStyle w:val="Contents3"/>
            <w:tabs>
              <w:tab w:val="clear" w:pos="8459"/>
              <w:tab w:val="right" w:pos="9026" w:leader="dot"/>
            </w:tabs>
            <w:rPr/>
          </w:pPr>
          <w:hyperlink w:anchor="__RefHeading___Toc5012192_1280447820">
            <w:r>
              <w:rPr>
                <w:webHidden/>
                <w:rStyle w:val="IndexLink"/>
                <w:rtl w:val="true"/>
              </w:rPr>
              <w:t xml:space="preserve">هداية </w:t>
            </w:r>
            <w:r>
              <w:rPr>
                <w:rStyle w:val="IndexLink"/>
                <w:rtl w:val="true"/>
              </w:rPr>
              <w:t xml:space="preserve">[ </w:t>
            </w:r>
            <w:r>
              <w:rPr>
                <w:rStyle w:val="IndexLink"/>
                <w:rtl w:val="true"/>
              </w:rPr>
              <w:t xml:space="preserve">في تعارض الاستصحاب مع قاعدة التجاوز </w:t>
            </w:r>
            <w:r>
              <w:rPr>
                <w:rStyle w:val="IndexLink"/>
                <w:rtl w:val="true"/>
              </w:rPr>
              <w:t>]</w:t>
              <w:tab/>
            </w:r>
            <w:r>
              <w:rPr>
                <w:rStyle w:val="IndexLink"/>
              </w:rPr>
              <w:t>450</w:t>
            </w:r>
          </w:hyperlink>
        </w:p>
        <w:p>
          <w:pPr>
            <w:pStyle w:val="Contents4"/>
            <w:tabs>
              <w:tab w:val="clear" w:pos="8176"/>
              <w:tab w:val="right" w:pos="9026" w:leader="dot"/>
            </w:tabs>
            <w:rPr/>
          </w:pPr>
          <w:hyperlink w:anchor="__RefHeading___Toc5012194_1280447820">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5012196_1280447820">
            <w:r>
              <w:rPr>
                <w:webHidden/>
                <w:rStyle w:val="IndexLink"/>
                <w:rtl w:val="true"/>
              </w:rPr>
              <w:t>المقام الأوّل</w:t>
            </w:r>
            <w:r>
              <w:rPr>
                <w:rStyle w:val="IndexLink"/>
                <w:rtl w:val="true"/>
              </w:rPr>
              <w:tab/>
            </w:r>
            <w:r>
              <w:rPr>
                <w:rStyle w:val="IndexLink"/>
              </w:rPr>
              <w:t>450</w:t>
            </w:r>
          </w:hyperlink>
        </w:p>
        <w:p>
          <w:pPr>
            <w:pStyle w:val="Contents4"/>
            <w:tabs>
              <w:tab w:val="clear" w:pos="8176"/>
              <w:tab w:val="right" w:pos="9026" w:leader="dot"/>
            </w:tabs>
            <w:rPr/>
          </w:pPr>
          <w:hyperlink w:anchor="__RefHeading___Toc5012198_1280447820">
            <w:r>
              <w:rPr>
                <w:webHidden/>
                <w:rStyle w:val="IndexLink"/>
                <w:rtl w:val="true"/>
              </w:rPr>
              <w:t>المقام الثاني</w:t>
            </w:r>
            <w:r>
              <w:rPr>
                <w:rStyle w:val="IndexLink"/>
                <w:rtl w:val="true"/>
              </w:rPr>
              <w:tab/>
            </w:r>
            <w:r>
              <w:rPr>
                <w:rStyle w:val="IndexLink"/>
              </w:rPr>
              <w:t>454</w:t>
            </w:r>
          </w:hyperlink>
        </w:p>
        <w:p>
          <w:pPr>
            <w:pStyle w:val="Contents4"/>
            <w:tabs>
              <w:tab w:val="clear" w:pos="8176"/>
              <w:tab w:val="right" w:pos="9026" w:leader="dot"/>
            </w:tabs>
            <w:rPr/>
          </w:pPr>
          <w:hyperlink w:anchor="__RefHeading___Toc5012200_1280447820">
            <w:r>
              <w:rPr>
                <w:webHidden/>
                <w:rStyle w:val="IndexLink"/>
                <w:rtl w:val="true"/>
              </w:rPr>
              <w:t xml:space="preserve">وينبغي التنبيه على أمور </w:t>
            </w:r>
            <w:r>
              <w:rPr>
                <w:rStyle w:val="IndexLink"/>
                <w:rtl w:val="true"/>
              </w:rPr>
              <w:t>:</w:t>
              <w:tab/>
            </w:r>
            <w:r>
              <w:rPr>
                <w:rStyle w:val="IndexLink"/>
              </w:rPr>
              <w:t>454</w:t>
            </w:r>
          </w:hyperlink>
        </w:p>
        <w:p>
          <w:pPr>
            <w:pStyle w:val="Contents5"/>
            <w:tabs>
              <w:tab w:val="clear" w:pos="7892"/>
              <w:tab w:val="right" w:pos="9026" w:leader="dot"/>
            </w:tabs>
            <w:rPr/>
          </w:pPr>
          <w:hyperlink w:anchor="__RefHeading___Toc5012202_1280447820">
            <w:r>
              <w:rPr>
                <w:webHidden/>
                <w:rStyle w:val="IndexLink"/>
                <w:rtl w:val="true"/>
              </w:rPr>
              <w:t xml:space="preserve">[ </w:t>
            </w:r>
            <w:r>
              <w:rPr>
                <w:rStyle w:val="IndexLink"/>
                <w:rtl w:val="true"/>
              </w:rPr>
              <w:t xml:space="preserve">لتنبيه </w:t>
            </w:r>
            <w:r>
              <w:rPr>
                <w:rStyle w:val="IndexLink"/>
                <w:rtl w:val="true"/>
              </w:rPr>
              <w:t xml:space="preserve">] </w:t>
            </w:r>
            <w:r>
              <w:rPr>
                <w:rStyle w:val="IndexLink"/>
                <w:rtl w:val="true"/>
              </w:rPr>
              <w:t>الأوّل</w:t>
            </w:r>
            <w:r>
              <w:rPr>
                <w:rStyle w:val="IndexLink"/>
                <w:rtl w:val="true"/>
              </w:rPr>
              <w:tab/>
            </w:r>
            <w:r>
              <w:rPr>
                <w:rStyle w:val="IndexLink"/>
              </w:rPr>
              <w:t>454</w:t>
            </w:r>
          </w:hyperlink>
        </w:p>
        <w:p>
          <w:pPr>
            <w:pStyle w:val="Contents5"/>
            <w:tabs>
              <w:tab w:val="clear" w:pos="7892"/>
              <w:tab w:val="right" w:pos="9026" w:leader="dot"/>
            </w:tabs>
            <w:rPr/>
          </w:pPr>
          <w:hyperlink w:anchor="__RefHeading___Toc5012204_1280447820">
            <w:r>
              <w:rPr>
                <w:webHidden/>
                <w:rStyle w:val="IndexLink"/>
                <w:rtl w:val="true"/>
              </w:rPr>
              <w:t xml:space="preserve">[ </w:t>
            </w:r>
            <w:r>
              <w:rPr>
                <w:rStyle w:val="IndexLink"/>
                <w:rtl w:val="true"/>
              </w:rPr>
              <w:t xml:space="preserve">لتنبيه </w:t>
            </w:r>
            <w:r>
              <w:rPr>
                <w:rStyle w:val="IndexLink"/>
                <w:rtl w:val="true"/>
              </w:rPr>
              <w:t xml:space="preserve">] </w:t>
            </w:r>
            <w:r>
              <w:rPr>
                <w:rStyle w:val="IndexLink"/>
                <w:rtl w:val="true"/>
              </w:rPr>
              <w:t>الثاني</w:t>
            </w:r>
            <w:r>
              <w:rPr>
                <w:rStyle w:val="IndexLink"/>
                <w:rtl w:val="true"/>
              </w:rPr>
              <w:tab/>
            </w:r>
            <w:r>
              <w:rPr>
                <w:rStyle w:val="IndexLink"/>
              </w:rPr>
              <w:t>460</w:t>
            </w:r>
          </w:hyperlink>
        </w:p>
        <w:p>
          <w:pPr>
            <w:pStyle w:val="Contents5"/>
            <w:tabs>
              <w:tab w:val="clear" w:pos="7892"/>
              <w:tab w:val="right" w:pos="9026" w:leader="dot"/>
            </w:tabs>
            <w:rPr/>
          </w:pPr>
          <w:hyperlink w:anchor="__RefHeading___Toc5012206_1280447820">
            <w:r>
              <w:rPr>
                <w:webHidden/>
                <w:rStyle w:val="IndexLink"/>
                <w:rtl w:val="true"/>
              </w:rPr>
              <w:t xml:space="preserve">[ </w:t>
            </w:r>
            <w:r>
              <w:rPr>
                <w:rStyle w:val="IndexLink"/>
                <w:rtl w:val="true"/>
              </w:rPr>
              <w:t xml:space="preserve">لتنبيه </w:t>
            </w:r>
            <w:r>
              <w:rPr>
                <w:rStyle w:val="IndexLink"/>
                <w:rtl w:val="true"/>
              </w:rPr>
              <w:t xml:space="preserve">] </w:t>
            </w:r>
            <w:r>
              <w:rPr>
                <w:rStyle w:val="IndexLink"/>
                <w:rtl w:val="true"/>
              </w:rPr>
              <w:t>الثالث</w:t>
            </w:r>
            <w:r>
              <w:rPr>
                <w:rStyle w:val="IndexLink"/>
                <w:rtl w:val="true"/>
              </w:rPr>
              <w:tab/>
            </w:r>
            <w:r>
              <w:rPr>
                <w:rStyle w:val="IndexLink"/>
              </w:rPr>
              <w:t>462</w:t>
            </w:r>
          </w:hyperlink>
        </w:p>
        <w:p>
          <w:pPr>
            <w:pStyle w:val="Contents5"/>
            <w:tabs>
              <w:tab w:val="clear" w:pos="7892"/>
              <w:tab w:val="right" w:pos="9026" w:leader="dot"/>
            </w:tabs>
            <w:rPr/>
          </w:pPr>
          <w:hyperlink w:anchor="__RefHeading___Toc5012208_1280447820">
            <w:r>
              <w:rPr>
                <w:webHidden/>
                <w:rStyle w:val="IndexLink"/>
                <w:rtl w:val="true"/>
              </w:rPr>
              <w:t xml:space="preserve">[ </w:t>
            </w:r>
            <w:r>
              <w:rPr>
                <w:rStyle w:val="IndexLink"/>
                <w:rtl w:val="true"/>
              </w:rPr>
              <w:t xml:space="preserve">لتنبيه </w:t>
            </w:r>
            <w:r>
              <w:rPr>
                <w:rStyle w:val="IndexLink"/>
                <w:rtl w:val="true"/>
              </w:rPr>
              <w:t xml:space="preserve">] </w:t>
            </w:r>
            <w:r>
              <w:rPr>
                <w:rStyle w:val="IndexLink"/>
                <w:rtl w:val="true"/>
              </w:rPr>
              <w:t>الرابع</w:t>
            </w:r>
            <w:r>
              <w:rPr>
                <w:rStyle w:val="IndexLink"/>
                <w:rtl w:val="true"/>
              </w:rPr>
              <w:tab/>
            </w:r>
            <w:r>
              <w:rPr>
                <w:rStyle w:val="IndexLink"/>
              </w:rPr>
              <w:t>466</w:t>
            </w:r>
          </w:hyperlink>
        </w:p>
        <w:p>
          <w:pPr>
            <w:pStyle w:val="Contents3"/>
            <w:tabs>
              <w:tab w:val="clear" w:pos="8459"/>
              <w:tab w:val="right" w:pos="9026" w:leader="dot"/>
            </w:tabs>
            <w:rPr/>
          </w:pPr>
          <w:hyperlink w:anchor="__RefHeading___Toc5012210_1280447820">
            <w:r>
              <w:rPr>
                <w:webHidden/>
                <w:rStyle w:val="IndexLink"/>
                <w:rtl w:val="true"/>
              </w:rPr>
              <w:t xml:space="preserve">هداية </w:t>
            </w:r>
            <w:r>
              <w:rPr>
                <w:rStyle w:val="IndexLink"/>
                <w:rtl w:val="true"/>
              </w:rPr>
              <w:t xml:space="preserve">[ </w:t>
            </w:r>
            <w:r>
              <w:rPr>
                <w:rStyle w:val="IndexLink"/>
                <w:rtl w:val="true"/>
              </w:rPr>
              <w:t xml:space="preserve">في تعارض الاستصحاب مع أصالة الصحّة </w:t>
            </w:r>
            <w:r>
              <w:rPr>
                <w:rStyle w:val="IndexLink"/>
                <w:rtl w:val="true"/>
              </w:rPr>
              <w:t>]</w:t>
              <w:tab/>
            </w:r>
            <w:r>
              <w:rPr>
                <w:rStyle w:val="IndexLink"/>
              </w:rPr>
              <w:t>472</w:t>
            </w:r>
          </w:hyperlink>
        </w:p>
        <w:p>
          <w:pPr>
            <w:pStyle w:val="Contents4"/>
            <w:tabs>
              <w:tab w:val="clear" w:pos="8176"/>
              <w:tab w:val="right" w:pos="9026" w:leader="dot"/>
            </w:tabs>
            <w:rPr/>
          </w:pPr>
          <w:hyperlink w:anchor="__RefHeading___Toc5012212_1280447820">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5012214_1280447820">
            <w:r>
              <w:rPr>
                <w:webHidden/>
                <w:rStyle w:val="IndexLink"/>
                <w:rtl w:val="true"/>
              </w:rPr>
              <w:t>المطلب الأوّل</w:t>
            </w:r>
            <w:r>
              <w:rPr>
                <w:rStyle w:val="IndexLink"/>
                <w:rtl w:val="true"/>
              </w:rPr>
              <w:tab/>
            </w:r>
            <w:r>
              <w:rPr>
                <w:rStyle w:val="IndexLink"/>
              </w:rPr>
              <w:t>472</w:t>
            </w:r>
          </w:hyperlink>
        </w:p>
        <w:p>
          <w:pPr>
            <w:pStyle w:val="Contents4"/>
            <w:tabs>
              <w:tab w:val="clear" w:pos="8176"/>
              <w:tab w:val="right" w:pos="9026" w:leader="dot"/>
            </w:tabs>
            <w:rPr/>
          </w:pPr>
          <w:hyperlink w:anchor="__RefHeading___Toc5012216_1280447820">
            <w:r>
              <w:rPr>
                <w:webHidden/>
                <w:rStyle w:val="IndexLink"/>
                <w:rtl w:val="true"/>
              </w:rPr>
              <w:t>المطلب الثاني</w:t>
            </w:r>
            <w:r>
              <w:rPr>
                <w:rStyle w:val="IndexLink"/>
                <w:rtl w:val="true"/>
              </w:rPr>
              <w:tab/>
            </w:r>
            <w:r>
              <w:rPr>
                <w:rStyle w:val="IndexLink"/>
              </w:rPr>
              <w:t>488</w:t>
            </w:r>
          </w:hyperlink>
        </w:p>
        <w:p>
          <w:pPr>
            <w:pStyle w:val="Contents3"/>
            <w:tabs>
              <w:tab w:val="clear" w:pos="8459"/>
              <w:tab w:val="right" w:pos="9026" w:leader="dot"/>
            </w:tabs>
            <w:rPr/>
          </w:pPr>
          <w:hyperlink w:anchor="__RefHeading___Toc5012218_1280447820">
            <w:r>
              <w:rPr>
                <w:webHidden/>
                <w:rStyle w:val="IndexLink"/>
                <w:rtl w:val="true"/>
              </w:rPr>
              <w:t>هداية في تعارض الاستصحابين</w:t>
            </w:r>
            <w:r>
              <w:rPr>
                <w:rStyle w:val="IndexLink"/>
                <w:rtl w:val="true"/>
              </w:rPr>
              <w:tab/>
            </w:r>
            <w:r>
              <w:rPr>
                <w:rStyle w:val="IndexLink"/>
              </w:rPr>
              <w:t>494</w:t>
            </w:r>
          </w:hyperlink>
        </w:p>
        <w:p>
          <w:pPr>
            <w:pStyle w:val="Contents3"/>
            <w:tabs>
              <w:tab w:val="clear" w:pos="8459"/>
              <w:tab w:val="right" w:pos="9026" w:leader="dot"/>
            </w:tabs>
            <w:rPr/>
          </w:pPr>
          <w:hyperlink w:anchor="__RefHeading___Toc5012220_1280447820">
            <w:r>
              <w:rPr>
                <w:webHidden/>
                <w:rStyle w:val="IndexLink"/>
                <w:rtl w:val="true"/>
              </w:rPr>
              <w:t>هداية نافعة في جميع ما تقدّم</w:t>
            </w:r>
            <w:r>
              <w:rPr>
                <w:rStyle w:val="IndexLink"/>
                <w:rtl w:val="true"/>
              </w:rPr>
              <w:tab/>
            </w:r>
            <w:r>
              <w:rPr>
                <w:rStyle w:val="IndexLink"/>
              </w:rPr>
              <w:t>518</w:t>
            </w:r>
          </w:hyperlink>
        </w:p>
        <w:p>
          <w:pPr>
            <w:pStyle w:val="Contents2"/>
            <w:tabs>
              <w:tab w:val="clear" w:pos="8743"/>
              <w:tab w:val="right" w:pos="9026" w:leader="dot"/>
            </w:tabs>
            <w:rPr/>
          </w:pPr>
          <w:hyperlink w:anchor="__RefHeading___Toc5012222_1280447820">
            <w:r>
              <w:rPr>
                <w:webHidden/>
                <w:rStyle w:val="IndexLink"/>
                <w:rtl w:val="true"/>
              </w:rPr>
              <w:t xml:space="preserve">[ </w:t>
            </w:r>
            <w:r>
              <w:rPr>
                <w:rStyle w:val="IndexLink"/>
                <w:rtl w:val="true"/>
              </w:rPr>
              <w:t xml:space="preserve">التعادل والترجيح </w:t>
            </w:r>
            <w:r>
              <w:rPr>
                <w:rStyle w:val="IndexLink"/>
                <w:rtl w:val="true"/>
              </w:rPr>
              <w:t>]</w:t>
              <w:tab/>
            </w:r>
            <w:r>
              <w:rPr>
                <w:rStyle w:val="IndexLink"/>
              </w:rPr>
              <w:t>524</w:t>
            </w:r>
          </w:hyperlink>
        </w:p>
        <w:p>
          <w:pPr>
            <w:pStyle w:val="Contents3"/>
            <w:tabs>
              <w:tab w:val="clear" w:pos="8459"/>
              <w:tab w:val="right" w:pos="9026" w:leader="dot"/>
            </w:tabs>
            <w:rPr/>
          </w:pPr>
          <w:hyperlink w:anchor="__RefHeading___Toc5012224_1280447820">
            <w:r>
              <w:rPr>
                <w:webHidden/>
                <w:rStyle w:val="IndexLink"/>
                <w:rtl w:val="true"/>
              </w:rPr>
              <w:t>اشارة</w:t>
            </w:r>
            <w:r>
              <w:rPr>
                <w:rStyle w:val="IndexLink"/>
                <w:rtl w:val="true"/>
              </w:rPr>
              <w:tab/>
            </w:r>
            <w:r>
              <w:rPr>
                <w:rStyle w:val="IndexLink"/>
              </w:rPr>
              <w:t>524</w:t>
            </w:r>
          </w:hyperlink>
        </w:p>
        <w:p>
          <w:pPr>
            <w:pStyle w:val="Contents3"/>
            <w:tabs>
              <w:tab w:val="clear" w:pos="8459"/>
              <w:tab w:val="right" w:pos="9026" w:leader="dot"/>
            </w:tabs>
            <w:rPr/>
          </w:pPr>
          <w:hyperlink w:anchor="__RefHeading___Toc5012226_1280447820">
            <w:r>
              <w:rPr>
                <w:webHidden/>
                <w:rStyle w:val="IndexLink"/>
                <w:rtl w:val="true"/>
              </w:rPr>
              <w:t>القول في التعادل والترجيح</w:t>
            </w:r>
            <w:r>
              <w:rPr>
                <w:rStyle w:val="IndexLink"/>
                <w:rtl w:val="true"/>
              </w:rPr>
              <w:tab/>
            </w:r>
            <w:r>
              <w:rPr>
                <w:rStyle w:val="IndexLink"/>
              </w:rPr>
              <w:t>526</w:t>
            </w:r>
          </w:hyperlink>
        </w:p>
        <w:p>
          <w:pPr>
            <w:pStyle w:val="Contents3"/>
            <w:tabs>
              <w:tab w:val="clear" w:pos="8459"/>
              <w:tab w:val="right" w:pos="9026" w:leader="dot"/>
            </w:tabs>
            <w:rPr/>
          </w:pPr>
          <w:hyperlink w:anchor="__RefHeading___Toc5012228_1280447820">
            <w:r>
              <w:rPr>
                <w:webHidden/>
                <w:rStyle w:val="IndexLink"/>
                <w:rtl w:val="true"/>
              </w:rPr>
              <w:t xml:space="preserve">هداية </w:t>
            </w:r>
            <w:r>
              <w:rPr>
                <w:rStyle w:val="IndexLink"/>
                <w:rtl w:val="true"/>
              </w:rPr>
              <w:t xml:space="preserve">[ </w:t>
            </w:r>
            <w:r>
              <w:rPr>
                <w:rStyle w:val="IndexLink"/>
                <w:rtl w:val="true"/>
              </w:rPr>
              <w:t xml:space="preserve">في تعريف التعارض </w:t>
            </w:r>
            <w:r>
              <w:rPr>
                <w:rStyle w:val="IndexLink"/>
                <w:rtl w:val="true"/>
              </w:rPr>
              <w:t>]</w:t>
              <w:tab/>
            </w:r>
            <w:r>
              <w:rPr>
                <w:rStyle w:val="IndexLink"/>
              </w:rPr>
              <w:t>528</w:t>
            </w:r>
          </w:hyperlink>
        </w:p>
        <w:p>
          <w:pPr>
            <w:pStyle w:val="Contents3"/>
            <w:tabs>
              <w:tab w:val="clear" w:pos="8459"/>
              <w:tab w:val="right" w:pos="9026" w:leader="dot"/>
            </w:tabs>
            <w:rPr/>
          </w:pPr>
          <w:hyperlink w:anchor="__RefHeading___Toc5012230_1280447820">
            <w:r>
              <w:rPr>
                <w:webHidden/>
                <w:rStyle w:val="IndexLink"/>
                <w:rtl w:val="true"/>
              </w:rPr>
              <w:t xml:space="preserve">هداية </w:t>
            </w:r>
            <w:r>
              <w:rPr>
                <w:rStyle w:val="IndexLink"/>
                <w:rtl w:val="true"/>
              </w:rPr>
              <w:t xml:space="preserve">[ </w:t>
            </w:r>
            <w:r>
              <w:rPr>
                <w:rStyle w:val="IndexLink"/>
                <w:rtl w:val="true"/>
              </w:rPr>
              <w:t xml:space="preserve">في تعريف التعادل </w:t>
            </w:r>
            <w:r>
              <w:rPr>
                <w:rStyle w:val="IndexLink"/>
                <w:rtl w:val="true"/>
              </w:rPr>
              <w:t>]</w:t>
              <w:tab/>
            </w:r>
            <w:r>
              <w:rPr>
                <w:rStyle w:val="IndexLink"/>
              </w:rPr>
              <w:t>534</w:t>
            </w:r>
          </w:hyperlink>
        </w:p>
        <w:p>
          <w:pPr>
            <w:pStyle w:val="Contents3"/>
            <w:tabs>
              <w:tab w:val="clear" w:pos="8459"/>
              <w:tab w:val="right" w:pos="9026" w:leader="dot"/>
            </w:tabs>
            <w:rPr/>
          </w:pPr>
          <w:hyperlink w:anchor="__RefHeading___Toc5012232_1280447820">
            <w:r>
              <w:rPr>
                <w:webHidden/>
                <w:rStyle w:val="IndexLink"/>
                <w:rtl w:val="true"/>
              </w:rPr>
              <w:t xml:space="preserve">هداية </w:t>
            </w:r>
            <w:r>
              <w:rPr>
                <w:rStyle w:val="IndexLink"/>
                <w:rtl w:val="true"/>
              </w:rPr>
              <w:t xml:space="preserve">[ </w:t>
            </w:r>
            <w:r>
              <w:rPr>
                <w:rStyle w:val="IndexLink"/>
                <w:rtl w:val="true"/>
              </w:rPr>
              <w:t xml:space="preserve">في قاعدة الجمع مهما أمكن </w:t>
            </w:r>
            <w:r>
              <w:rPr>
                <w:rStyle w:val="IndexLink"/>
                <w:rtl w:val="true"/>
              </w:rPr>
              <w:t>]</w:t>
              <w:tab/>
            </w:r>
            <w:r>
              <w:rPr>
                <w:rStyle w:val="IndexLink"/>
              </w:rPr>
              <w:t>544</w:t>
            </w:r>
          </w:hyperlink>
        </w:p>
        <w:p>
          <w:pPr>
            <w:pStyle w:val="Contents3"/>
            <w:tabs>
              <w:tab w:val="clear" w:pos="8459"/>
              <w:tab w:val="right" w:pos="9026" w:leader="dot"/>
            </w:tabs>
            <w:rPr/>
          </w:pPr>
          <w:hyperlink w:anchor="__RefHeading___Toc5012234_1280447820">
            <w:r>
              <w:rPr>
                <w:webHidden/>
                <w:rStyle w:val="IndexLink"/>
                <w:rtl w:val="true"/>
              </w:rPr>
              <w:t xml:space="preserve">هداية </w:t>
            </w:r>
            <w:r>
              <w:rPr>
                <w:rStyle w:val="IndexLink"/>
                <w:rtl w:val="true"/>
              </w:rPr>
              <w:t xml:space="preserve">[ </w:t>
            </w:r>
            <w:r>
              <w:rPr>
                <w:rStyle w:val="IndexLink"/>
                <w:rtl w:val="true"/>
              </w:rPr>
              <w:t xml:space="preserve">في المرجّحات الدلالية </w:t>
            </w:r>
            <w:r>
              <w:rPr>
                <w:rStyle w:val="IndexLink"/>
                <w:rtl w:val="true"/>
              </w:rPr>
              <w:t>]</w:t>
              <w:tab/>
            </w:r>
            <w:r>
              <w:rPr>
                <w:rStyle w:val="IndexLink"/>
              </w:rPr>
              <w:t>560</w:t>
            </w:r>
          </w:hyperlink>
        </w:p>
        <w:p>
          <w:pPr>
            <w:pStyle w:val="Contents3"/>
            <w:tabs>
              <w:tab w:val="clear" w:pos="8459"/>
              <w:tab w:val="right" w:pos="9026" w:leader="dot"/>
            </w:tabs>
            <w:rPr/>
          </w:pPr>
          <w:hyperlink w:anchor="__RefHeading___Toc5012236_1280447820">
            <w:r>
              <w:rPr>
                <w:webHidden/>
                <w:rStyle w:val="IndexLink"/>
                <w:rtl w:val="true"/>
              </w:rPr>
              <w:t xml:space="preserve">هداية </w:t>
            </w:r>
            <w:r>
              <w:rPr>
                <w:rStyle w:val="IndexLink"/>
                <w:rtl w:val="true"/>
              </w:rPr>
              <w:t xml:space="preserve">[ </w:t>
            </w:r>
            <w:r>
              <w:rPr>
                <w:rStyle w:val="IndexLink"/>
                <w:rtl w:val="true"/>
              </w:rPr>
              <w:t xml:space="preserve">في المرجّحات الصدورية </w:t>
            </w:r>
            <w:r>
              <w:rPr>
                <w:rStyle w:val="IndexLink"/>
                <w:rtl w:val="true"/>
              </w:rPr>
              <w:t>]</w:t>
              <w:tab/>
            </w:r>
            <w:r>
              <w:rPr>
                <w:rStyle w:val="IndexLink"/>
              </w:rPr>
              <w:t>580</w:t>
            </w:r>
          </w:hyperlink>
        </w:p>
        <w:p>
          <w:pPr>
            <w:pStyle w:val="Contents3"/>
            <w:tabs>
              <w:tab w:val="clear" w:pos="8459"/>
              <w:tab w:val="right" w:pos="9026" w:leader="dot"/>
            </w:tabs>
            <w:rPr/>
          </w:pPr>
          <w:hyperlink w:anchor="__RefHeading___Toc5012238_1280447820">
            <w:r>
              <w:rPr>
                <w:webHidden/>
                <w:rStyle w:val="IndexLink"/>
                <w:rtl w:val="true"/>
              </w:rPr>
              <w:t xml:space="preserve">هداية </w:t>
            </w:r>
            <w:r>
              <w:rPr>
                <w:rStyle w:val="IndexLink"/>
                <w:rtl w:val="true"/>
              </w:rPr>
              <w:t xml:space="preserve">[ </w:t>
            </w:r>
            <w:r>
              <w:rPr>
                <w:rStyle w:val="IndexLink"/>
                <w:rtl w:val="true"/>
              </w:rPr>
              <w:t xml:space="preserve">في التعدّي عن المرجّحات المنصوصة </w:t>
            </w:r>
            <w:r>
              <w:rPr>
                <w:rStyle w:val="IndexLink"/>
                <w:rtl w:val="true"/>
              </w:rPr>
              <w:t>]</w:t>
              <w:tab/>
            </w:r>
            <w:r>
              <w:rPr>
                <w:rStyle w:val="IndexLink"/>
              </w:rPr>
              <w:t>590</w:t>
            </w:r>
          </w:hyperlink>
        </w:p>
        <w:p>
          <w:pPr>
            <w:pStyle w:val="Contents3"/>
            <w:tabs>
              <w:tab w:val="clear" w:pos="8459"/>
              <w:tab w:val="right" w:pos="9026" w:leader="dot"/>
            </w:tabs>
            <w:rPr/>
          </w:pPr>
          <w:hyperlink w:anchor="__RefHeading___Toc5012240_1280447820">
            <w:r>
              <w:rPr>
                <w:webHidden/>
                <w:rStyle w:val="IndexLink"/>
                <w:rtl w:val="true"/>
              </w:rPr>
              <w:t xml:space="preserve">هداية </w:t>
            </w:r>
            <w:r>
              <w:rPr>
                <w:rStyle w:val="IndexLink"/>
                <w:rtl w:val="true"/>
              </w:rPr>
              <w:t xml:space="preserve">[ </w:t>
            </w:r>
            <w:r>
              <w:rPr>
                <w:rStyle w:val="IndexLink"/>
                <w:rtl w:val="true"/>
              </w:rPr>
              <w:t xml:space="preserve">في بيان المرجّحات المنصوصة </w:t>
            </w:r>
            <w:r>
              <w:rPr>
                <w:rStyle w:val="IndexLink"/>
                <w:rtl w:val="true"/>
              </w:rPr>
              <w:t>]</w:t>
              <w:tab/>
            </w:r>
            <w:r>
              <w:rPr>
                <w:rStyle w:val="IndexLink"/>
              </w:rPr>
              <w:t>610</w:t>
            </w:r>
          </w:hyperlink>
        </w:p>
        <w:p>
          <w:pPr>
            <w:pStyle w:val="Contents3"/>
            <w:tabs>
              <w:tab w:val="clear" w:pos="8459"/>
              <w:tab w:val="right" w:pos="9026" w:leader="dot"/>
            </w:tabs>
            <w:rPr/>
          </w:pPr>
          <w:hyperlink w:anchor="__RefHeading___Toc5012242_1280447820">
            <w:r>
              <w:rPr>
                <w:webHidden/>
                <w:rStyle w:val="IndexLink"/>
                <w:rtl w:val="true"/>
              </w:rPr>
              <w:t xml:space="preserve">هداية </w:t>
            </w:r>
            <w:r>
              <w:rPr>
                <w:rStyle w:val="IndexLink"/>
                <w:rtl w:val="true"/>
              </w:rPr>
              <w:t xml:space="preserve">[ </w:t>
            </w:r>
            <w:r>
              <w:rPr>
                <w:rStyle w:val="IndexLink"/>
                <w:rtl w:val="true"/>
              </w:rPr>
              <w:t xml:space="preserve">في المرجّحات غير المنصوصة المضمونية </w:t>
            </w:r>
            <w:r>
              <w:rPr>
                <w:rStyle w:val="IndexLink"/>
                <w:rtl w:val="true"/>
              </w:rPr>
              <w:t>]</w:t>
              <w:tab/>
            </w:r>
            <w:r>
              <w:rPr>
                <w:rStyle w:val="IndexLink"/>
              </w:rPr>
              <w:t>632</w:t>
            </w:r>
          </w:hyperlink>
        </w:p>
        <w:p>
          <w:pPr>
            <w:pStyle w:val="Contents3"/>
            <w:tabs>
              <w:tab w:val="clear" w:pos="8459"/>
              <w:tab w:val="right" w:pos="9026" w:leader="dot"/>
            </w:tabs>
            <w:rPr/>
          </w:pPr>
          <w:hyperlink w:anchor="__RefHeading___Toc5012244_1280447820">
            <w:r>
              <w:rPr>
                <w:webHidden/>
                <w:rStyle w:val="IndexLink"/>
                <w:rtl w:val="true"/>
              </w:rPr>
              <w:t xml:space="preserve">هداية </w:t>
            </w:r>
            <w:r>
              <w:rPr>
                <w:rStyle w:val="IndexLink"/>
                <w:rtl w:val="true"/>
              </w:rPr>
              <w:t xml:space="preserve">[ </w:t>
            </w:r>
            <w:r>
              <w:rPr>
                <w:rStyle w:val="IndexLink"/>
                <w:rtl w:val="true"/>
              </w:rPr>
              <w:t xml:space="preserve">في بعض آخر من المرجّحات الدلالية </w:t>
            </w:r>
            <w:r>
              <w:rPr>
                <w:rStyle w:val="IndexLink"/>
                <w:rtl w:val="true"/>
              </w:rPr>
              <w:t>]</w:t>
              <w:tab/>
            </w:r>
            <w:r>
              <w:rPr>
                <w:rStyle w:val="IndexLink"/>
              </w:rPr>
              <w:t>648</w:t>
            </w:r>
          </w:hyperlink>
        </w:p>
        <w:p>
          <w:pPr>
            <w:pStyle w:val="Contents3"/>
            <w:tabs>
              <w:tab w:val="clear" w:pos="8459"/>
              <w:tab w:val="right" w:pos="9026" w:leader="dot"/>
            </w:tabs>
            <w:rPr/>
          </w:pPr>
          <w:hyperlink w:anchor="__RefHeading___Toc5012246_1280447820">
            <w:r>
              <w:rPr>
                <w:webHidden/>
                <w:rStyle w:val="IndexLink"/>
                <w:rtl w:val="true"/>
              </w:rPr>
              <w:t xml:space="preserve">هداية </w:t>
            </w:r>
            <w:r>
              <w:rPr>
                <w:rStyle w:val="IndexLink"/>
                <w:rtl w:val="true"/>
              </w:rPr>
              <w:t xml:space="preserve">[ </w:t>
            </w:r>
            <w:r>
              <w:rPr>
                <w:rStyle w:val="IndexLink"/>
                <w:rtl w:val="true"/>
              </w:rPr>
              <w:t xml:space="preserve">في حكم المتكافئين </w:t>
            </w:r>
            <w:r>
              <w:rPr>
                <w:rStyle w:val="IndexLink"/>
                <w:rtl w:val="true"/>
              </w:rPr>
              <w:t xml:space="preserve">: </w:t>
            </w:r>
            <w:r>
              <w:rPr>
                <w:rStyle w:val="IndexLink"/>
                <w:rtl w:val="true"/>
              </w:rPr>
              <w:t xml:space="preserve">التخيير أو التوقّف؟ </w:t>
            </w:r>
            <w:r>
              <w:rPr>
                <w:rStyle w:val="IndexLink"/>
                <w:rtl w:val="true"/>
              </w:rPr>
              <w:t>]</w:t>
              <w:tab/>
            </w:r>
            <w:r>
              <w:rPr>
                <w:rStyle w:val="IndexLink"/>
              </w:rPr>
              <w:t>654</w:t>
            </w:r>
          </w:hyperlink>
        </w:p>
        <w:p>
          <w:pPr>
            <w:pStyle w:val="Contents3"/>
            <w:tabs>
              <w:tab w:val="clear" w:pos="8459"/>
              <w:tab w:val="right" w:pos="9026" w:leader="dot"/>
            </w:tabs>
            <w:rPr/>
          </w:pPr>
          <w:hyperlink w:anchor="__RefHeading___Toc5012248_1280447820">
            <w:r>
              <w:rPr>
                <w:webHidden/>
                <w:rStyle w:val="IndexLink"/>
                <w:rtl w:val="true"/>
              </w:rPr>
              <w:t xml:space="preserve">هداية </w:t>
            </w:r>
            <w:r>
              <w:rPr>
                <w:rStyle w:val="IndexLink"/>
                <w:rtl w:val="true"/>
              </w:rPr>
              <w:t xml:space="preserve">[ </w:t>
            </w:r>
            <w:r>
              <w:rPr>
                <w:rStyle w:val="IndexLink"/>
                <w:rtl w:val="true"/>
              </w:rPr>
              <w:t xml:space="preserve">في لزوم الفحص عن المرجّح </w:t>
            </w:r>
            <w:r>
              <w:rPr>
                <w:rStyle w:val="IndexLink"/>
                <w:rtl w:val="true"/>
              </w:rPr>
              <w:t>]</w:t>
              <w:tab/>
            </w:r>
            <w:r>
              <w:rPr>
                <w:rStyle w:val="IndexLink"/>
              </w:rPr>
              <w:t>666</w:t>
            </w:r>
          </w:hyperlink>
        </w:p>
        <w:p>
          <w:pPr>
            <w:pStyle w:val="Contents2"/>
            <w:tabs>
              <w:tab w:val="clear" w:pos="8743"/>
              <w:tab w:val="right" w:pos="9026" w:leader="dot"/>
            </w:tabs>
            <w:rPr/>
          </w:pPr>
          <w:hyperlink w:anchor="__RefHeading___Toc5012250_1280447820">
            <w:r>
              <w:rPr>
                <w:webHidden/>
                <w:rStyle w:val="IndexLink"/>
                <w:rtl w:val="true"/>
              </w:rPr>
              <w:t>الفهارس العامّة</w:t>
            </w:r>
            <w:r>
              <w:rPr>
                <w:rStyle w:val="IndexLink"/>
                <w:rtl w:val="true"/>
              </w:rPr>
              <w:tab/>
            </w:r>
            <w:r>
              <w:rPr>
                <w:rStyle w:val="IndexLink"/>
              </w:rPr>
              <w:t>668</w:t>
            </w:r>
          </w:hyperlink>
        </w:p>
        <w:p>
          <w:pPr>
            <w:pStyle w:val="Contents3"/>
            <w:tabs>
              <w:tab w:val="clear" w:pos="8459"/>
              <w:tab w:val="right" w:pos="9026" w:leader="dot"/>
            </w:tabs>
            <w:rPr/>
          </w:pPr>
          <w:hyperlink w:anchor="__RefHeading___Toc5012252_1280447820">
            <w:r>
              <w:rPr>
                <w:webHidden/>
                <w:rStyle w:val="IndexLink"/>
                <w:rtl w:val="true"/>
              </w:rPr>
              <w:t>اشارة</w:t>
            </w:r>
            <w:r>
              <w:rPr>
                <w:rStyle w:val="IndexLink"/>
                <w:rtl w:val="true"/>
              </w:rPr>
              <w:tab/>
            </w:r>
            <w:r>
              <w:rPr>
                <w:rStyle w:val="IndexLink"/>
              </w:rPr>
              <w:t>668</w:t>
            </w:r>
          </w:hyperlink>
        </w:p>
        <w:p>
          <w:pPr>
            <w:pStyle w:val="Contents3"/>
            <w:tabs>
              <w:tab w:val="clear" w:pos="8459"/>
              <w:tab w:val="right" w:pos="9026" w:leader="dot"/>
            </w:tabs>
            <w:rPr/>
          </w:pPr>
          <w:hyperlink w:anchor="__RefHeading___Toc5012254_1280447820">
            <w:r>
              <w:rPr>
                <w:webHidden/>
                <w:rStyle w:val="IndexLink"/>
                <w:rtl w:val="true"/>
              </w:rPr>
              <w:t>فهرس الآيات</w:t>
            </w:r>
            <w:r>
              <w:rPr>
                <w:rStyle w:val="IndexLink"/>
                <w:rtl w:val="true"/>
              </w:rPr>
              <w:tab/>
            </w:r>
            <w:r>
              <w:rPr>
                <w:rStyle w:val="IndexLink"/>
              </w:rPr>
              <w:t>670</w:t>
            </w:r>
          </w:hyperlink>
        </w:p>
        <w:p>
          <w:pPr>
            <w:pStyle w:val="Contents3"/>
            <w:tabs>
              <w:tab w:val="clear" w:pos="8459"/>
              <w:tab w:val="right" w:pos="9026" w:leader="dot"/>
            </w:tabs>
            <w:rPr/>
          </w:pPr>
          <w:hyperlink w:anchor="__RefHeading___Toc5012256_1280447820">
            <w:r>
              <w:rPr>
                <w:webHidden/>
                <w:rStyle w:val="IndexLink"/>
                <w:rtl w:val="true"/>
              </w:rPr>
              <w:t>فهرس أحاديث المعصومين عليهم‌السلام</w:t>
            </w:r>
            <w:r>
              <w:rPr>
                <w:rStyle w:val="IndexLink"/>
                <w:rtl w:val="true"/>
              </w:rPr>
              <w:tab/>
            </w:r>
            <w:r>
              <w:rPr>
                <w:rStyle w:val="IndexLink"/>
              </w:rPr>
              <w:t>678</w:t>
            </w:r>
          </w:hyperlink>
        </w:p>
        <w:p>
          <w:pPr>
            <w:pStyle w:val="Contents3"/>
            <w:tabs>
              <w:tab w:val="clear" w:pos="8459"/>
              <w:tab w:val="right" w:pos="9026" w:leader="dot"/>
            </w:tabs>
            <w:rPr/>
          </w:pPr>
          <w:hyperlink w:anchor="__RefHeading___Toc5012258_1280447820">
            <w:r>
              <w:rPr>
                <w:webHidden/>
                <w:rStyle w:val="IndexLink"/>
                <w:rtl w:val="true"/>
              </w:rPr>
              <w:t>فهرس الأشعار والأمثال</w:t>
            </w:r>
            <w:r>
              <w:rPr>
                <w:rStyle w:val="IndexLink"/>
                <w:rtl w:val="true"/>
              </w:rPr>
              <w:tab/>
            </w:r>
            <w:r>
              <w:rPr>
                <w:rStyle w:val="IndexLink"/>
              </w:rPr>
              <w:t>688</w:t>
            </w:r>
          </w:hyperlink>
        </w:p>
        <w:p>
          <w:pPr>
            <w:pStyle w:val="Contents3"/>
            <w:tabs>
              <w:tab w:val="clear" w:pos="8459"/>
              <w:tab w:val="right" w:pos="9026" w:leader="dot"/>
            </w:tabs>
            <w:rPr/>
          </w:pPr>
          <w:hyperlink w:anchor="__RefHeading___Toc5012260_1280447820">
            <w:r>
              <w:rPr>
                <w:webHidden/>
                <w:rStyle w:val="IndexLink"/>
                <w:rtl w:val="true"/>
              </w:rPr>
              <w:t>فهرس الأعلام</w:t>
            </w:r>
            <w:r>
              <w:rPr>
                <w:rStyle w:val="IndexLink"/>
                <w:rtl w:val="true"/>
              </w:rPr>
              <w:tab/>
            </w:r>
            <w:r>
              <w:rPr>
                <w:rStyle w:val="IndexLink"/>
              </w:rPr>
              <w:t>689</w:t>
            </w:r>
          </w:hyperlink>
        </w:p>
        <w:p>
          <w:pPr>
            <w:pStyle w:val="Contents3"/>
            <w:tabs>
              <w:tab w:val="clear" w:pos="8459"/>
              <w:tab w:val="right" w:pos="9026" w:leader="dot"/>
            </w:tabs>
            <w:rPr/>
          </w:pPr>
          <w:hyperlink w:anchor="__RefHeading___Toc5012262_1280447820">
            <w:r>
              <w:rPr>
                <w:webHidden/>
                <w:rStyle w:val="IndexLink"/>
                <w:rtl w:val="true"/>
              </w:rPr>
              <w:t>فهرس الكتب</w:t>
            </w:r>
            <w:r>
              <w:rPr>
                <w:rStyle w:val="IndexLink"/>
                <w:rtl w:val="true"/>
              </w:rPr>
              <w:tab/>
            </w:r>
            <w:r>
              <w:rPr>
                <w:rStyle w:val="IndexLink"/>
              </w:rPr>
              <w:t>706</w:t>
            </w:r>
          </w:hyperlink>
        </w:p>
        <w:p>
          <w:pPr>
            <w:pStyle w:val="Contents3"/>
            <w:tabs>
              <w:tab w:val="clear" w:pos="8459"/>
              <w:tab w:val="right" w:pos="9026" w:leader="dot"/>
            </w:tabs>
            <w:rPr/>
          </w:pPr>
          <w:hyperlink w:anchor="__RefHeading___Toc5012264_1280447820">
            <w:r>
              <w:rPr>
                <w:webHidden/>
                <w:rStyle w:val="IndexLink"/>
                <w:rtl w:val="true"/>
              </w:rPr>
              <w:t>فهرس الفرق والجماعات</w:t>
            </w:r>
            <w:r>
              <w:rPr>
                <w:rStyle w:val="IndexLink"/>
                <w:rtl w:val="true"/>
              </w:rPr>
              <w:tab/>
            </w:r>
            <w:r>
              <w:rPr>
                <w:rStyle w:val="IndexLink"/>
              </w:rPr>
              <w:t>712</w:t>
            </w:r>
          </w:hyperlink>
        </w:p>
        <w:p>
          <w:pPr>
            <w:pStyle w:val="Contents3"/>
            <w:tabs>
              <w:tab w:val="clear" w:pos="8459"/>
              <w:tab w:val="right" w:pos="9026" w:leader="dot"/>
            </w:tabs>
            <w:rPr/>
          </w:pPr>
          <w:hyperlink w:anchor="__RefHeading___Toc5012266_1280447820">
            <w:r>
              <w:rPr>
                <w:webHidden/>
                <w:rStyle w:val="IndexLink"/>
                <w:rtl w:val="true"/>
              </w:rPr>
              <w:t>فهرس الأماكن</w:t>
            </w:r>
            <w:r>
              <w:rPr>
                <w:rStyle w:val="IndexLink"/>
                <w:rtl w:val="true"/>
              </w:rPr>
              <w:tab/>
            </w:r>
            <w:r>
              <w:rPr>
                <w:rStyle w:val="IndexLink"/>
              </w:rPr>
              <w:t>716</w:t>
            </w:r>
          </w:hyperlink>
        </w:p>
        <w:p>
          <w:pPr>
            <w:pStyle w:val="Contents3"/>
            <w:tabs>
              <w:tab w:val="clear" w:pos="8459"/>
              <w:tab w:val="right" w:pos="9026" w:leader="dot"/>
            </w:tabs>
            <w:rPr/>
          </w:pPr>
          <w:hyperlink w:anchor="__RefHeading___Toc5012268_1280447820">
            <w:r>
              <w:rPr>
                <w:webHidden/>
                <w:rStyle w:val="IndexLink"/>
                <w:rtl w:val="true"/>
              </w:rPr>
              <w:t>فهرس مصادر التحقيق</w:t>
            </w:r>
            <w:r>
              <w:rPr>
                <w:rStyle w:val="IndexLink"/>
                <w:rtl w:val="true"/>
              </w:rPr>
              <w:tab/>
            </w:r>
            <w:r>
              <w:rPr>
                <w:rStyle w:val="IndexLink"/>
              </w:rPr>
              <w:t>724</w:t>
            </w:r>
          </w:hyperlink>
        </w:p>
        <w:p>
          <w:pPr>
            <w:pStyle w:val="Contents3"/>
            <w:tabs>
              <w:tab w:val="clear" w:pos="8459"/>
              <w:tab w:val="right" w:pos="9026" w:leader="dot"/>
            </w:tabs>
            <w:rPr/>
          </w:pPr>
          <w:hyperlink w:anchor="__RefHeading___Toc5012270_1280447820">
            <w:r>
              <w:rPr>
                <w:webHidden/>
                <w:rStyle w:val="IndexLink"/>
                <w:rtl w:val="true"/>
              </w:rPr>
              <w:t>فهرس المطالب</w:t>
            </w:r>
            <w:r>
              <w:rPr>
                <w:rStyle w:val="IndexLink"/>
                <w:rtl w:val="true"/>
              </w:rPr>
              <w:tab/>
            </w:r>
            <w:r>
              <w:rPr>
                <w:rStyle w:val="IndexLink"/>
              </w:rPr>
              <w:t>751</w:t>
            </w:r>
          </w:hyperlink>
        </w:p>
        <w:p>
          <w:pPr>
            <w:pStyle w:val="Contents2"/>
            <w:tabs>
              <w:tab w:val="clear" w:pos="8743"/>
              <w:tab w:val="right" w:pos="9026" w:leader="dot"/>
            </w:tabs>
            <w:rPr/>
          </w:pPr>
          <w:hyperlink w:anchor="__RefHeading___Toc5012272_1280447820">
            <w:r>
              <w:rPr>
                <w:webHidden/>
                <w:rStyle w:val="IndexLink"/>
                <w:rtl w:val="true"/>
              </w:rPr>
              <w:t>رسالة في المشتقّ</w:t>
            </w:r>
            <w:r>
              <w:rPr>
                <w:rStyle w:val="IndexLink"/>
                <w:rtl w:val="true"/>
              </w:rPr>
              <w:tab/>
            </w:r>
            <w:r>
              <w:rPr>
                <w:rStyle w:val="IndexLink"/>
              </w:rPr>
              <w:t>777</w:t>
            </w:r>
          </w:hyperlink>
        </w:p>
        <w:p>
          <w:pPr>
            <w:pStyle w:val="Contents3"/>
            <w:tabs>
              <w:tab w:val="clear" w:pos="8459"/>
              <w:tab w:val="right" w:pos="9026" w:leader="dot"/>
            </w:tabs>
            <w:rPr/>
          </w:pPr>
          <w:hyperlink w:anchor="__RefHeading___Toc5012274_1280447820">
            <w:r>
              <w:rPr>
                <w:webHidden/>
                <w:rStyle w:val="IndexLink"/>
                <w:rtl w:val="true"/>
              </w:rPr>
              <w:t>اشارة</w:t>
            </w:r>
            <w:r>
              <w:rPr>
                <w:rStyle w:val="IndexLink"/>
                <w:rtl w:val="true"/>
              </w:rPr>
              <w:tab/>
            </w:r>
            <w:r>
              <w:rPr>
                <w:rStyle w:val="IndexLink"/>
              </w:rPr>
              <w:t>777</w:t>
            </w:r>
          </w:hyperlink>
        </w:p>
        <w:p>
          <w:pPr>
            <w:pStyle w:val="Contents3"/>
            <w:tabs>
              <w:tab w:val="clear" w:pos="8459"/>
              <w:tab w:val="right" w:pos="9026" w:leader="dot"/>
            </w:tabs>
            <w:rPr/>
          </w:pPr>
          <w:hyperlink w:anchor="__RefHeading___Toc5012276_1280447820">
            <w:r>
              <w:rPr>
                <w:webHidden/>
                <w:rStyle w:val="IndexLink"/>
                <w:rtl w:val="true"/>
              </w:rPr>
              <w:t>النسخ المعتمدة</w:t>
            </w:r>
            <w:r>
              <w:rPr>
                <w:rStyle w:val="IndexLink"/>
                <w:rtl w:val="true"/>
              </w:rPr>
              <w:tab/>
            </w:r>
            <w:r>
              <w:rPr>
                <w:rStyle w:val="IndexLink"/>
              </w:rPr>
              <w:t>779</w:t>
            </w:r>
          </w:hyperlink>
        </w:p>
        <w:p>
          <w:pPr>
            <w:pStyle w:val="Contents3"/>
            <w:tabs>
              <w:tab w:val="clear" w:pos="8459"/>
              <w:tab w:val="right" w:pos="9026" w:leader="dot"/>
            </w:tabs>
            <w:rPr/>
          </w:pPr>
          <w:hyperlink w:anchor="__RefHeading___Toc5012278_1280447820">
            <w:r>
              <w:rPr>
                <w:webHidden/>
                <w:rStyle w:val="IndexLink"/>
                <w:rtl w:val="true"/>
              </w:rPr>
              <w:t>هداية</w:t>
            </w:r>
            <w:r>
              <w:rPr>
                <w:rStyle w:val="IndexLink"/>
                <w:rtl w:val="true"/>
              </w:rPr>
              <w:tab/>
            </w:r>
            <w:r>
              <w:rPr>
                <w:rStyle w:val="IndexLink"/>
              </w:rPr>
              <w:t>787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84_170983"/>
      <w:bookmarkStart w:id="1" w:name="pg16284_170983"/>
      <w:bookmarkEnd w:id="1"/>
    </w:p>
    <w:p>
      <w:pPr>
        <w:pStyle w:val="Heading2"/>
        <w:numPr>
          <w:ilvl w:val="1"/>
          <w:numId w:val="1"/>
        </w:numPr>
        <w:rPr/>
      </w:pPr>
      <w:bookmarkStart w:id="2" w:name="pg16284_170983"/>
      <w:bookmarkStart w:id="3" w:name="__RefHeading___Toc501202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الكلانتري الطهراني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الفاضلي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الإمام الخميني والثورة الإسلامية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العروج</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﻿المكتبة الإسلامية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1202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مطارح الأنظار</w:t>
      </w:r>
    </w:p>
    <w:p>
      <w:pPr>
        <w:pStyle w:val="BookText"/>
        <w:rPr/>
      </w:pPr>
      <w:r>
        <w:rPr>
          <w:rFonts w:ascii="Amiri" w:hAnsi="Amiri" w:eastAsia="Amiri" w:cs="Amiri"/>
          <w:color w:val="111111"/>
          <w:sz w:val="28"/>
          <w:sz w:val="28"/>
          <w:szCs w:val="28"/>
          <w:rtl w:val="true"/>
          <w:lang w:bidi="ar-SA"/>
        </w:rPr>
        <w:t>تقرير أبحاث الشيخ الأعظم الأنصاري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أبي القاسم النوري الطهراني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1236-1292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الفاضلي</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Amiri" w:hAnsi="Amiri" w:eastAsia="Amiri" w:cs="Amiri"/>
          <w:color w:val="111111"/>
          <w:sz w:val="28"/>
          <w:sz w:val="28"/>
          <w:szCs w:val="28"/>
          <w:rtl w:val="true"/>
          <w:lang w:bidi="ar-SA"/>
        </w:rPr>
        <w:t>قام بنشره معهد الإمام الخميني والتورة الإسلامية للتحقيق والدراسات العليا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ذيحجة الحرام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84_170987"/>
      <w:bookmarkStart w:id="8" w:name="pg16284_170987"/>
      <w:bookmarkEnd w:id="8"/>
    </w:p>
    <w:p>
      <w:pPr>
        <w:pStyle w:val="Heading2"/>
        <w:numPr>
          <w:ilvl w:val="1"/>
          <w:numId w:val="1"/>
        </w:numPr>
        <w:rPr/>
      </w:pPr>
      <w:bookmarkStart w:id="9" w:name="pg16284_170987"/>
      <w:bookmarkStart w:id="10" w:name="__RefHeading___Toc5012028_128044782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 xml:space="preserve">تم تأسيس اكاديمية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والثورة الاسلامية التي تعد احدي المراكز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البحثية ، على اساس ضرورة البحث في الابعاد المختلفة للثورة الاسلامية وتنظيم الدراسات البحثية الاساسية والعملية حول آراء وافكار سماحة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تاسست الاكاديمية ودشنت بفضل حنكة ودراية ويقظة نجل الامام ، الفقيد الراحل المفغور له آية اللّه الحاج السيد احمد الخميني طاب ثراه باعتبارها احدى المراكز التابعة لمؤسسة تنظيم ونشر تراث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اليوم تواصل مسيرتها العلمية والبحثية تحت اشراف سامي من قبل سماحة العالم المحقق الفقيه والفاضل المتظلع النبيه ، قرّة عين الامام العبقري وبهجة قلب ولده الألمعي ، السيد حسن الخميني مد اللّه له في العمر السعيد ومتّعه بالعيش الرغيد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العام الاول لبدء العمل في الاكاديمية وانطلاق المسيرة العلمية المباركة اي في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الان بادرت هذه المؤسسة العلمية الى تربية العشرات من الباحثين في مضمار الامام والثورة الاسلامية ، والى جانب تجميع وتصينف آلاف الوثائق والمستمسكات العلمية وتأسيس مكتبة تخصصية قيمة تحتوي على عشرات الالاف من الكتب والمجلات العلمية ، قامت بتأليف وترجمة وطبع الكثير من الكتب العلمية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تعلن الاكاديمية بكل فخر واعتزاز عن طبعها لهذا السفر القيم الذي يعد نتيجة للبحوث والمساعي العلمية لاحد حاملي نبراس النور لموكب العلماء ، والمدافع عن حوزة الايمان ، من شجرة طيبة ودوحة مثمرة تفرغت منها كريمة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ونتجت عليها ابناء سماحة ونحن نضع هذا المنشور المبروك تحت تصرف اصحاب الرأي والعلماء والباحثين الاكارم ونحمد اللّه سبحانه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عباسعلي روحاني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اكاديمية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والثورة الاسلامية </w:t>
      </w:r>
      <w:bookmarkStart w:id="12" w:name="pg16284_170988"/>
    </w:p>
    <w:p>
      <w:pPr>
        <w:pStyle w:val="Heading2"/>
        <w:numPr>
          <w:ilvl w:val="1"/>
          <w:numId w:val="1"/>
        </w:numPr>
        <w:rPr/>
      </w:pPr>
      <w:bookmarkStart w:id="13" w:name="__RefHeading___Toc5012030_1280447820"/>
      <w:bookmarkStart w:id="14" w:name="_Toc4"/>
      <w:bookmarkEnd w:id="12"/>
      <w:bookmarkEnd w:id="13"/>
      <w:r>
        <w:rPr>
          <w:rtl w:val="true"/>
        </w:rPr>
        <w:t>[</w:t>
      </w:r>
      <w:r>
        <w:rPr>
          <w:rtl w:val="true"/>
        </w:rPr>
        <w:t>الاستصحاب</w:t>
      </w:r>
      <w:r>
        <w:rPr>
          <w:rtl w:val="true"/>
        </w:rPr>
        <w:t>]</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5012032_1280447820"/>
      <w:bookmarkStart w:id="16" w:name="_Toc5"/>
      <w:bookmarkEnd w:id="15"/>
      <w:r>
        <w:rPr>
          <w:rtl w:val="true"/>
        </w:rPr>
        <w:t>اشارة</w:t>
      </w:r>
      <w:bookmarkStart w:id="17" w:name="pg16284_170989"/>
      <w:bookmarkEnd w:id="16"/>
    </w:p>
    <w:p>
      <w:pPr>
        <w:pStyle w:val="BookText"/>
        <w:rPr/>
      </w:pPr>
      <w:bookmarkEnd w:id="1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وبه نستعين إنّه خير معين </w:t>
      </w:r>
      <w:r>
        <w:rPr>
          <w:rStyle w:val="FootnoteAnchor"/>
          <w:rtl w:val="true"/>
        </w:rPr>
        <w:footnoteReference w:id="2"/>
      </w:r>
      <w:r>
        <w:rPr>
          <w:rFonts w:ascii="Amiri" w:hAnsi="Amiri" w:eastAsia="Amiri" w:cs="Amiri"/>
          <w:color w:val="111111"/>
          <w:sz w:val="28"/>
          <w:sz w:val="28"/>
          <w:szCs w:val="28"/>
          <w:rtl w:val="true"/>
          <w:lang w:bidi="ar-SA"/>
        </w:rPr>
        <w:t xml:space="preserve">الحمد لله ربّ العالمين ، والصلاة والسلام على محمّد وآله الطيّبين </w:t>
      </w:r>
      <w:r>
        <w:rPr>
          <w:rStyle w:val="FootnoteAnchor"/>
          <w:rtl w:val="true"/>
        </w:rPr>
        <w:footnoteReference w:id="3"/>
      </w:r>
      <w:r>
        <w:rPr>
          <w:rFonts w:ascii="Amiri" w:hAnsi="Amiri" w:eastAsia="Amiri" w:cs="Amiri"/>
          <w:color w:val="111111"/>
          <w:sz w:val="28"/>
          <w:sz w:val="28"/>
          <w:szCs w:val="28"/>
          <w:rtl w:val="true"/>
          <w:lang w:bidi="ar-SA"/>
        </w:rPr>
        <w:t xml:space="preserve">الطاهرين ، ولعنة اللّه على أعدائهم أجمعين إلى يوم الدين أبد الآبدين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5012034_1280447820"/>
      <w:bookmarkStart w:id="19" w:name="_Toc6"/>
      <w:bookmarkEnd w:id="18"/>
      <w:r>
        <w:rPr>
          <w:rtl w:val="true"/>
        </w:rPr>
        <w:t>القول في الاستصحاب</w:t>
      </w:r>
      <w:bookmarkEnd w:id="19"/>
    </w:p>
    <w:p>
      <w:pPr>
        <w:pStyle w:val="BookText"/>
        <w:rPr/>
      </w:pPr>
      <w:r>
        <w:rPr>
          <w:rFonts w:ascii="Amiri" w:hAnsi="Amiri" w:eastAsia="Amiri" w:cs="Amiri"/>
          <w:color w:val="111111"/>
          <w:sz w:val="28"/>
          <w:sz w:val="28"/>
          <w:szCs w:val="28"/>
          <w:rtl w:val="true"/>
          <w:lang w:bidi="ar-SA"/>
        </w:rPr>
        <w:t>وتحقيق المقصود فيه في طيّ هدايات</w:t>
      </w:r>
    </w:p>
    <w:p>
      <w:pPr>
        <w:pStyle w:val="Heading3"/>
        <w:numPr>
          <w:ilvl w:val="2"/>
          <w:numId w:val="1"/>
        </w:numPr>
        <w:rPr/>
      </w:pPr>
      <w:bookmarkStart w:id="20" w:name="__RefHeading___Toc5012036_1280447820"/>
      <w:bookmarkStart w:id="21" w:name="_Toc7"/>
      <w:bookmarkEnd w:id="20"/>
      <w:r>
        <w:rPr>
          <w:rtl w:val="true"/>
        </w:rPr>
        <w:t xml:space="preserve">[ </w:t>
      </w:r>
      <w:r>
        <w:rPr>
          <w:rtl w:val="true"/>
        </w:rPr>
        <w:t xml:space="preserve">تعريف الاستصحاب </w:t>
      </w:r>
      <w:r>
        <w:rPr>
          <w:rtl w:val="true"/>
        </w:rPr>
        <w:t>]</w:t>
      </w:r>
      <w:bookmarkEnd w:id="21"/>
    </w:p>
    <w:p>
      <w:pPr>
        <w:pStyle w:val="BookText"/>
        <w:rPr/>
      </w:pPr>
      <w:r>
        <w:rPr>
          <w:rFonts w:ascii="Amiri" w:hAnsi="Amiri" w:eastAsia="Amiri" w:cs="Amiri"/>
          <w:color w:val="111111"/>
          <w:sz w:val="28"/>
          <w:sz w:val="28"/>
          <w:szCs w:val="28"/>
          <w:rtl w:val="true"/>
          <w:lang w:bidi="ar-SA"/>
        </w:rPr>
        <w:t xml:space="preserve">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الشيء مصاحبا ، واصطلاحا على ما عرّفه في المشارق ناسبا له إلى الأصوليين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حكم في زمان لوجوده في زمان سابق عليه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 عليه بأنّ الاستصحاب دليل ، والإثبات مصدر متعدّ فعل للمكلّف لا سبيل إلى جعله دليلا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الواضح نقل الاستصحاب عن معناه اللغوي إلى معناه الاصطلاحي ، ولا شكّ في مسبوقية النقل إلى مناسبة بين المنقول منه والمنقول إليه ، والأغلب أنّها في </w:t>
      </w:r>
    </w:p>
    <w:p>
      <w:pPr>
        <w:pStyle w:val="BookText"/>
        <w:rPr/>
      </w:pPr>
      <w:r>
        <w:rPr>
          <w:rFonts w:ascii="Amiri" w:hAnsi="Amiri" w:eastAsia="Amiri" w:cs="Amiri"/>
          <w:color w:val="111111"/>
          <w:sz w:val="28"/>
          <w:sz w:val="28"/>
          <w:szCs w:val="28"/>
          <w:rtl w:val="true"/>
          <w:lang w:bidi="ar-SA"/>
        </w:rPr>
        <w:t xml:space="preserve">الأمور الاصطلاحية من نقل الكلّي إلى أفراده ، وقد عرفت أنّ معنى الاستصحاب لغة هو الأخذ مصاحبا ، فإنّه استفعال من صحب ، 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بعضهم بعضا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في كون الدليل من مقولة الفعل ؛ إذ معنى دليليته هو اعتباره في نظر الشارع على نحو اعتبار الكتاب والسنّة ، فكما أنّ نقل الإجماع يذكر في عداد الأدلّة مع أنّ النقل فعل كالقياس و </w:t>
      </w:r>
      <w:r>
        <w:rPr>
          <w:rStyle w:val="FootnoteAnchor"/>
          <w:rtl w:val="true"/>
        </w:rPr>
        <w:footnoteReference w:id="8"/>
      </w:r>
      <w:r>
        <w:rPr>
          <w:rFonts w:ascii="Amiri" w:hAnsi="Amiri" w:eastAsia="Amiri" w:cs="Amiri"/>
          <w:color w:val="111111"/>
          <w:sz w:val="28"/>
          <w:sz w:val="28"/>
          <w:szCs w:val="28"/>
          <w:rtl w:val="true"/>
          <w:lang w:bidi="ar-SA"/>
        </w:rPr>
        <w:t>الاستحسان فإنّه اعتبار على ما تخيّله المعتزى به ولا غائلة فيه ، فكذلك الاستصحاب فإنّ الفعل صالح للاتّصاف بالدليلية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ظاهر الحدود المودعة في كتب القوم هو هذا ، قال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9"/>
      </w:r>
      <w:r>
        <w:rPr>
          <w:rFonts w:ascii="Amiri" w:hAnsi="Amiri" w:eastAsia="Amiri" w:cs="Amiri"/>
          <w:color w:val="111111"/>
          <w:sz w:val="28"/>
          <w:sz w:val="28"/>
          <w:szCs w:val="28"/>
          <w:rtl w:val="true"/>
          <w:lang w:bidi="ar-SA"/>
        </w:rPr>
        <w:t xml:space="preserve">إثبات الحكم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التمسّك </w:t>
      </w:r>
      <w:r>
        <w:rPr>
          <w:rStyle w:val="FootnoteAnchor"/>
          <w:rtl w:val="true"/>
        </w:rPr>
        <w:footnoteReference w:id="12"/>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في الرسالة الاستصحابية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باستمرار أمر </w:t>
      </w:r>
      <w:r>
        <w:rPr>
          <w:rStyle w:val="FootnoteAnchor"/>
          <w:rtl w:val="true"/>
        </w:rPr>
        <w:footnoteReference w:id="13"/>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إبقاء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الاشارات عن بعض الأواخر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باستمرار ما كان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اليقين هو البناء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هو الحكم على وجود شيء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صريح هذه الحدود هو أنّ المحمول في هذه القضايا من مقولة الفعل وهو الجنس فيها ، ومنه يظهر ثبوت اصطلاحهم فيه واستقراره على ذلك </w:t>
      </w:r>
      <w:r>
        <w:rPr>
          <w:rStyle w:val="FootnoteAnchor"/>
          <w:rtl w:val="true"/>
        </w:rPr>
        <w:footnoteReference w:id="18"/>
      </w:r>
      <w:r>
        <w:rPr>
          <w:rFonts w:ascii="Amiri" w:hAnsi="Amiri" w:eastAsia="Amiri" w:cs="Amiri"/>
          <w:color w:val="111111"/>
          <w:sz w:val="28"/>
          <w:sz w:val="28"/>
          <w:szCs w:val="28"/>
          <w:rtl w:val="true"/>
          <w:lang w:bidi="ar-SA"/>
        </w:rPr>
        <w:t xml:space="preserve">، ويوضحه نسبته إلى الأصوليين في المشارق ، ويؤيّده موافقته لسائر مشتقّاته من موارد استعماله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استصحب إذا حكم بثبوت شيء ثابت سابقا فهو مستصحب وذاك مستصحب ، وعند إظهار العلّة في الحكم بثبوت </w:t>
      </w:r>
      <w:r>
        <w:rPr>
          <w:rStyle w:val="FootnoteAnchor"/>
          <w:rtl w:val="true"/>
        </w:rPr>
        <w:footnoteReference w:id="19"/>
      </w:r>
      <w:r>
        <w:rPr>
          <w:rFonts w:ascii="Amiri" w:hAnsi="Amiri" w:eastAsia="Amiri" w:cs="Amiri"/>
          <w:color w:val="111111"/>
          <w:sz w:val="28"/>
          <w:sz w:val="28"/>
          <w:szCs w:val="28"/>
          <w:rtl w:val="true"/>
          <w:lang w:bidi="ar-SA"/>
        </w:rPr>
        <w:t xml:space="preserve">شيء وترتيب آثاره السابقة </w:t>
      </w:r>
      <w:r>
        <w:rPr>
          <w:rStyle w:val="FootnoteAnchor"/>
          <w:rtl w:val="true"/>
        </w:rPr>
        <w:footnoteReference w:id="20"/>
      </w:r>
      <w:r>
        <w:rPr>
          <w:rFonts w:ascii="Amiri" w:hAnsi="Amiri" w:eastAsia="Amiri" w:cs="Amiri"/>
          <w:color w:val="111111"/>
          <w:sz w:val="28"/>
          <w:sz w:val="28"/>
          <w:szCs w:val="28"/>
          <w:rtl w:val="true"/>
          <w:lang w:bidi="ar-SA"/>
        </w:rPr>
        <w:t xml:space="preserve">، استصحابا للحالة السابقة كما يظهر من موارد استعماله </w:t>
      </w:r>
      <w:r>
        <w:rPr>
          <w:rStyle w:val="FootnoteAnchor"/>
          <w:rtl w:val="true"/>
        </w:rPr>
        <w:footnoteReference w:id="21"/>
      </w:r>
      <w:r>
        <w:rPr>
          <w:rFonts w:ascii="Amiri" w:hAnsi="Amiri" w:eastAsia="Amiri" w:cs="Amiri"/>
          <w:color w:val="111111"/>
          <w:sz w:val="28"/>
          <w:sz w:val="28"/>
          <w:szCs w:val="28"/>
          <w:rtl w:val="true"/>
          <w:lang w:bidi="ar-SA"/>
        </w:rPr>
        <w:t>، نعم قد يفترق في ذلك الأحكام والموضوعات ، فإنّ الحكم المستصحب في زمان الشكّ مصاحب للمستصحب بخلاف الموضوعات ؛ إذ الموضوع المستصحب آثاره مستصحبة ، فيصير الاستصحاب فيها من قبيل الاستعارة التمثيلية كتشبيه المتردّد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تقدّم رجلا وتأخّر </w:t>
      </w:r>
      <w:r>
        <w:rPr>
          <w:rStyle w:val="FootnoteAnchor"/>
          <w:rtl w:val="true"/>
        </w:rPr>
        <w:footnoteReference w:id="22"/>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الفرق إنّما هو بواسطة قابلية الحكم للجعل في الزمان الثانى بخلاف الموضوع وإن كان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في الزمان الثاني ليس هو الحكم الأوّل بل هو مماثل له ، ولهذا يختلف </w:t>
      </w:r>
      <w:r>
        <w:rPr>
          <w:rStyle w:val="FootnoteAnchor"/>
          <w:rtl w:val="true"/>
        </w:rPr>
        <w:footnoteReference w:id="23"/>
      </w:r>
      <w:r>
        <w:rPr>
          <w:rFonts w:ascii="Amiri" w:hAnsi="Amiri" w:eastAsia="Amiri" w:cs="Amiri"/>
          <w:color w:val="111111"/>
          <w:sz w:val="28"/>
          <w:sz w:val="28"/>
          <w:szCs w:val="28"/>
          <w:rtl w:val="true"/>
          <w:lang w:bidi="ar-SA"/>
        </w:rPr>
        <w:t>بالظاهرية والواقعية كما لا يخفى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الشيء معلوم الوجود في الحال ومشكوكه في زمان متأخّر عن </w:t>
      </w:r>
      <w:r>
        <w:rPr>
          <w:rStyle w:val="FootnoteAnchor"/>
          <w:rtl w:val="true"/>
        </w:rPr>
        <w:footnoteReference w:id="24"/>
      </w:r>
      <w:r>
        <w:rPr>
          <w:rFonts w:ascii="Amiri" w:hAnsi="Amiri" w:eastAsia="Amiri" w:cs="Amiri"/>
          <w:color w:val="111111"/>
          <w:sz w:val="28"/>
          <w:sz w:val="28"/>
          <w:szCs w:val="28"/>
          <w:rtl w:val="true"/>
          <w:lang w:bidi="ar-SA"/>
        </w:rPr>
        <w:t xml:space="preserve">الزمان الحاضر ويستصحب إلى زمن يمكن </w:t>
      </w:r>
      <w:r>
        <w:rPr>
          <w:rStyle w:val="FootnoteAnchor"/>
          <w:rtl w:val="true"/>
        </w:rPr>
        <w:footnoteReference w:id="25"/>
      </w:r>
      <w:r>
        <w:rPr>
          <w:rFonts w:ascii="Amiri" w:hAnsi="Amiri" w:eastAsia="Amiri" w:cs="Amiri"/>
          <w:color w:val="111111"/>
          <w:sz w:val="28"/>
          <w:sz w:val="28"/>
          <w:szCs w:val="28"/>
          <w:rtl w:val="true"/>
          <w:lang w:bidi="ar-SA"/>
        </w:rPr>
        <w:t xml:space="preserve">بقاؤه فيه مع أنّ المعنى اللغوي غير واقع </w:t>
      </w:r>
      <w:r>
        <w:rPr>
          <w:rStyle w:val="FootnoteAnchor"/>
          <w:rtl w:val="true"/>
        </w:rPr>
        <w:footnoteReference w:id="26"/>
      </w:r>
      <w:r>
        <w:rPr>
          <w:rFonts w:ascii="Amiri" w:hAnsi="Amiri" w:eastAsia="Amiri" w:cs="Amiri"/>
          <w:color w:val="111111"/>
          <w:sz w:val="28"/>
          <w:sz w:val="28"/>
          <w:szCs w:val="28"/>
          <w:rtl w:val="true"/>
          <w:lang w:bidi="ar-SA"/>
        </w:rPr>
        <w:t xml:space="preserve">في هذا الموضوع </w:t>
      </w:r>
      <w:r>
        <w:rPr>
          <w:rStyle w:val="FootnoteAnchor"/>
          <w:rtl w:val="true"/>
        </w:rPr>
        <w:footnoteReference w:id="27"/>
      </w:r>
      <w:r>
        <w:rPr>
          <w:rFonts w:ascii="Amiri" w:hAnsi="Amiri" w:eastAsia="Amiri" w:cs="Amiri"/>
          <w:color w:val="111111"/>
          <w:sz w:val="28"/>
          <w:sz w:val="28"/>
          <w:szCs w:val="28"/>
          <w:rtl w:val="true"/>
          <w:lang w:bidi="ar-SA"/>
        </w:rPr>
        <w:t>، لانتفاء المصاحبة في زمن غير مدرك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التفسير بالبقاء أيضا كذلك ، مع أنّ استقبال المتعلّق غير مضرّ في صدق المعنى اللغوي ، وإن شئت التوضيح فلاحظ كيف يعبّر عنه بالفارسية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همراه داشتن وهمراه داشته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هو ظاهر ، ويزيد ذلك توضيحا عند ملاحظة الأحكام المحمولة على الاستصحاب من الحجّية والدليلية والوجوب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حجّة أو دليل أو واجب ، فإنّه لا يعقل إلاّ بعد كونه الإبقاء </w:t>
      </w:r>
      <w:r>
        <w:rPr>
          <w:rStyle w:val="FootnoteAnchor"/>
          <w:rtl w:val="true"/>
        </w:rPr>
        <w:footnoteReference w:id="28"/>
      </w:r>
      <w:r>
        <w:rPr>
          <w:rFonts w:ascii="Amiri" w:hAnsi="Amiri" w:eastAsia="Amiri" w:cs="Amiri"/>
          <w:color w:val="111111"/>
          <w:sz w:val="28"/>
          <w:sz w:val="28"/>
          <w:szCs w:val="28"/>
          <w:rtl w:val="true"/>
          <w:lang w:bidi="ar-SA"/>
        </w:rPr>
        <w:t xml:space="preserve">؛ إذ لا معنى لاتّصاف البقاء بالحجّية أو الدليلية أو الوجوب ، وأمّا الإبقاء فيصحّ توصيفه بالأمور المذكورة ، فإنّ المراد بدليلية الإبقاء </w:t>
      </w:r>
      <w:r>
        <w:rPr>
          <w:rStyle w:val="FootnoteAnchor"/>
          <w:rtl w:val="true"/>
        </w:rPr>
        <w:footnoteReference w:id="29"/>
      </w:r>
      <w:r>
        <w:rPr>
          <w:rFonts w:ascii="Amiri" w:hAnsi="Amiri" w:eastAsia="Amiri" w:cs="Amiri"/>
          <w:color w:val="111111"/>
          <w:sz w:val="28"/>
          <w:sz w:val="28"/>
          <w:szCs w:val="28"/>
          <w:rtl w:val="true"/>
          <w:lang w:bidi="ar-SA"/>
        </w:rPr>
        <w:t xml:space="preserve">لو كان من حيث حكم العقل بالبقاء فظاهر ؛ إذ الدليل العقلي على ما عرّف </w:t>
      </w:r>
      <w:r>
        <w:rPr>
          <w:rStyle w:val="FootnoteAnchor"/>
          <w:rtl w:val="true"/>
        </w:rPr>
        <w:footnoteReference w:id="30"/>
      </w:r>
      <w:r>
        <w:rPr>
          <w:rFonts w:ascii="Amiri" w:hAnsi="Amiri" w:eastAsia="Amiri" w:cs="Amiri"/>
          <w:color w:val="111111"/>
          <w:sz w:val="28"/>
          <w:sz w:val="28"/>
          <w:szCs w:val="28"/>
          <w:rtl w:val="true"/>
          <w:lang w:bidi="ar-SA"/>
        </w:rPr>
        <w:t>هو حكم عقلي يتوصّل به إلى حكم شرعي ، وانطباقه على الاستصحاب ظاهر ، ولو كان من حيث حكم الشرع فالمراد به هو ترتيب آثار المعلوم على المشكوك ، وموارد استعماله منطبقة على أحد المعنيين ولو على سبيل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يستعمل مدخولا للام التعليل في مطاوي كلمات المتعبّدين به ، فيكون إشارة إلى نفس تلك القاعدة المتلقّاة من الصادقين عليهم‌السلام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للاشتغال أو للضرر أو لليد ، فينقل </w:t>
      </w:r>
      <w:r>
        <w:rPr>
          <w:rStyle w:val="FootnoteAnchor"/>
          <w:rtl w:val="true"/>
        </w:rPr>
        <w:footnoteReference w:id="31"/>
      </w:r>
      <w:r>
        <w:rPr>
          <w:rFonts w:ascii="Amiri" w:hAnsi="Amiri" w:eastAsia="Amiri" w:cs="Amiri"/>
          <w:color w:val="111111"/>
          <w:sz w:val="28"/>
          <w:sz w:val="28"/>
          <w:szCs w:val="28"/>
          <w:rtl w:val="true"/>
          <w:lang w:bidi="ar-SA"/>
        </w:rPr>
        <w:t>منه إليها من حيث اشتمال تلك القاعدة عليه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على الحدّ المذكور بوجوه أخر ، والإعراض </w:t>
      </w:r>
      <w:r>
        <w:rPr>
          <w:rStyle w:val="FootnoteAnchor"/>
          <w:rtl w:val="true"/>
        </w:rPr>
        <w:footnoteReference w:id="32"/>
      </w:r>
      <w:r>
        <w:rPr>
          <w:rFonts w:ascii="IRNazanin" w:hAnsi="IRNazanin" w:eastAsia="IRNazanin"/>
          <w:color w:val="111111"/>
          <w:sz w:val="28"/>
          <w:sz w:val="28"/>
          <w:szCs w:val="28"/>
          <w:rtl w:val="true"/>
          <w:lang w:bidi="fa-IR"/>
        </w:rPr>
        <w:t>عنها أجدر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 جعله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نفس الحالة السابقة ، ولا شاهد عليه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 المحقّق القمي بأنّه كون حكم أو وصف يقيني الحصول في الآن السابق ، </w:t>
      </w:r>
    </w:p>
    <w:p>
      <w:pPr>
        <w:pStyle w:val="BookText"/>
        <w:rPr/>
      </w:pPr>
      <w:r>
        <w:rPr>
          <w:rFonts w:ascii="Amiri" w:hAnsi="Amiri" w:eastAsia="Amiri" w:cs="Amiri"/>
          <w:color w:val="111111"/>
          <w:sz w:val="28"/>
          <w:sz w:val="28"/>
          <w:szCs w:val="28"/>
          <w:rtl w:val="true"/>
          <w:lang w:bidi="ar-SA"/>
        </w:rPr>
        <w:t xml:space="preserve">مشكوك البقاء في الآن اللاحق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وفساده غير خفيّ ؛ إذ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عرفته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الأدلّة العقلية وقد </w:t>
      </w:r>
      <w:r>
        <w:rPr>
          <w:rStyle w:val="FootnoteAnchor"/>
          <w:rtl w:val="true"/>
        </w:rPr>
        <w:footnoteReference w:id="36"/>
      </w:r>
      <w:r>
        <w:rPr>
          <w:rFonts w:ascii="Amiri" w:hAnsi="Amiri" w:eastAsia="Amiri" w:cs="Amiri"/>
          <w:color w:val="111111"/>
          <w:sz w:val="28"/>
          <w:sz w:val="28"/>
          <w:szCs w:val="28"/>
          <w:rtl w:val="true"/>
          <w:lang w:bidi="ar-SA"/>
        </w:rPr>
        <w:t xml:space="preserve">عدّه في عدادها غير معدود منهم ، وليس الكون الموصوف بما ذكر </w:t>
      </w:r>
      <w:r>
        <w:rPr>
          <w:rStyle w:val="FootnoteAnchor"/>
          <w:rtl w:val="true"/>
        </w:rPr>
        <w:footnoteReference w:id="37"/>
      </w:r>
      <w:r>
        <w:rPr>
          <w:rFonts w:ascii="Amiri" w:hAnsi="Amiri" w:eastAsia="Amiri" w:cs="Amiri"/>
          <w:color w:val="111111"/>
          <w:sz w:val="28"/>
          <w:sz w:val="28"/>
          <w:szCs w:val="28"/>
          <w:rtl w:val="true"/>
          <w:lang w:bidi="ar-SA"/>
        </w:rPr>
        <w:t xml:space="preserve">حكما عقليا يتوصّل به إلى حكم شرعي ، بل إنّما هو </w:t>
      </w:r>
      <w:r>
        <w:rPr>
          <w:rStyle w:val="FootnoteAnchor"/>
          <w:rtl w:val="true"/>
        </w:rPr>
        <w:footnoteReference w:id="38"/>
      </w:r>
      <w:r>
        <w:rPr>
          <w:rFonts w:ascii="Amiri" w:hAnsi="Amiri" w:eastAsia="Amiri" w:cs="Amiri"/>
          <w:color w:val="111111"/>
          <w:sz w:val="28"/>
          <w:sz w:val="28"/>
          <w:szCs w:val="28"/>
          <w:rtl w:val="true"/>
          <w:lang w:bidi="ar-SA"/>
        </w:rPr>
        <w:t xml:space="preserve">يحصل فيه ، ولعلّه إنّما أخذه من صغرى كلام العضدي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استصحاب الحال أنّ الحكم الفلاني قد كان ولم يظنّ عدمه ، وكلّ ما هو كذلك فهو مظنون البقاء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اختلفوا في صحّة الاستدلال به لإفادته ظنّ البقاء ، وعدمها لعدم إفادته إيّاه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يتسارع إلى الفهم أنّ الخلاف إنّما هو في الكبرى ، والنزاع في حجّية شيء إنّما هو بعد التسليم في مفهومه والمسلّم في المقام هو الصغرى ، فلا بدّ أن يكون ما ذكره في بيان الصغرى هو المفهوم المسلّم ، فيكون حدّا للاستصحاب </w:t>
      </w:r>
      <w:r>
        <w:rPr>
          <w:rStyle w:val="FootnoteAnchor"/>
          <w:rtl w:val="true"/>
        </w:rPr>
        <w:footnoteReference w:id="40"/>
      </w:r>
      <w:r>
        <w:rPr>
          <w:rFonts w:ascii="Amiri" w:hAnsi="Amiri" w:eastAsia="Amiri" w:cs="Amiri"/>
          <w:color w:val="111111"/>
          <w:sz w:val="28"/>
          <w:sz w:val="28"/>
          <w:szCs w:val="28"/>
          <w:rtl w:val="true"/>
          <w:lang w:bidi="ar-SA"/>
        </w:rPr>
        <w:t xml:space="preserve">، إلاّ أنّه بعيد عن الصواب فإنّ من الواضح أنّ المعنيّ بالتعريف في المقام هي </w:t>
      </w:r>
      <w:r>
        <w:rPr>
          <w:rStyle w:val="FootnoteAnchor"/>
          <w:rtl w:val="true"/>
        </w:rPr>
        <w:footnoteReference w:id="41"/>
      </w:r>
      <w:r>
        <w:rPr>
          <w:rFonts w:ascii="Amiri" w:hAnsi="Amiri" w:eastAsia="Amiri" w:cs="Amiri"/>
          <w:color w:val="111111"/>
          <w:sz w:val="28"/>
          <w:sz w:val="28"/>
          <w:szCs w:val="28"/>
          <w:rtl w:val="true"/>
          <w:lang w:bidi="ar-SA"/>
        </w:rPr>
        <w:t xml:space="preserve">الكبرى فإنّها صالحة لأن ينتزع منها الحدّ كما هو ظاهر ، فبيان الصغرى إنّما هو توضيح للمورد ، وتوضحه </w:t>
      </w:r>
      <w:r>
        <w:rPr>
          <w:rStyle w:val="FootnoteAnchor"/>
          <w:rtl w:val="true"/>
        </w:rPr>
        <w:footnoteReference w:id="42"/>
      </w:r>
      <w:r>
        <w:rPr>
          <w:rFonts w:ascii="Amiri" w:hAnsi="Amiri" w:eastAsia="Amiri" w:cs="Amiri"/>
          <w:color w:val="111111"/>
          <w:sz w:val="28"/>
          <w:sz w:val="28"/>
          <w:szCs w:val="28"/>
          <w:rtl w:val="true"/>
          <w:lang w:bidi="ar-SA"/>
        </w:rPr>
        <w:t>ملاحظة ما صنعه العضدي في مقام تحديد القياس 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الخلاف في الكبرى ليس بضائر في كونها ممّا ينتزع منها الحدّ ؛ إذ غاية ما يلزم أن يكون النزاع في حصول الظنّ وحكم العقل بالبقاء وعدمه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أجاد صاحب المعالم حيث جعل صغرى ما في كلام العضدي محلاّ للاستصحاب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استصحاب الحال ، ومحلّه أن يثبت حكم في وقت ثمّ يجيء وقت آخر ولا يقوم دليل على انتفاء ذلك الحكم ، فهل يحكم ببقائه على </w:t>
      </w:r>
    </w:p>
    <w:p>
      <w:pPr>
        <w:pStyle w:val="BookText"/>
        <w:rPr/>
      </w:pPr>
      <w:r>
        <w:rPr>
          <w:rFonts w:ascii="Amiri" w:hAnsi="Amiri" w:eastAsia="Amiri" w:cs="Amiri"/>
          <w:color w:val="111111"/>
          <w:sz w:val="28"/>
          <w:sz w:val="28"/>
          <w:szCs w:val="28"/>
          <w:rtl w:val="true"/>
          <w:lang w:bidi="ar-SA"/>
        </w:rPr>
        <w:t xml:space="preserve">ما كان وهو الاستصحاب ، أم يفتقر الحكم به في الوقت الثاني إلى دليل </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الظاهر انطباق كلامه على 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أورده في مقام التحديد ممّا لا يصل إلى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الأستاد أنار اللّه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يتعسّف في كلامه على وجه يرجع إلى التحديد للاستصحاب </w:t>
      </w:r>
      <w:r>
        <w:rPr>
          <w:rStyle w:val="FootnoteAnchor"/>
          <w:rtl w:val="true"/>
        </w:rPr>
        <w:footnoteReference w:id="44"/>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للفعل المبنيّ للمفعول أضيف إلى فاعله وهو الحال ، والكون محمولي تامّ لا رابطي ناقص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يقيني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مشكوك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للحكم أو الوصف لا خبر للكون ، والظرف الأخير من متعلّقات الكون لا المشكوك ، فيصير الحاصل أنّ مستصحبية </w:t>
      </w:r>
      <w:r>
        <w:rPr>
          <w:rStyle w:val="FootnoteAnchor"/>
          <w:rtl w:val="true"/>
        </w:rPr>
        <w:footnoteReference w:id="45"/>
      </w:r>
      <w:r>
        <w:rPr>
          <w:rFonts w:ascii="Amiri" w:hAnsi="Amiri" w:eastAsia="Amiri" w:cs="Amiri"/>
          <w:color w:val="111111"/>
          <w:sz w:val="28"/>
          <w:sz w:val="28"/>
          <w:szCs w:val="28"/>
          <w:rtl w:val="true"/>
          <w:lang w:bidi="ar-SA"/>
        </w:rPr>
        <w:t xml:space="preserve">الحال وكونه مستصحبا عبارة عن ثبوته في الآن اللاحق بعد ما كان مشكوكا </w:t>
      </w:r>
      <w:r>
        <w:rPr>
          <w:rStyle w:val="FootnoteAnchor"/>
          <w:rtl w:val="true"/>
        </w:rPr>
        <w:footnoteReference w:id="46"/>
      </w:r>
      <w:r>
        <w:rPr>
          <w:rFonts w:ascii="IRNazanin" w:hAnsi="IRNazanin" w:eastAsia="IRNazanin"/>
          <w:color w:val="111111"/>
          <w:sz w:val="28"/>
          <w:sz w:val="28"/>
          <w:szCs w:val="28"/>
          <w:rtl w:val="true"/>
          <w:lang w:bidi="fa-IR"/>
        </w:rPr>
        <w:t xml:space="preserve">، و </w:t>
      </w:r>
      <w:r>
        <w:rPr>
          <w:rStyle w:val="FootnoteAnchor"/>
          <w:rtl w:val="true"/>
        </w:rPr>
        <w:footnoteReference w:id="47"/>
      </w:r>
      <w:r>
        <w:rPr>
          <w:rFonts w:ascii="Amiri" w:hAnsi="Amiri" w:eastAsia="Amiri" w:cs="Amiri"/>
          <w:color w:val="111111"/>
          <w:sz w:val="28"/>
          <w:sz w:val="28"/>
          <w:szCs w:val="28"/>
          <w:rtl w:val="true"/>
          <w:lang w:bidi="ar-SA"/>
        </w:rPr>
        <w:t>يقيني الحصول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سلّمه اللّه بكونه تعسّفا فلا ينبغي الركون إليه ، على أنّه لا يتمّ أيضا ؛ إذ المعهود في مقام التحديد هو بيان الاستصحاب المبنيّ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يتخيّل أنّه ليس في مقام التحديد ، بل إنّما هو أيضا في مقام بيان محلّه كصاحب المعالم ، ويدفعه ملاحظة صدره وذيله كما هو ظاهر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الحدود المتقدّمة متوافقة المعنى غالبا وإن اختلفت </w:t>
      </w:r>
      <w:r>
        <w:rPr>
          <w:rStyle w:val="FootnoteAnchor"/>
          <w:rtl w:val="true"/>
        </w:rPr>
        <w:footnoteReference w:id="49"/>
      </w:r>
      <w:r>
        <w:rPr>
          <w:rFonts w:ascii="Amiri" w:hAnsi="Amiri" w:eastAsia="Amiri" w:cs="Amiri"/>
          <w:color w:val="111111"/>
          <w:sz w:val="28"/>
          <w:sz w:val="28"/>
          <w:szCs w:val="28"/>
          <w:rtl w:val="true"/>
          <w:lang w:bidi="ar-SA"/>
        </w:rPr>
        <w:t>ألفاظها على حسب ما قد يناقش في بعضها ويزيّف بعض آخر كما هو دأب المحصّلين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وأجودها ما دارت عليه ألسنة المشهور من أنّه إبقاء ما كان على ما كان ، وقصارى ما يورد </w:t>
      </w:r>
    </w:p>
    <w:p>
      <w:pPr>
        <w:pStyle w:val="BookText"/>
        <w:rPr/>
      </w:pPr>
      <w:r>
        <w:rPr>
          <w:rFonts w:ascii="Amiri" w:hAnsi="Amiri" w:eastAsia="Amiri" w:cs="Amiri"/>
          <w:color w:val="111111"/>
          <w:sz w:val="28"/>
          <w:sz w:val="28"/>
          <w:szCs w:val="28"/>
          <w:rtl w:val="true"/>
          <w:lang w:bidi="ar-SA"/>
        </w:rPr>
        <w:t xml:space="preserve">عليه انتقاض طرده بما إذا ثبت الحكم ثانيا بدليل ، ويدفعه انصراف </w:t>
      </w:r>
      <w:r>
        <w:rPr>
          <w:rStyle w:val="FootnoteAnchor"/>
          <w:rtl w:val="true"/>
        </w:rPr>
        <w:footnoteReference w:id="50"/>
      </w:r>
      <w:r>
        <w:rPr>
          <w:rFonts w:ascii="Amiri" w:hAnsi="Amiri" w:eastAsia="Amiri" w:cs="Amiri"/>
          <w:color w:val="111111"/>
          <w:sz w:val="28"/>
          <w:sz w:val="28"/>
          <w:szCs w:val="28"/>
          <w:rtl w:val="true"/>
          <w:lang w:bidi="ar-SA"/>
        </w:rPr>
        <w:t>الحدّ إلى الحيثية المستفادة من التعليق ، فإنّ المتبادر هو الإبقاء ، لكونه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والأسدّ الأخصر هو ما عرّفه الأستاد بأنّه إبقاء ما يحتمل الارتفاع ، فإنّه لا يتوجه عليه المناقشة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أنّ الاستصحاب وغيره من الأصول العملية إنّما هي من لواحق موضوع الشكّ وبيان لحكمه ، فالشكّ ابتداء حكمه الأخذ بالبراءة الأصلية ، و </w:t>
      </w:r>
      <w:r>
        <w:rPr>
          <w:rStyle w:val="FootnoteAnchor"/>
          <w:rtl w:val="true"/>
        </w:rPr>
        <w:footnoteReference w:id="51"/>
      </w:r>
      <w:r>
        <w:rPr>
          <w:rFonts w:ascii="Amiri" w:hAnsi="Amiri" w:eastAsia="Amiri" w:cs="Amiri"/>
          <w:color w:val="111111"/>
          <w:sz w:val="28"/>
          <w:sz w:val="28"/>
          <w:szCs w:val="28"/>
          <w:rtl w:val="true"/>
          <w:lang w:bidi="ar-SA"/>
        </w:rPr>
        <w:t>فيما له حالة سابقة يجب الأخذ بالحالة السابقة ، ومعلوم أنّ الحكم إنّما يلحق الموضوع مع وجوده ، ففي مورد الاستصحاب إنّما يحكم به من حيث إنّه حكم مشكوك له حالة سابقة ، وموارد الأدلة الاجتهادية إنّما هي مواضع الشكّ على وجه يرتفع الشكّ بها ، فإنّها كاشفة ولو ظنّا عن الواقع ، ففيما إذا ثبت حكم في الزمان الثاني بدليل اجتهادي لا يصدق أنّه إبقاء لما يحتمل الارتفاع ، بل هو رفع لاحتمال الارتفاع بما يكشف عن الواقع لا حكم لموضوع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تعسّف لا ينبغي تحمّله في مقام التحديد ، على أنّه لا يلائم القول باعتباره من حيث الظنّ ؛ لكونه دليلا اجتهاديا كسائر الأدلّة الاجتهادية ، غاية الأمر عدم إمكان تعارضه لها نظرا إلى وجه خارجي ، مع أنّه ينتقض أيضا بما إذا ثبت الحكم في الزمان الثاني بأحد الأصول العملية فيما إذا توافق مواردها للاستصحاب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يدفع بكفاية لفظ </w:t>
      </w:r>
      <w:r>
        <w:rPr>
          <w:rStyle w:val="FootnoteAnchor"/>
          <w:rtl w:val="true"/>
        </w:rPr>
        <w:footnoteReference w:id="52"/>
      </w:r>
      <w:r>
        <w:rPr>
          <w:rFonts w:ascii="Amiri" w:hAnsi="Amiri" w:eastAsia="Amiri" w:cs="Amiri"/>
          <w:color w:val="111111"/>
          <w:sz w:val="28"/>
          <w:sz w:val="28"/>
          <w:szCs w:val="28"/>
          <w:rtl w:val="true"/>
          <w:lang w:bidi="ar-SA"/>
        </w:rPr>
        <w:t xml:space="preserve">الإبقاء عن ذلك ، وعلى تقديره فالحدّان متساويان فى ذلك ، واحتمال ورود دليل على لزوم الإبقاء مدفوع بأنّ الدليل الدالّ على لزوم الإبقاء ليس إلاّ الاستصحاب أو ما في معناه ، مضافا إلى أنّ </w:t>
      </w:r>
      <w:r>
        <w:rPr>
          <w:rStyle w:val="FootnoteAnchor"/>
          <w:rtl w:val="true"/>
        </w:rPr>
        <w:footnoteReference w:id="53"/>
      </w:r>
      <w:r>
        <w:rPr>
          <w:rFonts w:ascii="Amiri" w:hAnsi="Amiri" w:eastAsia="Amiri" w:cs="Amiri"/>
          <w:color w:val="111111"/>
          <w:sz w:val="28"/>
          <w:sz w:val="28"/>
          <w:szCs w:val="28"/>
          <w:rtl w:val="true"/>
          <w:lang w:bidi="ar-SA"/>
        </w:rPr>
        <w:t>كونه مسوقا لبيان حكم موضوع الشكّ ، وكونه معتبرا من باب التعبّد ، لا ينافي حصول الظنّ منه اتّفاقا ، فليس من محتمل الارتفاع حينئذ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الحدود غالبا حدود لفظية والمعنى معلوم ولا ينبغي الاهتمام في مثله بعد ظهور المقصود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ممّا </w:t>
      </w:r>
      <w:r>
        <w:rPr>
          <w:rStyle w:val="FootnoteAnchor"/>
          <w:rtl w:val="true"/>
        </w:rPr>
        <w:footnoteReference w:id="54"/>
      </w:r>
      <w:r>
        <w:rPr>
          <w:rFonts w:ascii="Amiri" w:hAnsi="Amiri" w:eastAsia="Amiri" w:cs="Amiri"/>
          <w:color w:val="111111"/>
          <w:sz w:val="28"/>
          <w:sz w:val="28"/>
          <w:szCs w:val="28"/>
          <w:rtl w:val="true"/>
          <w:lang w:bidi="ar-SA"/>
        </w:rPr>
        <w:t xml:space="preserve">ذكرنا من المناسبة بين المعنى اللغوي والاصطلاحي يظهر الوجه في عدم انطباق الاستصحاب لجملة من موارده ، كاستصحاب </w:t>
      </w:r>
      <w:r>
        <w:rPr>
          <w:rStyle w:val="FootnoteAnchor"/>
          <w:rtl w:val="true"/>
        </w:rPr>
        <w:footnoteReference w:id="55"/>
      </w:r>
      <w:r>
        <w:rPr>
          <w:rFonts w:ascii="IRNazanin" w:hAnsi="IRNazanin" w:eastAsia="IRNazanin"/>
          <w:color w:val="111111"/>
          <w:sz w:val="28"/>
          <w:sz w:val="28"/>
          <w:szCs w:val="28"/>
          <w:rtl w:val="true"/>
          <w:lang w:bidi="fa-IR"/>
        </w:rPr>
        <w:t xml:space="preserve">القهقرى </w:t>
      </w:r>
      <w:r>
        <w:rPr>
          <w:rStyle w:val="FootnoteAnchor"/>
          <w:rtl w:val="true"/>
        </w:rPr>
        <w:footnoteReference w:id="56"/>
      </w:r>
      <w:r>
        <w:rPr>
          <w:rFonts w:ascii="Amiri" w:hAnsi="Amiri" w:eastAsia="Amiri" w:cs="Amiri"/>
          <w:color w:val="111111"/>
          <w:sz w:val="28"/>
          <w:sz w:val="28"/>
          <w:szCs w:val="28"/>
          <w:rtl w:val="true"/>
          <w:lang w:bidi="ar-SA"/>
        </w:rPr>
        <w:t xml:space="preserve">المعروف في لسان عوامّ الطلبة ، وطورا يعبّر عنها </w:t>
      </w:r>
      <w:r>
        <w:rPr>
          <w:rStyle w:val="FootnoteAnchor"/>
          <w:rtl w:val="true"/>
        </w:rPr>
        <w:footnoteReference w:id="57"/>
      </w:r>
      <w:r>
        <w:rPr>
          <w:rFonts w:ascii="Amiri" w:hAnsi="Amiri" w:eastAsia="Amiri" w:cs="Amiri"/>
          <w:color w:val="111111"/>
          <w:sz w:val="28"/>
          <w:sz w:val="28"/>
          <w:szCs w:val="28"/>
          <w:rtl w:val="true"/>
          <w:lang w:bidi="ar-SA"/>
        </w:rPr>
        <w:t>بأصالة تشابه الأزمان ، والمراد به إثبات ما ثبت في الزمان اللاحق قبل ذلك الزمان من الأزمنة السابقة ؛ إذ ليس فيه الإبقاء بوجه ، بل قضيّة استصحاب العدم عدم ثبوته في الزمان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التمسّك فيه بأصالة عدم النقل ولا مدخل له فيما نحن بصدده ، وكاستصحاب الشكّ الساري ، وكاستصحاب العرضي ، واستصحاب حكم العقل ، ونحوها ممّا سنسوق الكلام في </w:t>
      </w:r>
      <w:r>
        <w:rPr>
          <w:rStyle w:val="FootnoteAnchor"/>
          <w:rtl w:val="true"/>
        </w:rPr>
        <w:footnoteReference w:id="58"/>
      </w:r>
      <w:r>
        <w:rPr>
          <w:rFonts w:ascii="Amiri" w:hAnsi="Amiri" w:eastAsia="Amiri" w:cs="Amiri"/>
          <w:color w:val="111111"/>
          <w:sz w:val="28"/>
          <w:sz w:val="28"/>
          <w:szCs w:val="28"/>
          <w:rtl w:val="true"/>
          <w:lang w:bidi="ar-SA"/>
        </w:rPr>
        <w:t xml:space="preserve">تفاصيلها إن شاء اللّه العزيز ، فتأمّل في المقام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22" w:name="pg16284_170997"/>
    </w:p>
    <w:p>
      <w:pPr>
        <w:pStyle w:val="Heading3"/>
        <w:numPr>
          <w:ilvl w:val="2"/>
          <w:numId w:val="1"/>
        </w:numPr>
        <w:rPr/>
      </w:pPr>
      <w:bookmarkStart w:id="23" w:name="__RefHeading___Toc5012038_1280447820"/>
      <w:bookmarkStart w:id="24" w:name="_Toc8"/>
      <w:bookmarkEnd w:id="22"/>
      <w:bookmarkEnd w:id="23"/>
      <w:r>
        <w:rPr>
          <w:rtl w:val="true"/>
        </w:rPr>
        <w:t xml:space="preserve">هداية </w:t>
      </w:r>
      <w:r>
        <w:rPr>
          <w:rtl w:val="true"/>
        </w:rPr>
        <w:t xml:space="preserve">[ </w:t>
      </w:r>
      <w:r>
        <w:rPr>
          <w:rtl w:val="true"/>
        </w:rPr>
        <w:t xml:space="preserve">في أنّ الاستصحاب من الأدلّة أو من القواعد الفقهية </w:t>
      </w:r>
      <w:r>
        <w:rPr>
          <w:rtl w:val="true"/>
        </w:rPr>
        <w:t>]</w:t>
      </w:r>
      <w:bookmarkEnd w:id="24"/>
    </w:p>
    <w:p>
      <w:pPr>
        <w:pStyle w:val="Heading4"/>
        <w:numPr>
          <w:ilvl w:val="3"/>
          <w:numId w:val="1"/>
        </w:numPr>
        <w:rPr/>
      </w:pPr>
      <w:bookmarkStart w:id="25" w:name="__RefHeading___Toc5012040_1280447820"/>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هل الاستصحاب من الأدلّة </w:t>
      </w:r>
      <w:r>
        <w:rPr>
          <w:rStyle w:val="FootnoteAnchor"/>
          <w:rtl w:val="true"/>
        </w:rPr>
        <w:footnoteReference w:id="60"/>
      </w:r>
      <w:r>
        <w:rPr>
          <w:rFonts w:ascii="Amiri" w:hAnsi="Amiri" w:eastAsia="Amiri" w:cs="Amiri"/>
          <w:color w:val="111111"/>
          <w:sz w:val="28"/>
          <w:sz w:val="28"/>
          <w:szCs w:val="28"/>
          <w:rtl w:val="true"/>
          <w:lang w:bidi="ar-SA"/>
        </w:rPr>
        <w:t xml:space="preserve">، أو من القواعد الفقهية؟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w:t>
      </w:r>
      <w:r>
        <w:rPr>
          <w:rStyle w:val="FootnoteAnchor"/>
          <w:rtl w:val="true"/>
        </w:rPr>
        <w:footnoteReference w:id="61"/>
      </w:r>
      <w:r>
        <w:rPr>
          <w:rFonts w:ascii="Amiri" w:hAnsi="Amiri" w:eastAsia="Amiri" w:cs="Amiri"/>
          <w:color w:val="111111"/>
          <w:sz w:val="28"/>
          <w:sz w:val="28"/>
          <w:szCs w:val="28"/>
          <w:rtl w:val="true"/>
          <w:lang w:bidi="ar-SA"/>
        </w:rPr>
        <w:t xml:space="preserve">من القواعد الممهّدة للاستنباط حتّى يكون </w:t>
      </w:r>
      <w:r>
        <w:rPr>
          <w:rStyle w:val="FootnoteAnchor"/>
          <w:rtl w:val="true"/>
        </w:rPr>
        <w:footnoteReference w:id="62"/>
      </w:r>
      <w:r>
        <w:rPr>
          <w:rFonts w:ascii="Amiri" w:hAnsi="Amiri" w:eastAsia="Amiri" w:cs="Amiri"/>
          <w:color w:val="111111"/>
          <w:sz w:val="28"/>
          <w:sz w:val="28"/>
          <w:szCs w:val="28"/>
          <w:rtl w:val="true"/>
          <w:lang w:bidi="ar-SA"/>
        </w:rPr>
        <w:t xml:space="preserve">من المسائل الأصولية ، أو هو من القواعد الكلّية الفرعية؟ فلنا مقامان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5012042_1280447820"/>
      <w:bookmarkStart w:id="28" w:name="_Toc10"/>
      <w:bookmarkEnd w:id="27"/>
      <w:r>
        <w:rPr>
          <w:rtl w:val="true"/>
        </w:rPr>
        <w:t xml:space="preserve">[ </w:t>
      </w:r>
      <w:r>
        <w:rPr>
          <w:rtl w:val="true"/>
        </w:rPr>
        <w:t xml:space="preserve">المقام </w:t>
      </w:r>
      <w:r>
        <w:rPr>
          <w:rtl w:val="true"/>
        </w:rPr>
        <w:t xml:space="preserve">] </w:t>
      </w:r>
      <w:r>
        <w:rPr>
          <w:rtl w:val="true"/>
        </w:rPr>
        <w:t>الأوّل</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جماعة من أساطين الفنّ في عداد الأدلّة العقلية كالمحقّق </w:t>
      </w:r>
      <w:r>
        <w:rPr>
          <w:rStyle w:val="FootnoteAnchor"/>
          <w:rtl w:val="true"/>
        </w:rPr>
        <w:footnoteReference w:id="63"/>
      </w:r>
      <w:r>
        <w:rPr>
          <w:rFonts w:ascii="Amiri" w:hAnsi="Amiri" w:eastAsia="Amiri" w:cs="Amiri"/>
          <w:color w:val="111111"/>
          <w:sz w:val="28"/>
          <w:sz w:val="28"/>
          <w:szCs w:val="28"/>
          <w:rtl w:val="true"/>
          <w:lang w:bidi="ar-SA"/>
        </w:rPr>
        <w:t>وأضرابه ، ولعلّه مبنيّ على إفادته الظنّ ؛ إذ لا كلام في كونه من الأدلّة حينئذ ، إذ الدليل العقلي هو حكم عقلي يتوصّل به إلى حكم شرعي ، وهو صادق على حكم العقل ظنّا ببقاء ما ثبت ، فإنّه موصل إلى الحكم الشرعي ، كما في صورة العلم العقلي ؛ إذ لا يتفاوت في صدق الحكم العقلي على أفراده بين أن يكون قطعيا كحسن العدل والإحسان ، أو ظنّيا كالاستصحاب والاستحسان ، إلاّ من جهة تفاوت مراتب نفس الحكم والإدراك ظنّا وعلما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 الأخبار الواردة في المقام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واردة على طبق حكم العقل فتدلّ على اعتبار الاستصحاب من حيث إفادته الظنّ ، فهو أيضا دليل كأخبار الآحاد وغيرها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كون الشيء دليلا هو كاشفيته عن الواقع على وجه به يوصل إليه ومنه يطلب أمرا واقعيا ثابتا في نفس الأمر ، فكلّما كان الشيء كاشفا ولو ظنا عن الواقع ، فهو دليل ، غاية ما في الباب عدم اعتبار الكاشف الظنّي إلاّ بعد دلالة دليل عليه ، بخلاف ما لو كان علميا ؛ إذ لا حاجة فيه إلى دليل آخر غير نفسه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فالاستصحاب الظنّي دليل ، سواء كان المدار في اعتباره على القاعدة العقلية التي زعمها القائل بها </w:t>
      </w:r>
      <w:r>
        <w:rPr>
          <w:rStyle w:val="FootnoteAnchor"/>
          <w:rtl w:val="true"/>
        </w:rPr>
        <w:footnoteReference w:id="64"/>
      </w:r>
      <w:r>
        <w:rPr>
          <w:rFonts w:ascii="Amiri" w:hAnsi="Amiri" w:eastAsia="Amiri" w:cs="Amiri"/>
          <w:color w:val="111111"/>
          <w:sz w:val="28"/>
          <w:sz w:val="28"/>
          <w:szCs w:val="28"/>
          <w:rtl w:val="true"/>
          <w:lang w:bidi="ar-SA"/>
        </w:rPr>
        <w:t xml:space="preserve">، أو على الأخبار ، ألا ترى أنّ جملة من الأدلّة تستفاد </w:t>
      </w:r>
      <w:r>
        <w:rPr>
          <w:rStyle w:val="FootnoteAnchor"/>
          <w:rtl w:val="true"/>
        </w:rPr>
        <w:footnoteReference w:id="65"/>
      </w:r>
      <w:r>
        <w:rPr>
          <w:rFonts w:ascii="Amiri" w:hAnsi="Amiri" w:eastAsia="Amiri" w:cs="Amiri"/>
          <w:color w:val="111111"/>
          <w:sz w:val="28"/>
          <w:sz w:val="28"/>
          <w:szCs w:val="28"/>
          <w:rtl w:val="true"/>
          <w:lang w:bidi="ar-SA"/>
        </w:rPr>
        <w:t>حجّيتها من الأدلّة الشرعية ومع ذلك لا يتوهّم خروجها عن الأدلّة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بأنّ الأخبار الدالّة على الاستصحاب ليست مقرّرة لما استقرّ عليه بناء العقلاء من اعتبار الاستصحاب الظنّي ، بل إنّما يدلّ على الاستصحاب التعبّدي والأخذ بالحالة السابقة بترتيب آثارها عليها عند الشكّ ، فلا شكّ في عدم كونه دليلا ، فإنّه حينئذ كإحدى </w:t>
      </w:r>
      <w:r>
        <w:rPr>
          <w:rStyle w:val="FootnoteAnchor"/>
          <w:rtl w:val="true"/>
        </w:rPr>
        <w:footnoteReference w:id="66"/>
      </w:r>
      <w:r>
        <w:rPr>
          <w:rFonts w:ascii="Amiri" w:hAnsi="Amiri" w:eastAsia="Amiri" w:cs="Amiri"/>
          <w:color w:val="111111"/>
          <w:sz w:val="28"/>
          <w:sz w:val="28"/>
          <w:szCs w:val="28"/>
          <w:rtl w:val="true"/>
          <w:lang w:bidi="ar-SA"/>
        </w:rPr>
        <w:t xml:space="preserve">القواعد الشرعية من قاعدة اليد والضرر ولزوم البيع ونحوها ، فإنّ المناط في كون شيء قاعدة هو أن يكون مفادا لدليل شرعي ، ولم يكن من حيث كشفه عن الواقع وإن كشف عنه في بعض الأحيان كشفا اتّفاقيا ؛ إذ لم يكن اعتباره من هذه الحيثية ، ومن هنا انقدح أنّ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قاعدة شرعية ، بخلاف ما ورد من وجوب متابعة الإمام ، فإنّه دليل من حيث كشفه عن </w:t>
      </w:r>
      <w:bookmarkStart w:id="29" w:name="pg16284_170999"/>
    </w:p>
    <w:p>
      <w:pPr>
        <w:pStyle w:val="BookText"/>
        <w:rPr/>
      </w:pPr>
      <w:bookmarkEnd w:id="29"/>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ليس إلاّ حكم الشارع في موارد الشكّ بالأخذ بالحالة السابقة علاجا للشكّ في الواقعة المشكوك فيها </w:t>
      </w:r>
      <w:r>
        <w:rPr>
          <w:rStyle w:val="FootnoteAnchor"/>
          <w:rtl w:val="true"/>
        </w:rPr>
        <w:footnoteReference w:id="68"/>
      </w:r>
      <w:r>
        <w:rPr>
          <w:rFonts w:ascii="Amiri" w:hAnsi="Amiri" w:eastAsia="Amiri" w:cs="Amiri"/>
          <w:color w:val="111111"/>
          <w:sz w:val="28"/>
          <w:sz w:val="28"/>
          <w:szCs w:val="28"/>
          <w:rtl w:val="true"/>
          <w:lang w:bidi="ar-SA"/>
        </w:rPr>
        <w:t>، وهذا هو المراد من كونه قاعدة فقهية لا دليلا ، لا أنّه لا يمكن جعل تلك القاعدة كبرى عند الشكّ في أحكام جزئيات موضوعها ، كما هو الشأن في جميع القواعد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دليلية الاستصحاب على تقدير أخذه من العقل إنّما </w:t>
      </w:r>
      <w:r>
        <w:rPr>
          <w:rStyle w:val="FootnoteAnchor"/>
          <w:rtl w:val="true"/>
        </w:rPr>
        <w:footnoteReference w:id="69"/>
      </w:r>
      <w:r>
        <w:rPr>
          <w:rFonts w:ascii="Amiri" w:hAnsi="Amiri" w:eastAsia="Amiri" w:cs="Amiri"/>
          <w:color w:val="111111"/>
          <w:sz w:val="28"/>
          <w:sz w:val="28"/>
          <w:szCs w:val="28"/>
          <w:rtl w:val="true"/>
          <w:lang w:bidi="ar-SA"/>
        </w:rPr>
        <w:t>يجدي في كونه دليلا ، ولا يجدي في عدّه دليلا آخر في قبال العقل ؛ لأنّه منه ، فيتّحد القسمان إلاّ أن يكون تنبيها على اختلاف نوعي حكم العقل فيه وفي القطعيات</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5012044_1280447820"/>
      <w:bookmarkStart w:id="31" w:name="_Toc11"/>
      <w:bookmarkEnd w:id="30"/>
      <w:r>
        <w:rPr>
          <w:rtl w:val="true"/>
        </w:rPr>
        <w:t>المقام الثاني</w:t>
      </w:r>
      <w:bookmarkEnd w:id="31"/>
    </w:p>
    <w:p>
      <w:pPr>
        <w:pStyle w:val="BookText"/>
        <w:rPr/>
      </w:pPr>
      <w:r>
        <w:rPr>
          <w:rFonts w:ascii="Amiri" w:hAnsi="Amiri" w:eastAsia="Amiri" w:cs="Amiri"/>
          <w:color w:val="111111"/>
          <w:sz w:val="28"/>
          <w:sz w:val="28"/>
          <w:szCs w:val="28"/>
          <w:rtl w:val="true"/>
          <w:lang w:bidi="ar-SA"/>
        </w:rPr>
        <w:t xml:space="preserve">فى أنّه هل البحث في الاستصحاب بحث عن المسألة الأصولية ، أو </w:t>
      </w:r>
      <w:r>
        <w:rPr>
          <w:rStyle w:val="FootnoteAnchor"/>
          <w:rtl w:val="true"/>
        </w:rPr>
        <w:footnoteReference w:id="70"/>
      </w:r>
      <w:r>
        <w:rPr>
          <w:rFonts w:ascii="Amiri" w:hAnsi="Amiri" w:eastAsia="Amiri" w:cs="Amiri"/>
          <w:color w:val="111111"/>
          <w:sz w:val="28"/>
          <w:sz w:val="28"/>
          <w:szCs w:val="28"/>
          <w:rtl w:val="true"/>
          <w:lang w:bidi="ar-SA"/>
        </w:rPr>
        <w:t xml:space="preserve">بحث عن المسألة الفرعية؟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ما علم في المقام الأوّل من أنّه دليل أو قاعدة لا وجه للتكلّم في هذا المقام ؛ إذ على الأوّل فهو من المسائل الأصولية ، وعلى الثاني </w:t>
      </w:r>
      <w:r>
        <w:rPr>
          <w:rStyle w:val="FootnoteAnchor"/>
          <w:rtl w:val="true"/>
        </w:rPr>
        <w:footnoteReference w:id="71"/>
      </w:r>
      <w:r>
        <w:rPr>
          <w:rFonts w:ascii="Amiri" w:hAnsi="Amiri" w:eastAsia="Amiri" w:cs="Amiri"/>
          <w:color w:val="111111"/>
          <w:sz w:val="28"/>
          <w:sz w:val="28"/>
          <w:szCs w:val="28"/>
          <w:rtl w:val="true"/>
          <w:lang w:bidi="ar-SA"/>
        </w:rPr>
        <w:t xml:space="preserve">فهو من المسائل الفرعية ، وليس كما يتوهّم </w:t>
      </w:r>
      <w:r>
        <w:rPr>
          <w:rStyle w:val="FootnoteAnchor"/>
          <w:rtl w:val="true"/>
        </w:rPr>
        <w:footnoteReference w:id="72"/>
      </w:r>
      <w:r>
        <w:rPr>
          <w:rFonts w:ascii="Amiri" w:hAnsi="Amiri" w:eastAsia="Amiri" w:cs="Amiri"/>
          <w:color w:val="111111"/>
          <w:sz w:val="28"/>
          <w:sz w:val="28"/>
          <w:szCs w:val="28"/>
          <w:rtl w:val="true"/>
          <w:lang w:bidi="ar-SA"/>
        </w:rPr>
        <w:t>؛ إذ قد يكون دليلا في الموضوعات الخارجية على الظنّ والتعبّد ولا يصير البحث عنه أصوليا ، وقد يكون قاعدة والبحث عنه أصولي ، لكونها ممهّدة للاستنباط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فتحقيق البحث موقوف على تمهيد مقدّمة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المعيار في تميّز مسائل العلوم المختلفة على ما هو المقرّر في مقامه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ملاحظة رجوع البحث في تلك المسألة إلى البحث عن </w:t>
      </w:r>
    </w:p>
    <w:p>
      <w:pPr>
        <w:pStyle w:val="BookText"/>
        <w:rPr/>
      </w:pPr>
      <w:r>
        <w:rPr>
          <w:rFonts w:ascii="Amiri" w:hAnsi="Amiri" w:eastAsia="Amiri" w:cs="Amiri"/>
          <w:color w:val="111111"/>
          <w:sz w:val="28"/>
          <w:sz w:val="28"/>
          <w:szCs w:val="28"/>
          <w:rtl w:val="true"/>
          <w:lang w:bidi="ar-SA"/>
        </w:rPr>
        <w:t xml:space="preserve">عوارض الموضوع في ذلك العلم ، فإنّ تمايز العلوم بتمايز الموضوعات ، فإنّ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المحمولات من حيث انتسابها إلى الموضوعات ، والموضوع في المسألة قد يكون نفس موضوع العلم ، وقد يكون جزء منه ، أو جزئيا له </w:t>
      </w:r>
      <w:r>
        <w:rPr>
          <w:rStyle w:val="FootnoteAnchor"/>
          <w:rtl w:val="true"/>
        </w:rPr>
        <w:footnoteReference w:id="73"/>
      </w:r>
      <w:r>
        <w:rPr>
          <w:rFonts w:ascii="Amiri" w:hAnsi="Amiri" w:eastAsia="Amiri" w:cs="Amiri"/>
          <w:color w:val="111111"/>
          <w:sz w:val="28"/>
          <w:sz w:val="28"/>
          <w:szCs w:val="28"/>
          <w:rtl w:val="true"/>
          <w:lang w:bidi="ar-SA"/>
        </w:rPr>
        <w:t>، أو جزء من جزئيه ، على الوجه المعهود في مسائل العلوم المدوّنة ، وبيان كيفية البحث عن الأجزاء والجزئيات خارج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فملاحظة الموضوع من أقوى ما يحصل به </w:t>
      </w:r>
      <w:r>
        <w:rPr>
          <w:rStyle w:val="FootnoteAnchor"/>
          <w:rtl w:val="true"/>
        </w:rPr>
        <w:footnoteReference w:id="74"/>
      </w:r>
      <w:r>
        <w:rPr>
          <w:rFonts w:ascii="Amiri" w:hAnsi="Amiri" w:eastAsia="Amiri" w:cs="Amiri"/>
          <w:color w:val="111111"/>
          <w:sz w:val="28"/>
          <w:sz w:val="28"/>
          <w:szCs w:val="28"/>
          <w:rtl w:val="true"/>
          <w:lang w:bidi="ar-SA"/>
        </w:rPr>
        <w:t xml:space="preserve">التميّز عند اشتباه المسائل ، لكنّه إنّما يجدي إذا كان الموضوع معلوما عند الكلّ متّفقا عليه ، وأمّا إذا كان مختلفا فيه فقد يمكن أن يكون شيء من الموضوع عند البعض ، فالبحث عنه إنّما يعدّ من مسائل الفنّ عنده لا عند من لا يراه منه كما هو ظاهر ، مثلا موضوع الأصول ممّا قد اختلف فيه ، فقيل بكونه ذوات الأدلّة مع قطع النظر عن </w:t>
      </w:r>
      <w:r>
        <w:rPr>
          <w:rStyle w:val="FootnoteAnchor"/>
          <w:rtl w:val="true"/>
        </w:rPr>
        <w:footnoteReference w:id="75"/>
      </w:r>
      <w:r>
        <w:rPr>
          <w:rFonts w:ascii="Amiri" w:hAnsi="Amiri" w:eastAsia="Amiri" w:cs="Amiri"/>
          <w:color w:val="111111"/>
          <w:sz w:val="28"/>
          <w:sz w:val="28"/>
          <w:szCs w:val="28"/>
          <w:rtl w:val="true"/>
          <w:lang w:bidi="ar-SA"/>
        </w:rPr>
        <w:t xml:space="preserve">اتّصافها بالدليلية ، فيكون البحث عن دليليتها داخلا في علم الأصول ، وقيل بكونه الأدلّة مع كونها أدلّة ، فلا يكون البحث عن دليليتها داخلا في العلم ؛ لما تقرّر </w:t>
      </w:r>
      <w:r>
        <w:rPr>
          <w:rStyle w:val="FootnoteAnchor"/>
          <w:rtl w:val="true"/>
        </w:rPr>
        <w:footnoteReference w:id="76"/>
      </w:r>
      <w:r>
        <w:rPr>
          <w:rFonts w:ascii="Amiri" w:hAnsi="Amiri" w:eastAsia="Amiri" w:cs="Amiri"/>
          <w:color w:val="111111"/>
          <w:sz w:val="28"/>
          <w:sz w:val="28"/>
          <w:szCs w:val="28"/>
          <w:rtl w:val="true"/>
          <w:lang w:bidi="ar-SA"/>
        </w:rPr>
        <w:t>من أنّ الموضوعات في العلوم المدوّنة لا بدّ وأن يكون إمّا مبنيّة في العلم الأعلى ، أو مبنيّة بنفسها ، ولمّا كان المتعارف فى كتب الأصول البحث عن تلك المسائل أيضا ، تجشّم بعضهم في دفع ذلك بالوجه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قدم الكتاب وحدوثه ، وكونه معجزة وعدمه ، وكيفية نزوله ، ومراتب بواطنه ، من المسائل المدوّنة في غير الفنّ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بنوع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فعند ذلك لا بدّ من الرجوع إلى غير هذا المعيار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العلم فإنّه أيضا ممّا يمكن استعلام حال المسائل به ، فإنّ التحديدات المتداولة في العلوم المدوّنة وإن لم يمكن أن تكون </w:t>
      </w:r>
      <w:r>
        <w:rPr>
          <w:rStyle w:val="FootnoteAnchor"/>
          <w:rtl w:val="true"/>
        </w:rPr>
        <w:footnoteReference w:id="77"/>
      </w:r>
      <w:r>
        <w:rPr>
          <w:rFonts w:ascii="Amiri" w:hAnsi="Amiri" w:eastAsia="Amiri" w:cs="Amiri"/>
          <w:color w:val="111111"/>
          <w:sz w:val="28"/>
          <w:sz w:val="28"/>
          <w:szCs w:val="28"/>
          <w:rtl w:val="true"/>
          <w:lang w:bidi="ar-SA"/>
        </w:rPr>
        <w:t xml:space="preserve">تحديدات حقيقية </w:t>
      </w:r>
      <w:r>
        <w:rPr>
          <w:rStyle w:val="FootnoteAnchor"/>
          <w:rtl w:val="true"/>
        </w:rPr>
        <w:footnoteReference w:id="78"/>
      </w:r>
      <w:r>
        <w:rPr>
          <w:rFonts w:ascii="Amiri" w:hAnsi="Amiri" w:eastAsia="Amiri" w:cs="Amiri"/>
          <w:color w:val="111111"/>
          <w:sz w:val="28"/>
          <w:sz w:val="28"/>
          <w:szCs w:val="28"/>
          <w:rtl w:val="true"/>
          <w:lang w:bidi="ar-SA"/>
        </w:rPr>
        <w:t xml:space="preserve">ومركّبة من </w:t>
      </w:r>
    </w:p>
    <w:p>
      <w:pPr>
        <w:pStyle w:val="BookText"/>
        <w:rPr/>
      </w:pPr>
      <w:r>
        <w:rPr>
          <w:rFonts w:ascii="Amiri" w:hAnsi="Amiri" w:eastAsia="Amiri" w:cs="Amiri"/>
          <w:color w:val="111111"/>
          <w:sz w:val="28"/>
          <w:sz w:val="28"/>
          <w:szCs w:val="28"/>
          <w:rtl w:val="true"/>
          <w:lang w:bidi="ar-SA"/>
        </w:rPr>
        <w:t xml:space="preserve">الأجناس والفصول ، لتعذّر الاطّلاع على كنه العلوم ابتداء ، إلاّ أنّه لا بدّ وأن يكون على وجه شامل لجميع المسائل المبحوث عنها في تلك العلوم ولو شمولا عرضيا بحيث لو اطّلع الطالب على مسألة منها عرف بكونها منها </w:t>
      </w:r>
      <w:r>
        <w:rPr>
          <w:rStyle w:val="FootnoteAnchor"/>
          <w:rtl w:val="true"/>
        </w:rPr>
        <w:footnoteReference w:id="79"/>
      </w:r>
      <w:r>
        <w:rPr>
          <w:rFonts w:ascii="Amiri" w:hAnsi="Amiri" w:eastAsia="Amiri" w:cs="Amiri"/>
          <w:color w:val="111111"/>
          <w:sz w:val="28"/>
          <w:sz w:val="28"/>
          <w:szCs w:val="28"/>
          <w:rtl w:val="true"/>
          <w:lang w:bidi="ar-SA"/>
        </w:rPr>
        <w:t xml:space="preserve">، فالحدّ هي الجهة الجامعة لمسائل العلم ، ومنه يستعلم حال الموارد المختلفة ؛ إذ لا أقلّ من كونه مانعا عن المسائل التي ليست من العلم ، وجامعا للتي هي منه ، وذلك ظاهر في الغاية ، إلاّ أنّه لا بدّ أن يعلم أنّه متى تعارض </w:t>
      </w:r>
      <w:r>
        <w:rPr>
          <w:rStyle w:val="FootnoteAnchor"/>
          <w:rtl w:val="true"/>
        </w:rPr>
        <w:footnoteReference w:id="80"/>
      </w:r>
      <w:r>
        <w:rPr>
          <w:rFonts w:ascii="Amiri" w:hAnsi="Amiri" w:eastAsia="Amiri" w:cs="Amiri"/>
          <w:color w:val="111111"/>
          <w:sz w:val="28"/>
          <w:sz w:val="28"/>
          <w:szCs w:val="28"/>
          <w:rtl w:val="true"/>
          <w:lang w:bidi="ar-SA"/>
        </w:rPr>
        <w:t xml:space="preserve">الموضوع والحدّ في تميّز مسألة على وجه يحكم الأوّل بدخوله في العلم ، والثاني بخروجه عنه </w:t>
      </w:r>
      <w:r>
        <w:rPr>
          <w:rStyle w:val="FootnoteAnchor"/>
          <w:rtl w:val="true"/>
        </w:rPr>
        <w:footnoteReference w:id="81"/>
      </w:r>
      <w:r>
        <w:rPr>
          <w:rFonts w:ascii="Amiri" w:hAnsi="Amiri" w:eastAsia="Amiri" w:cs="Amiri"/>
          <w:color w:val="111111"/>
          <w:sz w:val="28"/>
          <w:sz w:val="28"/>
          <w:szCs w:val="28"/>
          <w:rtl w:val="true"/>
          <w:lang w:bidi="ar-SA"/>
        </w:rPr>
        <w:t xml:space="preserve">، فالموضوع هو المقدّم ؛ لكونه أصلا في التميّز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تمايز العلوم بتمايز الموضوعات مع حصول التميّز بغيرها أيضا ، والوجه في ذلك انتزاع الحدّ واقعا من الأمور المختلفة والمحمولات المنتهية إلى جهة متّحدة وهو الموضوع ، فهو تابع للموضوع ، وأمّا المحمول فتميّزه بتميّز الموضوع ؛ لكونه من أحكامه من حيث هو محمول ، فهو الأصل في التميّز كما لا يخفى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أضعفها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تدوين أهل العلم لها فيه ، أو تنصيص أهل الفنّ والخبرة بذلك ، هذا بالنسبة إلى مطلق العلوم المدوّنة ، وقد يوجد فى بعض منها ما يخصّ البعض كما في المسائل الفقهية والمسائل الأصولية ، فإنّ من خصائص الأولى أنّ بعد ما استفرغ المجتهد </w:t>
      </w:r>
      <w:r>
        <w:rPr>
          <w:rStyle w:val="FootnoteAnchor"/>
          <w:rtl w:val="true"/>
        </w:rPr>
        <w:footnoteReference w:id="82"/>
      </w:r>
      <w:r>
        <w:rPr>
          <w:rFonts w:ascii="Amiri" w:hAnsi="Amiri" w:eastAsia="Amiri" w:cs="Amiri"/>
          <w:color w:val="111111"/>
          <w:sz w:val="28"/>
          <w:sz w:val="28"/>
          <w:szCs w:val="28"/>
          <w:rtl w:val="true"/>
          <w:lang w:bidi="ar-SA"/>
        </w:rPr>
        <w:t xml:space="preserve">جهده في تحصيل الحكم الشرعي وبذل وسعه في استنباطه بدفع المعارضات للأدلّة وبتوضيح الدلالات فيها ، كان للمقلّد أن يعمل به بلا حالة منتظرة </w:t>
      </w:r>
      <w:r>
        <w:rPr>
          <w:rStyle w:val="FootnoteAnchor"/>
          <w:rtl w:val="true"/>
        </w:rPr>
        <w:footnoteReference w:id="83"/>
      </w:r>
      <w:r>
        <w:rPr>
          <w:rFonts w:ascii="Amiri" w:hAnsi="Amiri" w:eastAsia="Amiri" w:cs="Amiri"/>
          <w:color w:val="111111"/>
          <w:sz w:val="28"/>
          <w:sz w:val="28"/>
          <w:szCs w:val="28"/>
          <w:rtl w:val="true"/>
          <w:lang w:bidi="ar-SA"/>
        </w:rPr>
        <w:t xml:space="preserve">، كوجوب الصلاة ، ولزوم البيع ، وثبوت الخيار عند ظهور العيب فى المبيع ، ونحوها ، ومن خصائص الثانية أنّه </w:t>
      </w:r>
      <w:r>
        <w:rPr>
          <w:rStyle w:val="FootnoteAnchor"/>
          <w:rtl w:val="true"/>
        </w:rPr>
        <w:footnoteReference w:id="84"/>
      </w:r>
      <w:r>
        <w:rPr>
          <w:rFonts w:ascii="Amiri" w:hAnsi="Amiri" w:eastAsia="Amiri" w:cs="Amiri"/>
          <w:color w:val="111111"/>
          <w:sz w:val="28"/>
          <w:sz w:val="28"/>
          <w:szCs w:val="28"/>
          <w:rtl w:val="true"/>
          <w:lang w:bidi="ar-SA"/>
        </w:rPr>
        <w:t xml:space="preserve">بعد التنقيح والتصحيح لم يكن من شأن المقلّد أن يعمل به ، </w:t>
      </w:r>
      <w:bookmarkStart w:id="32" w:name="pg16284_171002"/>
    </w:p>
    <w:p>
      <w:pPr>
        <w:pStyle w:val="BookText"/>
        <w:rPr/>
      </w:pPr>
      <w:bookmarkEnd w:id="32"/>
      <w:r>
        <w:rPr>
          <w:rFonts w:ascii="Amiri" w:hAnsi="Amiri" w:eastAsia="Amiri" w:cs="Amiri"/>
          <w:color w:val="111111"/>
          <w:sz w:val="28"/>
          <w:sz w:val="28"/>
          <w:szCs w:val="28"/>
          <w:rtl w:val="true"/>
          <w:lang w:bidi="ar-SA"/>
        </w:rPr>
        <w:t xml:space="preserve">كحجّية أخبار الآحاد ، فإنّ بعد إثبات هذه القضيّة ليس للمقلّد أن يعمل بالخبر </w:t>
      </w:r>
      <w:r>
        <w:rPr>
          <w:rStyle w:val="FootnoteAnchor"/>
          <w:rtl w:val="true"/>
        </w:rPr>
        <w:footnoteReference w:id="85"/>
      </w:r>
      <w:r>
        <w:rPr>
          <w:rFonts w:ascii="Amiri" w:hAnsi="Amiri" w:eastAsia="Amiri" w:cs="Amiri"/>
          <w:color w:val="111111"/>
          <w:sz w:val="28"/>
          <w:sz w:val="28"/>
          <w:szCs w:val="28"/>
          <w:rtl w:val="true"/>
          <w:lang w:bidi="ar-SA"/>
        </w:rPr>
        <w:t xml:space="preserve">؛ إذ غاية الأمر أنّ المجتهد إنّما تصدّى لدفع المعارضات للحجّية ، وأمّا المعارضات لمدلول كلّ واحد من الأخبار ، فلدفعها محلّ آخر ، فلا بدّ من ملاحظة الأصول المعمولة </w:t>
      </w:r>
      <w:r>
        <w:rPr>
          <w:rStyle w:val="FootnoteAnchor"/>
          <w:rtl w:val="true"/>
        </w:rPr>
        <w:footnoteReference w:id="86"/>
      </w:r>
      <w:r>
        <w:rPr>
          <w:rFonts w:ascii="Amiri" w:hAnsi="Amiri" w:eastAsia="Amiri" w:cs="Amiri"/>
          <w:color w:val="111111"/>
          <w:sz w:val="28"/>
          <w:sz w:val="28"/>
          <w:szCs w:val="28"/>
          <w:rtl w:val="true"/>
          <w:lang w:bidi="ar-SA"/>
        </w:rPr>
        <w:t xml:space="preserve">في الأدلّة اللفظية من أصالة عدم الحذف والقرينة </w:t>
      </w:r>
      <w:r>
        <w:rPr>
          <w:rStyle w:val="FootnoteAnchor"/>
          <w:rtl w:val="true"/>
        </w:rPr>
        <w:footnoteReference w:id="87"/>
      </w:r>
      <w:r>
        <w:rPr>
          <w:rFonts w:ascii="IRNazanin" w:hAnsi="IRNazanin" w:eastAsia="IRNazanin"/>
          <w:color w:val="111111"/>
          <w:sz w:val="28"/>
          <w:sz w:val="28"/>
          <w:szCs w:val="28"/>
          <w:rtl w:val="true"/>
          <w:lang w:bidi="fa-IR"/>
        </w:rPr>
        <w:t xml:space="preserve">والنقل ونحوها </w:t>
      </w:r>
      <w:r>
        <w:rPr>
          <w:rStyle w:val="FootnoteAnchor"/>
          <w:rtl w:val="true"/>
        </w:rPr>
        <w:footnoteReference w:id="88"/>
      </w:r>
      <w:r>
        <w:rPr>
          <w:rFonts w:ascii="Amiri" w:hAnsi="Amiri" w:eastAsia="Amiri" w:cs="Amiri"/>
          <w:color w:val="111111"/>
          <w:sz w:val="28"/>
          <w:sz w:val="28"/>
          <w:szCs w:val="28"/>
          <w:rtl w:val="true"/>
          <w:lang w:bidi="ar-SA"/>
        </w:rPr>
        <w:t xml:space="preserve">، وتشخيص الأوضاع للألفاظ </w:t>
      </w:r>
      <w:r>
        <w:rPr>
          <w:rStyle w:val="FootnoteAnchor"/>
          <w:rtl w:val="true"/>
        </w:rPr>
        <w:footnoteReference w:id="89"/>
      </w:r>
      <w:r>
        <w:rPr>
          <w:rFonts w:ascii="Amiri" w:hAnsi="Amiri" w:eastAsia="Amiri" w:cs="Amiri"/>
          <w:color w:val="111111"/>
          <w:sz w:val="28"/>
          <w:sz w:val="28"/>
          <w:szCs w:val="28"/>
          <w:rtl w:val="true"/>
          <w:lang w:bidi="ar-SA"/>
        </w:rPr>
        <w:t xml:space="preserve">الواقعة فيها من كون الأمر الواقع فيها للوجوب أو للندب </w:t>
      </w:r>
      <w:r>
        <w:rPr>
          <w:rStyle w:val="FootnoteAnchor"/>
          <w:rtl w:val="true"/>
        </w:rPr>
        <w:footnoteReference w:id="90"/>
      </w:r>
      <w:r>
        <w:rPr>
          <w:rFonts w:ascii="Amiri" w:hAnsi="Amiri" w:eastAsia="Amiri" w:cs="Amiri"/>
          <w:color w:val="111111"/>
          <w:sz w:val="28"/>
          <w:sz w:val="28"/>
          <w:szCs w:val="28"/>
          <w:rtl w:val="true"/>
          <w:lang w:bidi="ar-SA"/>
        </w:rPr>
        <w:t xml:space="preserve">، إلى غير ذلك من وجوه الاختلافات التي ليس للمقلّد تشخيصها وتحقيقها كما هو ظاهر وإذ قد تمهّد هذه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تحقيق الكلام في مقامين </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5012046_1280447820"/>
      <w:bookmarkStart w:id="34" w:name="_Toc12"/>
      <w:bookmarkEnd w:id="33"/>
      <w:r>
        <w:rPr>
          <w:rtl w:val="true"/>
        </w:rPr>
        <w:t xml:space="preserve">المقام الأوّل </w:t>
      </w:r>
      <w:r>
        <w:rPr>
          <w:rtl w:val="true"/>
        </w:rPr>
        <w:t xml:space="preserve">: </w:t>
      </w:r>
      <w:r>
        <w:rPr>
          <w:rtl w:val="true"/>
        </w:rPr>
        <w:t>في تشخيص أصناف الاستصحاب</w:t>
      </w:r>
      <w:bookmarkEnd w:id="34"/>
    </w:p>
    <w:p>
      <w:pPr>
        <w:pStyle w:val="BookText"/>
        <w:rPr/>
      </w:pPr>
      <w:r>
        <w:rPr>
          <w:rFonts w:ascii="Amiri" w:hAnsi="Amiri" w:eastAsia="Amiri" w:cs="Amiri"/>
          <w:color w:val="111111"/>
          <w:sz w:val="28"/>
          <w:sz w:val="28"/>
          <w:szCs w:val="28"/>
          <w:rtl w:val="true"/>
          <w:lang w:bidi="ar-SA"/>
        </w:rPr>
        <w:t>وجملة الكلام فيه أنّ الاستصحاب من المسائل الفرعية بالنسبة إلى الموضوعات الخارجية التي هي عندنا أعمّ من الموضوعات الصرفة ، كحياة زيد ، والرطوبة ، واليبوسة ، ونحوها ، ومن الأحكام الجزئية المتعلّقة بخصوصيات المكلّفين ، كوجوب الواجب على زيد ، وحرمة الحرام عليه ، ونحوها ، سواء اعتبرناه أمارة ظنّية فيها كالبيّنة ، أو تعبّدية ؛ لجريان الوجوه المميّزة فيه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 الموضوع فلأنّه من عوارض جزئيات فعل المكلّف ولو بنحو من العناية في البعض ، ومنه يظهر صدق حدّ الفقه ، عليه وعدم صدق تعريف الأصول عليه ؛ إذ ليس من القواعد الممهّدة للاستنباط ، فإنّها ليست بأحكام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الموضوعات الصرفة فظاهر ، وأمّا الأحكام الجزئية فلعدم كون الشارع مبيّنا لتلك الأحكام ، فإنّ وظيفته بيان الأحكام الكلّية ، وأمّا المعيار المختصّ بتميّز الفقه عن الأصول ، فيجري فيه أيضا </w:t>
      </w:r>
      <w:r>
        <w:rPr>
          <w:rStyle w:val="FootnoteAnchor"/>
          <w:rtl w:val="true"/>
        </w:rPr>
        <w:footnoteReference w:id="91"/>
      </w:r>
      <w:r>
        <w:rPr>
          <w:rFonts w:ascii="Amiri" w:hAnsi="Amiri" w:eastAsia="Amiri" w:cs="Amiri"/>
          <w:color w:val="111111"/>
          <w:sz w:val="28"/>
          <w:sz w:val="28"/>
          <w:szCs w:val="28"/>
          <w:rtl w:val="true"/>
          <w:lang w:bidi="ar-SA"/>
        </w:rPr>
        <w:t xml:space="preserve">؛ إذ لا حاجة إلى الرجوع إلى المجتهد بعد العلم باعتباره في تشخيص مجاريه ومحالّه ، بل المجتهد والمقلّد فيه سيّان كما في صورة العلم بها ، فلا يحتاج إلى بحث ولا فحص كما في سائر الأصول العملية كالبراءة والاشتغال والتخيير ، نعم ينبغي الاستثناء عن ذلك </w:t>
      </w:r>
      <w:r>
        <w:rPr>
          <w:rStyle w:val="FootnoteAnchor"/>
          <w:rtl w:val="true"/>
        </w:rPr>
        <w:footnoteReference w:id="92"/>
      </w:r>
      <w:r>
        <w:rPr>
          <w:rFonts w:ascii="Amiri" w:hAnsi="Amiri" w:eastAsia="Amiri" w:cs="Amiri"/>
          <w:color w:val="111111"/>
          <w:sz w:val="28"/>
          <w:sz w:val="28"/>
          <w:szCs w:val="28"/>
          <w:rtl w:val="true"/>
          <w:lang w:bidi="ar-SA"/>
        </w:rPr>
        <w:t xml:space="preserve">الاستصحاب في الموضوعات الرجالية لأوله إلى الاستصحاب في الأحكام الكلّية الفرعية التي ليس للمقلّد فيها حظّ ، ولذلك قد اختصّت من </w:t>
      </w:r>
      <w:r>
        <w:rPr>
          <w:rStyle w:val="FootnoteAnchor"/>
          <w:rtl w:val="true"/>
        </w:rPr>
        <w:footnoteReference w:id="93"/>
      </w:r>
      <w:r>
        <w:rPr>
          <w:rFonts w:ascii="Amiri" w:hAnsi="Amiri" w:eastAsia="Amiri" w:cs="Amiri"/>
          <w:color w:val="111111"/>
          <w:sz w:val="28"/>
          <w:sz w:val="28"/>
          <w:szCs w:val="28"/>
          <w:rtl w:val="true"/>
          <w:lang w:bidi="ar-SA"/>
        </w:rPr>
        <w:t>بينها باعتبار الظنّ فيها دون غيرها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الأحكام الكلّية فلا ريب في كونه من المسائل الأصولية إن أخذناه من باب الظنّ وجعلناه دليلا عقليا كأضرابه من الوجوه الظنّية العقلية ، سواء كان المستصحب حكما أصليا ، أو فرعيا ؛ لرجوع البحث عنه إلى البحث عن أحوال الموضوع ، سواء جعلنا الموضوع ذات الدليل كما في الكتاب والسنّة ، فلا ينافي البحث عن حجّيته ، أو هي متّصفة بالوصف ، لرجوع البحث عن سائر الوجوه المبحوثة عنه من بيان تعارضه وتقديم مزيله والانقسامات </w:t>
      </w:r>
      <w:r>
        <w:rPr>
          <w:rStyle w:val="FootnoteAnchor"/>
          <w:rtl w:val="true"/>
        </w:rPr>
        <w:footnoteReference w:id="94"/>
      </w:r>
      <w:r>
        <w:rPr>
          <w:rFonts w:ascii="Amiri" w:hAnsi="Amiri" w:eastAsia="Amiri" w:cs="Amiri"/>
          <w:color w:val="111111"/>
          <w:sz w:val="28"/>
          <w:sz w:val="28"/>
          <w:szCs w:val="28"/>
          <w:rtl w:val="true"/>
          <w:lang w:bidi="ar-SA"/>
        </w:rPr>
        <w:t xml:space="preserve">الحاصلة له إلى غير ذلك بحثا عن حال الموضوع ، ولصدق الحدّ عليه ؛ لكونه من القواعد الممهّدة للاستنباط ، ولا فرق فيما ذكرنا بين أن يكون الحكم الراجع إليه إثباتا كالحجّية ، أو نفيا كعدمها ؛ لأنّ مسائل العلوم المدوّنة هي المحمولات المرتبطة إلى الموضوعات ربطا إيجابيا كما في الموجبات ، أو سلبيا كما في السوالب ، وإلاّ لخرج </w:t>
      </w:r>
      <w:r>
        <w:rPr>
          <w:rStyle w:val="FootnoteAnchor"/>
          <w:rtl w:val="true"/>
        </w:rPr>
        <w:footnoteReference w:id="95"/>
      </w:r>
      <w:r>
        <w:rPr>
          <w:rFonts w:ascii="Amiri" w:hAnsi="Amiri" w:eastAsia="Amiri" w:cs="Amiri"/>
          <w:color w:val="111111"/>
          <w:sz w:val="28"/>
          <w:sz w:val="28"/>
          <w:szCs w:val="28"/>
          <w:rtl w:val="true"/>
          <w:lang w:bidi="ar-SA"/>
        </w:rPr>
        <w:t>كثير من المسائل من كثير من العلوم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جعلناه من باب الأخبار الواردة عن السادة الأطهار فلا ريب في كونه من </w:t>
      </w:r>
    </w:p>
    <w:p>
      <w:pPr>
        <w:pStyle w:val="BookText"/>
        <w:rPr/>
      </w:pPr>
      <w:r>
        <w:rPr>
          <w:rFonts w:ascii="Amiri" w:hAnsi="Amiri" w:eastAsia="Amiri" w:cs="Amiri"/>
          <w:color w:val="111111"/>
          <w:sz w:val="28"/>
          <w:sz w:val="28"/>
          <w:szCs w:val="28"/>
          <w:rtl w:val="true"/>
          <w:lang w:bidi="ar-SA"/>
        </w:rPr>
        <w:t xml:space="preserve">المسائل الأصولية في الأحكام الأصلية ، وكذا في الموضوعات المستنبطة كالأصول المعمولة في الألفاظ الواردة في الكتاب والسنّة ؛ لرجوع البحث عنه إلى البحث عن أحوال الموضوع أو عن أجزائه أو جزئياته ، كما هو المعتبر في البحث كما لا يخفى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الأحكام الفرعية فقد يتوهّم كون الاستصحاب من القواعد الفرعية كنفي الحرج والضرر ولزوم العقود ونحوها ؛ لعدم الفارق بينهما ، وربّما فرّط في ذلك بعضهم فزعم عدم انطباقه على قاعدة الموضوع ، بل ولا الحدّ أيضا ؛ لعدم كونه بحثا عن اللواحق الراجعة إلى الموضوع ، ولعدم شمول الحدّ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خلاف ذلك </w:t>
      </w:r>
      <w:r>
        <w:rPr>
          <w:rStyle w:val="FootnoteAnchor"/>
          <w:rtl w:val="true"/>
        </w:rPr>
        <w:footnoteReference w:id="97"/>
      </w:r>
      <w:r>
        <w:rPr>
          <w:rFonts w:ascii="Amiri" w:hAnsi="Amiri" w:eastAsia="Amiri" w:cs="Amiri"/>
          <w:color w:val="111111"/>
          <w:sz w:val="28"/>
          <w:sz w:val="28"/>
          <w:szCs w:val="28"/>
          <w:rtl w:val="true"/>
          <w:lang w:bidi="ar-SA"/>
        </w:rPr>
        <w:t xml:space="preserve">، أمّا حديث عدم اشتمال الحدّ فواه جدا ؛ إذ لا ريب في مدخليته في استنباط الأحكام ، بل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نبّه عليه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الاستنباط بعد الكتاب والسنّة ، وربّما يزيد في شأنه لو جعلنا استصحابي البراءة والاشتغال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 </w:t>
      </w:r>
      <w:r>
        <w:rPr>
          <w:rStyle w:val="FootnoteAnchor"/>
          <w:rtl w:val="true"/>
        </w:rPr>
        <w:footnoteReference w:id="98"/>
      </w:r>
      <w:r>
        <w:rPr>
          <w:rFonts w:ascii="Amiri" w:hAnsi="Amiri" w:eastAsia="Amiri" w:cs="Amiri"/>
          <w:color w:val="111111"/>
          <w:sz w:val="28"/>
          <w:sz w:val="28"/>
          <w:szCs w:val="28"/>
          <w:rtl w:val="true"/>
          <w:lang w:bidi="ar-SA"/>
        </w:rPr>
        <w:t xml:space="preserve">ذلك ما لو قلنا بأنّ الأصول اللفظية منه ؛ إذ لا يستقيم أمر الكتاب والسنّة بدونه حينئذ ، وذلك ظاهر في الغاية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توهّم عدم رجوع البحث عنه إلى البحث عن أحوال الموضوع ، فكأنّه ناش عمّا نبّهنا </w:t>
      </w:r>
      <w:r>
        <w:rPr>
          <w:rStyle w:val="FootnoteAnchor"/>
          <w:rtl w:val="true"/>
        </w:rPr>
        <w:footnoteReference w:id="100"/>
      </w:r>
      <w:r>
        <w:rPr>
          <w:rFonts w:ascii="Amiri" w:hAnsi="Amiri" w:eastAsia="Amiri" w:cs="Amiri"/>
          <w:color w:val="111111"/>
          <w:sz w:val="28"/>
          <w:sz w:val="28"/>
          <w:szCs w:val="28"/>
          <w:rtl w:val="true"/>
          <w:lang w:bidi="ar-SA"/>
        </w:rPr>
        <w:t>على فساده من منافات كون الاستصحاب من مقولة الفعل مع كونه دليلا ، وقد مرّ تحقيق القول فيه بما لا مزيد 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نفي الفارق بين الاستصحاب وسائر القواعد الفرعية كنفي الحرج والضرر ، فغير سديد ؛ لوضوح الفرق بينهما بعد ملاحظة ما أوردناه </w:t>
      </w:r>
      <w:r>
        <w:rPr>
          <w:rStyle w:val="FootnoteAnchor"/>
          <w:rtl w:val="true"/>
        </w:rPr>
        <w:footnoteReference w:id="101"/>
      </w:r>
      <w:r>
        <w:rPr>
          <w:rFonts w:ascii="Amiri" w:hAnsi="Amiri" w:eastAsia="Amiri" w:cs="Amiri"/>
          <w:color w:val="111111"/>
          <w:sz w:val="28"/>
          <w:sz w:val="28"/>
          <w:szCs w:val="28"/>
          <w:rtl w:val="true"/>
          <w:lang w:bidi="ar-SA"/>
        </w:rPr>
        <w:t xml:space="preserve">في المعيار في التميّز </w:t>
      </w:r>
      <w:r>
        <w:rPr>
          <w:rStyle w:val="FootnoteAnchor"/>
          <w:rtl w:val="true"/>
        </w:rPr>
        <w:footnoteReference w:id="102"/>
      </w:r>
      <w:r>
        <w:rPr>
          <w:rFonts w:ascii="Amiri" w:hAnsi="Amiri" w:eastAsia="Amiri" w:cs="Amiri"/>
          <w:color w:val="111111"/>
          <w:sz w:val="28"/>
          <w:sz w:val="28"/>
          <w:szCs w:val="28"/>
          <w:rtl w:val="true"/>
          <w:lang w:bidi="ar-SA"/>
        </w:rPr>
        <w:t xml:space="preserve">بين المسائل ، إذ لا شكّ ولا ريب </w:t>
      </w:r>
      <w:r>
        <w:rPr>
          <w:rStyle w:val="FootnoteAnchor"/>
          <w:rtl w:val="true"/>
        </w:rPr>
        <w:footnoteReference w:id="103"/>
      </w:r>
      <w:r>
        <w:rPr>
          <w:rFonts w:ascii="Amiri" w:hAnsi="Amiri" w:eastAsia="Amiri" w:cs="Amiri"/>
          <w:color w:val="111111"/>
          <w:sz w:val="28"/>
          <w:sz w:val="28"/>
          <w:szCs w:val="28"/>
          <w:rtl w:val="true"/>
          <w:lang w:bidi="ar-SA"/>
        </w:rPr>
        <w:t xml:space="preserve">في أنّ المجتهد بعد ما تصدّع في إثبات حجّية </w:t>
      </w:r>
    </w:p>
    <w:p>
      <w:pPr>
        <w:pStyle w:val="BookText"/>
        <w:rPr/>
      </w:pPr>
      <w:r>
        <w:rPr>
          <w:rFonts w:ascii="Amiri" w:hAnsi="Amiri" w:eastAsia="Amiri" w:cs="Amiri"/>
          <w:color w:val="111111"/>
          <w:sz w:val="28"/>
          <w:sz w:val="28"/>
          <w:szCs w:val="28"/>
          <w:rtl w:val="true"/>
          <w:lang w:bidi="ar-SA"/>
        </w:rPr>
        <w:t xml:space="preserve">الاستصحاب بتصحيح مبانيه وتوضيح الوجوه الناهضة عليه بدفع الشبه </w:t>
      </w:r>
      <w:r>
        <w:rPr>
          <w:rStyle w:val="FootnoteAnchor"/>
          <w:rtl w:val="true"/>
        </w:rPr>
        <w:footnoteReference w:id="104"/>
      </w:r>
      <w:r>
        <w:rPr>
          <w:rFonts w:ascii="Amiri" w:hAnsi="Amiri" w:eastAsia="Amiri" w:cs="Amiri"/>
          <w:color w:val="111111"/>
          <w:sz w:val="28"/>
          <w:sz w:val="28"/>
          <w:szCs w:val="28"/>
          <w:rtl w:val="true"/>
          <w:lang w:bidi="ar-SA"/>
        </w:rPr>
        <w:t xml:space="preserve">وقطع المعارضات ، فليس من شأن المكلّف المقلّد العمل به ، إذ غاية ما صنعه المجتهد في المقام تحصيل كبرى لقياس يطلب فيه الحكم الاستصحابي ، ومن المعلوم أنّ المقدّمة الواحدة ليست منتجة ، بل لا بدّ من انضمام صغرى إليها </w:t>
      </w:r>
      <w:r>
        <w:rPr>
          <w:rStyle w:val="FootnoteAnchor"/>
          <w:rtl w:val="true"/>
        </w:rPr>
        <w:footnoteReference w:id="105"/>
      </w:r>
      <w:r>
        <w:rPr>
          <w:rFonts w:ascii="Amiri" w:hAnsi="Amiri" w:eastAsia="Amiri" w:cs="Amiri"/>
          <w:color w:val="111111"/>
          <w:sz w:val="28"/>
          <w:sz w:val="28"/>
          <w:szCs w:val="28"/>
          <w:rtl w:val="true"/>
          <w:lang w:bidi="ar-SA"/>
        </w:rPr>
        <w:t>في الاستنتاج ، والعلم بتلك الصغرى في الأحكام الكلّية الفرعية غير ممكن الحصول للمقلّد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استنباط حكم الماء القليل الملاقي للنجاسة موقوف 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لم يدلّ دليل على نجاسته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 لم يدلّ دليل على نجاسة شيء مع العلم بالطهارة السابقة ، فلا بدّ من معاملة الطاهر معه ، وبعد ذلك ينتج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 والمستنبط للمجتهد هو الكبرى في هذا القياس ، وأمّا الصغرى فلا يمكن استعلام تحقّقها لغير المجتهد ، فإنّها حاكمة بعدم </w:t>
      </w:r>
      <w:r>
        <w:rPr>
          <w:rStyle w:val="FootnoteAnchor"/>
          <w:rtl w:val="true"/>
        </w:rPr>
        <w:footnoteReference w:id="106"/>
      </w:r>
      <w:r>
        <w:rPr>
          <w:rFonts w:ascii="Amiri" w:hAnsi="Amiri" w:eastAsia="Amiri" w:cs="Amiri"/>
          <w:color w:val="111111"/>
          <w:sz w:val="28"/>
          <w:sz w:val="28"/>
          <w:szCs w:val="28"/>
          <w:rtl w:val="true"/>
          <w:lang w:bidi="ar-SA"/>
        </w:rPr>
        <w:t xml:space="preserve">ورود دليل على نجاسته </w:t>
      </w:r>
      <w:r>
        <w:rPr>
          <w:rStyle w:val="FootnoteAnchor"/>
          <w:rtl w:val="true"/>
        </w:rPr>
        <w:footnoteReference w:id="107"/>
      </w:r>
      <w:r>
        <w:rPr>
          <w:rFonts w:ascii="Amiri" w:hAnsi="Amiri" w:eastAsia="Amiri" w:cs="Amiri"/>
          <w:color w:val="111111"/>
          <w:sz w:val="28"/>
          <w:sz w:val="28"/>
          <w:szCs w:val="28"/>
          <w:rtl w:val="true"/>
          <w:lang w:bidi="ar-SA"/>
        </w:rPr>
        <w:t xml:space="preserve">، وربما يكون في المقام ما يشبه أن يكون دليلا فلا بدّ من دفعه ، ولو لا أنّ المذكور كاف </w:t>
      </w:r>
      <w:r>
        <w:rPr>
          <w:rStyle w:val="FootnoteAnchor"/>
          <w:rtl w:val="true"/>
        </w:rPr>
        <w:footnoteReference w:id="108"/>
      </w:r>
      <w:r>
        <w:rPr>
          <w:rFonts w:ascii="Amiri" w:hAnsi="Amiri" w:eastAsia="Amiri" w:cs="Amiri"/>
          <w:color w:val="111111"/>
          <w:sz w:val="28"/>
          <w:sz w:val="28"/>
          <w:szCs w:val="28"/>
          <w:rtl w:val="true"/>
          <w:lang w:bidi="ar-SA"/>
        </w:rPr>
        <w:t xml:space="preserve">في المقام من إثبات توقّف إعمال الاستصحاب في محالّه على الاستنباط والاجتهاد ، لخرج عن المسائل الأصولية جلّها لو لم نقل كلّها ، كمباحث المقدّمة ، واجتماع الأمر والنهي ، ومباحث الشهرة ، ونحوها ، فإنّ حكم العقل بوجوب المقدّمة بمنزلة الكبرى ولا يكفي </w:t>
      </w:r>
      <w:r>
        <w:rPr>
          <w:rStyle w:val="FootnoteAnchor"/>
          <w:rtl w:val="true"/>
        </w:rPr>
        <w:footnoteReference w:id="109"/>
      </w:r>
      <w:r>
        <w:rPr>
          <w:rFonts w:ascii="Amiri" w:hAnsi="Amiri" w:eastAsia="Amiri" w:cs="Amiri"/>
          <w:color w:val="111111"/>
          <w:sz w:val="28"/>
          <w:sz w:val="28"/>
          <w:szCs w:val="28"/>
          <w:rtl w:val="true"/>
          <w:lang w:bidi="ar-SA"/>
        </w:rPr>
        <w:t xml:space="preserve">فى الحكم بوجوب الوضوء للصلاة هذا الحكم العقلي ما لم يثبت اندراج موضوع هذه القضيّة في موضوعها ، واستنباط هذا موقوف على النظر والاجتهاد في الأدلّة الشرعية التي تقصر عن الوصول دونه </w:t>
      </w:r>
      <w:r>
        <w:rPr>
          <w:rStyle w:val="FootnoteAnchor"/>
          <w:rtl w:val="true"/>
        </w:rPr>
        <w:footnoteReference w:id="110"/>
      </w:r>
      <w:r>
        <w:rPr>
          <w:rFonts w:ascii="Amiri" w:hAnsi="Amiri" w:eastAsia="Amiri" w:cs="Amiri"/>
          <w:color w:val="111111"/>
          <w:sz w:val="28"/>
          <w:sz w:val="28"/>
          <w:szCs w:val="28"/>
          <w:rtl w:val="true"/>
          <w:lang w:bidi="ar-SA"/>
        </w:rPr>
        <w:t xml:space="preserve">أيدي المقلّدة ، وكذا تميّز موارد الشهرة كما لا يخفى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فظهر الفرق بين القواعد الفرعية كنفي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أنّ المجتهد في مقام الاجتهاد علم بأنّ الحكم في الشريعة نفي الحرج في كلّ ما يلازمه أو على بعض الوجوه التي أدّى إليه دليله كوجوب الوفاء بالعقود ، لم يبق للمكلّف حالة منتظرة في العمل به ، إذ الموضوع في تلك القواعد ممّا يرجع الأمر فيه إلى العرف ، والمقلّد منهم ، فيحصل عنده الصغرى من غير احتياج إلى ملاحظة الأدلّة ، والكبرى إنّما حصّلها من المجتهد ، فيعمل بمقتضاهما من غير حاجة إلى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Style w:val="FootnoteAnchor"/>
          <w:rtl w:val="true"/>
        </w:rPr>
        <w:footnoteReference w:id="112"/>
      </w:r>
      <w:r>
        <w:rPr>
          <w:rFonts w:ascii="Amiri" w:hAnsi="Amiri" w:eastAsia="Amiri" w:cs="Amiri"/>
          <w:color w:val="111111"/>
          <w:sz w:val="28"/>
          <w:sz w:val="28"/>
          <w:szCs w:val="28"/>
          <w:rtl w:val="true"/>
          <w:lang w:bidi="ar-SA"/>
        </w:rPr>
        <w:t xml:space="preserve">الاستصحاب في الأحكام الفرعية ؛ إذ تحصيل الصغرى فيه اجتهادية ويكفي في كونه من مسائل الأصول ، و </w:t>
      </w:r>
      <w:r>
        <w:rPr>
          <w:rStyle w:val="FootnoteAnchor"/>
          <w:rtl w:val="true"/>
        </w:rPr>
        <w:footnoteReference w:id="113"/>
      </w:r>
      <w:r>
        <w:rPr>
          <w:rFonts w:ascii="Amiri" w:hAnsi="Amiri" w:eastAsia="Amiri" w:cs="Amiri"/>
          <w:color w:val="111111"/>
          <w:sz w:val="28"/>
          <w:sz w:val="28"/>
          <w:szCs w:val="28"/>
          <w:rtl w:val="true"/>
          <w:lang w:bidi="ar-SA"/>
        </w:rPr>
        <w:t>ذلك بناء على ما أصّلناه من المعيار ، مضافا إلى ما عرفت من صدق الحدّ عليه ورجوع البحث عنه إلى البحث عن أحوال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الفحص عن مطلق الدليل لا يجعل البحث اجتهاديا ، بل إذا كان الدليل مثل أخبار الآحاد ، فإنّ ما يرد على خلافها معارض لها على اختلاف وجوه التعارض ، بخلاف الاستصحاب فإنّ الدليل مزيل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لا يجدي فيما نحن فيه ؛ إذ لا فرق في عدم إمكان المقلّد أن يكون الدليل مزيلا أو مفيدا كما هو ظاهر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أنّ الأصول العملية التي موضوعاتها </w:t>
      </w:r>
      <w:r>
        <w:rPr>
          <w:rStyle w:val="FootnoteAnchor"/>
          <w:rtl w:val="true"/>
        </w:rPr>
        <w:footnoteReference w:id="114"/>
      </w:r>
      <w:r>
        <w:rPr>
          <w:rFonts w:ascii="Amiri" w:hAnsi="Amiri" w:eastAsia="Amiri" w:cs="Amiri"/>
          <w:color w:val="111111"/>
          <w:sz w:val="28"/>
          <w:sz w:val="28"/>
          <w:szCs w:val="28"/>
          <w:rtl w:val="true"/>
          <w:lang w:bidi="ar-SA"/>
        </w:rPr>
        <w:t xml:space="preserve">الشكّ البحث عنها في الأحكام الكلّية الفرعية من مسائل الأصول ، ولهذا صرّح المحقّق </w:t>
      </w:r>
      <w:r>
        <w:rPr>
          <w:rStyle w:val="FootnoteAnchor"/>
          <w:rtl w:val="true"/>
        </w:rPr>
        <w:footnoteReference w:id="115"/>
      </w:r>
      <w:r>
        <w:rPr>
          <w:rFonts w:ascii="Amiri" w:hAnsi="Amiri" w:eastAsia="Amiri" w:cs="Amiri"/>
          <w:color w:val="111111"/>
          <w:sz w:val="28"/>
          <w:sz w:val="28"/>
          <w:szCs w:val="28"/>
          <w:rtl w:val="true"/>
          <w:lang w:bidi="ar-SA"/>
        </w:rPr>
        <w:t xml:space="preserve">في بعضها بكون المسألة أصولية ولا يكفي فيها أخبار الآحاد ، وقد سمعت أنّ تنصيص أهل الخبرة أيضا من المميّزات ، كما أنّه ينقدح أنّ قاعدة الطهارة أيضا من مسائل الأصول ؛ إذ لا فرق بين </w:t>
      </w:r>
      <w:r>
        <w:rPr>
          <w:rStyle w:val="FootnoteAnchor"/>
          <w:rtl w:val="true"/>
        </w:rPr>
        <w:footnoteReference w:id="116"/>
      </w:r>
      <w:r>
        <w:rPr>
          <w:rFonts w:ascii="Amiri" w:hAnsi="Amiri" w:eastAsia="Amiri" w:cs="Amiri"/>
          <w:color w:val="111111"/>
          <w:sz w:val="28"/>
          <w:sz w:val="28"/>
          <w:szCs w:val="28"/>
          <w:rtl w:val="true"/>
          <w:lang w:bidi="ar-SA"/>
        </w:rPr>
        <w:t xml:space="preserve">استصحاب الطهارة وقاعدتها سوى استناد الحكم في الأوّل </w:t>
      </w:r>
      <w:r>
        <w:rPr>
          <w:rStyle w:val="FootnoteAnchor"/>
          <w:rtl w:val="true"/>
        </w:rPr>
        <w:footnoteReference w:id="117"/>
      </w:r>
      <w:r>
        <w:rPr>
          <w:rFonts w:ascii="IRNazanin" w:hAnsi="IRNazanin" w:eastAsia="IRNazanin"/>
          <w:color w:val="111111"/>
          <w:sz w:val="28"/>
          <w:sz w:val="28"/>
          <w:szCs w:val="28"/>
          <w:rtl w:val="true"/>
          <w:lang w:bidi="fa-IR"/>
        </w:rPr>
        <w:t xml:space="preserve">شرعا إلى </w:t>
      </w:r>
      <w:bookmarkStart w:id="35" w:name="pg16284_171007"/>
    </w:p>
    <w:p>
      <w:pPr>
        <w:pStyle w:val="BookText"/>
        <w:rPr/>
      </w:pPr>
      <w:bookmarkEnd w:id="35"/>
      <w:r>
        <w:rPr>
          <w:rFonts w:ascii="Amiri" w:hAnsi="Amiri" w:eastAsia="Amiri" w:cs="Amiri"/>
          <w:color w:val="111111"/>
          <w:sz w:val="28"/>
          <w:sz w:val="28"/>
          <w:szCs w:val="28"/>
          <w:rtl w:val="true"/>
          <w:lang w:bidi="ar-SA"/>
        </w:rPr>
        <w:t xml:space="preserve">نفس الشكّ ، وفي الثاني </w:t>
      </w:r>
      <w:r>
        <w:rPr>
          <w:rStyle w:val="FootnoteAnchor"/>
          <w:rtl w:val="true"/>
        </w:rPr>
        <w:footnoteReference w:id="118"/>
      </w:r>
      <w:r>
        <w:rPr>
          <w:rFonts w:ascii="Amiri" w:hAnsi="Amiri" w:eastAsia="Amiri" w:cs="Amiri"/>
          <w:color w:val="111111"/>
          <w:sz w:val="28"/>
          <w:sz w:val="28"/>
          <w:szCs w:val="28"/>
          <w:rtl w:val="true"/>
          <w:lang w:bidi="ar-SA"/>
        </w:rPr>
        <w:t>إلى الحالة السابقة ولا مدخل لهذا الفرق فيما نحن بصدده ، فتدبّر في المقام</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5012048_1280447820"/>
      <w:bookmarkStart w:id="37" w:name="_Toc13"/>
      <w:bookmarkEnd w:id="36"/>
      <w:r>
        <w:rPr>
          <w:rtl w:val="true"/>
        </w:rPr>
        <w:t xml:space="preserve">المقام الثاني </w:t>
      </w:r>
      <w:r>
        <w:rPr>
          <w:rtl w:val="true"/>
        </w:rPr>
        <w:t xml:space="preserve">: </w:t>
      </w:r>
      <w:r>
        <w:rPr>
          <w:rtl w:val="true"/>
        </w:rPr>
        <w:t>في أنّ الاستصحاب على أيّ وجه من أيّ المسائل</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Style w:val="FootnoteAnchor"/>
          <w:rtl w:val="true"/>
        </w:rPr>
        <w:footnoteReference w:id="119"/>
      </w:r>
      <w:r>
        <w:rPr>
          <w:rFonts w:ascii="Amiri" w:hAnsi="Amiri" w:eastAsia="Amiri" w:cs="Amiri"/>
          <w:color w:val="111111"/>
          <w:sz w:val="28"/>
          <w:sz w:val="28"/>
          <w:szCs w:val="28"/>
          <w:rtl w:val="true"/>
          <w:lang w:bidi="ar-SA"/>
        </w:rPr>
        <w:t xml:space="preserve">ما عرفت في </w:t>
      </w:r>
      <w:r>
        <w:rPr>
          <w:rStyle w:val="FootnoteAnchor"/>
          <w:rtl w:val="true"/>
        </w:rPr>
        <w:footnoteReference w:id="120"/>
      </w:r>
      <w:r>
        <w:rPr>
          <w:rFonts w:ascii="Amiri" w:hAnsi="Amiri" w:eastAsia="Amiri" w:cs="Amiri"/>
          <w:color w:val="111111"/>
          <w:sz w:val="28"/>
          <w:sz w:val="28"/>
          <w:szCs w:val="28"/>
          <w:rtl w:val="true"/>
          <w:lang w:bidi="ar-SA"/>
        </w:rPr>
        <w:t xml:space="preserve">المقام الأوّل يظهر لك أنّ التحقيق كونه من القواعد المشتركة ؛ لاختصاص بعض موارده بالبعض وآخر بغيره </w:t>
      </w:r>
      <w:r>
        <w:rPr>
          <w:rStyle w:val="FootnoteAnchor"/>
          <w:rtl w:val="true"/>
        </w:rPr>
        <w:footnoteReference w:id="121"/>
      </w:r>
      <w:r>
        <w:rPr>
          <w:rFonts w:ascii="Amiri" w:hAnsi="Amiri" w:eastAsia="Amiri" w:cs="Amiri"/>
          <w:color w:val="111111"/>
          <w:sz w:val="28"/>
          <w:sz w:val="28"/>
          <w:szCs w:val="28"/>
          <w:rtl w:val="true"/>
          <w:lang w:bidi="ar-SA"/>
        </w:rPr>
        <w:t>على ما مرّ ، وإنّما تدوينهم ذلك في الكتب الأصولية إنّما هو بواسطة مزيّة اختصاص يعلم منه بالمسائل الأصولية من حيث استنباط الأحكام الفرعية منه ، كما لا يخفى</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6284_171009"/>
      <w:bookmarkStart w:id="39" w:name="pg16284_171009"/>
      <w:bookmarkEnd w:id="39"/>
    </w:p>
    <w:p>
      <w:pPr>
        <w:pStyle w:val="Heading3"/>
        <w:numPr>
          <w:ilvl w:val="2"/>
          <w:numId w:val="1"/>
        </w:numPr>
        <w:rPr/>
      </w:pPr>
      <w:bookmarkStart w:id="40" w:name="pg16284_171009"/>
      <w:bookmarkStart w:id="41" w:name="__RefHeading___Toc5012050_1280447820"/>
      <w:bookmarkStart w:id="42" w:name="_Toc14"/>
      <w:bookmarkEnd w:id="40"/>
      <w:bookmarkEnd w:id="41"/>
      <w:r>
        <w:rPr>
          <w:rtl w:val="true"/>
        </w:rPr>
        <w:t xml:space="preserve">هداية </w:t>
      </w:r>
      <w:r>
        <w:rPr>
          <w:rtl w:val="true"/>
        </w:rPr>
        <w:t xml:space="preserve">[ </w:t>
      </w:r>
      <w:r>
        <w:rPr>
          <w:rtl w:val="true"/>
        </w:rPr>
        <w:t xml:space="preserve">في تقسيمات الاستصحاب </w:t>
      </w:r>
      <w:r>
        <w:rPr>
          <w:rtl w:val="true"/>
        </w:rPr>
        <w:t>]</w:t>
      </w:r>
      <w:bookmarkEnd w:id="42"/>
    </w:p>
    <w:p>
      <w:pPr>
        <w:pStyle w:val="Heading4"/>
        <w:numPr>
          <w:ilvl w:val="3"/>
          <w:numId w:val="1"/>
        </w:numPr>
        <w:rPr/>
      </w:pPr>
      <w:bookmarkStart w:id="43" w:name="__RefHeading___Toc5012052_1280447820"/>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ينقسم الاستصحاب باعتبارات مختلفة إلى أقسام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من حيث المستصحب إلى حال العقل وحال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يراد من الأوّل العدم الأصلي السابق على وجود كلّ موجود ، حكما شرعيا كان كالبراءة الأصلية ، أو موضوعا خارجيا كالرطوبة واليبوسة ، أو غيرهما كعدم النقل المعمول في الألفاظ ، ولعلّ وجه هذه التسمية حكم العقل بالعدم ما لم يعلم بعلّة الوجود ولا يجب الاطّراد في وجه التسمية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الثاني ما يقابله وهو الوجود ، سواء كان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تعبّديا أو عقليا ، كلّيا أو جزئيا ، تكليفيا أو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موضوعا خارجيا ؛ إذ المقصود بالاستصحاب هو ترتيب أحكامه الشرعية من نجاسة ملاقيه ونحوها ، ومنه يعلم وجه التسمية أيضا في غيره ؛ إذ المطلوب فيها ذلك ، على أنّ أكثر مواردها حكم شرعي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3"/>
      </w:r>
      <w:r>
        <w:rPr>
          <w:rFonts w:ascii="Amiri" w:hAnsi="Amiri" w:eastAsia="Amiri" w:cs="Amiri"/>
          <w:color w:val="111111"/>
          <w:sz w:val="28"/>
          <w:sz w:val="28"/>
          <w:szCs w:val="28"/>
          <w:rtl w:val="true"/>
          <w:lang w:bidi="ar-SA"/>
        </w:rPr>
        <w:t xml:space="preserve">تارة يراد منه الحكم العقلي ، سواء كان تكليفيا عدميا كالبراءة الأصلية ، أو وجوديا كإباحة الأشياء قبل الحظر الشرعي وكتحريم التصرّف في مال الغير ووجوب ردّ الوديعة إذا عرض هناك ما يحتمل زواله كالاضطرار والخوف ، أو وضعيا </w:t>
      </w:r>
    </w:p>
    <w:p>
      <w:pPr>
        <w:pStyle w:val="BookText"/>
        <w:rPr/>
      </w:pPr>
      <w:r>
        <w:rPr>
          <w:rFonts w:ascii="Amiri" w:hAnsi="Amiri" w:eastAsia="Amiri" w:cs="Amiri"/>
          <w:color w:val="111111"/>
          <w:sz w:val="28"/>
          <w:sz w:val="28"/>
          <w:szCs w:val="28"/>
          <w:rtl w:val="true"/>
          <w:lang w:bidi="ar-SA"/>
        </w:rPr>
        <w:t xml:space="preserve">وجوديا كشرطية العلم لثبوت التكليف إذا عرض ما يوجب الشكّ في زوالها </w:t>
      </w:r>
      <w:r>
        <w:rPr>
          <w:rStyle w:val="FootnoteAnchor"/>
          <w:rtl w:val="true"/>
        </w:rPr>
        <w:footnoteReference w:id="124"/>
      </w:r>
      <w:r>
        <w:rPr>
          <w:rFonts w:ascii="Amiri" w:hAnsi="Amiri" w:eastAsia="Amiri" w:cs="Amiri"/>
          <w:color w:val="111111"/>
          <w:sz w:val="28"/>
          <w:sz w:val="28"/>
          <w:szCs w:val="28"/>
          <w:rtl w:val="true"/>
          <w:lang w:bidi="ar-SA"/>
        </w:rPr>
        <w:t>مطلقا أو في خصوص مورد ، أو عدميا كعدم الزوجية وعدم الملكية الثابتين قبل تحقّق موضوعهما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الأحكام الشرعية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كان المستند فيها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الوضعية كذلك هذا على ما قد يوجد في كلمات بعض الأواخر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الأوّل هو استصحاب نفي الأحكام الكلّية وعدمها ، والتعميم إلى الموضوعات ليس في محلّه ؛ لما قد فسّره المحقّق في المعتبر بالبراءة الأصلية ، وكذلك المحقّق القمي </w:t>
      </w:r>
      <w:r>
        <w:rPr>
          <w:rStyle w:val="FootnoteAnchor"/>
          <w:rtl w:val="true"/>
        </w:rPr>
        <w:footnoteReference w:id="126"/>
      </w:r>
      <w:r>
        <w:rPr>
          <w:rFonts w:ascii="Amiri" w:hAnsi="Amiri" w:eastAsia="Amiri" w:cs="Amiri"/>
          <w:color w:val="111111"/>
          <w:sz w:val="28"/>
          <w:sz w:val="28"/>
          <w:szCs w:val="28"/>
          <w:rtl w:val="true"/>
          <w:lang w:bidi="ar-SA"/>
        </w:rPr>
        <w:t>، وغيرهما على أنّ عدّ الاستصحاب من الأدلّة العقلية ينافي تعميم استصحاب حال العقل إلى الموضوعات ، فإنّه بالنسبة إليها أمارة ولا يسمّى دليلا ، فتأمّل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الثاني استصحاب وجود تلك الأحكام ، وأمّا تعميم العقلي إلى الوجودى من الأحكام العقلية كما في ثاني التفسيرين على ما تجشّمه بعض الأجلّة </w:t>
      </w:r>
      <w:r>
        <w:rPr>
          <w:rStyle w:val="FootnoteAnchor"/>
          <w:rtl w:val="true"/>
        </w:rPr>
        <w:footnoteReference w:id="127"/>
      </w:r>
      <w:r>
        <w:rPr>
          <w:rFonts w:ascii="Amiri" w:hAnsi="Amiri" w:eastAsia="Amiri" w:cs="Amiri"/>
          <w:color w:val="111111"/>
          <w:sz w:val="28"/>
          <w:sz w:val="28"/>
          <w:szCs w:val="28"/>
          <w:rtl w:val="true"/>
          <w:lang w:bidi="ar-SA"/>
        </w:rPr>
        <w:t xml:space="preserve">، فليس على ما ينبغي أيضا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فلمنافاته للتفسير المذكور في كلام المحقّقين وغيرهما ، 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معقولية الاستصحاب في الأحكام العقلية ؛ إذ حكم العقل بوجوب شيء أو حرمته أو شرطيته إمّا أن يكون مستندا </w:t>
      </w:r>
      <w:r>
        <w:rPr>
          <w:rStyle w:val="FootnoteAnchor"/>
          <w:rtl w:val="true"/>
        </w:rPr>
        <w:footnoteReference w:id="128"/>
      </w:r>
      <w:r>
        <w:rPr>
          <w:rFonts w:ascii="Amiri" w:hAnsi="Amiri" w:eastAsia="Amiri" w:cs="Amiri"/>
          <w:color w:val="111111"/>
          <w:sz w:val="28"/>
          <w:sz w:val="28"/>
          <w:szCs w:val="28"/>
          <w:rtl w:val="true"/>
          <w:lang w:bidi="ar-SA"/>
        </w:rPr>
        <w:t xml:space="preserve">إلى علّة معلومة للعقل من وجوه الحسن والقبح ، أو لا ، لا كلام على الثاني ، فإنّه بالإلحاق إلى الأحكام التعبّدية أولى ، كما في الإجماع ، وذلك </w:t>
      </w:r>
      <w:r>
        <w:rPr>
          <w:rStyle w:val="FootnoteAnchor"/>
          <w:rtl w:val="true"/>
        </w:rPr>
        <w:footnoteReference w:id="129"/>
      </w:r>
      <w:r>
        <w:rPr>
          <w:rFonts w:ascii="Amiri" w:hAnsi="Amiri" w:eastAsia="Amiri" w:cs="Amiri"/>
          <w:color w:val="111111"/>
          <w:sz w:val="28"/>
          <w:sz w:val="28"/>
          <w:szCs w:val="28"/>
          <w:rtl w:val="true"/>
          <w:lang w:bidi="ar-SA"/>
        </w:rPr>
        <w:t xml:space="preserve">العلم يستتبع العلم بحسنه أو قبحه لما قرّر من تبعية الأحكام للصفات ، وعلى الأوّل فتلك العلّة المعلومة إمّا معلومة بنفسها ، كما في الأحكام الضرورية العقلية التي يكفي في التصديق بوقوع نسبها تصوّر موضوعاتها ، وإمّا </w:t>
      </w:r>
    </w:p>
    <w:p>
      <w:pPr>
        <w:pStyle w:val="BookText"/>
        <w:rPr/>
      </w:pPr>
      <w:r>
        <w:rPr>
          <w:rFonts w:ascii="Amiri" w:hAnsi="Amiri" w:eastAsia="Amiri" w:cs="Amiri"/>
          <w:color w:val="111111"/>
          <w:sz w:val="28"/>
          <w:sz w:val="28"/>
          <w:szCs w:val="28"/>
          <w:rtl w:val="true"/>
          <w:lang w:bidi="ar-SA"/>
        </w:rPr>
        <w:t xml:space="preserve">معلومة بواسطة اندراج موضوع القضيّة المفروضة في </w:t>
      </w:r>
      <w:r>
        <w:rPr>
          <w:rStyle w:val="FootnoteAnchor"/>
          <w:rtl w:val="true"/>
        </w:rPr>
        <w:footnoteReference w:id="130"/>
      </w:r>
      <w:r>
        <w:rPr>
          <w:rFonts w:ascii="Amiri" w:hAnsi="Amiri" w:eastAsia="Amiri" w:cs="Amiri"/>
          <w:color w:val="111111"/>
          <w:sz w:val="28"/>
          <w:sz w:val="28"/>
          <w:szCs w:val="28"/>
          <w:rtl w:val="true"/>
          <w:lang w:bidi="ar-SA"/>
        </w:rPr>
        <w:t xml:space="preserve">موضوع آخر يعلم ثبوت الحكم له بداهة ولو بتعدّد الوسائط ، لامتناع التسلسل واستحالة الدور ، لا إشكال في عدم معقولية الاستصحاب على الأوّل ؛ إذ المفروض أنّ نفس تصوّر الموضوع يكفي في الحكم العقلي الضروري </w:t>
      </w:r>
      <w:r>
        <w:rPr>
          <w:rStyle w:val="FootnoteAnchor"/>
          <w:rtl w:val="true"/>
        </w:rPr>
        <w:footnoteReference w:id="131"/>
      </w:r>
      <w:r>
        <w:rPr>
          <w:rFonts w:ascii="Amiri" w:hAnsi="Amiri" w:eastAsia="Amiri" w:cs="Amiri"/>
          <w:color w:val="111111"/>
          <w:sz w:val="28"/>
          <w:sz w:val="28"/>
          <w:szCs w:val="28"/>
          <w:rtl w:val="true"/>
          <w:lang w:bidi="ar-SA"/>
        </w:rPr>
        <w:t xml:space="preserve">، فعند الشكّ بواسطة حدوث حادث إمّا أن يكون الحكم المتعلّق بذلك الموضوع باقيا فلا استصحاب ؛ إذ لا شكّ ، ففرض الشكّ خلاف للفرض ، وإمّا أن يكون الموضوع مغايرا فلا استصحاب ؛ لعدم الموضوع ، وكذا على الثاني ؛ لأنّ موضوع القضيّة المشكوكة لا بدّ وأن يكون معلوم الاندراج في موضوع تلك القضيّة المعلومة الضرورية ، ومع حدوث الحادثة بازدياد شيء إمّا أن يكون مندرجا فيه </w:t>
      </w:r>
      <w:r>
        <w:rPr>
          <w:rStyle w:val="FootnoteAnchor"/>
          <w:rtl w:val="true"/>
        </w:rPr>
        <w:footnoteReference w:id="132"/>
      </w:r>
      <w:r>
        <w:rPr>
          <w:rFonts w:ascii="Amiri" w:hAnsi="Amiri" w:eastAsia="Amiri" w:cs="Amiri"/>
          <w:color w:val="111111"/>
          <w:sz w:val="28"/>
          <w:sz w:val="28"/>
          <w:szCs w:val="28"/>
          <w:rtl w:val="true"/>
          <w:lang w:bidi="ar-SA"/>
        </w:rPr>
        <w:t xml:space="preserve">، أو لا يكون </w:t>
      </w:r>
      <w:r>
        <w:rPr>
          <w:rStyle w:val="FootnoteAnchor"/>
          <w:rtl w:val="true"/>
        </w:rPr>
        <w:footnoteReference w:id="133"/>
      </w:r>
      <w:r>
        <w:rPr>
          <w:rFonts w:ascii="Amiri" w:hAnsi="Amiri" w:eastAsia="Amiri" w:cs="Amiri"/>
          <w:color w:val="111111"/>
          <w:sz w:val="28"/>
          <w:sz w:val="28"/>
          <w:szCs w:val="28"/>
          <w:rtl w:val="true"/>
          <w:lang w:bidi="ar-SA"/>
        </w:rPr>
        <w:t xml:space="preserve">، وعلى التقديرين لا استصحاب ؛ إذ على الأوّل لا شكّ </w:t>
      </w:r>
      <w:r>
        <w:rPr>
          <w:rStyle w:val="FootnoteAnchor"/>
          <w:rtl w:val="true"/>
        </w:rPr>
        <w:footnoteReference w:id="134"/>
      </w:r>
      <w:r>
        <w:rPr>
          <w:rFonts w:ascii="Amiri" w:hAnsi="Amiri" w:eastAsia="Amiri" w:cs="Amiri"/>
          <w:color w:val="111111"/>
          <w:sz w:val="28"/>
          <w:sz w:val="28"/>
          <w:szCs w:val="28"/>
          <w:rtl w:val="true"/>
          <w:lang w:bidi="ar-SA"/>
        </w:rPr>
        <w:t>، وعلى الثاني لا يكون الموضوع باقيا ، والاستصحاب فرع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العقل حاكما بقبح شيء بواسطة اندراجه في موضوع غير معلوم للعقل ؛ لتردّده بين أمور غير معلومة ، فيجري فيه الاستصحاب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 ذلك وليس كذلك قطعا ، كما يظهر بعد الرجوع إلى الوجدان ، سيّما بالنسبة إلى الأمثلة المذكورة ، فلا يجري فيه الاستصحاب أيضا ؛ لعدم العلم بالموضوع فلعلّه مقيّد بعدم تلك الحادثة في الأحكام العقلية ، ولهذا </w:t>
      </w:r>
      <w:r>
        <w:rPr>
          <w:rStyle w:val="FootnoteAnchor"/>
          <w:rtl w:val="true"/>
        </w:rPr>
        <w:footnoteReference w:id="135"/>
      </w:r>
      <w:r>
        <w:rPr>
          <w:rFonts w:ascii="Amiri" w:hAnsi="Amiri" w:eastAsia="Amiri" w:cs="Amiri"/>
          <w:color w:val="111111"/>
          <w:sz w:val="28"/>
          <w:sz w:val="28"/>
          <w:szCs w:val="28"/>
          <w:rtl w:val="true"/>
          <w:lang w:bidi="ar-SA"/>
        </w:rPr>
        <w:t xml:space="preserve">ترى فيما لم يحرز الموضوع لا يحكم بالاستصحاب في الأحكام الشرعية أيضا ، سيّما فيما كان الحكم مستفادا من الإجماع لا لما زعمه الغزالي </w:t>
      </w:r>
      <w:r>
        <w:rPr>
          <w:rStyle w:val="FootnoteAnchor"/>
          <w:rtl w:val="true"/>
        </w:rPr>
        <w:footnoteReference w:id="136"/>
      </w:r>
      <w:r>
        <w:rPr>
          <w:rFonts w:ascii="IRNazanin" w:hAnsi="IRNazanin" w:eastAsia="IRNazanin"/>
          <w:color w:val="111111"/>
          <w:sz w:val="28"/>
          <w:sz w:val="28"/>
          <w:szCs w:val="28"/>
          <w:rtl w:val="true"/>
          <w:lang w:bidi="fa-IR"/>
        </w:rPr>
        <w:t xml:space="preserve">على ما نسب </w:t>
      </w:r>
      <w:r>
        <w:rPr>
          <w:rStyle w:val="FootnoteAnchor"/>
          <w:rtl w:val="true"/>
        </w:rPr>
        <w:footnoteReference w:id="137"/>
      </w:r>
      <w:r>
        <w:rPr>
          <w:rFonts w:ascii="Amiri" w:hAnsi="Amiri" w:eastAsia="Amiri" w:cs="Amiri"/>
          <w:color w:val="111111"/>
          <w:sz w:val="28"/>
          <w:sz w:val="28"/>
          <w:szCs w:val="28"/>
          <w:rtl w:val="true"/>
          <w:lang w:bidi="ar-SA"/>
        </w:rPr>
        <w:t xml:space="preserve">إليه ، بل لعدم العلم بموضوع الحكم كما ستطّلع على تفاصيل ذلك إن شاء اللّه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المذكور في استصحاب الأحكام الوجودية العقلية بعينه جار في استصحاب الأحكام العدمية ، فإنّ العقل لا يحكم إلاّ بعد الإحاطة بجميع قيود موضوع الحكم والاطّلاع على حدوده وأطرافه ، ولا يفرق في ذلك الوجود </w:t>
      </w:r>
      <w:r>
        <w:rPr>
          <w:rStyle w:val="FootnoteAnchor"/>
          <w:rtl w:val="true"/>
        </w:rPr>
        <w:footnoteReference w:id="139"/>
      </w:r>
      <w:r>
        <w:rPr>
          <w:rFonts w:ascii="IRNazanin" w:hAnsi="IRNazanin" w:eastAsia="IRNazanin"/>
          <w:color w:val="111111"/>
          <w:sz w:val="28"/>
          <w:sz w:val="28"/>
          <w:szCs w:val="28"/>
          <w:rtl w:val="true"/>
          <w:lang w:bidi="fa-IR"/>
        </w:rPr>
        <w:t xml:space="preserve">والعدم ، فلا بدّ من عدم </w:t>
      </w:r>
      <w:r>
        <w:rPr>
          <w:rStyle w:val="FootnoteAnchor"/>
          <w:rtl w:val="true"/>
        </w:rPr>
        <w:footnoteReference w:id="140"/>
      </w:r>
      <w:r>
        <w:rPr>
          <w:rFonts w:ascii="Amiri" w:hAnsi="Amiri" w:eastAsia="Amiri" w:cs="Amiri"/>
          <w:color w:val="111111"/>
          <w:sz w:val="28"/>
          <w:sz w:val="28"/>
          <w:szCs w:val="28"/>
          <w:rtl w:val="true"/>
          <w:lang w:bidi="ar-SA"/>
        </w:rPr>
        <w:t>جريان استصحاب حكم العقل مطلقا ، ولا وجه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الحكم بالعدم الأزلي الأصلي الذي هو المستصحب </w:t>
      </w:r>
      <w:r>
        <w:rPr>
          <w:rStyle w:val="FootnoteAnchor"/>
          <w:rtl w:val="true"/>
        </w:rPr>
        <w:footnoteReference w:id="141"/>
      </w:r>
      <w:r>
        <w:rPr>
          <w:rFonts w:ascii="Amiri" w:hAnsi="Amiri" w:eastAsia="Amiri" w:cs="Amiri"/>
          <w:color w:val="111111"/>
          <w:sz w:val="28"/>
          <w:sz w:val="28"/>
          <w:szCs w:val="28"/>
          <w:rtl w:val="true"/>
          <w:lang w:bidi="ar-SA"/>
        </w:rPr>
        <w:t xml:space="preserve">إلاّ بواسطة انتفاء أحد أجزاء علّة الوجود الراجعة إمّا إلى الفاعل أو إلى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 فعند حكم العقل بالعدم بواسطة وجود المانع أو فقد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يكون المعلول موجودا على فرض حصول الشكّ فيه بواسطة انتفاء العلّة التي استند حكم العقل بالعدم إليها ؛ لاحتمال انتفاء جزء آخر من علّة الوجود ، فنفس العدم الأزلي مستصحب ؛ لعدم </w:t>
      </w:r>
      <w:r>
        <w:rPr>
          <w:rStyle w:val="FootnoteAnchor"/>
          <w:rtl w:val="true"/>
        </w:rPr>
        <w:footnoteReference w:id="142"/>
      </w:r>
      <w:r>
        <w:rPr>
          <w:rFonts w:ascii="Amiri" w:hAnsi="Amiri" w:eastAsia="Amiri" w:cs="Amiri"/>
          <w:color w:val="111111"/>
          <w:sz w:val="28"/>
          <w:sz w:val="28"/>
          <w:szCs w:val="28"/>
          <w:rtl w:val="true"/>
          <w:lang w:bidi="ar-SA"/>
        </w:rPr>
        <w:t xml:space="preserve">العلم بالعلّة التامّة </w:t>
      </w:r>
      <w:r>
        <w:rPr>
          <w:rStyle w:val="FootnoteAnchor"/>
          <w:rtl w:val="true"/>
        </w:rPr>
        <w:footnoteReference w:id="143"/>
      </w:r>
      <w:r>
        <w:rPr>
          <w:rFonts w:ascii="IRNazanin" w:hAnsi="IRNazanin" w:eastAsia="IRNazanin"/>
          <w:color w:val="111111"/>
          <w:sz w:val="28"/>
          <w:sz w:val="28"/>
          <w:szCs w:val="28"/>
          <w:rtl w:val="true"/>
          <w:lang w:bidi="fa-IR"/>
        </w:rPr>
        <w:t xml:space="preserve">للوجود ، نعم لو فرض وجود تمام أجزاء </w:t>
      </w:r>
      <w:r>
        <w:rPr>
          <w:rStyle w:val="FootnoteAnchor"/>
          <w:rtl w:val="true"/>
        </w:rPr>
        <w:footnoteReference w:id="144"/>
      </w:r>
      <w:r>
        <w:rPr>
          <w:rFonts w:ascii="Amiri" w:hAnsi="Amiri" w:eastAsia="Amiri" w:cs="Amiri"/>
          <w:color w:val="111111"/>
          <w:sz w:val="28"/>
          <w:sz w:val="28"/>
          <w:szCs w:val="28"/>
          <w:rtl w:val="true"/>
          <w:lang w:bidi="ar-SA"/>
        </w:rPr>
        <w:t xml:space="preserve">العلّة التي يستند إليها الوجود عدا ما حكم العقل بعدم المعلول بواسطة انعدامه من أجزاء العلّة التامّة فبعد </w:t>
      </w:r>
      <w:r>
        <w:rPr>
          <w:rStyle w:val="FootnoteAnchor"/>
          <w:rtl w:val="true"/>
        </w:rPr>
        <w:footnoteReference w:id="145"/>
      </w:r>
      <w:r>
        <w:rPr>
          <w:rFonts w:ascii="IRNazanin" w:hAnsi="IRNazanin" w:eastAsia="IRNazanin"/>
          <w:color w:val="111111"/>
          <w:sz w:val="28"/>
          <w:sz w:val="28"/>
          <w:szCs w:val="28"/>
          <w:rtl w:val="true"/>
          <w:lang w:bidi="fa-IR"/>
        </w:rPr>
        <w:t xml:space="preserve">فرض وجود الجزء </w:t>
      </w:r>
      <w:r>
        <w:rPr>
          <w:rStyle w:val="FootnoteAnchor"/>
          <w:rtl w:val="true"/>
        </w:rPr>
        <w:footnoteReference w:id="146"/>
      </w:r>
      <w:r>
        <w:rPr>
          <w:rFonts w:ascii="Amiri" w:hAnsi="Amiri" w:eastAsia="Amiri" w:cs="Amiri"/>
          <w:color w:val="111111"/>
          <w:sz w:val="28"/>
          <w:sz w:val="28"/>
          <w:szCs w:val="28"/>
          <w:rtl w:val="true"/>
          <w:lang w:bidi="ar-SA"/>
        </w:rPr>
        <w:t xml:space="preserve">المعدوم لا ينبغي </w:t>
      </w:r>
      <w:r>
        <w:rPr>
          <w:rStyle w:val="FootnoteAnchor"/>
          <w:rtl w:val="true"/>
        </w:rPr>
        <w:footnoteReference w:id="147"/>
      </w:r>
      <w:r>
        <w:rPr>
          <w:rFonts w:ascii="Amiri" w:hAnsi="Amiri" w:eastAsia="Amiri" w:cs="Amiri"/>
          <w:color w:val="111111"/>
          <w:sz w:val="28"/>
          <w:sz w:val="28"/>
          <w:szCs w:val="28"/>
          <w:rtl w:val="true"/>
          <w:lang w:bidi="ar-SA"/>
        </w:rPr>
        <w:t xml:space="preserve">الشكّ في وجود المعلول ، وبذلك يسقط استصحاب العدم الأزلي ، وهذا بخلاف الوجود ، فإنّ العقل ما لم يقطع بوجود جميع أجزاء علّته التامّة لا يحكم بوجوده ، فعند الشكّ في جزء منها مع </w:t>
      </w:r>
      <w:r>
        <w:rPr>
          <w:rStyle w:val="FootnoteAnchor"/>
          <w:rtl w:val="true"/>
        </w:rPr>
        <w:footnoteReference w:id="148"/>
      </w:r>
      <w:r>
        <w:rPr>
          <w:rFonts w:ascii="Amiri" w:hAnsi="Amiri" w:eastAsia="Amiri" w:cs="Amiri"/>
          <w:color w:val="111111"/>
          <w:sz w:val="28"/>
          <w:sz w:val="28"/>
          <w:szCs w:val="28"/>
          <w:rtl w:val="true"/>
          <w:lang w:bidi="ar-SA"/>
        </w:rPr>
        <w:t xml:space="preserve">الإحاطة بتمام أطرافه وحدوده ، يعلم إمّا بانتفاء علّة الوجود فلا شكّ </w:t>
      </w:r>
      <w:r>
        <w:rPr>
          <w:rStyle w:val="FootnoteAnchor"/>
          <w:rtl w:val="true"/>
        </w:rPr>
        <w:footnoteReference w:id="149"/>
      </w:r>
      <w:r>
        <w:rPr>
          <w:rFonts w:ascii="Amiri" w:hAnsi="Amiri" w:eastAsia="Amiri" w:cs="Amiri"/>
          <w:color w:val="111111"/>
          <w:sz w:val="28"/>
          <w:sz w:val="28"/>
          <w:szCs w:val="28"/>
          <w:rtl w:val="true"/>
          <w:lang w:bidi="ar-SA"/>
        </w:rPr>
        <w:t>في الارتفاع ، وإمّا بوجوده فلا شكّ في البقاء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أنّ ما أفاده المحقّق القمي </w:t>
      </w:r>
      <w:r>
        <w:rPr>
          <w:rStyle w:val="FootnoteAnchor"/>
          <w:rtl w:val="true"/>
        </w:rPr>
        <w:footnoteReference w:id="150"/>
      </w:r>
      <w:r>
        <w:rPr>
          <w:rFonts w:ascii="Amiri" w:hAnsi="Amiri" w:eastAsia="Amiri" w:cs="Amiri"/>
          <w:color w:val="111111"/>
          <w:sz w:val="28"/>
          <w:sz w:val="28"/>
          <w:szCs w:val="28"/>
          <w:rtl w:val="true"/>
          <w:lang w:bidi="ar-SA"/>
        </w:rPr>
        <w:t xml:space="preserve">في بحث الإجزاء من أنّه </w:t>
      </w:r>
      <w:r>
        <w:rPr>
          <w:rStyle w:val="FootnoteAnchor"/>
          <w:rtl w:val="true"/>
        </w:rPr>
        <w:footnoteReference w:id="151"/>
      </w:r>
      <w:r>
        <w:rPr>
          <w:rFonts w:ascii="IRNazanin" w:hAnsi="IRNazanin" w:eastAsia="IRNazanin"/>
          <w:color w:val="111111"/>
          <w:sz w:val="28"/>
          <w:sz w:val="28"/>
          <w:szCs w:val="28"/>
          <w:rtl w:val="true"/>
          <w:lang w:bidi="fa-IR"/>
        </w:rPr>
        <w:t xml:space="preserve">بعد حصول </w:t>
      </w:r>
      <w:bookmarkStart w:id="45" w:name="pg16284_171013"/>
    </w:p>
    <w:p>
      <w:pPr>
        <w:pStyle w:val="BookText"/>
        <w:rPr/>
      </w:pPr>
      <w:bookmarkEnd w:id="45"/>
      <w:r>
        <w:rPr>
          <w:rFonts w:ascii="Amiri" w:hAnsi="Amiri" w:eastAsia="Amiri" w:cs="Amiri"/>
          <w:color w:val="111111"/>
          <w:sz w:val="28"/>
          <w:sz w:val="28"/>
          <w:szCs w:val="28"/>
          <w:rtl w:val="true"/>
          <w:lang w:bidi="ar-SA"/>
        </w:rPr>
        <w:t>الذكر المسبوق بالنسيان عدم التكليف مستصحب ، ليس فى محلّه ؛ إذ المفروض أنّ العدم مستند إلى عدم جزء خاصّ من أجزاء علّة الوجود وهو الذكر بواسطة حدوث النسيان ، والمفروض اجتماع بقيّة الأجزاء ، فعند زوال النسيان ووجود الذكر لا مجال للشكّ في التكليف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العدم المضاف بخصوصه مستصحب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التمايز بين الأعدام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باعتبار الدليل إلى استصحاب حال النصّ إلى أن يثبت الناسخ ، وإلى استصحاب حال الإجماع كاستصحاب وجوب المضيّ في الصلاة بعد ما وجد الماء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باعتبار المشكوك فيه إلى استصحاب الحكم الشرعي ، تكليفيا كان أو وضعيا ، وإلى استصحاب الموضوع الخارجى كالرطوبة واليبوسة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باعتبار الشكّ ، فإنّ الشكّ في وجود المستصحب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 عن الشكّ في وجود المقتضي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الشكّ في وجود المانع ، ولا ثالث في البين فيما كان العلّة التامّة مركّبة من وجود المقتضي وفقد المانع ، فإنّ عدم المعلول علما وظنّا وشكّا من توابع عدم العلّة علما وظنّا وشكّا ، فالشكّ في وجود المستصحب المعلول دائما ناش إمّا من الشكّ في نفس المقتضي أو شرط من شروطه أو جزء من أجزائه ، أو ناش من الشكّ في وجود المانع</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012054_1280447820"/>
      <w:bookmarkStart w:id="47" w:name="_Toc16"/>
      <w:bookmarkEnd w:id="46"/>
      <w:r>
        <w:rPr>
          <w:rtl w:val="true"/>
        </w:rPr>
        <w:t xml:space="preserve">[ </w:t>
      </w:r>
      <w:r>
        <w:rPr>
          <w:rtl w:val="true"/>
        </w:rPr>
        <w:t xml:space="preserve">أقسام الشكّ في المقتضي </w:t>
      </w:r>
      <w:r>
        <w:rPr>
          <w:rtl w:val="true"/>
        </w:rPr>
        <w:t>]</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الشكّ في المقتضي </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الشكّ في المقتضي على أقسام ؛ إذ الشكّ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صلوحه للبقاء واستعداده في الوجود </w:t>
      </w:r>
      <w:r>
        <w:rPr>
          <w:rStyle w:val="FootnoteAnchor"/>
          <w:rtl w:val="true"/>
        </w:rPr>
        <w:footnoteReference w:id="153"/>
      </w:r>
      <w:r>
        <w:rPr>
          <w:rFonts w:ascii="Amiri" w:hAnsi="Amiri" w:eastAsia="Amiri" w:cs="Amiri"/>
          <w:color w:val="111111"/>
          <w:sz w:val="28"/>
          <w:sz w:val="28"/>
          <w:szCs w:val="28"/>
          <w:rtl w:val="true"/>
          <w:lang w:bidi="ar-SA"/>
        </w:rPr>
        <w:t xml:space="preserve">، كما لو علمنا بوجود حيوان لم نعلم بمقدار استعداده وصلوحه للبقاء ومثله الخيار في خيار العيب ، فإنّه لا يعلم بقاؤه في الزمن الثاني من العلم به بعد </w:t>
      </w:r>
      <w:bookmarkStart w:id="48" w:name="pg16284_171014"/>
    </w:p>
    <w:p>
      <w:pPr>
        <w:pStyle w:val="BookText"/>
        <w:rPr/>
      </w:pPr>
      <w:bookmarkEnd w:id="48"/>
      <w:r>
        <w:rPr>
          <w:rFonts w:ascii="Amiri" w:hAnsi="Amiri" w:eastAsia="Amiri" w:cs="Amiri"/>
          <w:color w:val="111111"/>
          <w:sz w:val="28"/>
          <w:sz w:val="28"/>
          <w:szCs w:val="28"/>
          <w:rtl w:val="true"/>
          <w:lang w:bidi="ar-SA"/>
        </w:rPr>
        <w:t>الخلاف في فوريته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تعيين </w:t>
      </w:r>
      <w:r>
        <w:rPr>
          <w:rStyle w:val="FootnoteAnchor"/>
          <w:rtl w:val="true"/>
        </w:rPr>
        <w:footnoteReference w:id="154"/>
      </w:r>
      <w:r>
        <w:rPr>
          <w:rFonts w:ascii="Amiri" w:hAnsi="Amiri" w:eastAsia="Amiri" w:cs="Amiri"/>
          <w:color w:val="111111"/>
          <w:sz w:val="28"/>
          <w:sz w:val="28"/>
          <w:szCs w:val="28"/>
          <w:rtl w:val="true"/>
          <w:lang w:bidi="ar-SA"/>
        </w:rPr>
        <w:t>الاستعداد بعد العلم بأصل الصلاحية ، كما فيما علمنا بوجود حيوان مردّد بين ما يعيش في السنة كالعصفور مثلا ، وبين ما يعيش في الأقلّ منها كالذباب والديدان ، فإنّ الشكّ في البقاء ناش من الشكّ في أنّ الموجود من أيّ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زمان حدوثه بعد العلم باستعداده وكونه ممّا يعيش في السنة مثلا ، فلا يعلم أنّ </w:t>
      </w:r>
      <w:r>
        <w:rPr>
          <w:rStyle w:val="FootnoteAnchor"/>
          <w:rtl w:val="true"/>
        </w:rPr>
        <w:footnoteReference w:id="155"/>
      </w:r>
      <w:r>
        <w:rPr>
          <w:rFonts w:ascii="Amiri" w:hAnsi="Amiri" w:eastAsia="Amiri" w:cs="Amiri"/>
          <w:color w:val="111111"/>
          <w:sz w:val="28"/>
          <w:sz w:val="28"/>
          <w:szCs w:val="28"/>
          <w:rtl w:val="true"/>
          <w:lang w:bidi="ar-SA"/>
        </w:rPr>
        <w:t xml:space="preserve">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زمان صار موجودا ، فلو كان بدو وجوده في أقلّ من السنة فهو موجود قطعا ، ولو كان فيها فليس بموجود قطعا ، فالشكّ فيه مسبّب عن الشكّ في ابتداء الوجود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5012056_1280447820"/>
      <w:bookmarkStart w:id="50" w:name="_Toc17"/>
      <w:bookmarkEnd w:id="49"/>
      <w:r>
        <w:rPr>
          <w:rtl w:val="true"/>
        </w:rPr>
        <w:t xml:space="preserve">[ </w:t>
      </w:r>
      <w:r>
        <w:rPr>
          <w:rtl w:val="true"/>
        </w:rPr>
        <w:t xml:space="preserve">أقسام الشكّ في المانع </w:t>
      </w:r>
      <w:r>
        <w:rPr>
          <w:rtl w:val="true"/>
        </w:rPr>
        <w:t>]</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الشكّ في المانع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والشكّ في المانع أيضا يتصوّر </w:t>
      </w:r>
      <w:r>
        <w:rPr>
          <w:rStyle w:val="FootnoteAnchor"/>
          <w:rtl w:val="true"/>
        </w:rPr>
        <w:footnoteReference w:id="158"/>
      </w:r>
      <w:r>
        <w:rPr>
          <w:rFonts w:ascii="Amiri" w:hAnsi="Amiri" w:eastAsia="Amiri" w:cs="Amiri"/>
          <w:color w:val="111111"/>
          <w:sz w:val="28"/>
          <w:sz w:val="28"/>
          <w:szCs w:val="28"/>
          <w:rtl w:val="true"/>
          <w:lang w:bidi="ar-SA"/>
        </w:rPr>
        <w:t xml:space="preserve">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وجود المانع مع العلم بمانعيته ، وقد يعبّر عنه بالشكّ في عروض القادح ، كما إذا شككنا في بقاء الطهارة بواسطة الشكّ في طروّ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مانعية الموجود ، وقد يعبّر عنه أيضا بالشكّ في قدح العارض ، وهذا القسم أيضا على أقسام ؛ لأنّ </w:t>
      </w:r>
      <w:r>
        <w:rPr>
          <w:rStyle w:val="FootnoteAnchor"/>
          <w:rtl w:val="true"/>
        </w:rPr>
        <w:footnoteReference w:id="159"/>
      </w:r>
      <w:r>
        <w:rPr>
          <w:rFonts w:ascii="Amiri" w:hAnsi="Amiri" w:eastAsia="Amiri" w:cs="Amiri"/>
          <w:color w:val="111111"/>
          <w:sz w:val="28"/>
          <w:sz w:val="28"/>
          <w:szCs w:val="28"/>
          <w:rtl w:val="true"/>
          <w:lang w:bidi="ar-SA"/>
        </w:rPr>
        <w:t xml:space="preserve">الشكّ في تلك </w:t>
      </w:r>
      <w:r>
        <w:rPr>
          <w:rStyle w:val="FootnoteAnchor"/>
          <w:rtl w:val="true"/>
        </w:rPr>
        <w:footnoteReference w:id="160"/>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يكون بواسطة الشكّ في كونه مانعا وناقضا في أصل الشّرع ، فلا نعلم أنّ الشّارع الصادع </w:t>
      </w:r>
      <w:r>
        <w:rPr>
          <w:rStyle w:val="FootnoteAnchor"/>
          <w:rtl w:val="true"/>
        </w:rPr>
        <w:footnoteReference w:id="161"/>
      </w:r>
      <w:r>
        <w:rPr>
          <w:rFonts w:ascii="Amiri" w:hAnsi="Amiri" w:eastAsia="Amiri" w:cs="Amiri"/>
          <w:color w:val="111111"/>
          <w:sz w:val="28"/>
          <w:sz w:val="28"/>
          <w:szCs w:val="28"/>
          <w:rtl w:val="true"/>
          <w:lang w:bidi="ar-SA"/>
        </w:rPr>
        <w:t xml:space="preserve">كما جعل البول ناقضا للوضوء فهل جعل المذي أيضا من نواقض الطهارة أو لا؟ </w:t>
      </w:r>
    </w:p>
    <w:p>
      <w:pPr>
        <w:pStyle w:val="BookText"/>
        <w:rPr/>
      </w:pPr>
      <w:r>
        <w:rPr>
          <w:rFonts w:ascii="Amiri" w:hAnsi="Amiri" w:eastAsia="Amiri" w:cs="Amiri"/>
          <w:color w:val="111111"/>
          <w:sz w:val="28"/>
          <w:sz w:val="28"/>
          <w:szCs w:val="28"/>
          <w:rtl w:val="true"/>
          <w:lang w:bidi="ar-SA"/>
        </w:rPr>
        <w:t>وإمّا بواسطة عدم العلم بالمقتضي وتعيّنه ، فلا نعلم أنّ الموجود الفلاني مانع بواسطة عدم العلم بالمقتضي ، فلو علمنا به علمنا بالوصف المذكور ، للعلم بالموانع بعد العلم بالمقتضيات ، وذلك كما في موارد الاشتغال مثل دوران المكلّف به بين الظهر والجمعة ، فلو صلّينا الظهر شككنا في ارتفاع التكليف بواسطة عدم العلم بالمقتضي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بواسطة الشكّ في معنى اللفظ والموضوع المستنبط ، كما فيما لو فرضنا عدم العلم بدخول الخفقة والخفقتين في معنى النوم الناقض المعلوم ، فالشكّ في بقاء الطهارة بواسطة الشكّ في أنّهما من أفراد النوم أو لا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أن يكون بواسطة الشكّ في الموضوع الخارجي ، كما إذا عرض رطوبة مشتبهة مردّدة بين كونها بولا وبين غيره ممّا ليس بناقض قطعا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 عليك تداخل بعض الأقسام المذكورة دون بعض آخر </w:t>
      </w:r>
      <w:r>
        <w:rPr>
          <w:rStyle w:val="FootnoteAnchor"/>
          <w:rtl w:val="true"/>
        </w:rPr>
        <w:footnoteReference w:id="163"/>
      </w:r>
      <w:r>
        <w:rPr>
          <w:rFonts w:ascii="Amiri" w:hAnsi="Amiri" w:eastAsia="Amiri" w:cs="Amiri"/>
          <w:color w:val="111111"/>
          <w:sz w:val="28"/>
          <w:sz w:val="28"/>
          <w:szCs w:val="28"/>
          <w:rtl w:val="true"/>
          <w:lang w:bidi="ar-SA"/>
        </w:rPr>
        <w:t>، فلا ينبغي أخذ الأقسام الحاصلة من ضرب البعض في الآخر ، وفي المقام بعض تقسيمات أخر لا جدوى في التعرّض لها</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6284_171017"/>
      <w:bookmarkStart w:id="52" w:name="pg16284_171017"/>
      <w:bookmarkEnd w:id="52"/>
    </w:p>
    <w:p>
      <w:pPr>
        <w:pStyle w:val="Heading3"/>
        <w:numPr>
          <w:ilvl w:val="2"/>
          <w:numId w:val="1"/>
        </w:numPr>
        <w:rPr/>
      </w:pPr>
      <w:bookmarkStart w:id="53" w:name="pg16284_171017"/>
      <w:bookmarkStart w:id="54" w:name="__RefHeading___Toc5012058_1280447820"/>
      <w:bookmarkStart w:id="55" w:name="_Toc18"/>
      <w:bookmarkEnd w:id="53"/>
      <w:bookmarkEnd w:id="54"/>
      <w:r>
        <w:rPr>
          <w:rtl w:val="true"/>
        </w:rPr>
        <w:t xml:space="preserve">هداية </w:t>
      </w:r>
      <w:r>
        <w:rPr>
          <w:rtl w:val="true"/>
        </w:rPr>
        <w:t xml:space="preserve">[ </w:t>
      </w:r>
      <w:r>
        <w:rPr>
          <w:rtl w:val="true"/>
        </w:rPr>
        <w:t xml:space="preserve">في تعميم النزاع لأقسام الاستصحاب </w:t>
      </w:r>
      <w:r>
        <w:rPr>
          <w:rtl w:val="true"/>
        </w:rPr>
        <w:t>]</w:t>
      </w:r>
      <w:bookmarkEnd w:id="55"/>
    </w:p>
    <w:p>
      <w:pPr>
        <w:pStyle w:val="Heading4"/>
        <w:numPr>
          <w:ilvl w:val="3"/>
          <w:numId w:val="1"/>
        </w:numPr>
        <w:rPr/>
      </w:pPr>
      <w:bookmarkStart w:id="56" w:name="__RefHeading___Toc5012060_1280447820"/>
      <w:bookmarkStart w:id="57" w:name="_Toc19"/>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هل النزاع في حجّية الاستصحاب وعدمها يعمّ البراءة الأصلية ، أو يخصّ بغيرها </w:t>
      </w:r>
      <w:r>
        <w:rPr>
          <w:rStyle w:val="FootnoteAnchor"/>
          <w:rtl w:val="true"/>
        </w:rPr>
        <w:footnoteReference w:id="164"/>
      </w:r>
      <w:r>
        <w:rPr>
          <w:rFonts w:ascii="Amiri" w:hAnsi="Amiri" w:eastAsia="Amiri" w:cs="Amiri"/>
          <w:color w:val="111111"/>
          <w:sz w:val="28"/>
          <w:sz w:val="28"/>
          <w:szCs w:val="28"/>
          <w:rtl w:val="true"/>
          <w:lang w:bidi="ar-SA"/>
        </w:rPr>
        <w:t>؟ وهل يعمّ ما إذا كان المدرك إجماعا ، أو لا؟ وهل يختصّ النزاع بالأحكام الشرعية ، أو يجري في الموضوعات أيضا؟ وهل يجري النزاع في أقسام الشكّ في المقتضي أيضا ، أو يختصّ بأقسام الشكّ في المانع؟</w:t>
      </w:r>
    </w:p>
    <w:p>
      <w:pPr>
        <w:pStyle w:val="BookText"/>
        <w:rPr/>
      </w:pPr>
      <w:r>
        <w:rPr>
          <w:rFonts w:ascii="Amiri" w:hAnsi="Amiri" w:eastAsia="Amiri" w:cs="Amiri"/>
          <w:color w:val="111111"/>
          <w:sz w:val="28"/>
          <w:sz w:val="28"/>
          <w:szCs w:val="28"/>
          <w:rtl w:val="true"/>
          <w:lang w:bidi="ar-SA"/>
        </w:rPr>
        <w:t xml:space="preserve">ولمّا كان في كلّ من المقامات الأربع </w:t>
      </w:r>
      <w:r>
        <w:rPr>
          <w:rStyle w:val="FootnoteAnchor"/>
          <w:rtl w:val="true"/>
        </w:rPr>
        <w:footnoteReference w:id="165"/>
      </w:r>
      <w:r>
        <w:rPr>
          <w:rFonts w:ascii="Amiri" w:hAnsi="Amiri" w:eastAsia="Amiri" w:cs="Amiri"/>
          <w:color w:val="111111"/>
          <w:sz w:val="28"/>
          <w:sz w:val="28"/>
          <w:szCs w:val="28"/>
          <w:rtl w:val="true"/>
          <w:lang w:bidi="ar-SA"/>
        </w:rPr>
        <w:t xml:space="preserve">يظهر من بعضهم الخلاف ، فلا بدّ من ذكر كلّ واحد منها في مقام يختصّ به توضيحا </w:t>
      </w:r>
      <w:r>
        <w:rPr>
          <w:rStyle w:val="FootnoteAnchor"/>
          <w:rtl w:val="true"/>
        </w:rPr>
        <w:footnoteReference w:id="166"/>
      </w:r>
      <w:r>
        <w:rPr>
          <w:rFonts w:ascii="Amiri" w:hAnsi="Amiri" w:eastAsia="Amiri" w:cs="Amiri"/>
          <w:color w:val="111111"/>
          <w:sz w:val="28"/>
          <w:sz w:val="28"/>
          <w:szCs w:val="28"/>
          <w:rtl w:val="true"/>
          <w:lang w:bidi="ar-SA"/>
        </w:rPr>
        <w:t>للمقام وتحقيقا للمرام</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5012062_1280447820"/>
      <w:bookmarkStart w:id="59" w:name="_Toc20"/>
      <w:bookmarkEnd w:id="58"/>
      <w:r>
        <w:rPr>
          <w:rtl w:val="true"/>
        </w:rPr>
        <w:t xml:space="preserve">[ </w:t>
      </w:r>
      <w:r>
        <w:rPr>
          <w:rtl w:val="true"/>
        </w:rPr>
        <w:t xml:space="preserve">المقام </w:t>
      </w:r>
      <w:r>
        <w:rPr>
          <w:rtl w:val="true"/>
        </w:rPr>
        <w:t xml:space="preserve">] </w:t>
      </w:r>
      <w:r>
        <w:rPr>
          <w:rtl w:val="true"/>
        </w:rPr>
        <w:t>الأوّل</w:t>
      </w:r>
      <w:bookmarkEnd w:id="59"/>
    </w:p>
    <w:p>
      <w:pPr>
        <w:pStyle w:val="BookText"/>
        <w:rPr/>
      </w:pPr>
      <w:r>
        <w:rPr>
          <w:rFonts w:ascii="Amiri" w:hAnsi="Amiri" w:eastAsia="Amiri" w:cs="Amiri"/>
          <w:color w:val="111111"/>
          <w:sz w:val="28"/>
          <w:sz w:val="28"/>
          <w:szCs w:val="28"/>
          <w:rtl w:val="true"/>
          <w:lang w:bidi="ar-SA"/>
        </w:rPr>
        <w:t xml:space="preserve">في الجهة الأولى من وجوه تحرير الخلاف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جماعة من متأخّري المتأخّرين ممّن عاصرناهم ومن يقاربهم في العصر إلى خروج البراءة الأصلية عن حريم الخلاف وانتظامها في سلك المسلّمات مستندين إلى وفاق المتنازعين فيه مستكشفين ذلك من جملة من عبارات القوم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جواد الفضلاء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حجّية استصحاب النفي وهو </w:t>
      </w:r>
    </w:p>
    <w:p>
      <w:pPr>
        <w:pStyle w:val="BookText"/>
        <w:rPr/>
      </w:pPr>
      <w:r>
        <w:rPr>
          <w:rFonts w:ascii="Amiri" w:hAnsi="Amiri" w:eastAsia="Amiri" w:cs="Amiri"/>
          <w:color w:val="111111"/>
          <w:sz w:val="28"/>
          <w:sz w:val="28"/>
          <w:szCs w:val="28"/>
          <w:rtl w:val="true"/>
          <w:lang w:bidi="ar-SA"/>
        </w:rPr>
        <w:t xml:space="preserve">المعبّر عنه بالبراءة الأصلية ، وحاصله استصحاب براءة الذمّة من </w:t>
      </w:r>
      <w:r>
        <w:rPr>
          <w:rStyle w:val="FootnoteAnchor"/>
          <w:rtl w:val="true"/>
        </w:rPr>
        <w:footnoteReference w:id="168"/>
      </w:r>
      <w:r>
        <w:rPr>
          <w:rFonts w:ascii="Amiri" w:hAnsi="Amiri" w:eastAsia="Amiri" w:cs="Amiri"/>
          <w:color w:val="111111"/>
          <w:sz w:val="28"/>
          <w:sz w:val="28"/>
          <w:szCs w:val="28"/>
          <w:rtl w:val="true"/>
          <w:lang w:bidi="ar-SA"/>
        </w:rPr>
        <w:t xml:space="preserve">الواجبات وسقوط الحرج عن الخلق في الحركات والسكنات إلى أن يرد الدليل الناقل من النفي الأصلي إلى نفي </w:t>
      </w:r>
      <w:r>
        <w:rPr>
          <w:rStyle w:val="FootnoteAnchor"/>
          <w:rtl w:val="true"/>
        </w:rPr>
        <w:footnoteReference w:id="169"/>
      </w:r>
      <w:r>
        <w:rPr>
          <w:rFonts w:ascii="Amiri" w:hAnsi="Amiri" w:eastAsia="Amiri" w:cs="Amiri"/>
          <w:color w:val="111111"/>
          <w:sz w:val="28"/>
          <w:sz w:val="28"/>
          <w:szCs w:val="28"/>
          <w:rtl w:val="true"/>
          <w:lang w:bidi="ar-SA"/>
        </w:rPr>
        <w:t xml:space="preserve">ذلك الحكم ، فيتّبع حيث ما دلّ الدليل عليه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اختلف كلامهم في تحقيق محلّ النزاع ، فمنهم من نفى الخلاف والإشكال في حجّية أحد القسمين من أصل النفي بعد أن قال وهو المعبّر بالبراءة الأصلية وهو البراءة من الوجوب ، ومنهم من يظهر منه عدم الخلاف في استصحاب النفي كالشهيد والتوني حيث خصّا نقل الخلاف بغيره والكاظميني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حجّية استصحاب النفي ، وهو ظاهر كلام من جعل العنوان استصحاب الحال ولم ينقل الخلاف فيه كالتهذيب والمعالم وغيرهما ، وفي الأخير العلماء مطبقون على وجوب إبقاء الحكم مع عدم الدلالة الشرعية على ما يقتضيه البراءة الأصلية ولا معنى للاستصحاب إلاّ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بظاهره صريح فيما زعموا حيث نفى الكلام في حجّية استصحاب النفي بعد تفسيره بالبراءة الأصلية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w:t>
      </w:r>
      <w:r>
        <w:rPr>
          <w:rStyle w:val="FootnoteAnchor"/>
          <w:rtl w:val="true"/>
        </w:rPr>
        <w:footnoteReference w:id="171"/>
      </w:r>
      <w:r>
        <w:rPr>
          <w:rFonts w:ascii="Amiri" w:hAnsi="Amiri" w:eastAsia="Amiri" w:cs="Amiri"/>
          <w:color w:val="111111"/>
          <w:sz w:val="28"/>
          <w:sz w:val="28"/>
          <w:szCs w:val="28"/>
          <w:rtl w:val="true"/>
          <w:lang w:bidi="ar-SA"/>
        </w:rPr>
        <w:t xml:space="preserve">الشهيد السعيد في محكيّ الذكرى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دليل العقل 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لا يتوقّف على الخطاب ، وهو خمسة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قضيّة العقل ، كوجوب قضاء الدين ، وردّ الوديعة ، وحرمة الظلم ، واستحباب الإحسان ، وكراهة </w:t>
      </w:r>
      <w:r>
        <w:rPr>
          <w:rStyle w:val="FootnoteAnchor"/>
          <w:rtl w:val="true"/>
        </w:rPr>
        <w:footnoteReference w:id="173"/>
      </w:r>
      <w:r>
        <w:rPr>
          <w:rFonts w:ascii="Amiri" w:hAnsi="Amiri" w:eastAsia="Amiri" w:cs="Amiri"/>
          <w:color w:val="111111"/>
          <w:sz w:val="28"/>
          <w:sz w:val="28"/>
          <w:szCs w:val="28"/>
          <w:rtl w:val="true"/>
          <w:lang w:bidi="ar-SA"/>
        </w:rPr>
        <w:t xml:space="preserve">منع اقتباس النار ، وإباحة تناول المنافع الخالية عن المضار ، سواء علم ذلك بالضرورة ، أو بالنظر </w:t>
      </w:r>
      <w:r>
        <w:rPr>
          <w:rStyle w:val="FootnoteAnchor"/>
          <w:rtl w:val="true"/>
        </w:rPr>
        <w:footnoteReference w:id="174"/>
      </w:r>
      <w:r>
        <w:rPr>
          <w:rFonts w:ascii="Amiri" w:hAnsi="Amiri" w:eastAsia="Amiri" w:cs="Amiri"/>
          <w:color w:val="111111"/>
          <w:sz w:val="28"/>
          <w:sz w:val="28"/>
          <w:szCs w:val="28"/>
          <w:rtl w:val="true"/>
          <w:lang w:bidi="ar-SA"/>
        </w:rPr>
        <w:t xml:space="preserve">كالصدق النافع والضارّ ، وورود السمع في هذه </w:t>
      </w:r>
      <w:r>
        <w:rPr>
          <w:rStyle w:val="FootnoteAnchor"/>
          <w:rtl w:val="true"/>
        </w:rPr>
        <w:footnoteReference w:id="175"/>
      </w:r>
      <w:r>
        <w:rPr>
          <w:rFonts w:ascii="Amiri" w:hAnsi="Amiri" w:eastAsia="Amiri" w:cs="Amiri"/>
          <w:color w:val="111111"/>
          <w:sz w:val="28"/>
          <w:sz w:val="28"/>
          <w:szCs w:val="28"/>
          <w:rtl w:val="true"/>
          <w:lang w:bidi="ar-SA"/>
        </w:rPr>
        <w:t>مؤكّد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بأصل البراءة عند عدم الدليل ، وهو عامّ المورد </w:t>
      </w:r>
      <w:r>
        <w:rPr>
          <w:rStyle w:val="FootnoteAnchor"/>
          <w:rtl w:val="true"/>
        </w:rPr>
        <w:footnoteReference w:id="176"/>
      </w:r>
      <w:r>
        <w:rPr>
          <w:rFonts w:ascii="Amiri" w:hAnsi="Amiri" w:eastAsia="Amiri" w:cs="Amiri"/>
          <w:color w:val="111111"/>
          <w:sz w:val="28"/>
          <w:sz w:val="28"/>
          <w:szCs w:val="28"/>
          <w:rtl w:val="true"/>
          <w:lang w:bidi="ar-SA"/>
        </w:rPr>
        <w:t xml:space="preserve">في هذا الباب ، كنفي الغسلة الثالثة في الوضوء ، والضربة الزائدة في التيمّم ، ونفي وجوب الوتر ، ويسمّى ذلك استصحاب حال العقل ، وقد نبّه عليه في الحديث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وحرام فهو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وسببه </w:t>
      </w:r>
      <w:r>
        <w:rPr>
          <w:rStyle w:val="FootnoteAnchor"/>
          <w:rtl w:val="true"/>
        </w:rPr>
        <w:footnoteReference w:id="17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كذا فينتفي ، وكثيرا ما يستعمله الأصحاب ، وهو تامّ عند التتبّع التامّ ، ومرجعه إلى أصل </w:t>
      </w:r>
      <w:r>
        <w:rPr>
          <w:rStyle w:val="FootnoteAnchor"/>
          <w:rtl w:val="true"/>
        </w:rPr>
        <w:footnoteReference w:id="179"/>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الأقلّ </w:t>
      </w:r>
      <w:r>
        <w:rPr>
          <w:rStyle w:val="FootnoteAnchor"/>
          <w:rtl w:val="true"/>
        </w:rPr>
        <w:footnoteReference w:id="180"/>
      </w:r>
      <w:r>
        <w:rPr>
          <w:rFonts w:ascii="Amiri" w:hAnsi="Amiri" w:eastAsia="Amiri" w:cs="Amiri"/>
          <w:color w:val="111111"/>
          <w:sz w:val="28"/>
          <w:sz w:val="28"/>
          <w:szCs w:val="28"/>
          <w:rtl w:val="true"/>
          <w:lang w:bidi="ar-SA"/>
        </w:rPr>
        <w:t xml:space="preserve">عند فقد دليل على </w:t>
      </w:r>
      <w:r>
        <w:rPr>
          <w:rStyle w:val="FootnoteAnchor"/>
          <w:rtl w:val="true"/>
        </w:rPr>
        <w:footnoteReference w:id="181"/>
      </w:r>
      <w:r>
        <w:rPr>
          <w:rFonts w:ascii="Amiri" w:hAnsi="Amiri" w:eastAsia="Amiri" w:cs="Amiri"/>
          <w:color w:val="111111"/>
          <w:sz w:val="28"/>
          <w:sz w:val="28"/>
          <w:szCs w:val="28"/>
          <w:rtl w:val="true"/>
          <w:lang w:bidi="ar-SA"/>
        </w:rPr>
        <w:t>الأكثر كدية الذمّي عندنا ؛ لأنّه المتيقّن ، فيبقى الباقي على الأصل وهو راجع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استصحاب حال الشرع وحال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الخلاف ، كصحّة صلاة المتيمّم الذي يجد الماء في الأثناء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w:t>
      </w:r>
      <w:r>
        <w:rPr>
          <w:rStyle w:val="FootnoteAnchor"/>
          <w:rtl w:val="true"/>
        </w:rPr>
        <w:footnoteReference w:id="182"/>
      </w:r>
      <w:r>
        <w:rPr>
          <w:rFonts w:ascii="Amiri" w:hAnsi="Amiri" w:eastAsia="Amiri" w:cs="Amiri"/>
          <w:color w:val="111111"/>
          <w:sz w:val="28"/>
          <w:sz w:val="28"/>
          <w:szCs w:val="28"/>
          <w:rtl w:val="true"/>
          <w:lang w:bidi="ar-SA"/>
        </w:rPr>
        <w:t xml:space="preserve">معلومة والأصل عدم طار ، و </w:t>
      </w:r>
      <w:r>
        <w:rPr>
          <w:rStyle w:val="FootnoteAnchor"/>
          <w:rtl w:val="true"/>
        </w:rPr>
        <w:footnoteReference w:id="183"/>
      </w:r>
      <w:r>
        <w:rPr>
          <w:rFonts w:ascii="Amiri" w:hAnsi="Amiri" w:eastAsia="Amiri" w:cs="Amiri"/>
          <w:color w:val="111111"/>
          <w:sz w:val="28"/>
          <w:sz w:val="28"/>
          <w:szCs w:val="28"/>
          <w:rtl w:val="true"/>
          <w:lang w:bidi="ar-SA"/>
        </w:rPr>
        <w:t xml:space="preserve">صلاته صحيحة قبل الوجدان وكذا </w:t>
      </w:r>
      <w:r>
        <w:rPr>
          <w:rStyle w:val="FootnoteAnchor"/>
          <w:rtl w:val="true"/>
        </w:rPr>
        <w:footnoteReference w:id="184"/>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الأصحاب في حجّيته وهو مقرّر في الأصول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يظهر من تخصيص الخلاف بقسم من الأقسام المذكورة التى منها استصحاب حال العقل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في محكيّ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فى النفي الأصلي هل </w:t>
      </w:r>
    </w:p>
    <w:p>
      <w:pPr>
        <w:pStyle w:val="BookText"/>
        <w:rPr/>
      </w:pPr>
      <w:r>
        <w:rPr>
          <w:rFonts w:ascii="Amiri" w:hAnsi="Amiri" w:eastAsia="Amiri" w:cs="Amiri"/>
          <w:color w:val="111111"/>
          <w:sz w:val="28"/>
          <w:sz w:val="28"/>
          <w:szCs w:val="28"/>
          <w:rtl w:val="true"/>
          <w:lang w:bidi="ar-SA"/>
        </w:rPr>
        <w:t>يمكن التوصّل إليه بالقياس أم لا؟ بعد اتّفاقهم على اكتفاء حكم العقل فيه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186"/>
      </w:r>
      <w:r>
        <w:rPr>
          <w:rFonts w:ascii="Amiri" w:hAnsi="Amiri" w:eastAsia="Amiri" w:cs="Amiri"/>
          <w:color w:val="111111"/>
          <w:sz w:val="28"/>
          <w:sz w:val="28"/>
          <w:szCs w:val="28"/>
          <w:rtl w:val="true"/>
          <w:lang w:bidi="ar-SA"/>
        </w:rPr>
        <w:t>كما ترى ينادي بأنّ التوصّل بالاستصحاب إلى النفي الأصلي أمر مفروغ عنه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في المعالم من أنّ العلماء مطبقون على وجوب إبقاء الحكم مع عدم الدلالة الشرعية على ما تقتضيه البراءة الأصلية </w:t>
      </w:r>
      <w:r>
        <w:rPr>
          <w:rStyle w:val="FootnoteAnchor"/>
          <w:rtl w:val="true"/>
        </w:rPr>
        <w:footnoteReference w:id="187"/>
      </w:r>
      <w:r>
        <w:rPr>
          <w:rFonts w:ascii="Amiri" w:hAnsi="Amiri" w:eastAsia="Amiri" w:cs="Amiri"/>
          <w:color w:val="111111"/>
          <w:sz w:val="28"/>
          <w:sz w:val="28"/>
          <w:szCs w:val="28"/>
          <w:rtl w:val="true"/>
          <w:lang w:bidi="ar-SA"/>
        </w:rPr>
        <w:t xml:space="preserve">، ومثله ما في المعارج </w:t>
      </w:r>
      <w:r>
        <w:rPr>
          <w:rStyle w:val="FootnoteAnchor"/>
          <w:rtl w:val="true"/>
        </w:rPr>
        <w:footnoteReference w:id="188"/>
      </w:r>
      <w:r>
        <w:rPr>
          <w:rFonts w:ascii="IRNazanin" w:hAnsi="IRNazanin" w:eastAsia="IRNazanin"/>
          <w:color w:val="111111"/>
          <w:sz w:val="28"/>
          <w:sz w:val="28"/>
          <w:szCs w:val="28"/>
          <w:rtl w:val="true"/>
          <w:lang w:bidi="fa-IR"/>
        </w:rPr>
        <w:t xml:space="preserve">ودلالتهما على مقصودهم وجهها </w:t>
      </w:r>
      <w:r>
        <w:rPr>
          <w:rStyle w:val="FootnoteAnchor"/>
          <w:rtl w:val="true"/>
        </w:rPr>
        <w:footnoteReference w:id="189"/>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غير واحد من أرباب الفنّ وأصحاب الصناعة بأنّ استصحاب الحال كذا ؛ إذ من الواضح أنّ المراد منه هو الأمر الوجودي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الكلمات الدالّة على ذلك تصريحا أو تلويحا ، إلاّ </w:t>
      </w:r>
      <w:r>
        <w:rPr>
          <w:rStyle w:val="FootnoteAnchor"/>
          <w:rtl w:val="true"/>
        </w:rPr>
        <w:footnoteReference w:id="190"/>
      </w:r>
      <w:r>
        <w:rPr>
          <w:rFonts w:ascii="Amiri" w:hAnsi="Amiri" w:eastAsia="Amiri" w:cs="Amiri"/>
          <w:color w:val="111111"/>
          <w:sz w:val="28"/>
          <w:sz w:val="28"/>
          <w:szCs w:val="28"/>
          <w:rtl w:val="true"/>
          <w:lang w:bidi="ar-SA"/>
        </w:rPr>
        <w:t xml:space="preserve">إنّ ذلك بمعزل عن التحقيق ، فإنّ مدّعي الإجماع إن أراد أنّ القوم مطبقون على العمل بمقتضى قاعدة البراءة وهو الحكم بعدم ثبوت ما يترتّب على التكليف ، فهو حقّ ، لكنّه غير مفيد ؛ إذ من المحتمل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بدّ أن يكون هو المتعيّن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تعويلهم على ذلك من حيث اقتضاء مجرّد الشكّ من دون احتياج إلى انسحاب الحالة السابقة بالاستصحاب كما هو قضيّة قاعدة البراءة ، أو يكون حكمهم بالعدم مستندا إلى قاعدة العدم ؛ إذ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التي توافق الاستصحاب </w:t>
      </w:r>
      <w:r>
        <w:rPr>
          <w:rStyle w:val="FootnoteAnchor"/>
          <w:rtl w:val="true"/>
        </w:rPr>
        <w:footnoteReference w:id="192"/>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أنّ العمل على العدم بمقتضى قاعدة الاستصحاب بانجرار العدم المعلوم سابقا وانسحابه بالاستصحاب إلى زمن الشكّ ليترتّب عليه آثاره ، فغير سديد ؛ إذ عدم الخلاف فيما يستفاد من العبارات المتقدّمة إنّما هو إجماع عملي ، والوجه في أمثال ذلك </w:t>
      </w:r>
    </w:p>
    <w:p>
      <w:pPr>
        <w:pStyle w:val="BookText"/>
        <w:rPr/>
      </w:pPr>
      <w:r>
        <w:rPr>
          <w:rFonts w:ascii="Amiri" w:hAnsi="Amiri" w:eastAsia="Amiri" w:cs="Amiri"/>
          <w:color w:val="111111"/>
          <w:sz w:val="28"/>
          <w:sz w:val="28"/>
          <w:szCs w:val="28"/>
          <w:rtl w:val="true"/>
          <w:lang w:bidi="ar-SA"/>
        </w:rPr>
        <w:t xml:space="preserve">ممّا يحتمل أن يكون وقوعه على وجوه مختلفة عدم جواز تعيين وجه منها ، لعدم دليل عليه بالخصوص ، على أنّك قد عرفت </w:t>
      </w:r>
      <w:r>
        <w:rPr>
          <w:rStyle w:val="FootnoteAnchor"/>
          <w:rtl w:val="true"/>
        </w:rPr>
        <w:footnoteReference w:id="193"/>
      </w:r>
      <w:r>
        <w:rPr>
          <w:rFonts w:ascii="Amiri" w:hAnsi="Amiri" w:eastAsia="Amiri" w:cs="Amiri"/>
          <w:color w:val="111111"/>
          <w:sz w:val="28"/>
          <w:sz w:val="28"/>
          <w:szCs w:val="28"/>
          <w:rtl w:val="true"/>
          <w:lang w:bidi="ar-SA"/>
        </w:rPr>
        <w:t>فيما تقدّم من مباحث البراءة عدم الحاجة إلى الاستصحاب عند الشكّ في البراءة وعدمها ؛ لأنّ الأحكام المترتّبة على المستصحب بعد انسحابه بالاستصحاب إنّما هو مترتّب على ما هو مقدّم طبعا عليه وهو مجرّد الشكّ بقبح العقاب بدون البيان في مجاري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فمدّعي الإجماع لا بدّ له من إثبات انعقاد الإجماع على حجّية استصحاب البراءة وإن قطعنا النظر عن اعتبار قاعدة البراءة ، بل الحكم في مواردها إنّما هو مترتّب </w:t>
      </w:r>
      <w:r>
        <w:rPr>
          <w:rStyle w:val="FootnoteAnchor"/>
          <w:rtl w:val="true"/>
        </w:rPr>
        <w:footnoteReference w:id="194"/>
      </w:r>
      <w:r>
        <w:rPr>
          <w:rFonts w:ascii="IRNazanin" w:hAnsi="IRNazanin" w:eastAsia="IRNazanin"/>
          <w:color w:val="111111"/>
          <w:sz w:val="28"/>
          <w:sz w:val="28"/>
          <w:szCs w:val="28"/>
          <w:rtl w:val="true"/>
          <w:lang w:bidi="fa-IR"/>
        </w:rPr>
        <w:t>على العدم المنسحب بالاستصحاب ، ودون إثباته خرط القتاد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دلالة العبارات المتقدّمة على مطلوب مدّعي الإجماع في محلّ من المنع بالنسبة إلى جميعها فإنّ الاستشهاد بكلام العلاّمة إنّما يتمّ فيما لو قلنا بأنّ ضمير الجمع المضاف إليه الاتّفاق إنّما يرجع إلى القوم دون القائلين بالقياس ، مع أنّ سوق العبارة 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بالقياس هم النافون </w:t>
      </w:r>
      <w:r>
        <w:rPr>
          <w:rStyle w:val="FootnoteAnchor"/>
          <w:rtl w:val="true"/>
        </w:rPr>
        <w:footnoteReference w:id="195"/>
      </w:r>
      <w:r>
        <w:rPr>
          <w:rFonts w:ascii="Amiri" w:hAnsi="Amiri" w:eastAsia="Amiri" w:cs="Amiri"/>
          <w:color w:val="111111"/>
          <w:sz w:val="28"/>
          <w:sz w:val="28"/>
          <w:szCs w:val="28"/>
          <w:rtl w:val="true"/>
          <w:lang w:bidi="ar-SA"/>
        </w:rPr>
        <w:t>للاستصحاب فيتمّ الاتّفاق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الاستشهاد بكلام المعالم فلم يثبت أنّ الفقرة الدالّة منها على المطلوب من كلام المستدلّ ولعلّه ناش من اجتهاده في استدلالهم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 في العنوان فلا دلالة له على المطلوب بوجه ، وعلى التنزّل فلعلّ نظرهم مقصور على أنّ الآثار المطلوبة في الاستصحاب غالبا إنّما يترتّب على المستصحب الموجود ، فتأمل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الأستاد المحقّق المرتضى أديمت إفاداته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النزاع لأقسام الاستصحاب الوجودي والبراءة الأصلية ، لأمرين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اتّحاد مناط الاستصحاب في الوجودي </w:t>
      </w:r>
      <w:r>
        <w:rPr>
          <w:rStyle w:val="FootnoteAnchor"/>
          <w:rtl w:val="true"/>
        </w:rPr>
        <w:footnoteReference w:id="196"/>
      </w:r>
      <w:r>
        <w:rPr>
          <w:rFonts w:ascii="Amiri" w:hAnsi="Amiri" w:eastAsia="Amiri" w:cs="Amiri"/>
          <w:color w:val="111111"/>
          <w:sz w:val="28"/>
          <w:sz w:val="28"/>
          <w:szCs w:val="28"/>
          <w:rtl w:val="true"/>
          <w:lang w:bidi="ar-SA"/>
        </w:rPr>
        <w:t xml:space="preserve">والعدمي ، فإنّ المدار فيه </w:t>
      </w:r>
      <w:r>
        <w:rPr>
          <w:rStyle w:val="FootnoteAnchor"/>
          <w:rtl w:val="true"/>
        </w:rPr>
        <w:footnoteReference w:id="197"/>
      </w:r>
      <w:r>
        <w:rPr>
          <w:rFonts w:ascii="Amiri" w:hAnsi="Amiri" w:eastAsia="Amiri" w:cs="Amiri"/>
          <w:color w:val="111111"/>
          <w:sz w:val="28"/>
          <w:sz w:val="28"/>
          <w:szCs w:val="28"/>
          <w:rtl w:val="true"/>
          <w:lang w:bidi="ar-SA"/>
        </w:rPr>
        <w:t xml:space="preserve">على اليقين السابق والشكّ اللاحق بأخذه مصاحبا من زمن اليقين </w:t>
      </w:r>
      <w:r>
        <w:rPr>
          <w:rStyle w:val="FootnoteAnchor"/>
          <w:rtl w:val="true"/>
        </w:rPr>
        <w:footnoteReference w:id="198"/>
      </w:r>
      <w:r>
        <w:rPr>
          <w:rFonts w:ascii="Amiri" w:hAnsi="Amiri" w:eastAsia="Amiri" w:cs="Amiri"/>
          <w:color w:val="111111"/>
          <w:sz w:val="28"/>
          <w:sz w:val="28"/>
          <w:szCs w:val="28"/>
          <w:rtl w:val="true"/>
          <w:lang w:bidi="ar-SA"/>
        </w:rPr>
        <w:t xml:space="preserve">إلى زمن الشكّ ليحكم عليه بما كان يحكم عليه في ذلك الزمان ، إمّا بواسطة أنّ تحقّق الشّيء في السابق في مرتبته وتقرّره </w:t>
      </w:r>
      <w:r>
        <w:rPr>
          <w:rStyle w:val="FootnoteAnchor"/>
          <w:rtl w:val="true"/>
        </w:rPr>
        <w:footnoteReference w:id="199"/>
      </w:r>
      <w:r>
        <w:rPr>
          <w:rFonts w:ascii="Amiri" w:hAnsi="Amiri" w:eastAsia="Amiri" w:cs="Amiri"/>
          <w:color w:val="111111"/>
          <w:sz w:val="28"/>
          <w:sz w:val="28"/>
          <w:szCs w:val="28"/>
          <w:rtl w:val="true"/>
          <w:lang w:bidi="ar-SA"/>
        </w:rPr>
        <w:t xml:space="preserve">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أمرا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الخروج عنه والحكم بخلافه عند العقلاء إلى دليل مخرج عن ذلك بواسطة حصول الظنّ بالبقاء ، أو بواسطة معاملتهم إيّاه معاملة السابق ولو كان مشكوكا أيضا كما يشعر بذلك بعض وجوه استدلالاتهم في مطاوي كلماتهم ، وإمّا بواسطة دلالة الأخبار على ذلك ، فإنّ الوجوه القائمة على اعتبار الاستصحاب لا يخلو من ذلك ، وكلّ ذلك بالنسبة إلى الوجود والعدم سواء ، فنحن لا نرى </w:t>
      </w:r>
      <w:r>
        <w:rPr>
          <w:rStyle w:val="FootnoteAnchor"/>
          <w:rtl w:val="true"/>
        </w:rPr>
        <w:footnoteReference w:id="200"/>
      </w:r>
      <w:r>
        <w:rPr>
          <w:rFonts w:ascii="Amiri" w:hAnsi="Amiri" w:eastAsia="Amiri" w:cs="Amiri"/>
          <w:color w:val="111111"/>
          <w:sz w:val="28"/>
          <w:sz w:val="28"/>
          <w:szCs w:val="28"/>
          <w:rtl w:val="true"/>
          <w:lang w:bidi="ar-SA"/>
        </w:rPr>
        <w:t>فرقا في ذلك بين الوجود والعدم ، فتخصيص أحدهما بالخروج عن النزاع دون الآخر يشبه أن يكون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دخول البراءة الأصلية في محلّ الخلاف من عباراتهم تصريحا أو تلويحا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الذي عزي إلى المحقّق على ما قد </w:t>
      </w:r>
      <w:r>
        <w:rPr>
          <w:rStyle w:val="FootnoteAnchor"/>
          <w:rtl w:val="true"/>
        </w:rPr>
        <w:footnoteReference w:id="201"/>
      </w:r>
      <w:r>
        <w:rPr>
          <w:rFonts w:ascii="Amiri" w:hAnsi="Amiri" w:eastAsia="Amiri" w:cs="Amiri"/>
          <w:color w:val="111111"/>
          <w:sz w:val="28"/>
          <w:sz w:val="28"/>
          <w:szCs w:val="28"/>
          <w:rtl w:val="true"/>
          <w:lang w:bidi="ar-SA"/>
        </w:rPr>
        <w:t xml:space="preserve">استفيد من قوله في المعتبر بعد تثليثه أقسام الاستصحاب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العقل وهو البراءة الأصلية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عدم الدليل على كذا ، فيجب انتفاؤه ، وهذا إنّما يصحّ فيما أنّه </w:t>
      </w:r>
      <w:r>
        <w:rPr>
          <w:rStyle w:val="FootnoteAnchor"/>
          <w:rtl w:val="true"/>
        </w:rPr>
        <w:footnoteReference w:id="202"/>
      </w:r>
      <w:r>
        <w:rPr>
          <w:rFonts w:ascii="Amiri" w:hAnsi="Amiri" w:eastAsia="Amiri" w:cs="Amiri"/>
          <w:color w:val="111111"/>
          <w:sz w:val="28"/>
          <w:sz w:val="28"/>
          <w:szCs w:val="28"/>
          <w:rtl w:val="true"/>
          <w:lang w:bidi="ar-SA"/>
        </w:rPr>
        <w:t xml:space="preserve">لو كان هناك دليل لنظفر به </w:t>
      </w:r>
      <w:r>
        <w:rPr>
          <w:rStyle w:val="FootnoteAnchor"/>
          <w:rtl w:val="true"/>
        </w:rPr>
        <w:footnoteReference w:id="203"/>
      </w:r>
      <w:r>
        <w:rPr>
          <w:rFonts w:ascii="Amiri" w:hAnsi="Amiri" w:eastAsia="Amiri" w:cs="Amiri"/>
          <w:color w:val="111111"/>
          <w:sz w:val="28"/>
          <w:sz w:val="28"/>
          <w:szCs w:val="28"/>
          <w:rtl w:val="true"/>
          <w:lang w:bidi="ar-SA"/>
        </w:rPr>
        <w:t xml:space="preserve">، وأمّا لا مع ذلك فيجب </w:t>
      </w:r>
      <w:r>
        <w:rPr>
          <w:rStyle w:val="FootnoteAnchor"/>
          <w:rtl w:val="true"/>
        </w:rPr>
        <w:footnoteReference w:id="204"/>
      </w:r>
      <w:r>
        <w:rPr>
          <w:rFonts w:ascii="Amiri" w:hAnsi="Amiri" w:eastAsia="Amiri" w:cs="Amiri"/>
          <w:color w:val="111111"/>
          <w:sz w:val="28"/>
          <w:sz w:val="28"/>
          <w:szCs w:val="28"/>
          <w:rtl w:val="true"/>
          <w:lang w:bidi="ar-SA"/>
        </w:rPr>
        <w:t xml:space="preserve">التوقّف ، ولا يكون ذلك الاستدلال حجّة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الشرع </w:t>
      </w:r>
      <w:r>
        <w:rPr>
          <w:rStyle w:val="FootnoteAnchor"/>
          <w:rtl w:val="true"/>
        </w:rPr>
        <w:footnoteReference w:id="205"/>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اعتبار عموم البلوى في اعتبار </w:t>
      </w:r>
    </w:p>
    <w:p>
      <w:pPr>
        <w:pStyle w:val="BookText"/>
        <w:rPr/>
      </w:pPr>
      <w:r>
        <w:rPr>
          <w:rFonts w:ascii="Amiri" w:hAnsi="Amiri" w:eastAsia="Amiri" w:cs="Amiri"/>
          <w:color w:val="111111"/>
          <w:sz w:val="28"/>
          <w:sz w:val="28"/>
          <w:szCs w:val="28"/>
          <w:rtl w:val="true"/>
          <w:lang w:bidi="ar-SA"/>
        </w:rPr>
        <w:t>القسم الثاني يدلّ على أنّ المناط هو حصول العلم أو الظنّ المعتبر بالعدم لا ملاحظة الحالة السابقة ؛ إذ لو كان كذلك لما كان للتفصيل وجه ، لوجود الحالة السابقة في جميع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في العدّة </w:t>
      </w:r>
      <w:r>
        <w:rPr>
          <w:rStyle w:val="FootnoteAnchor"/>
          <w:rtl w:val="true"/>
        </w:rPr>
        <w:footnoteReference w:id="206"/>
      </w:r>
      <w:r>
        <w:rPr>
          <w:rFonts w:ascii="Amiri" w:hAnsi="Amiri" w:eastAsia="Amiri" w:cs="Amiri"/>
          <w:color w:val="111111"/>
          <w:sz w:val="28"/>
          <w:sz w:val="28"/>
          <w:szCs w:val="28"/>
          <w:rtl w:val="true"/>
          <w:lang w:bidi="ar-SA"/>
        </w:rPr>
        <w:t xml:space="preserve">من أنّ المحصّلين على أنّ النافي كالمثبت في الاحتياج إلى الدليل ، كما أشرنا إليه نحن </w:t>
      </w:r>
      <w:r>
        <w:rPr>
          <w:rStyle w:val="FootnoteAnchor"/>
          <w:rtl w:val="true"/>
        </w:rPr>
        <w:footnoteReference w:id="207"/>
      </w:r>
      <w:r>
        <w:rPr>
          <w:rFonts w:ascii="Amiri" w:hAnsi="Amiri" w:eastAsia="Amiri" w:cs="Amiri"/>
          <w:color w:val="111111"/>
          <w:sz w:val="28"/>
          <w:sz w:val="28"/>
          <w:szCs w:val="28"/>
          <w:rtl w:val="true"/>
          <w:lang w:bidi="ar-SA"/>
        </w:rPr>
        <w:t xml:space="preserve">أيضا في بعض المباحث الماضية </w:t>
      </w:r>
      <w:r>
        <w:rPr>
          <w:rStyle w:val="FootnoteAnchor"/>
          <w:rtl w:val="true"/>
        </w:rPr>
        <w:footnoteReference w:id="208"/>
      </w:r>
      <w:r>
        <w:rPr>
          <w:rFonts w:ascii="Amiri" w:hAnsi="Amiri" w:eastAsia="Amiri" w:cs="Amiri"/>
          <w:color w:val="111111"/>
          <w:sz w:val="28"/>
          <w:sz w:val="28"/>
          <w:szCs w:val="28"/>
          <w:rtl w:val="true"/>
          <w:lang w:bidi="ar-SA"/>
        </w:rPr>
        <w:t>، ووجه الدلالة أنّ الحالة السابقة لو كانت معتبرة ودليلا لم يكن لما أفاده وجه ؛ ضرورة أنّ مدّعي النفي لا ينفكّ دعواه عن العدم الأزلي ، والمفروض صلوحه لأن يكون دليلا ، سواء كان براءة أو غيرها من الأصول العدمية ، واحتمال أنّ المراد هو احتياج النافي فيما إذا كان العدم والنفي مسبوقا بالوجود ممّا لا يصغى إليه ؛ لعدم الخلاف في ذلك لأحد ، فلا ينبغي حمل كلام الشيخ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المثبتين من أنّ كلّ ما ثبت دام ، فإنّ الثبوت وإن كان مرادفا للوجود على ما هو التحقيق ، إلاّ أنّه قد يطلق على مطلق التقرّر </w:t>
      </w:r>
      <w:r>
        <w:rPr>
          <w:rStyle w:val="FootnoteAnchor"/>
          <w:rtl w:val="true"/>
        </w:rPr>
        <w:footnoteReference w:id="209"/>
      </w:r>
      <w:r>
        <w:rPr>
          <w:rFonts w:ascii="Amiri" w:hAnsi="Amiri" w:eastAsia="Amiri" w:cs="Amiri"/>
          <w:color w:val="111111"/>
          <w:sz w:val="28"/>
          <w:sz w:val="28"/>
          <w:szCs w:val="28"/>
          <w:rtl w:val="true"/>
          <w:lang w:bidi="ar-SA"/>
        </w:rPr>
        <w:t>الشامل تسامحا للأعدام الأزلية ، ومن هنا يظهر عدم اتّجاه ما قد يورد على هذه الحجّة من اختصاصها بالوجوديات وإن كان الاعتراض على هذا الوجه حجّة على ما هو المطلوب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إليه المرتضى رحمه‌اللّه </w:t>
      </w:r>
      <w:r>
        <w:rPr>
          <w:rStyle w:val="FootnoteAnchor"/>
          <w:rtl w:val="true"/>
        </w:rPr>
        <w:footnoteReference w:id="210"/>
      </w:r>
      <w:r>
        <w:rPr>
          <w:rFonts w:ascii="Amiri" w:hAnsi="Amiri" w:eastAsia="Amiri" w:cs="Amiri"/>
          <w:color w:val="111111"/>
          <w:sz w:val="28"/>
          <w:sz w:val="28"/>
          <w:szCs w:val="28"/>
          <w:rtl w:val="true"/>
          <w:lang w:bidi="ar-SA"/>
        </w:rPr>
        <w:t xml:space="preserve">في احتجاج النفي من استلزام القول به التسوية بين الحالتين </w:t>
      </w:r>
      <w:r>
        <w:rPr>
          <w:rStyle w:val="FootnoteAnchor"/>
          <w:rtl w:val="true"/>
        </w:rPr>
        <w:footnoteReference w:id="211"/>
      </w:r>
      <w:r>
        <w:rPr>
          <w:rFonts w:ascii="Amiri" w:hAnsi="Amiri" w:eastAsia="Amiri" w:cs="Amiri"/>
          <w:color w:val="111111"/>
          <w:sz w:val="28"/>
          <w:sz w:val="28"/>
          <w:szCs w:val="28"/>
          <w:rtl w:val="true"/>
          <w:lang w:bidi="ar-SA"/>
        </w:rPr>
        <w:t xml:space="preserve">من غير دليل ، فإنّه بعمومه شامل للاستصحاب الوجودي والعدمي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جماعة في الاحتجاج على النفي من أنّه لو كان حجّة لزم الحكم بتقديم بيّنة النافي على بيّنة المثبت ؛ لموافقته للبراءة الأصلية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 واحد من اشتراط العمل بالأصل بالفحص إلى أن يحصل القطع بعدم الدليل كما عليه البعض ، أو الظنّ كما عليه آخرون ، فإنّه ظاهر في أنّ التعويل على الاستصحاب إنّما هو بواسطة القطع أو الظنّ الحاصل بعد الفحص لا على نفس الحالة السابقة ، واحتمال اشتراطهم ذلك نظرا إلى لزوم إجراء عدم المانع بالفحص لتحصيل الظنّ من نفس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على القول بتحصيل القطع ؛ إذ لا ريب في عدم إفادة الأصل القطع بنفسه لو خلّي وطبعه حتّى بالفحص يحرز عدم المانع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أستاد الكلّ في الكلّ </w:t>
      </w:r>
      <w:r>
        <w:rPr>
          <w:rStyle w:val="FootnoteAnchor"/>
          <w:rtl w:val="true"/>
        </w:rPr>
        <w:footnoteReference w:id="213"/>
      </w:r>
      <w:r>
        <w:rPr>
          <w:rFonts w:ascii="Amiri" w:hAnsi="Amiri" w:eastAsia="Amiri" w:cs="Amiri"/>
          <w:color w:val="111111"/>
          <w:sz w:val="28"/>
          <w:sz w:val="28"/>
          <w:szCs w:val="28"/>
          <w:rtl w:val="true"/>
          <w:lang w:bidi="ar-SA"/>
        </w:rPr>
        <w:t xml:space="preserve">المحقّق الخوانساري من أنّ الاستصحاب ينقسم إلى قسمين باعتبار انقسام الحكم المأخوذ فيه إلى الشرعي وغيره ، ومثّل للأوّل بنجاسة الثوب والبدن ، وللثاني برطوبته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حجّيته بقسميه ، وبعضهم إلى حجّية القسم الأوّل فقط </w:t>
      </w:r>
      <w:r>
        <w:rPr>
          <w:rStyle w:val="FootnoteAnchor"/>
          <w:rtl w:val="true"/>
        </w:rPr>
        <w:footnoteReference w:id="214"/>
      </w:r>
      <w:r>
        <w:rPr>
          <w:rFonts w:ascii="Amiri" w:hAnsi="Amiri" w:eastAsia="Amiri" w:cs="Amiri"/>
          <w:color w:val="111111"/>
          <w:sz w:val="28"/>
          <w:sz w:val="28"/>
          <w:szCs w:val="28"/>
          <w:rtl w:val="true"/>
          <w:lang w:bidi="ar-SA"/>
        </w:rPr>
        <w:t xml:space="preserve">؛ حيث إنّه أسند الخلاف إلى غير الحكم الشرعي وهو بعمومه شامل للبراءة الأصلية كما تنبّه له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يخلو عن 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 إلاّ أنّ للمتتبّع ما يغني عن ذكر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أنّ دعوى خروج الأصول العدمية كأصالة عدم النقل وأصالة عدم التخصيص وأصالة عدم القرينة ونحوها من الأصول المعمولة في باب الألفاظ ونحوها </w:t>
      </w:r>
      <w:r>
        <w:rPr>
          <w:rStyle w:val="FootnoteAnchor"/>
          <w:rtl w:val="true"/>
        </w:rPr>
        <w:footnoteReference w:id="215"/>
      </w:r>
      <w:r>
        <w:rPr>
          <w:rFonts w:ascii="Amiri" w:hAnsi="Amiri" w:eastAsia="Amiri" w:cs="Amiri"/>
          <w:color w:val="111111"/>
          <w:sz w:val="28"/>
          <w:sz w:val="28"/>
          <w:szCs w:val="28"/>
          <w:rtl w:val="true"/>
          <w:lang w:bidi="ar-SA"/>
        </w:rPr>
        <w:t xml:space="preserve">، أيضا داخل في النزاع ؛ إذ لا خصوصية </w:t>
      </w:r>
      <w:r>
        <w:rPr>
          <w:rStyle w:val="FootnoteAnchor"/>
          <w:rtl w:val="true"/>
        </w:rPr>
        <w:footnoteReference w:id="216"/>
      </w:r>
      <w:r>
        <w:rPr>
          <w:rFonts w:ascii="Amiri" w:hAnsi="Amiri" w:eastAsia="Amiri" w:cs="Amiri"/>
          <w:color w:val="111111"/>
          <w:sz w:val="28"/>
          <w:sz w:val="28"/>
          <w:szCs w:val="28"/>
          <w:rtl w:val="true"/>
          <w:lang w:bidi="ar-SA"/>
        </w:rPr>
        <w:t xml:space="preserve">في تلك الأصول من حيث الاستصحاب على وجه لا يكون في غيره ، فتخصيص أحدهما بالخروج عن </w:t>
      </w:r>
      <w:r>
        <w:rPr>
          <w:rStyle w:val="FootnoteAnchor"/>
          <w:rtl w:val="true"/>
        </w:rPr>
        <w:footnoteReference w:id="217"/>
      </w:r>
      <w:r>
        <w:rPr>
          <w:rFonts w:ascii="Amiri" w:hAnsi="Amiri" w:eastAsia="Amiri" w:cs="Amiri"/>
          <w:color w:val="111111"/>
          <w:sz w:val="28"/>
          <w:sz w:val="28"/>
          <w:szCs w:val="28"/>
          <w:rtl w:val="true"/>
          <w:lang w:bidi="ar-SA"/>
        </w:rPr>
        <w:t xml:space="preserve">تلك الحيثية تخصيص من غير ما يقضي به ، وجريان الكلمات السابقة فيها ممّا لا يدانيه ريبة ، إلاّ أنّ الأستاد دام عزّه وتحقيقه في فلك الغرّة وسماء التحقيق نقل عن شيخه الشريف رحمه‌اللّه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دعوى إسناد إطباقهم </w:t>
      </w:r>
      <w:r>
        <w:rPr>
          <w:rStyle w:val="FootnoteAnchor"/>
          <w:rtl w:val="true"/>
        </w:rPr>
        <w:footnoteReference w:id="219"/>
      </w:r>
      <w:r>
        <w:rPr>
          <w:rFonts w:ascii="Amiri" w:hAnsi="Amiri" w:eastAsia="Amiri" w:cs="Amiri"/>
          <w:color w:val="111111"/>
          <w:sz w:val="28"/>
          <w:sz w:val="28"/>
          <w:szCs w:val="28"/>
          <w:rtl w:val="true"/>
          <w:lang w:bidi="ar-SA"/>
        </w:rPr>
        <w:t xml:space="preserve">على خروج العدميات مطلقا إلى سيّد </w:t>
      </w:r>
      <w:r>
        <w:rPr>
          <w:rStyle w:val="FootnoteAnchor"/>
          <w:rtl w:val="true"/>
        </w:rPr>
        <w:footnoteReference w:id="220"/>
      </w:r>
      <w:r>
        <w:rPr>
          <w:rFonts w:ascii="Amiri" w:hAnsi="Amiri" w:eastAsia="Amiri" w:cs="Amiri"/>
          <w:color w:val="111111"/>
          <w:sz w:val="28"/>
          <w:sz w:val="28"/>
          <w:szCs w:val="28"/>
          <w:rtl w:val="true"/>
          <w:lang w:bidi="ar-SA"/>
        </w:rPr>
        <w:t xml:space="preserve">الرياض رحمه‌اللّه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المحكيّ عن الفاضل الجواد وصاحب الرياض على خروج العدمي عن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الأردكانى في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خلافه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المحكيّ عن الفاضل الجواد والسيّد الأستاد وغيرهما الدالّ على عدم كون هذا النزاع في الأصول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ولعلّه يظهر من بعض آخر دعوى الإطباق على خروجها ، وكأنّ منشأه ما نقله ولده الشهيد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رحمه‌اللّه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المفاتيح في احتجاج المثبتين وهو أنّه لو لم يكن حجّة لما جاز التمسّك بأصالة عدم القرينة وأصالة عدم النسخ وأصالة عدم التخصيص وأصالة عدم الاشتراك وأصالة عدم النقل ، والتالي باطل ، فالمقدّم مثله ، أمّا الملازمة فلوضوح رجوع الأصول المذكورة إلى الاستصحاب ، وأمّا بطلان التالي فلأنّه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تقديره ينسدّ سبيل المحاورة وينفتح طريق المكابرة ، وبطلان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كوضوح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ومع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فالأصول المذكورة مجمع عليها لا يستريب فيها أحد من الأصوليين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أشير إلى الحجّة المذكورة في جملة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الأحكام </w:t>
      </w:r>
    </w:p>
    <w:p>
      <w:pPr>
        <w:pStyle w:val="BookText"/>
        <w:rPr/>
      </w:pPr>
      <w:r>
        <w:rPr>
          <w:rFonts w:ascii="Amiri" w:hAnsi="Amiri" w:eastAsia="Amiri" w:cs="Amiri"/>
          <w:color w:val="111111"/>
          <w:sz w:val="28"/>
          <w:sz w:val="28"/>
          <w:szCs w:val="28"/>
          <w:rtl w:val="true"/>
          <w:lang w:bidi="ar-SA"/>
        </w:rPr>
        <w:t>الشرعية مبنيّة غالبا عليه ؛ لأنّ الدليل إنّما يتمّ لو لم يتطرّق إليه المعارض من نسخ وغيره ، وإنّما يعلم نفي المعارض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المنية احتجّ عليه بأنّ أكثر الأحكام الشرعية مبنيّة على الاستصحاب ، فيكون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الدليل إنّما يجب العمل به إذا لم يطرأ عليه ما يزيل حكمه إمّا مطلقا كالناسخ ، أو بعض مدلولاته كالتخصيص للعامّ والتقييد للمطلق ، أو معارضة دليل راجح عليه ولا وسيلة إلى العلم بانتفاء </w:t>
      </w:r>
      <w:r>
        <w:rPr>
          <w:rStyle w:val="FootnoteAnchor"/>
          <w:rtl w:val="true"/>
        </w:rPr>
        <w:footnoteReference w:id="222"/>
      </w:r>
      <w:r>
        <w:rPr>
          <w:rFonts w:ascii="Amiri" w:hAnsi="Amiri" w:eastAsia="Amiri" w:cs="Amiri"/>
          <w:color w:val="111111"/>
          <w:sz w:val="28"/>
          <w:sz w:val="28"/>
          <w:szCs w:val="28"/>
          <w:rtl w:val="true"/>
          <w:lang w:bidi="ar-SA"/>
        </w:rPr>
        <w:t>ذلك إلاّ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الرسالة الاستصحابية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أنكر حجّية الضرب الأوّل ، لكن نجد من الجميع حتّى المنكر مطلقا أنّهم يستدلّون بأصالة عدم النقل ، مثلا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حقيقة في الوجوب في عرفنا ، فكذلك لغة </w:t>
      </w:r>
      <w:r>
        <w:rPr>
          <w:rStyle w:val="FootnoteAnchor"/>
          <w:rtl w:val="true"/>
        </w:rPr>
        <w:footnoteReference w:id="223"/>
      </w:r>
      <w:r>
        <w:rPr>
          <w:rFonts w:ascii="Amiri" w:hAnsi="Amiri" w:eastAsia="Amiri" w:cs="Amiri"/>
          <w:color w:val="111111"/>
          <w:sz w:val="28"/>
          <w:sz w:val="28"/>
          <w:szCs w:val="28"/>
          <w:rtl w:val="true"/>
          <w:lang w:bidi="ar-SA"/>
        </w:rPr>
        <w:t xml:space="preserve">؛ لأصالة عدم النقل ، ويستدلّون أيضا بأصالة بقاء المعنى اللغوي ، فينكرون الحقيقة الشرعية ، إلى غير ذلك كما لا يخفى على المتتبّع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شروح المنهاج للإسنوي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لم يكن الاستصحاب حجّة لم يكن الأحكام الشرعية </w:t>
      </w:r>
      <w:r>
        <w:rPr>
          <w:rStyle w:val="FootnoteAnchor"/>
          <w:rtl w:val="true"/>
        </w:rPr>
        <w:footnoteReference w:id="226"/>
      </w:r>
      <w:r>
        <w:rPr>
          <w:rFonts w:ascii="Amiri" w:hAnsi="Amiri" w:eastAsia="Amiri" w:cs="Amiri"/>
          <w:color w:val="111111"/>
          <w:sz w:val="28"/>
          <w:sz w:val="28"/>
          <w:szCs w:val="28"/>
          <w:rtl w:val="true"/>
          <w:lang w:bidi="ar-SA"/>
        </w:rPr>
        <w:t xml:space="preserve">في زمان النبيّ صلى‌اللّه‌عليه‌وآله ثابتة في زماننا أصلا ؛ لجواز تطرّق النسخ عليها ، فلم تبق </w:t>
      </w:r>
      <w:r>
        <w:rPr>
          <w:rStyle w:val="FootnoteAnchor"/>
          <w:rtl w:val="true"/>
        </w:rPr>
        <w:footnoteReference w:id="227"/>
      </w:r>
      <w:r>
        <w:rPr>
          <w:rFonts w:ascii="Amiri" w:hAnsi="Amiri" w:eastAsia="Amiri" w:cs="Amiri"/>
          <w:color w:val="111111"/>
          <w:sz w:val="28"/>
          <w:sz w:val="28"/>
          <w:szCs w:val="28"/>
          <w:rtl w:val="true"/>
          <w:lang w:bidi="ar-SA"/>
        </w:rPr>
        <w:t xml:space="preserve">ثابتة ، لكنّ الأحكام الثابتة في زمانه صلى‌اللّه‌عليه‌وآله باقية في زماننا بالاتّفاق ، ولم يكن دليل </w:t>
      </w:r>
      <w:r>
        <w:rPr>
          <w:rStyle w:val="FootnoteAnchor"/>
          <w:rtl w:val="true"/>
        </w:rPr>
        <w:footnoteReference w:id="228"/>
      </w:r>
      <w:r>
        <w:rPr>
          <w:rFonts w:ascii="Amiri" w:hAnsi="Amiri" w:eastAsia="Amiri" w:cs="Amiri"/>
          <w:color w:val="111111"/>
          <w:sz w:val="28"/>
          <w:sz w:val="28"/>
          <w:szCs w:val="28"/>
          <w:rtl w:val="true"/>
          <w:lang w:bidi="ar-SA"/>
        </w:rPr>
        <w:t xml:space="preserve">عليها غير الاستصحاب </w:t>
      </w:r>
      <w:r>
        <w:rPr>
          <w:rStyle w:val="FootnoteAnchor"/>
          <w:rtl w:val="true"/>
        </w:rPr>
        <w:footnoteReference w:id="22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دلالة هذه الحجّة على خروج استصحاب العدم من حريم الخلاف هو أنّ عدم اعتبار تلك الأصول العدمية إنّما جعل تاليا في الشرطية التي يطلب منها اعتبار </w:t>
      </w:r>
    </w:p>
    <w:p>
      <w:pPr>
        <w:pStyle w:val="BookText"/>
        <w:rPr/>
      </w:pPr>
      <w:r>
        <w:rPr>
          <w:rFonts w:ascii="IRNazanin" w:hAnsi="IRNazanin" w:eastAsia="IRNazanin"/>
          <w:color w:val="111111"/>
          <w:sz w:val="28"/>
          <w:sz w:val="28"/>
          <w:szCs w:val="28"/>
          <w:rtl w:val="true"/>
          <w:lang w:bidi="fa-IR"/>
        </w:rPr>
        <w:t xml:space="preserve">مطلق الاستصحاب باستثناء </w:t>
      </w:r>
      <w:r>
        <w:rPr>
          <w:rStyle w:val="FootnoteAnchor"/>
          <w:rtl w:val="true"/>
        </w:rPr>
        <w:footnoteReference w:id="230"/>
      </w:r>
      <w:r>
        <w:rPr>
          <w:rFonts w:ascii="Amiri" w:hAnsi="Amiri" w:eastAsia="Amiri" w:cs="Amiri"/>
          <w:color w:val="111111"/>
          <w:sz w:val="28"/>
          <w:sz w:val="28"/>
          <w:szCs w:val="28"/>
          <w:rtl w:val="true"/>
          <w:lang w:bidi="ar-SA"/>
        </w:rPr>
        <w:t xml:space="preserve">نقيض التالي لينتج وضع </w:t>
      </w:r>
      <w:r>
        <w:rPr>
          <w:rStyle w:val="FootnoteAnchor"/>
          <w:rtl w:val="true"/>
        </w:rPr>
        <w:footnoteReference w:id="231"/>
      </w:r>
      <w:r>
        <w:rPr>
          <w:rFonts w:ascii="Amiri" w:hAnsi="Amiri" w:eastAsia="Amiri" w:cs="Amiri"/>
          <w:color w:val="111111"/>
          <w:sz w:val="28"/>
          <w:sz w:val="28"/>
          <w:szCs w:val="28"/>
          <w:rtl w:val="true"/>
          <w:lang w:bidi="ar-SA"/>
        </w:rPr>
        <w:t>المقدّم ، لاتّحاد المناط وهو سبق اليقين ولحوق الشكّ ، وهو موجود في 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فالتحقيق شمول النزاع للعدميات ؛ لعدم الفرق في نظر العقل بين الوجودي والعدمي في لحاظ الاستصحاب ، وأمّا دعوى الإجماع على الخروج فنظير دعوى الإجماع على خروج البراءة الأصلية ، وقد عرفت عدم إمكان استكشاف الوجه منه بعد احتمال انعقاده على وجوه مختلفة ، والعمل على طبق الأصول اللفظية ممّا لا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عمّا أوردناهما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يكون منشأ لتخيّل انعقاد الإجماع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كما يحتمل أن يكون احتجاجا لإثبات حجّية مطلق الاستصحاب بواسطة حجّية قسم منها لاتّحاد المناط ، كذلك يحتمل أن يكون المقصود إثبات حجّية هذا القسم من الاستصحاب أيضا كأن يكون المقصود أنّه لو لم يكن الاستصحاب حجّة في النفي والإثبات مطلقا لزم منه انسداد باب المحاورات والاحتجاجات ، ونظير ذلك في احتماله الوجهين ما مرّ نقله عن </w:t>
      </w:r>
      <w:r>
        <w:rPr>
          <w:rStyle w:val="FootnoteAnchor"/>
          <w:rtl w:val="true"/>
        </w:rPr>
        <w:footnoteReference w:id="233"/>
      </w:r>
      <w:r>
        <w:rPr>
          <w:rFonts w:ascii="IRNazanin" w:hAnsi="IRNazanin" w:eastAsia="IRNazanin"/>
          <w:color w:val="111111"/>
          <w:sz w:val="28"/>
          <w:sz w:val="28"/>
          <w:szCs w:val="28"/>
          <w:rtl w:val="true"/>
          <w:lang w:bidi="fa-IR"/>
        </w:rPr>
        <w:t xml:space="preserve">المعارج والمعالم </w:t>
      </w:r>
      <w:r>
        <w:rPr>
          <w:rStyle w:val="FootnoteAnchor"/>
          <w:rtl w:val="true"/>
        </w:rPr>
        <w:footnoteReference w:id="234"/>
      </w:r>
      <w:r>
        <w:rPr>
          <w:rFonts w:ascii="Amiri" w:hAnsi="Amiri" w:eastAsia="Amiri" w:cs="Amiri"/>
          <w:color w:val="111111"/>
          <w:sz w:val="28"/>
          <w:sz w:val="28"/>
          <w:szCs w:val="28"/>
          <w:rtl w:val="true"/>
          <w:lang w:bidi="ar-SA"/>
        </w:rPr>
        <w:t xml:space="preserve">من أنّ </w:t>
      </w:r>
      <w:r>
        <w:rPr>
          <w:rStyle w:val="FootnoteAnchor"/>
          <w:rtl w:val="true"/>
        </w:rPr>
        <w:footnoteReference w:id="235"/>
      </w:r>
      <w:r>
        <w:rPr>
          <w:rFonts w:ascii="Amiri" w:hAnsi="Amiri" w:eastAsia="Amiri" w:cs="Amiri"/>
          <w:color w:val="111111"/>
          <w:sz w:val="28"/>
          <w:sz w:val="28"/>
          <w:szCs w:val="28"/>
          <w:rtl w:val="true"/>
          <w:lang w:bidi="ar-SA"/>
        </w:rPr>
        <w:t>العلماء مطبقون على وجوب إبقاء الحكم مع عدم الدلالة الشرعية على ما تقتضيه البراءة الأصلية ؛ إذ يحتمل أن يكون الفقرة الأخيرة من اجتهاد الناقل لا من المستدلّ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لو سلّمنا الإجماع على خروج العدميات من النزاع ، فهو إنّما يسلّم في الأصول المعمولة في الألفاظ فقط ، وأمّا سائر الأصول العدمية ، كأصالة عدم الزوجية والملكية والتذكية ، وعدم الطهارة ، وعدم النجاسة ، وعدم الرطوبة واليبوسة ، ونحوها ، </w:t>
      </w:r>
    </w:p>
    <w:p>
      <w:pPr>
        <w:pStyle w:val="BookText"/>
        <w:rPr/>
      </w:pPr>
      <w:r>
        <w:rPr>
          <w:rFonts w:ascii="Amiri" w:hAnsi="Amiri" w:eastAsia="Amiri" w:cs="Amiri"/>
          <w:color w:val="111111"/>
          <w:sz w:val="28"/>
          <w:sz w:val="28"/>
          <w:szCs w:val="28"/>
          <w:rtl w:val="true"/>
          <w:lang w:bidi="ar-SA"/>
        </w:rPr>
        <w:t xml:space="preserve">فدخولها في النزاع ممّا لا يدانيه ريب ، بل يظهر من صاحب المدارك والمحقّق الخوانساري </w:t>
      </w:r>
      <w:r>
        <w:rPr>
          <w:rStyle w:val="FootnoteAnchor"/>
          <w:rtl w:val="true"/>
        </w:rPr>
        <w:footnoteReference w:id="236"/>
      </w:r>
      <w:r>
        <w:rPr>
          <w:rFonts w:ascii="Amiri" w:hAnsi="Amiri" w:eastAsia="Amiri" w:cs="Amiri"/>
          <w:color w:val="111111"/>
          <w:sz w:val="28"/>
          <w:sz w:val="28"/>
          <w:szCs w:val="28"/>
          <w:rtl w:val="true"/>
          <w:lang w:bidi="ar-SA"/>
        </w:rPr>
        <w:t>صراحة عدم اعتبار مثل هذه الأصول فكيف يمكن دعوى الإجماع عليه ، وإن كان يمكن دعوى اتّحاد المناط بعد خروج الأصول العدمية اللفظية ، إلاّ أنّ الكلام مع مدّعي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إنكار انعقاد الإجماع على اعتبار الأصول العدمية؟ ولعلّ المنكر ممّن لا يقطع بشيء في زمان أبدا ، فإنّه يشبه أن يكون إنكارا للأمر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دعوى الإجماع من الكلّ على ذلك بعد ما عرفت من وجوه </w:t>
      </w:r>
      <w:r>
        <w:rPr>
          <w:rStyle w:val="FootnoteAnchor"/>
          <w:rtl w:val="true"/>
        </w:rPr>
        <w:footnoteReference w:id="237"/>
      </w:r>
      <w:r>
        <w:rPr>
          <w:rFonts w:ascii="IRNazanin" w:hAnsi="IRNazanin" w:eastAsia="IRNazanin"/>
          <w:color w:val="111111"/>
          <w:sz w:val="28"/>
          <w:sz w:val="28"/>
          <w:szCs w:val="28"/>
          <w:rtl w:val="true"/>
          <w:lang w:bidi="fa-IR"/>
        </w:rPr>
        <w:t xml:space="preserve">الاختلاف </w:t>
      </w:r>
      <w:r>
        <w:rPr>
          <w:rStyle w:val="FootnoteAnchor"/>
          <w:rtl w:val="true"/>
        </w:rPr>
        <w:footnoteReference w:id="238"/>
      </w:r>
      <w:r>
        <w:rPr>
          <w:rFonts w:ascii="Amiri" w:hAnsi="Amiri" w:eastAsia="Amiri" w:cs="Amiri"/>
          <w:color w:val="111111"/>
          <w:sz w:val="28"/>
          <w:sz w:val="28"/>
          <w:szCs w:val="28"/>
          <w:rtl w:val="true"/>
          <w:lang w:bidi="ar-SA"/>
        </w:rPr>
        <w:t>وضروب الاعتساف في كلماتهم؟ نعم يصحّ دعوى انعقاد الإجماع العملي على هذه الأصول فإنّه بمكان من التسليم ، ولا ينافي ذلك دعوى بعضهم بحسب اجتهاده الإجماع على خروجها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يعترض على دعوى الإجماع بأنّ مفروغية الاستصحاب العدمية تلازم </w:t>
      </w:r>
      <w:r>
        <w:rPr>
          <w:rStyle w:val="FootnoteAnchor"/>
          <w:rtl w:val="true"/>
        </w:rPr>
        <w:footnoteReference w:id="239"/>
      </w:r>
      <w:r>
        <w:rPr>
          <w:rFonts w:ascii="Amiri" w:hAnsi="Amiri" w:eastAsia="Amiri" w:cs="Amiri"/>
          <w:color w:val="111111"/>
          <w:sz w:val="28"/>
          <w:sz w:val="28"/>
          <w:szCs w:val="28"/>
          <w:rtl w:val="true"/>
          <w:lang w:bidi="ar-SA"/>
        </w:rPr>
        <w:t xml:space="preserve">المفروغية في جميع أقسام الاستصحاب ، واللازم باطل ، وكذا الملزوم ، أمّا </w:t>
      </w:r>
      <w:r>
        <w:rPr>
          <w:rStyle w:val="FootnoteAnchor"/>
          <w:rtl w:val="true"/>
        </w:rPr>
        <w:footnoteReference w:id="240"/>
      </w:r>
      <w:r>
        <w:rPr>
          <w:rFonts w:ascii="Amiri" w:hAnsi="Amiri" w:eastAsia="Amiri" w:cs="Amiri"/>
          <w:color w:val="111111"/>
          <w:sz w:val="28"/>
          <w:sz w:val="28"/>
          <w:szCs w:val="28"/>
          <w:rtl w:val="true"/>
          <w:lang w:bidi="ar-SA"/>
        </w:rPr>
        <w:t xml:space="preserve">الملازمة فلعدم انفكاك الاستصحاب الوجودي عن استصحاب عدمي في أيّ مورد فرض ، فإنّ لكلّ أمر وجودي ضدّا أو أضدادا </w:t>
      </w:r>
      <w:r>
        <w:rPr>
          <w:rStyle w:val="FootnoteAnchor"/>
          <w:rtl w:val="true"/>
        </w:rPr>
        <w:footnoteReference w:id="241"/>
      </w:r>
      <w:r>
        <w:rPr>
          <w:rFonts w:ascii="Amiri" w:hAnsi="Amiri" w:eastAsia="Amiri" w:cs="Amiri"/>
          <w:color w:val="111111"/>
          <w:sz w:val="28"/>
          <w:sz w:val="28"/>
          <w:szCs w:val="28"/>
          <w:rtl w:val="true"/>
          <w:lang w:bidi="ar-SA"/>
        </w:rPr>
        <w:t xml:space="preserve">، ولا أقلّ من استصحاب عدم الضدّ أو الأضداد ، مثلا الطهارة يضادّها الحدث ، والزوجية يباينها المزيل لها ، والملكية يناقضها </w:t>
      </w:r>
      <w:r>
        <w:rPr>
          <w:rStyle w:val="FootnoteAnchor"/>
          <w:rtl w:val="true"/>
        </w:rPr>
        <w:footnoteReference w:id="242"/>
      </w:r>
      <w:r>
        <w:rPr>
          <w:rFonts w:ascii="Amiri" w:hAnsi="Amiri" w:eastAsia="Amiri" w:cs="Amiri"/>
          <w:color w:val="111111"/>
          <w:sz w:val="28"/>
          <w:sz w:val="28"/>
          <w:szCs w:val="28"/>
          <w:rtl w:val="true"/>
          <w:lang w:bidi="ar-SA"/>
        </w:rPr>
        <w:t xml:space="preserve">النقل والانتقال ، فعند استصحاب الطهارة يستصحب عدم عروض الحدث ، وفي استصحاب الزوجية عدم المزيل للعلقة ، وفي الملكية عدم النقل والانتقال ، وفي استصحاب وجوب ردّ الوديعة عدم ثبوت ما عدا ذلك بالشرع ، إلى غير ذلك من الموارد ، فإنّ عدم تلك </w:t>
      </w:r>
    </w:p>
    <w:p>
      <w:pPr>
        <w:pStyle w:val="BookText"/>
        <w:rPr/>
      </w:pPr>
      <w:r>
        <w:rPr>
          <w:rFonts w:ascii="Amiri" w:hAnsi="Amiri" w:eastAsia="Amiri" w:cs="Amiri"/>
          <w:color w:val="111111"/>
          <w:sz w:val="28"/>
          <w:sz w:val="28"/>
          <w:szCs w:val="28"/>
          <w:rtl w:val="true"/>
          <w:lang w:bidi="ar-SA"/>
        </w:rPr>
        <w:t>الأمور وإن كان يغاير المطلوب في استصحاب الوجود إلاّ أنّه يلازمه ؛ لأنّ نفي الضدّ أو الأضداد يلازم وجود الآخر ، وأمّا بطلان اللازم فأظهر من أن يظهر وأوضح من أن يوضح ؛ لعود النزاع بين الأقوال التى حافظوا على ضبطها وتحريرها وتنقيحها عبثا ولغوا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بأنّ استصحاب تلك الأعدام التي هي أضداد لتلك الأمور الوجودية لا يجدي في ترتيب أحكام الأمور الوجودية عليها ، غاية الأمر أنّ ما يترتّب على نفس تلك الأعدام يمكن إثباته </w:t>
      </w:r>
      <w:r>
        <w:rPr>
          <w:rStyle w:val="FootnoteAnchor"/>
          <w:rtl w:val="true"/>
        </w:rPr>
        <w:footnoteReference w:id="243"/>
      </w:r>
      <w:r>
        <w:rPr>
          <w:rFonts w:ascii="Amiri" w:hAnsi="Amiri" w:eastAsia="Amiri" w:cs="Amiri"/>
          <w:color w:val="111111"/>
          <w:sz w:val="28"/>
          <w:sz w:val="28"/>
          <w:szCs w:val="28"/>
          <w:rtl w:val="true"/>
          <w:lang w:bidi="ar-SA"/>
        </w:rPr>
        <w:t>بالاستصحاب دون غيرها ؛ لأنّها على تقدير التسرّي إلى أحكام الوجود أصول مثبتة ولا 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أحكام الوجود والعدم قد تتّحد </w:t>
      </w:r>
      <w:r>
        <w:rPr>
          <w:rStyle w:val="FootnoteAnchor"/>
          <w:rtl w:val="true"/>
        </w:rPr>
        <w:footnoteReference w:id="244"/>
      </w:r>
      <w:r>
        <w:rPr>
          <w:rFonts w:ascii="Amiri" w:hAnsi="Amiri" w:eastAsia="Amiri" w:cs="Amiri"/>
          <w:color w:val="111111"/>
          <w:sz w:val="28"/>
          <w:sz w:val="28"/>
          <w:szCs w:val="28"/>
          <w:rtl w:val="true"/>
          <w:lang w:bidi="ar-SA"/>
        </w:rPr>
        <w:t xml:space="preserve">، فلا حاجة إلى انسحاب الحالة الوجودية وانجرارها في زمن الشكّ ليترتّب عليها </w:t>
      </w:r>
      <w:r>
        <w:rPr>
          <w:rStyle w:val="FootnoteAnchor"/>
          <w:rtl w:val="true"/>
        </w:rPr>
        <w:footnoteReference w:id="245"/>
      </w:r>
      <w:r>
        <w:rPr>
          <w:rFonts w:ascii="Amiri" w:hAnsi="Amiri" w:eastAsia="Amiri" w:cs="Amiri"/>
          <w:color w:val="111111"/>
          <w:sz w:val="28"/>
          <w:sz w:val="28"/>
          <w:szCs w:val="28"/>
          <w:rtl w:val="true"/>
          <w:lang w:bidi="ar-SA"/>
        </w:rPr>
        <w:t xml:space="preserve">أحكامها ، وذلك في استصحاب العدالة التي هي ملكة وجودية ، واستصحاب عدم الفسق ، فإنّ صحّة الوصيّة إنّما تترتّب </w:t>
      </w:r>
      <w:r>
        <w:rPr>
          <w:rStyle w:val="FootnoteAnchor"/>
          <w:rtl w:val="true"/>
        </w:rPr>
        <w:footnoteReference w:id="246"/>
      </w:r>
      <w:r>
        <w:rPr>
          <w:rFonts w:ascii="Amiri" w:hAnsi="Amiri" w:eastAsia="Amiri" w:cs="Amiri"/>
          <w:color w:val="111111"/>
          <w:sz w:val="28"/>
          <w:sz w:val="28"/>
          <w:szCs w:val="28"/>
          <w:rtl w:val="true"/>
          <w:lang w:bidi="ar-SA"/>
        </w:rPr>
        <w:t xml:space="preserve">على عدم الفسق كما تترتّب </w:t>
      </w:r>
      <w:r>
        <w:rPr>
          <w:rStyle w:val="FootnoteAnchor"/>
          <w:rtl w:val="true"/>
        </w:rPr>
        <w:footnoteReference w:id="247"/>
      </w:r>
      <w:r>
        <w:rPr>
          <w:rFonts w:ascii="Amiri" w:hAnsi="Amiri" w:eastAsia="Amiri" w:cs="Amiri"/>
          <w:color w:val="111111"/>
          <w:sz w:val="28"/>
          <w:sz w:val="28"/>
          <w:szCs w:val="28"/>
          <w:rtl w:val="true"/>
          <w:lang w:bidi="ar-SA"/>
        </w:rPr>
        <w:t xml:space="preserve">على العدالة أيضا ، نعم فيما لو اختلف لا يمكن الاتّكال والتعويل في ثبوت العنوان الوجودى باستصحاب العدم ، فلا يترتّب عليه ، كما أنّه لا يجوز الائتمام لمن استصحبنا عدم فسقه مثلا ، وكما أنّ استصحاب عدم الحدث </w:t>
      </w:r>
      <w:r>
        <w:rPr>
          <w:rStyle w:val="FootnoteAnchor"/>
          <w:rtl w:val="true"/>
        </w:rPr>
        <w:footnoteReference w:id="248"/>
      </w:r>
      <w:r>
        <w:rPr>
          <w:rFonts w:ascii="Amiri" w:hAnsi="Amiri" w:eastAsia="Amiri" w:cs="Amiri"/>
          <w:color w:val="111111"/>
          <w:sz w:val="28"/>
          <w:sz w:val="28"/>
          <w:szCs w:val="28"/>
          <w:rtl w:val="true"/>
          <w:lang w:bidi="ar-SA"/>
        </w:rPr>
        <w:t xml:space="preserve">ممّا يترتّب عليه جواز الدخول في الصلاة أو غيرها ممّا تكون </w:t>
      </w:r>
      <w:r>
        <w:rPr>
          <w:rStyle w:val="FootnoteAnchor"/>
          <w:rtl w:val="true"/>
        </w:rPr>
        <w:footnoteReference w:id="249"/>
      </w:r>
      <w:r>
        <w:rPr>
          <w:rFonts w:ascii="Amiri" w:hAnsi="Amiri" w:eastAsia="Amiri" w:cs="Amiri"/>
          <w:color w:val="111111"/>
          <w:sz w:val="28"/>
          <w:sz w:val="28"/>
          <w:szCs w:val="28"/>
          <w:rtl w:val="true"/>
          <w:lang w:bidi="ar-SA"/>
        </w:rPr>
        <w:t>الطهارة شرطا فيه على ما يستفاد من عنوان بعض الأخبار ، وكما في استصحاب عدم وجوب القطع للمتيمّم الواجد للماء في الأثناء ، فإنّ ذلك يكفي في الطهارة ولا حاجة إلى استصحابها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المثبتة ممّا لا تعويل عليها على تقدير الأخبار ، وأمّا على تقدير </w:t>
      </w:r>
      <w:bookmarkStart w:id="60" w:name="pg16284_171030"/>
    </w:p>
    <w:p>
      <w:pPr>
        <w:pStyle w:val="BookText"/>
        <w:rPr/>
      </w:pPr>
      <w:bookmarkEnd w:id="60"/>
      <w:r>
        <w:rPr>
          <w:rFonts w:ascii="Amiri" w:hAnsi="Amiri" w:eastAsia="Amiri" w:cs="Amiri"/>
          <w:color w:val="111111"/>
          <w:sz w:val="28"/>
          <w:sz w:val="28"/>
          <w:szCs w:val="28"/>
          <w:rtl w:val="true"/>
          <w:lang w:bidi="ar-SA"/>
        </w:rPr>
        <w:t xml:space="preserve">الظنّ كما عليه الأكثرون </w:t>
      </w:r>
      <w:r>
        <w:rPr>
          <w:rStyle w:val="FootnoteAnchor"/>
          <w:rtl w:val="true"/>
        </w:rPr>
        <w:footnoteReference w:id="250"/>
      </w:r>
      <w:r>
        <w:rPr>
          <w:rFonts w:ascii="Amiri" w:hAnsi="Amiri" w:eastAsia="Amiri" w:cs="Amiri"/>
          <w:color w:val="111111"/>
          <w:sz w:val="28"/>
          <w:sz w:val="28"/>
          <w:szCs w:val="28"/>
          <w:rtl w:val="true"/>
          <w:lang w:bidi="ar-SA"/>
        </w:rPr>
        <w:t xml:space="preserve">من أصحابنا ومخالفينا ممّن قال بالاستصحاب وعلى تقديره ، فلا ينبغي التردّد </w:t>
      </w:r>
      <w:r>
        <w:rPr>
          <w:rStyle w:val="FootnoteAnchor"/>
          <w:rtl w:val="true"/>
        </w:rPr>
        <w:footnoteReference w:id="251"/>
      </w:r>
      <w:r>
        <w:rPr>
          <w:rFonts w:ascii="Amiri" w:hAnsi="Amiri" w:eastAsia="Amiri" w:cs="Amiri"/>
          <w:color w:val="111111"/>
          <w:sz w:val="28"/>
          <w:sz w:val="28"/>
          <w:szCs w:val="28"/>
          <w:rtl w:val="true"/>
          <w:lang w:bidi="ar-SA"/>
        </w:rPr>
        <w:t xml:space="preserve">في اعتبار </w:t>
      </w:r>
      <w:r>
        <w:rPr>
          <w:rStyle w:val="FootnoteAnchor"/>
          <w:rtl w:val="true"/>
        </w:rPr>
        <w:footnoteReference w:id="252"/>
      </w:r>
      <w:r>
        <w:rPr>
          <w:rFonts w:ascii="Amiri" w:hAnsi="Amiri" w:eastAsia="Amiri" w:cs="Amiri"/>
          <w:color w:val="111111"/>
          <w:sz w:val="28"/>
          <w:sz w:val="28"/>
          <w:szCs w:val="28"/>
          <w:rtl w:val="true"/>
          <w:lang w:bidi="ar-SA"/>
        </w:rPr>
        <w:t xml:space="preserve">الأصول المثبتة ، فإنّه إذا من الأدلّة الاجتهادية التي تكشف </w:t>
      </w:r>
      <w:r>
        <w:rPr>
          <w:rStyle w:val="FootnoteAnchor"/>
          <w:rtl w:val="true"/>
        </w:rPr>
        <w:footnoteReference w:id="253"/>
      </w:r>
      <w:r>
        <w:rPr>
          <w:rFonts w:ascii="Amiri" w:hAnsi="Amiri" w:eastAsia="Amiri" w:cs="Amiri"/>
          <w:color w:val="111111"/>
          <w:sz w:val="28"/>
          <w:sz w:val="28"/>
          <w:szCs w:val="28"/>
          <w:rtl w:val="true"/>
          <w:lang w:bidi="ar-SA"/>
        </w:rPr>
        <w:t xml:space="preserve">عن الواقع ، وبعد انكشافه وتقدير اعتبار الكاشف فلا بدّ </w:t>
      </w:r>
      <w:r>
        <w:rPr>
          <w:rStyle w:val="FootnoteAnchor"/>
          <w:rtl w:val="true"/>
        </w:rPr>
        <w:footnoteReference w:id="254"/>
      </w:r>
      <w:r>
        <w:rPr>
          <w:rFonts w:ascii="Amiri" w:hAnsi="Amiri" w:eastAsia="Amiri" w:cs="Amiri"/>
          <w:color w:val="111111"/>
          <w:sz w:val="28"/>
          <w:sz w:val="28"/>
          <w:szCs w:val="28"/>
          <w:rtl w:val="true"/>
          <w:lang w:bidi="ar-SA"/>
        </w:rPr>
        <w:t>من الأخذ بجميع لوازمه وملزوماته ، إلى غير ذلك من الوجوه المتفرّعة عليه والعناوين المنتهية إليه على ما ستعرف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التفكيك بين الظنّ </w:t>
      </w:r>
      <w:r>
        <w:rPr>
          <w:rStyle w:val="FootnoteAnchor"/>
          <w:rtl w:val="true"/>
        </w:rPr>
        <w:footnoteReference w:id="255"/>
      </w:r>
      <w:r>
        <w:rPr>
          <w:rFonts w:ascii="Amiri" w:hAnsi="Amiri" w:eastAsia="Amiri" w:cs="Amiri"/>
          <w:color w:val="111111"/>
          <w:sz w:val="28"/>
          <w:sz w:val="28"/>
          <w:szCs w:val="28"/>
          <w:rtl w:val="true"/>
          <w:lang w:bidi="ar-SA"/>
        </w:rPr>
        <w:t xml:space="preserve">اللازم الحاصل من استصحاب الملزوم فلا عبرة </w:t>
      </w:r>
      <w:r>
        <w:rPr>
          <w:rStyle w:val="FootnoteAnchor"/>
          <w:rtl w:val="true"/>
        </w:rPr>
        <w:footnoteReference w:id="256"/>
      </w:r>
      <w:r>
        <w:rPr>
          <w:rFonts w:ascii="Amiri" w:hAnsi="Amiri" w:eastAsia="Amiri" w:cs="Amiri"/>
          <w:color w:val="111111"/>
          <w:sz w:val="28"/>
          <w:sz w:val="28"/>
          <w:szCs w:val="28"/>
          <w:rtl w:val="true"/>
          <w:lang w:bidi="ar-SA"/>
        </w:rPr>
        <w:t>، والظنّ المتعلّق بنفس المستصحب فهو معتبر ، كما أنّ الشّارع قد حكم بالتفكيك بين الظنّ الحاصل من القبلة بالوقت ، فإنّه قد اعتبره في القبلة دون الوقت ، إلاّ أنّ ذلك خارج عمّا نحن بصدده ؛ إذ بعد اعتبار الظنّ فلا وقع لهذا الكلام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من جميع ما مرّ ذكره عموم النزاع للبراءة الأصلية والأصول العدمية بأجمعها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5012064_1280447820"/>
      <w:bookmarkStart w:id="62" w:name="_Toc21"/>
      <w:bookmarkEnd w:id="61"/>
      <w:r>
        <w:rPr>
          <w:rtl w:val="true"/>
        </w:rPr>
        <w:t>المقام الثاني</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الجهة الثانية من وجوه تحرير الخلاف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يتخيّل اختصاص حريم الخلاف بما إذا لم يكن دليل الحكم هو الإجماع ، كما يظهر وجهه عند وجوه الأقوال ، والحقّ عموم النزاع لعموم الأدلّة والعناوين والأمثلة وكلمات المثبتين والنافين ، وقد مرّ في المقام الأوّل ما به </w:t>
      </w:r>
      <w:r>
        <w:rPr>
          <w:rStyle w:val="FootnoteAnchor"/>
          <w:rtl w:val="true"/>
        </w:rPr>
        <w:footnoteReference w:id="257"/>
      </w:r>
      <w:r>
        <w:rPr>
          <w:rFonts w:ascii="Amiri" w:hAnsi="Amiri" w:eastAsia="Amiri" w:cs="Amiri"/>
          <w:color w:val="111111"/>
          <w:sz w:val="28"/>
          <w:sz w:val="28"/>
          <w:szCs w:val="28"/>
          <w:rtl w:val="true"/>
          <w:lang w:bidi="ar-SA"/>
        </w:rPr>
        <w:t xml:space="preserve">يمكن الاكتفاء عن نقل كلماتهم في إثبات المطلب ، فراجعه متدبّرا فيها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63" w:name="pg16284_171031"/>
    </w:p>
    <w:p>
      <w:pPr>
        <w:pStyle w:val="Heading4"/>
        <w:numPr>
          <w:ilvl w:val="3"/>
          <w:numId w:val="1"/>
        </w:numPr>
        <w:rPr/>
      </w:pPr>
      <w:bookmarkStart w:id="64" w:name="__RefHeading___Toc5012066_1280447820"/>
      <w:bookmarkStart w:id="65" w:name="_Toc22"/>
      <w:bookmarkEnd w:id="63"/>
      <w:bookmarkEnd w:id="64"/>
      <w:r>
        <w:rPr>
          <w:rtl w:val="true"/>
        </w:rPr>
        <w:t>المقام الثالث</w:t>
      </w:r>
      <w:bookmarkEnd w:id="65"/>
    </w:p>
    <w:p>
      <w:pPr>
        <w:pStyle w:val="BookText"/>
        <w:rPr/>
      </w:pPr>
      <w:r>
        <w:rPr>
          <w:rFonts w:ascii="Amiri" w:hAnsi="Amiri" w:eastAsia="Amiri" w:cs="Amiri"/>
          <w:color w:val="111111"/>
          <w:sz w:val="28"/>
          <w:sz w:val="28"/>
          <w:szCs w:val="28"/>
          <w:rtl w:val="true"/>
          <w:lang w:bidi="ar-SA"/>
        </w:rPr>
        <w:t xml:space="preserve">في الجهة الثالثة منها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عدّهم الاستصحاب في عداد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الأدلّة العقلية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النزاع بالأحكام ؛ لأنّ الأدلّة العقلية مفسّرة في كلامهم بالأحكام العقلية الموصلة إلى الأحكام الشرعية ، والموضوعات ليست </w:t>
      </w:r>
      <w:r>
        <w:rPr>
          <w:rStyle w:val="FootnoteAnchor"/>
          <w:rtl w:val="true"/>
        </w:rPr>
        <w:footnoteReference w:id="259"/>
      </w:r>
      <w:r>
        <w:rPr>
          <w:rFonts w:ascii="Amiri" w:hAnsi="Amiri" w:eastAsia="Amiri" w:cs="Amiri"/>
          <w:color w:val="111111"/>
          <w:sz w:val="28"/>
          <w:sz w:val="28"/>
          <w:szCs w:val="28"/>
          <w:rtl w:val="true"/>
          <w:lang w:bidi="ar-SA"/>
        </w:rPr>
        <w:t xml:space="preserve">منها ، والاستصحاب فيها ليس </w:t>
      </w:r>
      <w:r>
        <w:rPr>
          <w:rStyle w:val="FootnoteAnchor"/>
          <w:rtl w:val="true"/>
        </w:rPr>
        <w:footnoteReference w:id="260"/>
      </w:r>
      <w:r>
        <w:rPr>
          <w:rFonts w:ascii="Amiri" w:hAnsi="Amiri" w:eastAsia="Amiri" w:cs="Amiri"/>
          <w:color w:val="111111"/>
          <w:sz w:val="28"/>
          <w:sz w:val="28"/>
          <w:szCs w:val="28"/>
          <w:rtl w:val="true"/>
          <w:lang w:bidi="ar-SA"/>
        </w:rPr>
        <w:t xml:space="preserve">دليلا ، بل هو أمارة كاليد والبيّنة وإن توقّف اعتباره فيها على حكم الشارع ؛ إذ ذلك لا يقضي بكونه دليلا كما في البيّنة ، لأنّ </w:t>
      </w:r>
      <w:r>
        <w:rPr>
          <w:rStyle w:val="FootnoteAnchor"/>
          <w:rtl w:val="true"/>
        </w:rPr>
        <w:footnoteReference w:id="261"/>
      </w:r>
      <w:r>
        <w:rPr>
          <w:rFonts w:ascii="Amiri" w:hAnsi="Amiri" w:eastAsia="Amiri" w:cs="Amiri"/>
          <w:color w:val="111111"/>
          <w:sz w:val="28"/>
          <w:sz w:val="28"/>
          <w:szCs w:val="28"/>
          <w:rtl w:val="true"/>
          <w:lang w:bidi="ar-SA"/>
        </w:rPr>
        <w:t xml:space="preserve">ما يثبت بها ليس حكما شرعيا ، فإنّ دخول زيد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يجب عليه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ليس من الحكم الشرعي </w:t>
      </w:r>
      <w:r>
        <w:rPr>
          <w:rStyle w:val="FootnoteAnchor"/>
          <w:rtl w:val="true"/>
        </w:rPr>
        <w:footnoteReference w:id="262"/>
      </w:r>
      <w:r>
        <w:rPr>
          <w:rFonts w:ascii="Amiri" w:hAnsi="Amiri" w:eastAsia="Amiri" w:cs="Amiri"/>
          <w:color w:val="111111"/>
          <w:sz w:val="28"/>
          <w:sz w:val="28"/>
          <w:szCs w:val="28"/>
          <w:rtl w:val="true"/>
          <w:lang w:bidi="ar-SA"/>
        </w:rPr>
        <w:t xml:space="preserve">في شيء ، فالحكم الشرعي هو الخطاب المتعلّق بالعنوان الكلّي ، والبيّنة إنّما أقيمت على انطباق ذلك العنوان بالموضوع الخاصّ ، فالثابت </w:t>
      </w:r>
      <w:r>
        <w:rPr>
          <w:rStyle w:val="FootnoteAnchor"/>
          <w:rtl w:val="true"/>
        </w:rPr>
        <w:footnoteReference w:id="263"/>
      </w:r>
      <w:r>
        <w:rPr>
          <w:rFonts w:ascii="Amiri" w:hAnsi="Amiri" w:eastAsia="Amiri" w:cs="Amiri"/>
          <w:color w:val="111111"/>
          <w:sz w:val="28"/>
          <w:sz w:val="28"/>
          <w:szCs w:val="28"/>
          <w:rtl w:val="true"/>
          <w:lang w:bidi="ar-SA"/>
        </w:rPr>
        <w:t>بالاستصحاب فيما إذا كان المستصحب حكما كلّيا شرعيا هو الحكم الكلّي ، وفيما إذا كان موضوعا إنّما هو صغرى لقياس يثبت فيه سريان الحكم الكلّي إليه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ذلك خروج الموضوعات عن محلّ النزاع ، ولقد أومأ إلى ذلك أمين الأخبارية في الفوائد المدنية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للاستصحاب صورتين معتبرتين باتّفاق الأمّة ، ثمّ ترقّى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اعتبارهما من ضروريات الدين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وغيرهم كانوا يستصحبون ما جاء به نبيّنا صلى‌اللّه‌عليه‌وآله إلى أن يجيء ما ينسخه </w:t>
      </w:r>
      <w:r>
        <w:rPr>
          <w:rStyle w:val="FootnoteAnchor"/>
          <w:rtl w:val="true"/>
        </w:rPr>
        <w:footnoteReference w:id="264"/>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نستصحب كلّ أمر من الأمور الشرعية ، مثل كون الرجل مالك أرض ، وكونه زوج امرأة ، وكونه عبد رجل ، وكونه على وضوء ، وكونه </w:t>
      </w:r>
    </w:p>
    <w:p>
      <w:pPr>
        <w:pStyle w:val="BookText"/>
        <w:rPr/>
      </w:pPr>
      <w:r>
        <w:rPr>
          <w:rFonts w:ascii="Amiri" w:hAnsi="Amiri" w:eastAsia="Amiri" w:cs="Amiri"/>
          <w:color w:val="111111"/>
          <w:sz w:val="28"/>
          <w:sz w:val="28"/>
          <w:szCs w:val="28"/>
          <w:rtl w:val="true"/>
          <w:lang w:bidi="ar-SA"/>
        </w:rPr>
        <w:t xml:space="preserve">طاهرا أو نجسا ، وكون الليل والنهار باقيا ، وكون ذمّة الإنسان مشغولة بصلاة أو طواف ، إلى أن يقطع بوجود شيء جعله الشارع سببا لنقض تلك الأمور ، ثمّ ذلك الشيء قد يكون شهادة العدلين ، وقد يكون قول الحجّام المسلم أو المؤمن </w:t>
      </w:r>
      <w:r>
        <w:rPr>
          <w:rStyle w:val="FootnoteAnchor"/>
          <w:rtl w:val="true"/>
        </w:rPr>
        <w:footnoteReference w:id="265"/>
      </w:r>
      <w:r>
        <w:rPr>
          <w:rFonts w:ascii="Amiri" w:hAnsi="Amiri" w:eastAsia="Amiri" w:cs="Amiri"/>
          <w:color w:val="111111"/>
          <w:sz w:val="28"/>
          <w:sz w:val="28"/>
          <w:szCs w:val="28"/>
          <w:rtl w:val="true"/>
          <w:lang w:bidi="ar-SA"/>
        </w:rPr>
        <w:t xml:space="preserve">، وقد يكون قول القصّار المسلم </w:t>
      </w:r>
      <w:r>
        <w:rPr>
          <w:rStyle w:val="FootnoteAnchor"/>
          <w:rtl w:val="true"/>
        </w:rPr>
        <w:footnoteReference w:id="266"/>
      </w:r>
      <w:r>
        <w:rPr>
          <w:rFonts w:ascii="Amiri" w:hAnsi="Amiri" w:eastAsia="Amiri" w:cs="Amiri"/>
          <w:color w:val="111111"/>
          <w:sz w:val="28"/>
          <w:sz w:val="28"/>
          <w:szCs w:val="28"/>
          <w:rtl w:val="true"/>
          <w:lang w:bidi="ar-SA"/>
        </w:rPr>
        <w:t xml:space="preserve">، وقد يكون بيع ما يحتاج إلى الذبح والغسل في سوق المسلمين ، وأشباه ذلك من الأمور الحسّية </w:t>
      </w:r>
      <w:r>
        <w:rPr>
          <w:rStyle w:val="FootnoteAnchor"/>
          <w:rtl w:val="true"/>
        </w:rPr>
        <w:footnoteReference w:id="267"/>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على كون الموضوعات خارجة </w:t>
      </w:r>
      <w:r>
        <w:rPr>
          <w:rStyle w:val="FootnoteAnchor"/>
          <w:rtl w:val="true"/>
        </w:rPr>
        <w:footnoteReference w:id="268"/>
      </w:r>
      <w:r>
        <w:rPr>
          <w:rFonts w:ascii="Amiri" w:hAnsi="Amiri" w:eastAsia="Amiri" w:cs="Amiri"/>
          <w:color w:val="111111"/>
          <w:sz w:val="28"/>
          <w:sz w:val="28"/>
          <w:szCs w:val="28"/>
          <w:rtl w:val="true"/>
          <w:lang w:bidi="ar-SA"/>
        </w:rPr>
        <w:t>عن محلّ الكلام ممّا لا يدانيه وصمة الريب والإنكار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في ذلك الشيخ الجليل الحرّ العاملي في الفوائد الطوسية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عن بعض معاصريه في الردّ على منكري البراءة الأصلية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كلام المعاصر وغيره هنا مجمل يحتاج إلى التفصيل ليتحقّق </w:t>
      </w:r>
      <w:r>
        <w:rPr>
          <w:rStyle w:val="FootnoteAnchor"/>
          <w:rtl w:val="true"/>
        </w:rPr>
        <w:footnoteReference w:id="269"/>
      </w:r>
      <w:r>
        <w:rPr>
          <w:rFonts w:ascii="Amiri" w:hAnsi="Amiri" w:eastAsia="Amiri" w:cs="Amiri"/>
          <w:color w:val="111111"/>
          <w:sz w:val="28"/>
          <w:sz w:val="28"/>
          <w:szCs w:val="28"/>
          <w:rtl w:val="true"/>
          <w:lang w:bidi="ar-SA"/>
        </w:rPr>
        <w:t xml:space="preserve">محلّ النزاع ، ونحن نفصّل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يطلق على معان ويستدلّ به في مواضع اثني عشر ، فأخذ في تعدادها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تغيّر الحكم الشرعي في الحالة السابقة ، وهو المسمّى بالاستصحاب في نفس الحكم الشرعي إثباتا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w:t>
      </w:r>
      <w:r>
        <w:rPr>
          <w:rStyle w:val="FootnoteAnchor"/>
          <w:rtl w:val="true"/>
        </w:rPr>
        <w:footnoteReference w:id="270"/>
      </w:r>
      <w:r>
        <w:rPr>
          <w:rFonts w:ascii="Amiri" w:hAnsi="Amiri" w:eastAsia="Amiri" w:cs="Amiri"/>
          <w:color w:val="111111"/>
          <w:sz w:val="28"/>
          <w:sz w:val="28"/>
          <w:szCs w:val="28"/>
          <w:rtl w:val="true"/>
          <w:lang w:bidi="ar-SA"/>
        </w:rPr>
        <w:t xml:space="preserve">تغيّر الحالة السابقة إلى أن يثبت تغيّرها ، وهو المسمّى بالاستصحاب في غير نفس الحكم الشرعي ، إلى أن قال بعد ذكر تمام المواضع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 ففيه خلاف مشهور ذهب </w:t>
      </w:r>
      <w:r>
        <w:rPr>
          <w:rStyle w:val="FootnoteAnchor"/>
          <w:rtl w:val="true"/>
        </w:rPr>
        <w:footnoteReference w:id="271"/>
      </w:r>
      <w:r>
        <w:rPr>
          <w:rFonts w:ascii="Amiri" w:hAnsi="Amiri" w:eastAsia="Amiri" w:cs="Amiri"/>
          <w:color w:val="111111"/>
          <w:sz w:val="28"/>
          <w:sz w:val="28"/>
          <w:szCs w:val="28"/>
          <w:rtl w:val="true"/>
          <w:lang w:bidi="ar-SA"/>
        </w:rPr>
        <w:t xml:space="preserve">إلى بطلانه المحقّقون كالسيّد والشيخ والمحقّق والشيخ حسن ومولانا محمّد أمين وصاحب المدارك وغيرهم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الثامن فلا خلاف فيه والنصوص الشرعية دالّة عليه عموما وخصوصا </w:t>
      </w:r>
      <w:r>
        <w:rPr>
          <w:rStyle w:val="FootnoteAnchor"/>
          <w:rtl w:val="true"/>
        </w:rPr>
        <w:footnoteReference w:id="2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دلالته على خروج </w:t>
      </w:r>
    </w:p>
    <w:p>
      <w:pPr>
        <w:pStyle w:val="BookText"/>
        <w:rPr/>
      </w:pPr>
      <w:r>
        <w:rPr>
          <w:rFonts w:ascii="Amiri" w:hAnsi="Amiri" w:eastAsia="Amiri" w:cs="Amiri"/>
          <w:color w:val="111111"/>
          <w:sz w:val="28"/>
          <w:sz w:val="28"/>
          <w:szCs w:val="28"/>
          <w:rtl w:val="true"/>
          <w:lang w:bidi="ar-SA"/>
        </w:rPr>
        <w:t xml:space="preserve">الموضوعات ظاهر لا ينكر ؛ إذ الموضع </w:t>
      </w:r>
      <w:r>
        <w:rPr>
          <w:rStyle w:val="FootnoteAnchor"/>
          <w:rtl w:val="true"/>
        </w:rPr>
        <w:footnoteReference w:id="273"/>
      </w:r>
      <w:r>
        <w:rPr>
          <w:rFonts w:ascii="Amiri" w:hAnsi="Amiri" w:eastAsia="Amiri" w:cs="Amiri"/>
          <w:color w:val="111111"/>
          <w:sz w:val="28"/>
          <w:sz w:val="28"/>
          <w:szCs w:val="28"/>
          <w:rtl w:val="true"/>
          <w:lang w:bidi="ar-SA"/>
        </w:rPr>
        <w:t xml:space="preserve">الثامن المراد به الموضوعات ، وقد مرّ في المقام الأوّل من الكلمات ما يشعر بذلك </w:t>
      </w:r>
      <w:r>
        <w:rPr>
          <w:rStyle w:val="FootnoteAnchor"/>
          <w:rtl w:val="true"/>
        </w:rPr>
        <w:footnoteReference w:id="27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بعد ذلك كلّه دخولها </w:t>
      </w:r>
      <w:r>
        <w:rPr>
          <w:rStyle w:val="FootnoteAnchor"/>
          <w:rtl w:val="true"/>
        </w:rPr>
        <w:footnoteReference w:id="275"/>
      </w:r>
      <w:r>
        <w:rPr>
          <w:rFonts w:ascii="Amiri" w:hAnsi="Amiri" w:eastAsia="Amiri" w:cs="Amiri"/>
          <w:color w:val="111111"/>
          <w:sz w:val="28"/>
          <w:sz w:val="28"/>
          <w:szCs w:val="28"/>
          <w:rtl w:val="true"/>
          <w:lang w:bidi="ar-SA"/>
        </w:rPr>
        <w:t xml:space="preserve">في محلّ الخلاف ،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عموم المناط في الكلّ ، فلا تعقل </w:t>
      </w:r>
      <w:r>
        <w:rPr>
          <w:rStyle w:val="FootnoteAnchor"/>
          <w:rtl w:val="true"/>
        </w:rPr>
        <w:footnoteReference w:id="276"/>
      </w:r>
      <w:r>
        <w:rPr>
          <w:rFonts w:ascii="Amiri" w:hAnsi="Amiri" w:eastAsia="Amiri" w:cs="Amiri"/>
          <w:color w:val="111111"/>
          <w:sz w:val="28"/>
          <w:sz w:val="28"/>
          <w:szCs w:val="28"/>
          <w:rtl w:val="true"/>
          <w:lang w:bidi="ar-SA"/>
        </w:rPr>
        <w:t xml:space="preserve">التفرقة بين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العضدي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تعريف الاستصحاب بما أشرنا إليه سابقا </w:t>
      </w:r>
      <w:r>
        <w:rPr>
          <w:rStyle w:val="FootnoteAnchor"/>
          <w:rtl w:val="true"/>
        </w:rPr>
        <w:footnoteReference w:id="2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اختلف في صحّة الاستدلال به لإفادة </w:t>
      </w:r>
      <w:r>
        <w:rPr>
          <w:rStyle w:val="FootnoteAnchor"/>
          <w:rtl w:val="true"/>
        </w:rPr>
        <w:footnoteReference w:id="278"/>
      </w:r>
      <w:r>
        <w:rPr>
          <w:rFonts w:ascii="IRNazanin" w:hAnsi="IRNazanin" w:eastAsia="IRNazanin"/>
          <w:color w:val="111111"/>
          <w:sz w:val="28"/>
          <w:sz w:val="28"/>
          <w:szCs w:val="28"/>
          <w:rtl w:val="true"/>
          <w:lang w:bidi="fa-IR"/>
        </w:rPr>
        <w:t xml:space="preserve">الظنّ بالبقاء </w:t>
      </w:r>
      <w:r>
        <w:rPr>
          <w:rStyle w:val="FootnoteAnchor"/>
          <w:rtl w:val="true"/>
        </w:rPr>
        <w:footnoteReference w:id="279"/>
      </w:r>
      <w:r>
        <w:rPr>
          <w:rFonts w:ascii="Amiri" w:hAnsi="Amiri" w:eastAsia="Amiri" w:cs="Amiri"/>
          <w:color w:val="111111"/>
          <w:sz w:val="28"/>
          <w:sz w:val="28"/>
          <w:szCs w:val="28"/>
          <w:rtl w:val="true"/>
          <w:lang w:bidi="ar-SA"/>
        </w:rPr>
        <w:t xml:space="preserve">، وعدمها لعدم إفادته إيّاه ، فأكثر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كالمزني والصيرفي والغزالي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 ، وأكثر الحنفية على بطلانه فلا يثبت به حكم شرعي </w:t>
      </w:r>
      <w:r>
        <w:rPr>
          <w:rStyle w:val="FootnoteAnchor"/>
          <w:rtl w:val="true"/>
        </w:rPr>
        <w:footnoteReference w:id="28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Style w:val="FootnoteAnchor"/>
          <w:rtl w:val="true"/>
        </w:rPr>
        <w:footnoteReference w:id="281"/>
      </w:r>
      <w:r>
        <w:rPr>
          <w:rFonts w:ascii="Amiri" w:hAnsi="Amiri" w:eastAsia="Amiri" w:cs="Amiri"/>
          <w:color w:val="111111"/>
          <w:sz w:val="28"/>
          <w:sz w:val="28"/>
          <w:szCs w:val="28"/>
          <w:rtl w:val="true"/>
          <w:lang w:bidi="ar-SA"/>
        </w:rPr>
        <w:t>الدلالة أنّ لفظ الحكم في كلامه وإن كان ظاهرا في الحكم الكلّي إلاّ أنّ قول التفتازاني في شرحه بأنّ هذا إشارة إلى أنّ خلاف الحنفية في ذلك في إثبات الحكم الشرعي بالاستصحاب لا نفيه به ، يدلّ على أنّ المراد به الأعمّ من الأحكام الكلّية أو الجزئية ، وأنّ خلاف الحنفية في كلّ من القسمين ، سيّما بعد ملاحظة التمثيل في كلام الأوّل باستصحاب حياة المفقود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المدارك من إنكار حجّية استصحاب عدم التذكية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الاحتجاج على حرمة استعمال الجلد المطروح بأصالة عدم التذكية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ويشكل بأنّ مرجع الأصل هنا </w:t>
      </w:r>
      <w:r>
        <w:rPr>
          <w:rStyle w:val="FootnoteAnchor"/>
          <w:rtl w:val="true"/>
        </w:rPr>
        <w:footnoteReference w:id="282"/>
      </w:r>
      <w:r>
        <w:rPr>
          <w:rFonts w:ascii="Amiri" w:hAnsi="Amiri" w:eastAsia="Amiri" w:cs="Amiri"/>
          <w:color w:val="111111"/>
          <w:sz w:val="28"/>
          <w:sz w:val="28"/>
          <w:szCs w:val="28"/>
          <w:rtl w:val="true"/>
          <w:lang w:bidi="ar-SA"/>
        </w:rPr>
        <w:t xml:space="preserve">إلى استصحاب الحالة </w:t>
      </w:r>
      <w:r>
        <w:rPr>
          <w:rStyle w:val="FootnoteAnchor"/>
          <w:rtl w:val="true"/>
        </w:rPr>
        <w:footnoteReference w:id="283"/>
      </w:r>
      <w:r>
        <w:rPr>
          <w:rFonts w:ascii="Amiri" w:hAnsi="Amiri" w:eastAsia="Amiri" w:cs="Amiri"/>
          <w:color w:val="111111"/>
          <w:sz w:val="28"/>
          <w:sz w:val="28"/>
          <w:szCs w:val="28"/>
          <w:rtl w:val="true"/>
          <w:lang w:bidi="ar-SA"/>
        </w:rPr>
        <w:t xml:space="preserve">السابقة ، وقد تقدّم الكلام منّا فيه مرارا وبيّنّا أنّ الحقّ أنّ استمرار الحكم يتوقّف على الدليل كما يتوقّف عليه ابتداؤه ؛ لأنّ ما </w:t>
      </w:r>
    </w:p>
    <w:p>
      <w:pPr>
        <w:pStyle w:val="BookText"/>
        <w:rPr/>
      </w:pPr>
      <w:r>
        <w:rPr>
          <w:rFonts w:ascii="Amiri" w:hAnsi="Amiri" w:eastAsia="Amiri" w:cs="Amiri"/>
          <w:color w:val="111111"/>
          <w:sz w:val="28"/>
          <w:sz w:val="28"/>
          <w:szCs w:val="28"/>
          <w:rtl w:val="true"/>
          <w:lang w:bidi="ar-SA"/>
        </w:rPr>
        <w:t xml:space="preserve">ثبت جاز أن يدوم وجاز أن لا يدوم ، فلا بدّ لدوامه من دليل وسبب سوى دليل الثبوت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رأيت في كلام المدارك كثيرا ما يتمسّك بالأصل ، ولعلّه إنّما كان منه جريا على طريقة القوم في استفاض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المطلوب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دلالته على عدم اعتبار الاستصحاب في مثل عدم التذكية التي من الموضوعات أيضا ممّا لا يقبل الارتياب ، ومن هنا يظهر وجه آخر في عموم النزاع للاستصحابات العدمية كما أشرنا إليه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المثبتين والنافين لكلّ من القسمين ، فإنّ بناء العقلاء على الاعتبار ممّا لا يفرق فيه بينهما ، وكذا التسوية بين الحكمين في الزمانين من غير دليل ممّا لا دليل على افتراقها بين القسمين ، وستقف على جملة أخرى من أدلّة الطرفين الظاهرة في التعميم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الدالّة على خروج الموضوعات ممّا قدّمناها ، فالجواب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ذلك في عناوينهم غير عزيز ، مع عموم النزاع لغير ذلك أيضا إلاّ أنّ وجه </w:t>
      </w:r>
      <w:r>
        <w:rPr>
          <w:rStyle w:val="FootnoteAnchor"/>
          <w:rtl w:val="true"/>
        </w:rPr>
        <w:footnoteReference w:id="286"/>
      </w:r>
      <w:r>
        <w:rPr>
          <w:rFonts w:ascii="Amiri" w:hAnsi="Amiri" w:eastAsia="Amiri" w:cs="Amiri"/>
          <w:color w:val="111111"/>
          <w:sz w:val="28"/>
          <w:sz w:val="28"/>
          <w:szCs w:val="28"/>
          <w:rtl w:val="true"/>
          <w:lang w:bidi="ar-SA"/>
        </w:rPr>
        <w:t xml:space="preserve">التخصيص تعلّق غرض أرباب العنوان بهذا القسم منه ، على أنّ الاستصحاب ليس أمارة كما هو القياس في البيّنة ، 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شيئا أمارة لدخول </w:t>
      </w:r>
      <w:r>
        <w:rPr>
          <w:rStyle w:val="FootnoteAnchor"/>
          <w:rtl w:val="true"/>
        </w:rPr>
        <w:footnoteReference w:id="287"/>
      </w:r>
      <w:r>
        <w:rPr>
          <w:rFonts w:ascii="Amiri" w:hAnsi="Amiri" w:eastAsia="Amiri" w:cs="Amiri"/>
          <w:color w:val="111111"/>
          <w:sz w:val="28"/>
          <w:sz w:val="28"/>
          <w:szCs w:val="28"/>
          <w:rtl w:val="true"/>
          <w:lang w:bidi="ar-SA"/>
        </w:rPr>
        <w:t xml:space="preserve">بعض أفراد العنوان فيه عند الشكّ في ذلك ، كما في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اعتبارها تعبّدا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للمشكوك حكما كما يجعل لنفس العنوان الكلّي مع قطع النظر عن كونه مشكوكا حكما ، والاستصحاب من قبيل الثاني لا الأوّل كما لا يخفى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دعوى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استظهره </w:t>
      </w:r>
      <w:r>
        <w:rPr>
          <w:rStyle w:val="FootnoteAnchor"/>
          <w:rtl w:val="true"/>
        </w:rPr>
        <w:footnoteReference w:id="288"/>
      </w:r>
      <w:r>
        <w:rPr>
          <w:rFonts w:ascii="Amiri" w:hAnsi="Amiri" w:eastAsia="Amiri" w:cs="Amiri"/>
          <w:color w:val="111111"/>
          <w:sz w:val="28"/>
          <w:sz w:val="28"/>
          <w:szCs w:val="28"/>
          <w:rtl w:val="true"/>
          <w:lang w:bidi="ar-SA"/>
        </w:rPr>
        <w:t xml:space="preserve">الخصم من الكلمات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فواهية جدّا بعد ما عرفت من الخلاف في كلام الخاصّة والعامّة ، ولنعم ما أفاده </w:t>
      </w:r>
      <w:r>
        <w:rPr>
          <w:rStyle w:val="FootnoteAnchor"/>
          <w:rtl w:val="true"/>
        </w:rPr>
        <w:footnoteReference w:id="289"/>
      </w:r>
      <w:r>
        <w:rPr>
          <w:rFonts w:ascii="Amiri" w:hAnsi="Amiri" w:eastAsia="Amiri" w:cs="Amiri"/>
          <w:color w:val="111111"/>
          <w:sz w:val="28"/>
          <w:sz w:val="28"/>
          <w:szCs w:val="28"/>
          <w:rtl w:val="true"/>
          <w:lang w:bidi="ar-SA"/>
        </w:rPr>
        <w:t xml:space="preserve">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كلام الأمين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ممّن ينكر الإجماعات التى يدّعيها العلماء الماهرون </w:t>
      </w:r>
      <w:bookmarkStart w:id="66" w:name="pg16284_171035"/>
    </w:p>
    <w:p>
      <w:pPr>
        <w:pStyle w:val="BookText"/>
        <w:rPr/>
      </w:pPr>
      <w:bookmarkEnd w:id="66"/>
      <w:r>
        <w:rPr>
          <w:rFonts w:ascii="Amiri" w:hAnsi="Amiri" w:eastAsia="Amiri" w:cs="Amiri"/>
          <w:color w:val="111111"/>
          <w:sz w:val="28"/>
          <w:sz w:val="28"/>
          <w:szCs w:val="28"/>
          <w:rtl w:val="true"/>
          <w:lang w:bidi="ar-SA"/>
        </w:rPr>
        <w:t xml:space="preserve">في التتبّع المتبحّرون في النقد والتحصيل مع عدم وجدانه الخلاف ، ويطعن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يدّعي إجماع الأمّة ، بل ضرورة الدين فيما يكون الخلاف فيه بين المسلمين من الخاصّة والعامّة مشهورا معلوما لكلّ أحد راجع كتبهم واستدلالاتهم في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لفظه الشريف أدام اللّه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دعوى انعقاد الإجماع على خروج شيء من النزاع غير كون ذلك الشيء إجماعيا خارجا عن النزاع ، والممنوع هو الثاني لا الأوّل ، فتأمل</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5012068_1280447820"/>
      <w:bookmarkStart w:id="68" w:name="_Toc23"/>
      <w:bookmarkEnd w:id="67"/>
      <w:r>
        <w:rPr>
          <w:rtl w:val="true"/>
        </w:rPr>
        <w:t>المقام الرابع</w:t>
      </w:r>
      <w:bookmarkEnd w:id="68"/>
    </w:p>
    <w:p>
      <w:pPr>
        <w:pStyle w:val="BookText"/>
        <w:rPr/>
      </w:pPr>
      <w:r>
        <w:rPr>
          <w:rFonts w:ascii="Amiri" w:hAnsi="Amiri" w:eastAsia="Amiri" w:cs="Amiri"/>
          <w:color w:val="111111"/>
          <w:sz w:val="28"/>
          <w:sz w:val="28"/>
          <w:szCs w:val="28"/>
          <w:rtl w:val="true"/>
          <w:lang w:bidi="ar-SA"/>
        </w:rPr>
        <w:t xml:space="preserve">فى الجهة الرابعة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جواد الفضلاء تخصيص النزاع بما إذا كان الشكّ من جهة المقتضي على أحد الوجوه المقرّرة فيه ، وعدم شمول النزاع فيما إذا كان الشكّ من حيث المانع ، ولعلّه تبعه في ذلك صاحب المعالم حيث إنّهما قد أرجعا قول المحقّق إلى قول السيّد القائل بالعدم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الخلاف في الاستصحاب واختياره قول المفيد من اعتباره واحتجاجه على مختاره وردّ أدلّة المانعين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w:t>
      </w:r>
      <w:r>
        <w:rPr>
          <w:rStyle w:val="FootnoteAnchor"/>
          <w:rtl w:val="true"/>
        </w:rPr>
        <w:footnoteReference w:id="290"/>
      </w:r>
      <w:r>
        <w:rPr>
          <w:rFonts w:ascii="Amiri" w:hAnsi="Amiri" w:eastAsia="Amiri" w:cs="Amiri"/>
          <w:color w:val="111111"/>
          <w:sz w:val="28"/>
          <w:sz w:val="28"/>
          <w:szCs w:val="28"/>
          <w:rtl w:val="true"/>
          <w:lang w:bidi="ar-SA"/>
        </w:rPr>
        <w:t xml:space="preserve">نختاره أن ننظر في الدليل المقتضي لذلك الحكم فإن كان يقتضيه مطلقا وجب القضاء باستمرار الحكم ، كعقد النكاح فإنّه يوجب حلّ الوطء مطلقا ، وإذا وقع الخلاف في الألفاظ التي يقع بها الطلاق </w:t>
      </w:r>
      <w:r>
        <w:rPr>
          <w:rStyle w:val="FootnoteAnchor"/>
          <w:rtl w:val="true"/>
        </w:rPr>
        <w:footnoteReference w:id="291"/>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خليّة وبريّة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المستدلّ على أنّ الطلاق لا يقع بهما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الوطء ثابت قبل النطق بهذه فيجب أن يكون ثابتا بعده </w:t>
      </w:r>
      <w:r>
        <w:rPr>
          <w:rStyle w:val="FootnoteAnchor"/>
          <w:rtl w:val="true"/>
        </w:rPr>
        <w:footnoteReference w:id="292"/>
      </w:r>
      <w:r>
        <w:rPr>
          <w:rFonts w:ascii="Amiri" w:hAnsi="Amiri" w:eastAsia="Amiri" w:cs="Amiri"/>
          <w:color w:val="111111"/>
          <w:sz w:val="28"/>
          <w:sz w:val="28"/>
          <w:szCs w:val="28"/>
          <w:rtl w:val="true"/>
          <w:lang w:bidi="ar-SA"/>
        </w:rPr>
        <w:t xml:space="preserve">، لكان استدلالا صحيحا ؛ لأنّ المقتضي للتحليل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اقتضاه مطلقا ولا يعلم أنّ الألفاظ المذكورة رافعة لذلك الاقتضاء ، فيكون الحكم ثابتا عملا بالمقتضي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w:t>
      </w:r>
      <w:r>
        <w:rPr>
          <w:rStyle w:val="FootnoteAnchor"/>
          <w:rtl w:val="true"/>
        </w:rPr>
        <w:footnoteReference w:id="293"/>
      </w:r>
      <w:r>
        <w:rPr>
          <w:rFonts w:ascii="Amiri" w:hAnsi="Amiri" w:eastAsia="Amiri" w:cs="Amiri"/>
          <w:color w:val="111111"/>
          <w:sz w:val="28"/>
          <w:sz w:val="28"/>
          <w:szCs w:val="28"/>
          <w:rtl w:val="true"/>
          <w:lang w:bidi="ar-SA"/>
        </w:rPr>
        <w:t xml:space="preserve">أنّه باق فلم يثبت الحكم </w:t>
      </w:r>
      <w:r>
        <w:rPr>
          <w:rStyle w:val="FootnoteAnchor"/>
          <w:rtl w:val="true"/>
        </w:rPr>
        <w:footnoteReference w:id="294"/>
      </w:r>
      <w:r>
        <w:rPr>
          <w:rFonts w:ascii="Amiri" w:hAnsi="Amiri" w:eastAsia="Amiri" w:cs="Amiri"/>
          <w:color w:val="111111"/>
          <w:sz w:val="28"/>
          <w:sz w:val="28"/>
          <w:szCs w:val="28"/>
          <w:rtl w:val="true"/>
          <w:lang w:bidi="ar-SA"/>
        </w:rPr>
        <w:t xml:space="preserve">؛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اقتضى حلّ الوطء لا مقيّدا بوقت ، فيلزم </w:t>
      </w:r>
      <w:r>
        <w:rPr>
          <w:rStyle w:val="FootnoteAnchor"/>
          <w:rtl w:val="true"/>
        </w:rPr>
        <w:footnoteReference w:id="295"/>
      </w:r>
      <w:r>
        <w:rPr>
          <w:rFonts w:ascii="Amiri" w:hAnsi="Amiri" w:eastAsia="Amiri" w:cs="Amiri"/>
          <w:color w:val="111111"/>
          <w:sz w:val="28"/>
          <w:sz w:val="28"/>
          <w:szCs w:val="28"/>
          <w:rtl w:val="true"/>
          <w:lang w:bidi="ar-SA"/>
        </w:rPr>
        <w:t xml:space="preserve">دوام الحلّ نظرا إلى وقوع المقتضي لا إلى دوامه ، فيجب أن يثبت الحلّ حتى يثبت الرافع ، فإن كان الخصم يعني بالاستصحاب ما أشرنا إليه فليس ذلك عملا بغير دليل ، وإن كان يعني به أمرا وراء ذلك فنحن مضربون عنه </w:t>
      </w:r>
      <w:r>
        <w:rPr>
          <w:rStyle w:val="FootnoteAnchor"/>
          <w:rtl w:val="true"/>
        </w:rPr>
        <w:footnoteReference w:id="296"/>
      </w:r>
      <w:r>
        <w:rPr>
          <w:rFonts w:ascii="Amiri" w:hAnsi="Amiri" w:eastAsia="Amiri" w:cs="Amiri"/>
          <w:color w:val="111111"/>
          <w:sz w:val="28"/>
          <w:sz w:val="28"/>
          <w:szCs w:val="28"/>
          <w:rtl w:val="true"/>
          <w:lang w:bidi="ar-SA"/>
        </w:rPr>
        <w:t xml:space="preserve">، انتهى كلامه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الشارح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جيّد لكنّه في الحقيقة رجوع </w:t>
      </w:r>
      <w:r>
        <w:rPr>
          <w:rStyle w:val="FootnoteAnchor"/>
          <w:rtl w:val="true"/>
        </w:rPr>
        <w:footnoteReference w:id="298"/>
      </w:r>
      <w:r>
        <w:rPr>
          <w:rFonts w:ascii="IRNazanin" w:hAnsi="IRNazanin" w:eastAsia="IRNazanin"/>
          <w:color w:val="111111"/>
          <w:sz w:val="28"/>
          <w:sz w:val="28"/>
          <w:szCs w:val="28"/>
          <w:rtl w:val="true"/>
          <w:lang w:bidi="fa-IR"/>
        </w:rPr>
        <w:t xml:space="preserve">إلى مذهب المرتضى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جيّد لكنّه عند التحقيق رجوع عمّا اختاره أوّلا ومصير إلى القول الآخر كما يرشد إليه تمثيلهم موضع </w:t>
      </w:r>
      <w:r>
        <w:rPr>
          <w:rStyle w:val="FootnoteAnchor"/>
          <w:rtl w:val="true"/>
        </w:rPr>
        <w:footnoteReference w:id="300"/>
      </w:r>
      <w:r>
        <w:rPr>
          <w:rFonts w:ascii="Amiri" w:hAnsi="Amiri" w:eastAsia="Amiri" w:cs="Amiri"/>
          <w:color w:val="111111"/>
          <w:sz w:val="28"/>
          <w:sz w:val="28"/>
          <w:szCs w:val="28"/>
          <w:rtl w:val="true"/>
          <w:lang w:bidi="ar-SA"/>
        </w:rPr>
        <w:t xml:space="preserve">النزاع بمسألة التيمّم ويفصح عنه حجّة المرتضى ، فكأنّه استشعر ما يرد على احتجاجه من المناقشة فاستدرك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اختاره </w:t>
      </w:r>
      <w:r>
        <w:rPr>
          <w:rStyle w:val="FootnoteAnchor"/>
          <w:rtl w:val="true"/>
        </w:rPr>
        <w:footnoteReference w:id="301"/>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المرتضى ، وهو الأقرب </w:t>
      </w:r>
      <w:r>
        <w:rPr>
          <w:rStyle w:val="FootnoteAnchor"/>
          <w:rtl w:val="true"/>
        </w:rPr>
        <w:footnoteReference w:id="3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فقضيّة إرجاعهما قول المحقّق إلى قول المرتضى اختصاص النزاع عندهم بما إذا كان الشكّ من حيث المقتضي ؛ ضرورة أنّه لو كان النزاع أعمّ من الجهة المفروضة وما إذا كان الشكّ في المانع بأقسامه ، لما كان للإرجاع المذكور وجه ، بل يكون المحقّق مفصّلا بين القسمين لا منكرا للكلّ كالمرتضى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عموم النزاع للقسمين وشموله للجهتين ، وأنّ ما أورداه في حمل كلام المحقّق </w:t>
      </w:r>
      <w:bookmarkStart w:id="69" w:name="pg16284_171037"/>
    </w:p>
    <w:p>
      <w:pPr>
        <w:pStyle w:val="BookText"/>
        <w:rPr/>
      </w:pPr>
      <w:bookmarkEnd w:id="69"/>
      <w:r>
        <w:rPr>
          <w:rFonts w:ascii="Amiri" w:hAnsi="Amiri" w:eastAsia="Amiri" w:cs="Amiri"/>
          <w:color w:val="111111"/>
          <w:sz w:val="28"/>
          <w:sz w:val="28"/>
          <w:szCs w:val="28"/>
          <w:rtl w:val="true"/>
          <w:lang w:bidi="ar-SA"/>
        </w:rPr>
        <w:t xml:space="preserve">ممّا لا يصغى إليه بعد وضوح مراده وظهور كساده ؛ لما عرفت من عدم ما يقضي </w:t>
      </w:r>
      <w:r>
        <w:rPr>
          <w:rStyle w:val="FootnoteAnchor"/>
          <w:rtl w:val="true"/>
        </w:rPr>
        <w:footnoteReference w:id="303"/>
      </w:r>
      <w:r>
        <w:rPr>
          <w:rFonts w:ascii="Amiri" w:hAnsi="Amiri" w:eastAsia="Amiri" w:cs="Amiri"/>
          <w:color w:val="111111"/>
          <w:sz w:val="28"/>
          <w:sz w:val="28"/>
          <w:szCs w:val="28"/>
          <w:rtl w:val="true"/>
          <w:lang w:bidi="ar-SA"/>
        </w:rPr>
        <w:t>بالتخصيص عنوانا وتمثيلا واستدلالا بعد اتّحاد المناط في الكلّ وعدم معقولية التفرقة بينهما بدون ذلك</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5012070_1280447820"/>
      <w:bookmarkStart w:id="71" w:name="_Toc24"/>
      <w:bookmarkEnd w:id="70"/>
      <w:r>
        <w:rPr>
          <w:rtl w:val="true"/>
        </w:rPr>
        <w:t>تذنيب</w:t>
      </w:r>
      <w:bookmarkEnd w:id="71"/>
    </w:p>
    <w:p>
      <w:pPr>
        <w:pStyle w:val="BookText"/>
        <w:rPr/>
      </w:pPr>
      <w:r>
        <w:rPr>
          <w:rFonts w:ascii="Amiri" w:hAnsi="Amiri" w:eastAsia="Amiri" w:cs="Amiri"/>
          <w:color w:val="111111"/>
          <w:sz w:val="28"/>
          <w:sz w:val="28"/>
          <w:szCs w:val="28"/>
          <w:rtl w:val="true"/>
          <w:lang w:bidi="ar-SA"/>
        </w:rPr>
        <w:t xml:space="preserve">هل النزاع في حجّية الاستصحاب من جهة الظنّ أو من حيث إنّها قاعدة تعبّدية وإن لم يفد </w:t>
      </w:r>
      <w:r>
        <w:rPr>
          <w:rStyle w:val="FootnoteAnchor"/>
          <w:rtl w:val="true"/>
        </w:rPr>
        <w:footnoteReference w:id="304"/>
      </w:r>
      <w:r>
        <w:rPr>
          <w:rFonts w:ascii="Amiri" w:hAnsi="Amiri" w:eastAsia="Amiri" w:cs="Amiri"/>
          <w:color w:val="111111"/>
          <w:sz w:val="28"/>
          <w:sz w:val="28"/>
          <w:szCs w:val="28"/>
          <w:rtl w:val="true"/>
          <w:lang w:bidi="ar-SA"/>
        </w:rPr>
        <w:t xml:space="preserve">ظنّا في موارده أبدا فعلى الأوّل يكون كسائر الأدلّة الاجتهادية الكاشفة عن واقع مدلولها ، وعلى الثاني يكون كالبيّنة واليد ونحوهما من التعبّديات؟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قابلية وقوع النزاع على كلّ من الوجهين مع قطع النظر عن مذاقهم ومشربهم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يحتمل </w:t>
      </w:r>
      <w:r>
        <w:rPr>
          <w:rStyle w:val="FootnoteAnchor"/>
          <w:rtl w:val="true"/>
        </w:rPr>
        <w:footnoteReference w:id="305"/>
      </w:r>
      <w:r>
        <w:rPr>
          <w:rFonts w:ascii="Amiri" w:hAnsi="Amiri" w:eastAsia="Amiri" w:cs="Amiri"/>
          <w:color w:val="111111"/>
          <w:sz w:val="28"/>
          <w:sz w:val="28"/>
          <w:szCs w:val="28"/>
          <w:rtl w:val="true"/>
          <w:lang w:bidi="ar-SA"/>
        </w:rPr>
        <w:t xml:space="preserve">أن يراد بالظنّ المبحوث عنه الظنّ النوعي ؛ إذ من الواضح الجليّ أنّ الاستصحاب يفيد الظنّ فيما لم يكن له من الخارج ما يوهن الركون إلى الحالة السابقة كغيره من وجوه الأدلّة الاجتهادية ، وأن يراد به الظنّ الشخصي ؛ لأنّه الظاهر منه في بادئ الرأي ، ويوافقه ظهور جملة من الحجج ، بل صرّح بدورانه مداره شيخنا البهائي في الحبل المتين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الظنّ الحاصل بالاستصحاب فيمن تيقّن الطهارة وشكّ في الحدث لا يبقى على نهج واحد ، بل يضعّف بطول </w:t>
      </w:r>
      <w:r>
        <w:rPr>
          <w:rStyle w:val="FootnoteAnchor"/>
          <w:rtl w:val="true"/>
        </w:rPr>
        <w:footnoteReference w:id="306"/>
      </w:r>
      <w:r>
        <w:rPr>
          <w:rFonts w:ascii="Amiri" w:hAnsi="Amiri" w:eastAsia="Amiri" w:cs="Amiri"/>
          <w:color w:val="111111"/>
          <w:sz w:val="28"/>
          <w:sz w:val="28"/>
          <w:szCs w:val="28"/>
          <w:rtl w:val="true"/>
          <w:lang w:bidi="ar-SA"/>
        </w:rPr>
        <w:t xml:space="preserve">المدّة شيئا فشيئا ، بل قد يزول الرجحان ويتساوى الطرفان ، بل ربّما يصير الطرف الراجح مرجوحا ، كما إذا توضّأ عند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وذهل عن التحفّظ ، ثمّ شكّ عند الغروب في صدور الحدث منه ولم يكن من عادته البقاء على الطهارة في ذلك الوقت ، والحاصل أنّ المدار على الظنّ ، فما دام باقيا فالعمل عليه وإن ضعف </w:t>
      </w:r>
      <w:r>
        <w:rPr>
          <w:rStyle w:val="FootnoteAnchor"/>
          <w:rtl w:val="true"/>
        </w:rPr>
        <w:footnoteReference w:id="307"/>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يشكل الاعتماد عليه ؛ لعدم اطّراده في الموارد التي بنوا فيها على الاستصحاب كما يظهر من ملاحظة سيرتهم في الفقه ، ويحتمل أن يكون النزاع في إفادته الظنّ كما يظهر عمّا سبق نقله من العضدي </w:t>
      </w:r>
      <w:r>
        <w:rPr>
          <w:rStyle w:val="FootnoteAnchor"/>
          <w:rtl w:val="true"/>
        </w:rPr>
        <w:footnoteReference w:id="308"/>
      </w:r>
      <w:r>
        <w:rPr>
          <w:rFonts w:ascii="Amiri" w:hAnsi="Amiri" w:eastAsia="Amiri" w:cs="Amiri"/>
          <w:color w:val="111111"/>
          <w:sz w:val="28"/>
          <w:sz w:val="28"/>
          <w:szCs w:val="28"/>
          <w:rtl w:val="true"/>
          <w:lang w:bidi="ar-SA"/>
        </w:rPr>
        <w:t xml:space="preserve">، فالنزاع صغروي ، وأن يكون في اعتباره أيضا كما لعلّه يومئ إليه محقّق القوانين ، وكيف كان فالنزاع في اعتبار الاستصحاب من حيث الظنّ على أحد الوجوه المحتملة فيه هو الظاهر من السلف ، كما ينبئ عن ذلك عدم احتجاجهم بأخبار النقض إلى أن وصلت النوبة إلى الشيخ الجليل الشيخ حسين العاملي والد شيخنا البهائي ، فإنّه أوّل من فتح باب الاستدلال بها في الاستصحاب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بعض أخبار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راجع إلى أصل بقاء الشيء على ما كان وهو الاستصحاب كما قدّمناه ، ويتفرّع على ذلك كثير من مسائل الفقه ، كمن تيقّن الطهارة وشكّ في عروض الناقص لا يلتفت وبالعكس يجب الطهارة ، ومن تيقّن طهارة بدنه أو ثوبه وشكّ في عروض النجاسة لا يلتفت وبالعكس يجب التطهير ، وهذا وأمثاله ممّا لا خلاف فيه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فيحتمل أن يكون المراد بالتعبّد هو التعبّد الشرعي كما هو الظاهر ممّن </w:t>
      </w:r>
      <w:r>
        <w:rPr>
          <w:rStyle w:val="FootnoteAnchor"/>
          <w:rtl w:val="true"/>
        </w:rPr>
        <w:footnoteReference w:id="310"/>
      </w:r>
      <w:r>
        <w:rPr>
          <w:rFonts w:ascii="Amiri" w:hAnsi="Amiri" w:eastAsia="Amiri" w:cs="Amiri"/>
          <w:color w:val="111111"/>
          <w:sz w:val="28"/>
          <w:sz w:val="28"/>
          <w:szCs w:val="28"/>
          <w:rtl w:val="true"/>
          <w:lang w:bidi="ar-SA"/>
        </w:rPr>
        <w:t xml:space="preserve">جنح إليه محتجّا بأخبار النقض ، بل وهو صريح البعض ، وأن يكون تعبّدا عقلائيا ؛ حيث إنّهم مفطورون على البناء على الحالة السابقة والأخذ بها تصحيحا لأمور معادهم وتسهيلا في أمور معاشهم ، بل وربّما يظهر ذلك من احتجاج المعارج </w:t>
      </w:r>
      <w:r>
        <w:rPr>
          <w:rStyle w:val="FootnoteAnchor"/>
          <w:rtl w:val="true"/>
        </w:rPr>
        <w:footnoteReference w:id="311"/>
      </w:r>
      <w:r>
        <w:rPr>
          <w:rFonts w:ascii="Amiri" w:hAnsi="Amiri" w:eastAsia="Amiri" w:cs="Amiri"/>
          <w:color w:val="111111"/>
          <w:sz w:val="28"/>
          <w:sz w:val="28"/>
          <w:szCs w:val="28"/>
          <w:rtl w:val="true"/>
          <w:lang w:bidi="ar-SA"/>
        </w:rPr>
        <w:t xml:space="preserve">من ثبوت المقتضي وعدم صلوح الرافع للرفع ، ومن احتجاج الشيخ في الزبدة </w:t>
      </w:r>
      <w:r>
        <w:rPr>
          <w:rStyle w:val="FootnoteAnchor"/>
          <w:rtl w:val="true"/>
        </w:rPr>
        <w:footnoteReference w:id="312"/>
      </w:r>
      <w:r>
        <w:rPr>
          <w:rFonts w:ascii="Amiri" w:hAnsi="Amiri" w:eastAsia="Amiri" w:cs="Amiri"/>
          <w:color w:val="111111"/>
          <w:sz w:val="28"/>
          <w:sz w:val="28"/>
          <w:szCs w:val="28"/>
          <w:rtl w:val="true"/>
          <w:lang w:bidi="ar-SA"/>
        </w:rPr>
        <w:t xml:space="preserve">من أنّه لولاه لم يتقرّر </w:t>
      </w:r>
      <w:r>
        <w:rPr>
          <w:rStyle w:val="FootnoteAnchor"/>
          <w:rtl w:val="true"/>
        </w:rPr>
        <w:footnoteReference w:id="313"/>
      </w:r>
      <w:r>
        <w:rPr>
          <w:rFonts w:ascii="Amiri" w:hAnsi="Amiri" w:eastAsia="Amiri" w:cs="Amiri"/>
          <w:color w:val="111111"/>
          <w:sz w:val="28"/>
          <w:sz w:val="28"/>
          <w:szCs w:val="28"/>
          <w:rtl w:val="true"/>
          <w:lang w:bidi="ar-SA"/>
        </w:rPr>
        <w:t xml:space="preserve">المعجزة ، وعلى التقديرين فهل التعبّد مطلق وإن كان الظنّ على الخلاف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مقيّد بما إذا لم يكن الظنّ على الخلاف؟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هو الأخير إلاّ أنّ ذلك مع قطع النظر عن كلماتهم ، وإلاّ فهي مضطربة في الغاية ومختلفة في النهاية ، فقد يظهر منهم الاحتجاج بحجّة </w:t>
      </w:r>
      <w:r>
        <w:rPr>
          <w:rStyle w:val="FootnoteAnchor"/>
          <w:rtl w:val="true"/>
        </w:rPr>
        <w:footnoteReference w:id="314"/>
      </w:r>
      <w:r>
        <w:rPr>
          <w:rFonts w:ascii="Amiri" w:hAnsi="Amiri" w:eastAsia="Amiri" w:cs="Amiri"/>
          <w:color w:val="111111"/>
          <w:sz w:val="28"/>
          <w:sz w:val="28"/>
          <w:szCs w:val="28"/>
          <w:rtl w:val="true"/>
          <w:lang w:bidi="ar-SA"/>
        </w:rPr>
        <w:t xml:space="preserve">ظنّية مع عدم اقتصارهم فيه بالظنّ </w:t>
      </w:r>
      <w:r>
        <w:rPr>
          <w:rStyle w:val="FootnoteAnchor"/>
          <w:rtl w:val="true"/>
        </w:rPr>
        <w:footnoteReference w:id="315"/>
      </w:r>
      <w:r>
        <w:rPr>
          <w:rFonts w:ascii="Amiri" w:hAnsi="Amiri" w:eastAsia="Amiri" w:cs="Amiri"/>
          <w:color w:val="111111"/>
          <w:sz w:val="28"/>
          <w:sz w:val="28"/>
          <w:szCs w:val="28"/>
          <w:rtl w:val="true"/>
          <w:lang w:bidi="ar-SA"/>
        </w:rPr>
        <w:t xml:space="preserve">عند العمل والفتوى ، فإنّ جملة منهم اعتمدوا عليه وإن كان الظنّ على الخلاف ، وينادي بذلك كلماتهم في الفقه ، وأوضح دلالة على ذلك </w:t>
      </w:r>
      <w:r>
        <w:rPr>
          <w:rStyle w:val="FootnoteAnchor"/>
          <w:rtl w:val="true"/>
        </w:rPr>
        <w:footnoteReference w:id="316"/>
      </w:r>
      <w:r>
        <w:rPr>
          <w:rFonts w:ascii="Amiri" w:hAnsi="Amiri" w:eastAsia="Amiri" w:cs="Amiri"/>
          <w:color w:val="111111"/>
          <w:sz w:val="28"/>
          <w:sz w:val="28"/>
          <w:szCs w:val="28"/>
          <w:rtl w:val="true"/>
          <w:lang w:bidi="ar-SA"/>
        </w:rPr>
        <w:t xml:space="preserve">حكمهم بتقديم الأصل على الظاهر ، بل ربّما يظهر من الشهيد </w:t>
      </w:r>
      <w:r>
        <w:rPr>
          <w:rStyle w:val="FootnoteAnchor"/>
          <w:rtl w:val="true"/>
        </w:rPr>
        <w:footnoteReference w:id="317"/>
      </w:r>
      <w:r>
        <w:rPr>
          <w:rFonts w:ascii="Amiri" w:hAnsi="Amiri" w:eastAsia="Amiri" w:cs="Amiri"/>
          <w:color w:val="111111"/>
          <w:sz w:val="28"/>
          <w:sz w:val="28"/>
          <w:szCs w:val="28"/>
          <w:rtl w:val="true"/>
          <w:lang w:bidi="ar-SA"/>
        </w:rPr>
        <w:t>تقدّم الظاهر على الأصل في موارد معدودة ، ونحن نتعرّض للبحث عن اعتباره وذكر الاحتجاجات الواردة فيه بكلا الطريقين تتميما للمبحث وتحقيقا للمذهب كما هو ديدن القوم في تصانيفهم وكتبهم ، وعليه التكلان وهو حسبنا ونعم الوكيل</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284_171041"/>
      <w:bookmarkStart w:id="73" w:name="pg16284_171041"/>
      <w:bookmarkEnd w:id="73"/>
    </w:p>
    <w:p>
      <w:pPr>
        <w:pStyle w:val="Heading3"/>
        <w:numPr>
          <w:ilvl w:val="2"/>
          <w:numId w:val="1"/>
        </w:numPr>
        <w:rPr/>
      </w:pPr>
      <w:bookmarkStart w:id="74" w:name="pg16284_171041"/>
      <w:bookmarkStart w:id="75" w:name="__RefHeading___Toc5012072_1280447820"/>
      <w:bookmarkStart w:id="76" w:name="_Toc25"/>
      <w:bookmarkEnd w:id="74"/>
      <w:bookmarkEnd w:id="75"/>
      <w:r>
        <w:rPr>
          <w:rtl w:val="true"/>
        </w:rPr>
        <w:t xml:space="preserve">هداية </w:t>
      </w:r>
      <w:r>
        <w:rPr>
          <w:rtl w:val="true"/>
        </w:rPr>
        <w:t xml:space="preserve">[ </w:t>
      </w:r>
      <w:r>
        <w:rPr>
          <w:rtl w:val="true"/>
        </w:rPr>
        <w:t xml:space="preserve">في ذكر الأقوال في اعتبار الاستصحاب </w:t>
      </w:r>
      <w:r>
        <w:rPr>
          <w:rtl w:val="true"/>
        </w:rPr>
        <w:t>]</w:t>
      </w:r>
      <w:bookmarkEnd w:id="76"/>
    </w:p>
    <w:p>
      <w:pPr>
        <w:pStyle w:val="BookText"/>
        <w:rPr/>
      </w:pPr>
      <w:r>
        <w:rPr>
          <w:rFonts w:ascii="Amiri" w:hAnsi="Amiri" w:eastAsia="Amiri" w:cs="Amiri"/>
          <w:color w:val="111111"/>
          <w:sz w:val="28"/>
          <w:sz w:val="28"/>
          <w:szCs w:val="28"/>
          <w:rtl w:val="true"/>
          <w:lang w:bidi="ar-SA"/>
        </w:rPr>
        <w:t xml:space="preserve">اختلف الآراء في اعتبار الاستصحاب فيما عرفت من موارد النزاع وعدمه على أقوال كثيرة ، بل عدّها بعضهم </w:t>
      </w:r>
      <w:r>
        <w:rPr>
          <w:rStyle w:val="FootnoteAnchor"/>
          <w:rtl w:val="true"/>
        </w:rPr>
        <w:footnoteReference w:id="318"/>
      </w:r>
      <w:r>
        <w:rPr>
          <w:rFonts w:ascii="Amiri" w:hAnsi="Amiri" w:eastAsia="Amiri" w:cs="Amiri"/>
          <w:color w:val="111111"/>
          <w:sz w:val="28"/>
          <w:sz w:val="28"/>
          <w:szCs w:val="28"/>
          <w:rtl w:val="true"/>
          <w:lang w:bidi="ar-SA"/>
        </w:rPr>
        <w:t xml:space="preserve">إلى نيّف </w:t>
      </w:r>
      <w:r>
        <w:rPr>
          <w:rStyle w:val="FootnoteAnchor"/>
          <w:rtl w:val="true"/>
        </w:rPr>
        <w:footnoteReference w:id="319"/>
      </w:r>
      <w:r>
        <w:rPr>
          <w:rFonts w:ascii="Amiri" w:hAnsi="Amiri" w:eastAsia="Amiri" w:cs="Amiri"/>
          <w:color w:val="111111"/>
          <w:sz w:val="28"/>
          <w:sz w:val="28"/>
          <w:szCs w:val="28"/>
          <w:rtl w:val="true"/>
          <w:lang w:bidi="ar-SA"/>
        </w:rPr>
        <w:t>وخمسين وإن كان بعيدا عن التحقيق ، فإنّه يرى من لا يحكم باعتبار الاستصحاب الساري مفصّلا في المسألة مثلا وفساده ممّا 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شطرا منها ممّا له وجه معروف ، لعدم الجدوى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من الأقوال أربعة عشر قولا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من باب الوصف مطلقا ، عزاه في الوافية </w:t>
      </w:r>
      <w:r>
        <w:rPr>
          <w:rStyle w:val="FootnoteAnchor"/>
          <w:rtl w:val="true"/>
        </w:rPr>
        <w:footnoteReference w:id="320"/>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كذلك ، عزاه في المنتهى إلى الأكثر ، ولعلّه ليس في محلّه ؛ إذ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يشاهد من أكثر موارد كلماتهم ومطاوي إفاداتهم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الحجّية ولو في الجملة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بعض المتأخرين في حكاية بعض الأجلّة </w:t>
      </w:r>
      <w:r>
        <w:rPr>
          <w:rStyle w:val="FootnoteAnchor"/>
          <w:rtl w:val="true"/>
        </w:rPr>
        <w:footnoteReference w:id="321"/>
      </w:r>
      <w:r>
        <w:rPr>
          <w:rFonts w:ascii="Amiri" w:hAnsi="Amiri" w:eastAsia="Amiri" w:cs="Amiri"/>
          <w:color w:val="111111"/>
          <w:sz w:val="28"/>
          <w:sz w:val="28"/>
          <w:szCs w:val="28"/>
          <w:rtl w:val="true"/>
          <w:lang w:bidi="ar-SA"/>
        </w:rPr>
        <w:t xml:space="preserve">من التفصيل بين الشكّ في عروض القادح فيعتبر ، وبين </w:t>
      </w:r>
      <w:r>
        <w:rPr>
          <w:rStyle w:val="FootnoteAnchor"/>
          <w:rtl w:val="true"/>
        </w:rPr>
        <w:footnoteReference w:id="322"/>
      </w:r>
      <w:r>
        <w:rPr>
          <w:rFonts w:ascii="Amiri" w:hAnsi="Amiri" w:eastAsia="Amiri" w:cs="Amiri"/>
          <w:color w:val="111111"/>
          <w:sz w:val="28"/>
          <w:sz w:val="28"/>
          <w:szCs w:val="28"/>
          <w:rtl w:val="true"/>
          <w:lang w:bidi="ar-SA"/>
        </w:rPr>
        <w:t>الشكّ في قدح العارض فلا يعتبر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شكّ في عروض ما علم مانعيته للحكم الشرعي الذي ثبت استمراره إليه مع عدم العلم بطروّ ما يحتمل كونه ذلك الرافع فيعتبر ، وبين غيره فلا يعتبر ، ذهب إليه المحقّق السبزواري </w:t>
      </w:r>
      <w:r>
        <w:rPr>
          <w:rStyle w:val="FootnoteAnchor"/>
          <w:rtl w:val="true"/>
        </w:rPr>
        <w:footnoteReference w:id="323"/>
      </w:r>
      <w:r>
        <w:rPr>
          <w:rFonts w:ascii="Amiri" w:hAnsi="Amiri" w:eastAsia="Amiri" w:cs="Amiri"/>
          <w:color w:val="111111"/>
          <w:sz w:val="28"/>
          <w:sz w:val="28"/>
          <w:szCs w:val="28"/>
          <w:rtl w:val="true"/>
          <w:lang w:bidi="ar-SA"/>
        </w:rPr>
        <w:t>في بيان حكم الكرّ المسلوب إطلاقه بممازجة المضاف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ثبت استمراره إلى غاية معيّنة عند الشكّ في حصوله أو في صدقها على أمر حاصل مع العلم بصدقها على </w:t>
      </w:r>
      <w:r>
        <w:rPr>
          <w:rStyle w:val="FootnoteAnchor"/>
          <w:rtl w:val="true"/>
        </w:rPr>
        <w:footnoteReference w:id="324"/>
      </w:r>
      <w:r>
        <w:rPr>
          <w:rFonts w:ascii="Amiri" w:hAnsi="Amiri" w:eastAsia="Amiri" w:cs="Amiri"/>
          <w:color w:val="111111"/>
          <w:sz w:val="28"/>
          <w:sz w:val="28"/>
          <w:szCs w:val="28"/>
          <w:rtl w:val="true"/>
          <w:lang w:bidi="ar-SA"/>
        </w:rPr>
        <w:t xml:space="preserve">غيرها فيكون معتبرا ، وبين غيره فلا يكون معتبرا </w:t>
      </w:r>
      <w:r>
        <w:rPr>
          <w:rStyle w:val="FootnoteAnchor"/>
          <w:rtl w:val="true"/>
        </w:rPr>
        <w:footnoteReference w:id="325"/>
      </w:r>
      <w:r>
        <w:rPr>
          <w:rFonts w:ascii="Amiri" w:hAnsi="Amiri" w:eastAsia="Amiri" w:cs="Amiri"/>
          <w:color w:val="111111"/>
          <w:sz w:val="28"/>
          <w:sz w:val="28"/>
          <w:szCs w:val="28"/>
          <w:rtl w:val="true"/>
          <w:lang w:bidi="ar-SA"/>
        </w:rPr>
        <w:t xml:space="preserve">، وهو المنسوب إلى أستاد الكلّ المحقّق الخوانساري في شرح الدروس </w:t>
      </w:r>
      <w:r>
        <w:rPr>
          <w:rStyle w:val="FootnoteAnchor"/>
          <w:rtl w:val="true"/>
        </w:rPr>
        <w:footnoteReference w:id="326"/>
      </w:r>
      <w:r>
        <w:rPr>
          <w:rFonts w:ascii="Amiri" w:hAnsi="Amiri" w:eastAsia="Amiri" w:cs="Amiri"/>
          <w:color w:val="111111"/>
          <w:sz w:val="28"/>
          <w:sz w:val="28"/>
          <w:szCs w:val="28"/>
          <w:rtl w:val="true"/>
          <w:lang w:bidi="ar-SA"/>
        </w:rPr>
        <w:t xml:space="preserve">عند 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ذو الجهات الثلاث في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النفي والإثبات ، فأثبتوه في النفي ونفوه في الإثبات ، حكاه العضدي عن أكثر الحنفية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وقال الشارح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وأكثر الحنفية على بطلانه ، فلا يثبت به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الكلباسي في اشارات الأصول ، قسم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والتفتازاني نسب في شرح شرحه إلى الحنفية عدم الحجّية في إثبات الحكم الشرعي دون النفي الأصلي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الأحكام الطلبية فلا يجري فيه ، وبين غيره من الأحكام الوضعية فيجري فيه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السابع بانضمام الإباحة إلى الوضعيات في الجريان ، وقال بعض الأجلّة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ولعلّهما متّحدان ، والمسامحة من الناقل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 ولم يعلم قائله على ما قيل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الحكم الشرعي فيعتبر ، وبين الأمور الخارجية فلا يعتبر ، يظهر من المحقّق الخوانساري في الحاشية </w:t>
      </w:r>
      <w:r>
        <w:rPr>
          <w:rStyle w:val="FootnoteAnchor"/>
          <w:rtl w:val="true"/>
        </w:rPr>
        <w:footnoteReference w:id="331"/>
      </w:r>
      <w:r>
        <w:rPr>
          <w:rFonts w:ascii="Amiri" w:hAnsi="Amiri" w:eastAsia="Amiri" w:cs="Amiri"/>
          <w:color w:val="111111"/>
          <w:sz w:val="28"/>
          <w:sz w:val="28"/>
          <w:szCs w:val="28"/>
          <w:rtl w:val="true"/>
          <w:lang w:bidi="ar-SA"/>
        </w:rPr>
        <w:t xml:space="preserve">على ما ستعرف الكلام فيها ، ونسب إلى السبزواري أيضا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ثبت الحكم فيه </w:t>
      </w:r>
      <w:r>
        <w:rPr>
          <w:rStyle w:val="FootnoteAnchor"/>
          <w:rtl w:val="true"/>
        </w:rPr>
        <w:footnoteReference w:id="333"/>
      </w:r>
      <w:r>
        <w:rPr>
          <w:rFonts w:ascii="Amiri" w:hAnsi="Amiri" w:eastAsia="Amiri" w:cs="Amiri"/>
          <w:color w:val="111111"/>
          <w:sz w:val="28"/>
          <w:sz w:val="28"/>
          <w:szCs w:val="28"/>
          <w:rtl w:val="true"/>
          <w:lang w:bidi="ar-SA"/>
        </w:rPr>
        <w:t xml:space="preserve">بالإجماع فلا يعتبر ، وبين غيره فيعتبر ، نسب إلى الغزالي </w:t>
      </w:r>
      <w:r>
        <w:rPr>
          <w:rStyle w:val="FootnoteAnchor"/>
          <w:rtl w:val="true"/>
        </w:rPr>
        <w:footnoteReference w:id="334"/>
      </w:r>
      <w:r>
        <w:rPr>
          <w:rFonts w:ascii="Amiri" w:hAnsi="Amiri" w:eastAsia="Amiri" w:cs="Amiri"/>
          <w:color w:val="111111"/>
          <w:sz w:val="28"/>
          <w:sz w:val="28"/>
          <w:szCs w:val="28"/>
          <w:rtl w:val="true"/>
          <w:lang w:bidi="ar-SA"/>
        </w:rPr>
        <w:t xml:space="preserve">وكتابه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عين فيه منه </w:t>
      </w:r>
      <w:r>
        <w:rPr>
          <w:rStyle w:val="FootnoteAnchor"/>
          <w:rtl w:val="true"/>
        </w:rPr>
        <w:footnoteReference w:id="335"/>
      </w:r>
      <w:r>
        <w:rPr>
          <w:rFonts w:ascii="Amiri" w:hAnsi="Amiri" w:eastAsia="Amiri" w:cs="Amiri"/>
          <w:color w:val="111111"/>
          <w:sz w:val="28"/>
          <w:sz w:val="28"/>
          <w:szCs w:val="28"/>
          <w:rtl w:val="true"/>
          <w:lang w:bidi="ar-SA"/>
        </w:rPr>
        <w:t>ولا أثر ، ولعلّه إنّما أخذوه من كتابه في الفقه ، وستعرف أنّ المنقول منه ممّا لا يدلّ على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بعض الأجلّة </w:t>
      </w:r>
      <w:r>
        <w:rPr>
          <w:rStyle w:val="FootnoteAnchor"/>
          <w:rtl w:val="true"/>
        </w:rPr>
        <w:footnoteReference w:id="336"/>
      </w:r>
      <w:r>
        <w:rPr>
          <w:rFonts w:ascii="Amiri" w:hAnsi="Amiri" w:eastAsia="Amiri" w:cs="Amiri"/>
          <w:color w:val="111111"/>
          <w:sz w:val="28"/>
          <w:sz w:val="28"/>
          <w:szCs w:val="28"/>
          <w:rtl w:val="true"/>
          <w:lang w:bidi="ar-SA"/>
        </w:rPr>
        <w:t>وهو التفصيل بين ما إذا كان قضيّة الشيء المعلوم ثبوته بقاءه في الوقت المشكوك بقاؤه فيه لو لا عروض المانع أو منع العارض فيعتبر ، وبين غيره فلا يعتبر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جنح </w:t>
      </w:r>
      <w:r>
        <w:rPr>
          <w:rStyle w:val="FootnoteAnchor"/>
          <w:rtl w:val="true"/>
        </w:rPr>
        <w:footnoteReference w:id="337"/>
      </w:r>
      <w:r>
        <w:rPr>
          <w:rFonts w:ascii="Amiri" w:hAnsi="Amiri" w:eastAsia="Amiri" w:cs="Amiri"/>
          <w:color w:val="111111"/>
          <w:sz w:val="28"/>
          <w:sz w:val="28"/>
          <w:szCs w:val="28"/>
          <w:rtl w:val="true"/>
          <w:lang w:bidi="ar-SA"/>
        </w:rPr>
        <w:t xml:space="preserve">إليه جملة من متأخّري المتأخّرين وهو اعتباره مطلقا من </w:t>
      </w:r>
    </w:p>
    <w:p>
      <w:pPr>
        <w:pStyle w:val="BookText"/>
        <w:rPr/>
      </w:pPr>
      <w:r>
        <w:rPr>
          <w:rFonts w:ascii="IRNazanin" w:hAnsi="IRNazanin" w:eastAsia="IRNazanin"/>
          <w:color w:val="111111"/>
          <w:sz w:val="28"/>
          <w:sz w:val="28"/>
          <w:szCs w:val="28"/>
          <w:rtl w:val="true"/>
          <w:lang w:bidi="fa-IR"/>
        </w:rPr>
        <w:t>باب الأخبار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التفصيل الحادي عشر قد نسبه </w:t>
      </w:r>
      <w:r>
        <w:rPr>
          <w:rStyle w:val="FootnoteAnchor"/>
          <w:rtl w:val="true"/>
        </w:rPr>
        <w:footnoteReference w:id="338"/>
      </w:r>
      <w:r>
        <w:rPr>
          <w:rFonts w:ascii="Amiri" w:hAnsi="Amiri" w:eastAsia="Amiri" w:cs="Amiri"/>
          <w:color w:val="111111"/>
          <w:sz w:val="28"/>
          <w:sz w:val="28"/>
          <w:szCs w:val="28"/>
          <w:rtl w:val="true"/>
          <w:lang w:bidi="ar-SA"/>
        </w:rPr>
        <w:t xml:space="preserve">المحقّق </w:t>
      </w:r>
      <w:r>
        <w:rPr>
          <w:rStyle w:val="FootnoteAnchor"/>
          <w:rtl w:val="true"/>
        </w:rPr>
        <w:footnoteReference w:id="339"/>
      </w:r>
      <w:r>
        <w:rPr>
          <w:rFonts w:ascii="IRNazanin" w:hAnsi="IRNazanin" w:eastAsia="IRNazanin"/>
          <w:color w:val="111111"/>
          <w:sz w:val="28"/>
          <w:sz w:val="28"/>
          <w:szCs w:val="28"/>
          <w:rtl w:val="true"/>
          <w:lang w:bidi="fa-IR"/>
        </w:rPr>
        <w:t xml:space="preserve">صاحب </w:t>
      </w:r>
      <w:r>
        <w:rPr>
          <w:rStyle w:val="FootnoteAnchor"/>
          <w:rtl w:val="true"/>
        </w:rPr>
        <w:footnoteReference w:id="340"/>
      </w:r>
      <w:r>
        <w:rPr>
          <w:rFonts w:ascii="Amiri" w:hAnsi="Amiri" w:eastAsia="Amiri" w:cs="Amiri"/>
          <w:color w:val="111111"/>
          <w:sz w:val="28"/>
          <w:sz w:val="28"/>
          <w:szCs w:val="28"/>
          <w:rtl w:val="true"/>
          <w:lang w:bidi="ar-SA"/>
        </w:rPr>
        <w:t xml:space="preserve">القوانين </w:t>
      </w:r>
      <w:r>
        <w:rPr>
          <w:rStyle w:val="FootnoteAnchor"/>
          <w:rtl w:val="true"/>
        </w:rPr>
        <w:footnoteReference w:id="341"/>
      </w:r>
      <w:r>
        <w:rPr>
          <w:rFonts w:ascii="Amiri" w:hAnsi="Amiri" w:eastAsia="Amiri" w:cs="Amiri"/>
          <w:color w:val="111111"/>
          <w:sz w:val="28"/>
          <w:sz w:val="28"/>
          <w:szCs w:val="28"/>
          <w:rtl w:val="true"/>
          <w:lang w:bidi="ar-SA"/>
        </w:rPr>
        <w:t xml:space="preserve">إلى الأخباريين </w:t>
      </w:r>
      <w:r>
        <w:rPr>
          <w:rStyle w:val="FootnoteAnchor"/>
          <w:rtl w:val="true"/>
        </w:rPr>
        <w:footnoteReference w:id="342"/>
      </w:r>
      <w:r>
        <w:rPr>
          <w:rFonts w:ascii="Amiri" w:hAnsi="Amiri" w:eastAsia="Amiri" w:cs="Amiri"/>
          <w:color w:val="111111"/>
          <w:sz w:val="28"/>
          <w:sz w:val="28"/>
          <w:szCs w:val="28"/>
          <w:rtl w:val="true"/>
          <w:lang w:bidi="ar-SA"/>
        </w:rPr>
        <w:t xml:space="preserve">وجعله عكسا لما صار إليه السبزواري ، ولعلّه ليس على ما ينبغي ؛ حيث إنّ الأحكام تارة يطلق ويراد بها نفس الأحكام الكلّية الإلهية ، وتقابلها </w:t>
      </w:r>
      <w:r>
        <w:rPr>
          <w:rStyle w:val="FootnoteAnchor"/>
          <w:rtl w:val="true"/>
        </w:rPr>
        <w:footnoteReference w:id="343"/>
      </w:r>
      <w:r>
        <w:rPr>
          <w:rFonts w:ascii="Amiri" w:hAnsi="Amiri" w:eastAsia="Amiri" w:cs="Amiri"/>
          <w:color w:val="111111"/>
          <w:sz w:val="28"/>
          <w:sz w:val="28"/>
          <w:szCs w:val="28"/>
          <w:rtl w:val="true"/>
          <w:lang w:bidi="ar-SA"/>
        </w:rPr>
        <w:t xml:space="preserve">الموضوعات بإطلاقاتها من الأحكام الجزئية ، والموضوعات المستنبطة ، والأمور الخارجية من حياة زيد ورطوبة لباسه ويبوسة </w:t>
      </w:r>
      <w:r>
        <w:rPr>
          <w:rStyle w:val="FootnoteAnchor"/>
          <w:rtl w:val="true"/>
        </w:rPr>
        <w:footnoteReference w:id="344"/>
      </w:r>
      <w:r>
        <w:rPr>
          <w:rFonts w:ascii="Amiri" w:hAnsi="Amiri" w:eastAsia="Amiri" w:cs="Amiri"/>
          <w:color w:val="111111"/>
          <w:sz w:val="28"/>
          <w:sz w:val="28"/>
          <w:szCs w:val="28"/>
          <w:rtl w:val="true"/>
          <w:lang w:bidi="ar-SA"/>
        </w:rPr>
        <w:t xml:space="preserve">يده ونحوها </w:t>
      </w:r>
      <w:r>
        <w:rPr>
          <w:rStyle w:val="FootnoteAnchor"/>
          <w:rtl w:val="true"/>
        </w:rPr>
        <w:footnoteReference w:id="345"/>
      </w:r>
      <w:r>
        <w:rPr>
          <w:rFonts w:ascii="Amiri" w:hAnsi="Amiri" w:eastAsia="Amiri" w:cs="Amiri"/>
          <w:color w:val="111111"/>
          <w:sz w:val="28"/>
          <w:sz w:val="28"/>
          <w:szCs w:val="28"/>
          <w:rtl w:val="true"/>
          <w:lang w:bidi="ar-SA"/>
        </w:rPr>
        <w:t xml:space="preserve">، والأخباري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صريح صرّهم وأمينهم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 على الاستصحاب فيما عدا الأحكام الكلّية الإلهية من الأمور الخارجية كالليل والنهار والنجاسة والطهارة والملكية والزوجية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ويراد بها ما يعمّ الأحكام الجزئية ، والمعهود من مذهب السبزواري </w:t>
      </w:r>
      <w:r>
        <w:rPr>
          <w:rStyle w:val="FootnoteAnchor"/>
          <w:rtl w:val="true"/>
        </w:rPr>
        <w:footnoteReference w:id="347"/>
      </w:r>
      <w:r>
        <w:rPr>
          <w:rFonts w:ascii="Amiri" w:hAnsi="Amiri" w:eastAsia="Amiri" w:cs="Amiri"/>
          <w:color w:val="111111"/>
          <w:sz w:val="28"/>
          <w:sz w:val="28"/>
          <w:szCs w:val="28"/>
          <w:rtl w:val="true"/>
          <w:lang w:bidi="ar-SA"/>
        </w:rPr>
        <w:t xml:space="preserve">وطريقه </w:t>
      </w:r>
      <w:r>
        <w:rPr>
          <w:rStyle w:val="FootnoteAnchor"/>
          <w:rtl w:val="true"/>
        </w:rPr>
        <w:footnoteReference w:id="348"/>
      </w:r>
      <w:r>
        <w:rPr>
          <w:rFonts w:ascii="Amiri" w:hAnsi="Amiri" w:eastAsia="Amiri" w:cs="Amiri"/>
          <w:color w:val="111111"/>
          <w:sz w:val="28"/>
          <w:sz w:val="28"/>
          <w:szCs w:val="28"/>
          <w:rtl w:val="true"/>
          <w:lang w:bidi="ar-SA"/>
        </w:rPr>
        <w:t>تعويله على الاستصحاب في الأحكام الجزئية أيضا كما في الموضوعات المستنبطة أيضا كذلك ، وإنّما يظهر منه فيما نسب إليه عدم اعتداده بالاستصحاب في الأمور الخارجية الصرفة التي لا يكاد يمازجها شوب الحكمية كحياة زيد ورطوبة لباسه ونحوهما ، فيشتركان في اعتبار الاستصحاب في بعض أقسام الموضوعات ، وإنّما افترقا في اعتباره في الأحكام الشرعية لدى السبزواري دون الأخباري ، واعتباره في الموضوعات الصرفة لدى الأخباري دون السبزواري ، فالقولان ليسا بمتعاكسين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في التفصيلين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الأخباري يفصّل بين الأحكام الكلّية الشرعية فلا يعتبر فيها الاستصحاب ، وبين غيرها فيعتبر ، والسبزواري يفصّل بين الموضوعات الصرفة فلا يعتبر ، وبين غيرها فيعتبر ، ولعلّ الذي أوقعه في توهّم التعاكس بين القولين هو ما نقله عن المحقّق الخوانساري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ينقسم إلى قسمين باعتبار انقسام الحكم المأخوذ فيه إلى الشرعي وغيره ، ومثّل للأوّل بنجاسة الثوب وللثاني برطوبته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حجّيته بقسميه ، وبعضهم إلى حجّية القسم الأوّل فقط </w:t>
      </w:r>
      <w:r>
        <w:rPr>
          <w:rStyle w:val="FootnoteAnchor"/>
          <w:rtl w:val="true"/>
        </w:rPr>
        <w:footnoteReference w:id="3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فحسب أنّ التفصيل المذكور في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اعتباره في الأحكام دون الموضوعات كما يظهر من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للأخباري </w:t>
      </w:r>
      <w:r>
        <w:rPr>
          <w:rStyle w:val="FootnoteAnchor"/>
          <w:rtl w:val="true"/>
        </w:rPr>
        <w:footnoteReference w:id="350"/>
      </w:r>
      <w:r>
        <w:rPr>
          <w:rFonts w:ascii="Amiri" w:hAnsi="Amiri" w:eastAsia="Amiri" w:cs="Amiri"/>
          <w:color w:val="111111"/>
          <w:sz w:val="28"/>
          <w:sz w:val="28"/>
          <w:szCs w:val="28"/>
          <w:rtl w:val="true"/>
          <w:lang w:bidi="ar-SA"/>
        </w:rPr>
        <w:t xml:space="preserve">، فجعله عكسا لقولهم ، وكيف كان فالفرق بين هذه الأقوال ممّا لا يكاد يخفى ، وستعرف وجوه الفرق في بعض ما لعلّه يحتاج إلى البيان في الهدايات الآتية فانتظرها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6284_171047"/>
      <w:bookmarkStart w:id="78" w:name="pg16284_171047"/>
      <w:bookmarkEnd w:id="78"/>
    </w:p>
    <w:p>
      <w:pPr>
        <w:pStyle w:val="Heading3"/>
        <w:numPr>
          <w:ilvl w:val="2"/>
          <w:numId w:val="1"/>
        </w:numPr>
        <w:rPr/>
      </w:pPr>
      <w:bookmarkStart w:id="79" w:name="pg16284_171047"/>
      <w:bookmarkStart w:id="80" w:name="__RefHeading___Toc5012074_1280447820"/>
      <w:bookmarkStart w:id="81" w:name="_Toc26"/>
      <w:bookmarkEnd w:id="79"/>
      <w:bookmarkEnd w:id="80"/>
      <w:r>
        <w:rPr>
          <w:rtl w:val="true"/>
        </w:rPr>
        <w:t>هداية في ذكر حجج المطلقين في الحجّية من حيث الظنّ</w:t>
      </w:r>
      <w:bookmarkEnd w:id="81"/>
    </w:p>
    <w:p>
      <w:pPr>
        <w:pStyle w:val="BookText"/>
        <w:rPr/>
      </w:pP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في المعارج من أنّ المقتضي للحكم الأوّل ثابت ؛ إذ الكلام على تقدير ثبوته ، والعارض لا يصلح رافعا ، لأنّ مرجعه إلى احتمال تجدّد ما يوجب زوال الحكم وهو معارض باحتمال عدمه ، فيتدافعان ويبقى الحكم سليما عن المعارض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بعض الأجلّة بأنّه إن أريد بثبوت المقتضي مع احتمال تجدّد ما يوجب زوال الحكم تحقّقه </w:t>
      </w:r>
      <w:r>
        <w:rPr>
          <w:rStyle w:val="FootnoteAnchor"/>
          <w:rtl w:val="true"/>
        </w:rPr>
        <w:footnoteReference w:id="353"/>
      </w:r>
      <w:r>
        <w:rPr>
          <w:rFonts w:ascii="Amiri" w:hAnsi="Amiri" w:eastAsia="Amiri" w:cs="Amiri"/>
          <w:color w:val="111111"/>
          <w:sz w:val="28"/>
          <w:sz w:val="28"/>
          <w:szCs w:val="28"/>
          <w:rtl w:val="true"/>
          <w:lang w:bidi="ar-SA"/>
        </w:rPr>
        <w:t xml:space="preserve">بصفة الاقتضاء </w:t>
      </w:r>
      <w:r>
        <w:rPr>
          <w:rStyle w:val="FootnoteAnchor"/>
          <w:rtl w:val="true"/>
        </w:rPr>
        <w:footnoteReference w:id="354"/>
      </w:r>
      <w:r>
        <w:rPr>
          <w:rFonts w:ascii="Amiri" w:hAnsi="Amiri" w:eastAsia="Amiri" w:cs="Amiri"/>
          <w:color w:val="111111"/>
          <w:sz w:val="28"/>
          <w:sz w:val="28"/>
          <w:szCs w:val="28"/>
          <w:rtl w:val="true"/>
          <w:lang w:bidi="ar-SA"/>
        </w:rPr>
        <w:t xml:space="preserve">، فغير سديد ؛ لأنّ زوال الحكم يستلزم زوال الاقتضاء ، فلا يجامع احتمال زوال الحكم تحقّق </w:t>
      </w:r>
      <w:r>
        <w:rPr>
          <w:rStyle w:val="FootnoteAnchor"/>
          <w:rtl w:val="true"/>
        </w:rPr>
        <w:footnoteReference w:id="355"/>
      </w:r>
      <w:r>
        <w:rPr>
          <w:rFonts w:ascii="Amiri" w:hAnsi="Amiri" w:eastAsia="Amiri" w:cs="Amiri"/>
          <w:color w:val="111111"/>
          <w:sz w:val="28"/>
          <w:sz w:val="28"/>
          <w:szCs w:val="28"/>
          <w:rtl w:val="true"/>
          <w:lang w:bidi="ar-SA"/>
        </w:rPr>
        <w:t>الاقتضاء ، ضرورة أنّ الأمر النسبي لا يتمّ بدون المنتسبين ، فلا يمكن العلم بثبوته مع عدم العلم بثبوتهما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تحقّقه بذاته فغير مفيد ؛ لأنّ ذات المقتضي لا يستلزم ثبوت الحكم ما لم يثبت عدم المانع والتقدير كونه احتماليا ، مع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معارض باحتمال عدمه ، غير مستقيم ؛ لأنّه إن اعتبر التعارض بين الاحتمالين من حيث الوجود ، فلا منافاة بينهما بهذا الاعتبار أصلا ، ضرورة </w:t>
      </w:r>
      <w:r>
        <w:rPr>
          <w:rStyle w:val="FootnoteAnchor"/>
          <w:rtl w:val="true"/>
        </w:rPr>
        <w:footnoteReference w:id="356"/>
      </w:r>
      <w:r>
        <w:rPr>
          <w:rFonts w:ascii="IRNazanin" w:hAnsi="IRNazanin" w:eastAsia="IRNazanin"/>
          <w:color w:val="111111"/>
          <w:sz w:val="28"/>
          <w:sz w:val="28"/>
          <w:szCs w:val="28"/>
          <w:rtl w:val="true"/>
          <w:lang w:bidi="fa-IR"/>
        </w:rPr>
        <w:t xml:space="preserve">اجتماعها </w:t>
      </w:r>
      <w:r>
        <w:rPr>
          <w:rStyle w:val="FootnoteAnchor"/>
          <w:rtl w:val="true"/>
        </w:rPr>
        <w:footnoteReference w:id="357"/>
      </w:r>
      <w:r>
        <w:rPr>
          <w:rFonts w:ascii="Amiri" w:hAnsi="Amiri" w:eastAsia="Amiri" w:cs="Amiri"/>
          <w:color w:val="111111"/>
          <w:sz w:val="28"/>
          <w:sz w:val="28"/>
          <w:szCs w:val="28"/>
          <w:rtl w:val="true"/>
          <w:lang w:bidi="ar-SA"/>
        </w:rPr>
        <w:t xml:space="preserve">فيه ، والتعارض فرع التنافي ، وكذا إن اعتبر </w:t>
      </w:r>
    </w:p>
    <w:p>
      <w:pPr>
        <w:pStyle w:val="BookText"/>
        <w:rPr/>
      </w:pPr>
      <w:r>
        <w:rPr>
          <w:rFonts w:ascii="Amiri" w:hAnsi="Amiri" w:eastAsia="Amiri" w:cs="Amiri"/>
          <w:color w:val="111111"/>
          <w:sz w:val="28"/>
          <w:sz w:val="28"/>
          <w:szCs w:val="28"/>
          <w:rtl w:val="true"/>
          <w:lang w:bidi="ar-SA"/>
        </w:rPr>
        <w:t xml:space="preserve">بينهما من حيث الاقتضاء الثابت لكلّ منهما مع قطع النظر عن الآخر كما هو المتداول في موارد إطلاقه ؛ إذ لا نسلّم أنّ مقتضى أحد الاحتمالين يغاير مقتضى الآخر فضلا عن أن ينافيه ، بل يشتركان في اقتضاء عدم ثبوت الحكم معهما ، وإن اعتبر بين متعلّقيهما فلا ريب في أنّهما لا يتحقّقان فكيف يتصوّر بينهما التعارض الذي هو مشروط بتحقّق المتعارضين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من اشتباه المقتضي بالعلّة التامّة والخلط بينهما ، فإنّ زوال الحكم يستلزم زوال العلّة التامّة للحكم ، ولا يستلزم زوال المقتضي بصفة الاقتضاء ، فإنّ التحقيق أنّ المانع إنّما هو علّة تامّة لعدم المعلول ونقيضه ، وليس له مدخل في الوجود إلاّ من حيث ارتفاع علّة النقيض ، فالمؤثّر في الوجود هو المقتضي وهو باق بصفة الاقتضاء حال العلم بتحقّق المانع فكيف باحتماله ، ولهذا نرى أنّ فقدان المانع لا يصير </w:t>
      </w:r>
      <w:r>
        <w:rPr>
          <w:rStyle w:val="FootnoteAnchor"/>
          <w:rtl w:val="true"/>
        </w:rPr>
        <w:footnoteReference w:id="359"/>
      </w:r>
      <w:r>
        <w:rPr>
          <w:rFonts w:ascii="Amiri" w:hAnsi="Amiri" w:eastAsia="Amiri" w:cs="Amiri"/>
          <w:color w:val="111111"/>
          <w:sz w:val="28"/>
          <w:sz w:val="28"/>
          <w:szCs w:val="28"/>
          <w:rtl w:val="true"/>
          <w:lang w:bidi="ar-SA"/>
        </w:rPr>
        <w:t>سببا لإيجاد شيء في المقتضي لم يكن قبل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النسبة فواه جدا ؛ إذ لا نعني بصفة الاقتضاء وثبوتها فعلا إلاّ مجرّد قضيّة تعليقية فعلية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أخيرا من الترديدات فنختار الأوسط منها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w:t>
      </w:r>
      <w:r>
        <w:rPr>
          <w:rStyle w:val="FootnoteAnchor"/>
          <w:rtl w:val="true"/>
        </w:rPr>
        <w:footnoteReference w:id="360"/>
      </w:r>
      <w:r>
        <w:rPr>
          <w:rFonts w:ascii="Amiri" w:hAnsi="Amiri" w:eastAsia="Amiri" w:cs="Amiri"/>
          <w:color w:val="111111"/>
          <w:sz w:val="28"/>
          <w:sz w:val="28"/>
          <w:szCs w:val="28"/>
          <w:rtl w:val="true"/>
          <w:lang w:bidi="ar-SA"/>
        </w:rPr>
        <w:t>مقتضى أحد الاحتمالين يغاير مقتضى الآخر ، منع فاسد ؛ لظهور أنّ المتداول في موارد إطلاقه إنّما هو الأخذ بمقتضاه باعتبار ما أضيف إليه لفظ الاحتمال لا نفسه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أورده </w:t>
      </w:r>
      <w:r>
        <w:rPr>
          <w:rStyle w:val="FootnoteAnchor"/>
          <w:rtl w:val="true"/>
        </w:rPr>
        <w:footnoteReference w:id="361"/>
      </w:r>
      <w:r>
        <w:rPr>
          <w:rFonts w:ascii="Amiri" w:hAnsi="Amiri" w:eastAsia="Amiri" w:cs="Amiri"/>
          <w:color w:val="111111"/>
          <w:sz w:val="28"/>
          <w:sz w:val="28"/>
          <w:szCs w:val="28"/>
          <w:rtl w:val="true"/>
          <w:lang w:bidi="ar-SA"/>
        </w:rPr>
        <w:t xml:space="preserve">من اشتراكهما في اقتضاء عدم ثبوت الحكم معهما ، ففساده ممّا لا يدانيه ريب ؛ إذ غاية ما في الباب أنّ </w:t>
      </w:r>
      <w:r>
        <w:rPr>
          <w:rStyle w:val="FootnoteAnchor"/>
          <w:rtl w:val="true"/>
        </w:rPr>
        <w:footnoteReference w:id="362"/>
      </w:r>
      <w:r>
        <w:rPr>
          <w:rFonts w:ascii="Amiri" w:hAnsi="Amiri" w:eastAsia="Amiri" w:cs="Amiri"/>
          <w:color w:val="111111"/>
          <w:sz w:val="28"/>
          <w:sz w:val="28"/>
          <w:szCs w:val="28"/>
          <w:rtl w:val="true"/>
          <w:lang w:bidi="ar-SA"/>
        </w:rPr>
        <w:t xml:space="preserve">عدم العلم بالحكم يلازم الاحتمال لا </w:t>
      </w:r>
      <w:r>
        <w:rPr>
          <w:rStyle w:val="FootnoteAnchor"/>
          <w:rtl w:val="true"/>
        </w:rPr>
        <w:footnoteReference w:id="363"/>
      </w:r>
      <w:r>
        <w:rPr>
          <w:rFonts w:ascii="Amiri" w:hAnsi="Amiri" w:eastAsia="Amiri" w:cs="Amiri"/>
          <w:color w:val="111111"/>
          <w:sz w:val="28"/>
          <w:sz w:val="28"/>
          <w:szCs w:val="28"/>
          <w:rtl w:val="true"/>
          <w:lang w:bidi="ar-SA"/>
        </w:rPr>
        <w:t xml:space="preserve">أنّ عدم </w:t>
      </w:r>
    </w:p>
    <w:p>
      <w:pPr>
        <w:pStyle w:val="BookText"/>
        <w:rPr/>
      </w:pPr>
      <w:r>
        <w:rPr>
          <w:rFonts w:ascii="Amiri" w:hAnsi="Amiri" w:eastAsia="Amiri" w:cs="Amiri"/>
          <w:color w:val="111111"/>
          <w:sz w:val="28"/>
          <w:sz w:val="28"/>
          <w:szCs w:val="28"/>
          <w:rtl w:val="true"/>
          <w:lang w:bidi="ar-SA"/>
        </w:rPr>
        <w:t xml:space="preserve">ثبوته يلازمه ، ومع ذلك فلا يقال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عدم ثبوت الحكم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الجواب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الغضّ عن عدم دلالتهما </w:t>
      </w:r>
      <w:r>
        <w:rPr>
          <w:rStyle w:val="FootnoteAnchor"/>
          <w:rtl w:val="true"/>
        </w:rPr>
        <w:footnoteReference w:id="364"/>
      </w:r>
      <w:r>
        <w:rPr>
          <w:rFonts w:ascii="Amiri" w:hAnsi="Amiri" w:eastAsia="Amiri" w:cs="Amiri"/>
          <w:color w:val="111111"/>
          <w:sz w:val="28"/>
          <w:sz w:val="28"/>
          <w:szCs w:val="28"/>
          <w:rtl w:val="true"/>
          <w:lang w:bidi="ar-SA"/>
        </w:rPr>
        <w:t xml:space="preserve">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مرام </w:t>
      </w:r>
      <w:r>
        <w:rPr>
          <w:rStyle w:val="FootnoteAnchor"/>
          <w:rtl w:val="true"/>
        </w:rPr>
        <w:footnoteReference w:id="365"/>
      </w:r>
      <w:r>
        <w:rPr>
          <w:rFonts w:ascii="Amiri" w:hAnsi="Amiri" w:eastAsia="Amiri" w:cs="Amiri"/>
          <w:color w:val="111111"/>
          <w:sz w:val="28"/>
          <w:sz w:val="28"/>
          <w:szCs w:val="28"/>
          <w:rtl w:val="true"/>
          <w:lang w:bidi="ar-SA"/>
        </w:rPr>
        <w:t xml:space="preserve">المستدلّ ؛ لظهور أنّ مجرّد وجود المقتضي لا يوجب الظنّ بوجود المقتضى وإن كان المانع مشكوكا محتملا ، لدوران العلم بوجود المعلول أو الظنّ به مدار العلم بتمام أجزاء علّته التامّة من المقتضي ورفع المانع أو الظنّ به ، وحيث إنّ المقدّر كون بعض أجزائه محتملا فالمعلول احتمالي ؛ ضرورة تبعية النتيجة أخسّ مقدّماتها ، فما </w:t>
      </w:r>
      <w:r>
        <w:rPr>
          <w:rStyle w:val="FootnoteAnchor"/>
          <w:rtl w:val="true"/>
        </w:rPr>
        <w:footnoteReference w:id="366"/>
      </w:r>
      <w:r>
        <w:rPr>
          <w:rFonts w:ascii="Amiri" w:hAnsi="Amiri" w:eastAsia="Amiri" w:cs="Amiri"/>
          <w:color w:val="111111"/>
          <w:sz w:val="28"/>
          <w:sz w:val="28"/>
          <w:szCs w:val="28"/>
          <w:rtl w:val="true"/>
          <w:lang w:bidi="ar-SA"/>
        </w:rPr>
        <w:t xml:space="preserve">لم يحصل الظنّ بعدم المانع لا يحصل الظنّ بوجود المعلول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بأنّه </w:t>
      </w:r>
      <w:r>
        <w:rPr>
          <w:rStyle w:val="FootnoteAnchor"/>
          <w:rtl w:val="true"/>
        </w:rPr>
        <w:footnoteReference w:id="367"/>
      </w:r>
      <w:r>
        <w:rPr>
          <w:rFonts w:ascii="Amiri" w:hAnsi="Amiri" w:eastAsia="Amiri" w:cs="Amiri"/>
          <w:color w:val="111111"/>
          <w:sz w:val="28"/>
          <w:sz w:val="28"/>
          <w:szCs w:val="28"/>
          <w:rtl w:val="true"/>
          <w:lang w:bidi="ar-SA"/>
        </w:rPr>
        <w:t xml:space="preserve">أخصّ من المدّعى ؛ لاختصاصه بما إذا كان الشكّ في وجود المزيل من أقسام الشكّ من حيث المانع ، وقد عرفت أعمّية النزاع بالنسبة إلى أقسامه وإلى أصناف الشكّ من حيث المقتضي آنفا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بأنّه إن أراد بالمقتضي العلّة التامّة للحكم الشرعي الواقعي أو الحكم الشخصي ببقائه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الاستصحاب على تقديره غير معقول ؛ ضرورة أنّ العلم بوجود العلّة التامّة يستحيل اجتماعه مع الشكّ في وجود الرافع ، لتركّبها </w:t>
      </w:r>
      <w:r>
        <w:rPr>
          <w:rStyle w:val="FootnoteAnchor"/>
          <w:rtl w:val="true"/>
        </w:rPr>
        <w:footnoteReference w:id="369"/>
      </w: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ما هو الظاهر من لفظ المقتضي من العلّة الناقضة للحكم النفس الأمري أو الحكم الشخصي ببقائه على أن يكون المراد به الدليل على ما يرشد إليه فرض الشكّ في وجود المانع وعدمه كما هو صريح ذيل الاحتجاج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إثبات المعلول بمجرّد وجود المقتضي ما لم يحرز عدم المانع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بسلامة المقتضي بعد تعارض الاحتمالين مع عدم ترجيح جانب العدم على </w:t>
      </w:r>
    </w:p>
    <w:p>
      <w:pPr>
        <w:pStyle w:val="BookText"/>
        <w:rPr/>
      </w:pPr>
      <w:r>
        <w:rPr>
          <w:rFonts w:ascii="Amiri" w:hAnsi="Amiri" w:eastAsia="Amiri" w:cs="Amiri"/>
          <w:color w:val="111111"/>
          <w:sz w:val="28"/>
          <w:sz w:val="28"/>
          <w:szCs w:val="28"/>
          <w:rtl w:val="true"/>
          <w:lang w:bidi="ar-SA"/>
        </w:rPr>
        <w:t xml:space="preserve">الوجود ليس بسليم ، وإحراز عدم المانع بالأصل يوجب الدور المحال على تقدير كونه استصحابا ، وينافيه ظاهر الاحتجاج ؛ حيث إنّ المستفاد منه أنّه برهان تامّ من غير أن يكون لشيء </w:t>
      </w:r>
      <w:r>
        <w:rPr>
          <w:rStyle w:val="FootnoteAnchor"/>
          <w:rtl w:val="true"/>
        </w:rPr>
        <w:footnoteReference w:id="370"/>
      </w:r>
      <w:r>
        <w:rPr>
          <w:rFonts w:ascii="Amiri" w:hAnsi="Amiri" w:eastAsia="Amiri" w:cs="Amiri"/>
          <w:color w:val="111111"/>
          <w:sz w:val="28"/>
          <w:sz w:val="28"/>
          <w:szCs w:val="28"/>
          <w:rtl w:val="true"/>
          <w:lang w:bidi="ar-SA"/>
        </w:rPr>
        <w:t xml:space="preserve">فيه مدخلية على تقدير كونه غير الاستصحاب من سائر الأصول ، والإنصاف أنّ هذا الكلام من المحقّق مبنيّ على ما ستعرف </w:t>
      </w:r>
      <w:r>
        <w:rPr>
          <w:rStyle w:val="FootnoteAnchor"/>
          <w:rtl w:val="true"/>
        </w:rPr>
        <w:footnoteReference w:id="371"/>
      </w:r>
      <w:r>
        <w:rPr>
          <w:rFonts w:ascii="Amiri" w:hAnsi="Amiri" w:eastAsia="Amiri" w:cs="Amiri"/>
          <w:color w:val="111111"/>
          <w:sz w:val="28"/>
          <w:sz w:val="28"/>
          <w:szCs w:val="28"/>
          <w:rtl w:val="true"/>
          <w:lang w:bidi="ar-SA"/>
        </w:rPr>
        <w:t xml:space="preserve">من أنّ بناء العقلاء مستقرّ على عدم الأخذ باحتمال المانع بعد إحراز المقتضي ، بل بمجرّده يحكمون بوجود المقتضى وإن كان فيه من الخفاء </w:t>
      </w:r>
      <w:r>
        <w:rPr>
          <w:rStyle w:val="FootnoteAnchor"/>
          <w:rtl w:val="true"/>
        </w:rPr>
        <w:footnoteReference w:id="372"/>
      </w:r>
      <w:r>
        <w:rPr>
          <w:rFonts w:ascii="Amiri" w:hAnsi="Amiri" w:eastAsia="Amiri" w:cs="Amiri"/>
          <w:color w:val="111111"/>
          <w:sz w:val="28"/>
          <w:sz w:val="28"/>
          <w:szCs w:val="28"/>
          <w:rtl w:val="true"/>
          <w:lang w:bidi="ar-SA"/>
        </w:rPr>
        <w:t xml:space="preserve">ما لا يكاد يخفى ، وقد مرّ </w:t>
      </w:r>
      <w:r>
        <w:rPr>
          <w:rStyle w:val="FootnoteAnchor"/>
          <w:rtl w:val="true"/>
        </w:rPr>
        <w:footnoteReference w:id="373"/>
      </w:r>
      <w:r>
        <w:rPr>
          <w:rFonts w:ascii="Amiri" w:hAnsi="Amiri" w:eastAsia="Amiri" w:cs="Amiri"/>
          <w:color w:val="111111"/>
          <w:sz w:val="28"/>
          <w:sz w:val="28"/>
          <w:szCs w:val="28"/>
          <w:rtl w:val="true"/>
          <w:lang w:bidi="ar-SA"/>
        </w:rPr>
        <w:t xml:space="preserve">استظهارنا التعبّد العقلائي من هذه الجهة </w:t>
      </w:r>
      <w:r>
        <w:rPr>
          <w:rStyle w:val="FootnoteAnchor"/>
          <w:rtl w:val="true"/>
        </w:rPr>
        <w:footnoteReference w:id="374"/>
      </w:r>
      <w:r>
        <w:rPr>
          <w:rFonts w:ascii="Amiri" w:hAnsi="Amiri" w:eastAsia="Amiri" w:cs="Amiri"/>
          <w:color w:val="111111"/>
          <w:sz w:val="28"/>
          <w:sz w:val="28"/>
          <w:szCs w:val="28"/>
          <w:rtl w:val="true"/>
          <w:lang w:bidi="ar-SA"/>
        </w:rPr>
        <w:t>وما يتلوها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البهائي رحمه‌اللّه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في الاحتجاج به </w:t>
      </w:r>
      <w:r>
        <w:rPr>
          <w:rStyle w:val="FootnoteAnchor"/>
          <w:rtl w:val="true"/>
        </w:rPr>
        <w:footnoteReference w:id="376"/>
      </w:r>
      <w:r>
        <w:rPr>
          <w:rFonts w:ascii="Amiri" w:hAnsi="Amiri" w:eastAsia="Amiri" w:cs="Amiri"/>
          <w:color w:val="111111"/>
          <w:sz w:val="28"/>
          <w:sz w:val="28"/>
          <w:szCs w:val="28"/>
          <w:rtl w:val="true"/>
          <w:lang w:bidi="ar-SA"/>
        </w:rPr>
        <w:t xml:space="preserve">جماعة من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لم يكن حجّة لم تتقرّر المعجزة ، وبطلان التالي غنيّ عن التنبيه ، وأمّا الملازمة فلما ذكره الفخري في المحصول </w:t>
      </w:r>
      <w:r>
        <w:rPr>
          <w:rStyle w:val="FootnoteAnchor"/>
          <w:rtl w:val="true"/>
        </w:rPr>
        <w:footnoteReference w:id="377"/>
      </w:r>
      <w:r>
        <w:rPr>
          <w:rFonts w:ascii="Amiri" w:hAnsi="Amiri" w:eastAsia="Amiri" w:cs="Amiri"/>
          <w:color w:val="111111"/>
          <w:sz w:val="28"/>
          <w:sz w:val="28"/>
          <w:szCs w:val="28"/>
          <w:rtl w:val="true"/>
          <w:lang w:bidi="ar-SA"/>
        </w:rPr>
        <w:t xml:space="preserve">من أنّ المعجزة فعل خارق العادة وهي اعتقاد وقوع الفعل على ما عهد وقوعه قبل ذلك وهو الاستصحاب ، وتوضيحه أنّ الأشياء الخارجية </w:t>
      </w:r>
      <w:r>
        <w:rPr>
          <w:rStyle w:val="FootnoteAnchor"/>
          <w:rtl w:val="true"/>
        </w:rPr>
        <w:footnoteReference w:id="378"/>
      </w:r>
      <w:r>
        <w:rPr>
          <w:rFonts w:ascii="Amiri" w:hAnsi="Amiri" w:eastAsia="Amiri" w:cs="Amiri"/>
          <w:color w:val="111111"/>
          <w:sz w:val="28"/>
          <w:sz w:val="28"/>
          <w:szCs w:val="28"/>
          <w:rtl w:val="true"/>
          <w:lang w:bidi="ar-SA"/>
        </w:rPr>
        <w:t xml:space="preserve">الواقعة في ظرف الخارج لا بدّ وأن تكون </w:t>
      </w:r>
      <w:r>
        <w:rPr>
          <w:rStyle w:val="FootnoteAnchor"/>
          <w:rtl w:val="true"/>
        </w:rPr>
        <w:footnoteReference w:id="379"/>
      </w:r>
      <w:r>
        <w:rPr>
          <w:rFonts w:ascii="Amiri" w:hAnsi="Amiri" w:eastAsia="Amiri" w:cs="Amiri"/>
          <w:color w:val="111111"/>
          <w:sz w:val="28"/>
          <w:sz w:val="28"/>
          <w:szCs w:val="28"/>
          <w:rtl w:val="true"/>
          <w:lang w:bidi="ar-SA"/>
        </w:rPr>
        <w:t>باقية على ما هي عليها حتّى يثبت النبوّة بالمعجزة ، وإلاّ فيحتمل أن يكون تسبيح الحصى أو انشقاق القمر أو إحياء الأموات مستندا إلى غير خارق العادة ، فينسدّ باب إثبات النبوّة ، وبقاؤها على ما هي عليها ليس إلاّ الاستصحاب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الاستصحاب لا يثبت النبوّة أيضا ؛ إذ غاية ما يستفاد منه الظنّ وهو لا يغني من الحقّ شيئا ، فلا بدّ من تحصيل العلم باستناد الأفعال الواقعة من مدّعي النبوّة إلى معجزته لا إلى 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يفيد الظنّ ، والظنّ الحاصل منه حجّة ، فالاستصحاب حجّة ، أمّا الصغرى 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 فإنّ الفطرة السليمة والسجيّة المستقيمة حاكمة بالفرق بين الشكّ في الوجود المسبوق بمثله والعدم المسبوق بعدم آخر ، وبين الشكّ فيهما المسبوق كلّ منهما بنقيض الآخر كما في الشكوك الابتدائية ، فكما أنّ وقوف مركب القاضي لدى باب </w:t>
      </w:r>
      <w:r>
        <w:rPr>
          <w:rStyle w:val="FootnoteAnchor"/>
          <w:rtl w:val="true"/>
        </w:rPr>
        <w:footnoteReference w:id="380"/>
      </w:r>
      <w:r>
        <w:rPr>
          <w:rFonts w:ascii="Amiri" w:hAnsi="Amiri" w:eastAsia="Amiri" w:cs="Amiri"/>
          <w:color w:val="111111"/>
          <w:sz w:val="28"/>
          <w:sz w:val="28"/>
          <w:szCs w:val="28"/>
          <w:rtl w:val="true"/>
          <w:lang w:bidi="ar-SA"/>
        </w:rPr>
        <w:t xml:space="preserve">الحمّام أمارة ظنّية على كونه فيه </w:t>
      </w:r>
      <w:r>
        <w:rPr>
          <w:rStyle w:val="FootnoteAnchor"/>
          <w:rtl w:val="true"/>
        </w:rPr>
        <w:footnoteReference w:id="381"/>
      </w:r>
      <w:r>
        <w:rPr>
          <w:rFonts w:ascii="Amiri" w:hAnsi="Amiri" w:eastAsia="Amiri" w:cs="Amiri"/>
          <w:color w:val="111111"/>
          <w:sz w:val="28"/>
          <w:sz w:val="28"/>
          <w:szCs w:val="28"/>
          <w:rtl w:val="true"/>
          <w:lang w:bidi="ar-SA"/>
        </w:rPr>
        <w:t xml:space="preserve">ولا ارتباط بينهما ، وإلاّ كان دليلا ، فكذا في المقام ، فإنّ الوجود </w:t>
      </w:r>
      <w:r>
        <w:rPr>
          <w:rStyle w:val="FootnoteAnchor"/>
          <w:rtl w:val="true"/>
        </w:rPr>
        <w:footnoteReference w:id="382"/>
      </w:r>
      <w:r>
        <w:rPr>
          <w:rFonts w:ascii="Amiri" w:hAnsi="Amiri" w:eastAsia="Amiri" w:cs="Amiri"/>
          <w:color w:val="111111"/>
          <w:sz w:val="28"/>
          <w:sz w:val="28"/>
          <w:szCs w:val="28"/>
          <w:rtl w:val="true"/>
          <w:lang w:bidi="ar-SA"/>
        </w:rPr>
        <w:t>السابق أمارة ظنّية على بقاء الموجود في زمن الشكّ كما لا يخفى على من راجع وجدانه وأنصف من نفسه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السيرة القطعية العقلائية على العمل على طبق الحالة السابقة وترتيب أحكامها حال الشكّ فيها ، كما يشاهد ذلك بالرجوع إلى ديدنهم في إرسال المراسيل من المكاتيب والجوائز والودائع والأمتعة والأقمشة ، فإنّهم لا يزالون يتعاملون على هذه الطريقة ويتعاطونها من غير ملاحظة دقيقة احتمال الارتفاع مع كثرة أسبابه ولو احتمالا ولا أقلّ من احتمال سدّ الطريق وعدم بقاء المرسول </w:t>
      </w:r>
      <w:r>
        <w:rPr>
          <w:rStyle w:val="FootnoteAnchor"/>
          <w:rtl w:val="true"/>
        </w:rPr>
        <w:footnoteReference w:id="383"/>
      </w:r>
      <w:r>
        <w:rPr>
          <w:rFonts w:ascii="Amiri" w:hAnsi="Amiri" w:eastAsia="Amiri" w:cs="Amiri"/>
          <w:color w:val="111111"/>
          <w:sz w:val="28"/>
          <w:sz w:val="28"/>
          <w:szCs w:val="28"/>
          <w:rtl w:val="true"/>
          <w:lang w:bidi="ar-SA"/>
        </w:rPr>
        <w:t xml:space="preserve">إليه ، بل وعدم بقاء الرسول ، إلى غير ذلك ممّا لا يكاد يحصيها نطاق البيان ، فهذه الأعمال منهم لا يخلو إمّا أن يكون لا لمرجّح مخصّص لأحد طرفي الوجود والعدم في تلك الأعمال ، أو يكون لمرجّح ؛ لا سبيل إلى الأوّل ، لامتناع صدورها عن العامل بعد فرض الاختيار ، فتعيّن الثاني ، وهو إمّا أن يكون مرجّحا واقعيا أو مرجّحا ظاهريا ؛ لا سبيل إلى الثاني ، لانحصار المرجّح الظاهري في أمثال المقام في الاحتياط بمعنى العمل على وجه لعلّه يوصله إلى المطلوب ، ولا شكّ في </w:t>
      </w:r>
      <w:r>
        <w:rPr>
          <w:rStyle w:val="FootnoteAnchor"/>
          <w:rtl w:val="true"/>
        </w:rPr>
        <w:footnoteReference w:id="384"/>
      </w:r>
      <w:r>
        <w:rPr>
          <w:rFonts w:ascii="Amiri" w:hAnsi="Amiri" w:eastAsia="Amiri" w:cs="Amiri"/>
          <w:color w:val="111111"/>
          <w:sz w:val="28"/>
          <w:sz w:val="28"/>
          <w:szCs w:val="28"/>
          <w:rtl w:val="true"/>
          <w:lang w:bidi="ar-SA"/>
        </w:rPr>
        <w:t xml:space="preserve">أنّ موارد </w:t>
      </w:r>
      <w:r>
        <w:rPr>
          <w:rStyle w:val="FootnoteAnchor"/>
          <w:rtl w:val="true"/>
        </w:rPr>
        <w:footnoteReference w:id="385"/>
      </w:r>
      <w:r>
        <w:rPr>
          <w:rFonts w:ascii="Amiri" w:hAnsi="Amiri" w:eastAsia="Amiri" w:cs="Amiri"/>
          <w:color w:val="111111"/>
          <w:sz w:val="28"/>
          <w:sz w:val="28"/>
          <w:szCs w:val="28"/>
          <w:rtl w:val="true"/>
          <w:lang w:bidi="ar-SA"/>
        </w:rPr>
        <w:t xml:space="preserve">الأخذ بالحالة السابقة غير </w:t>
      </w:r>
    </w:p>
    <w:p>
      <w:pPr>
        <w:pStyle w:val="BookText"/>
        <w:rPr/>
      </w:pPr>
      <w:r>
        <w:rPr>
          <w:rFonts w:ascii="Amiri" w:hAnsi="Amiri" w:eastAsia="Amiri" w:cs="Amiri"/>
          <w:color w:val="111111"/>
          <w:sz w:val="28"/>
          <w:sz w:val="28"/>
          <w:szCs w:val="28"/>
          <w:rtl w:val="true"/>
          <w:lang w:bidi="ar-SA"/>
        </w:rPr>
        <w:t xml:space="preserve">منطبقة غالبا على الاحتياط ، فإنّ النسبة بينهما هي العموم من وجه بحسب المورد ، ويرشدك إلى ذلك ملاحظة حالهم في إرسال المراسيل ، فإنّ المطلوب فيه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الأمتعة ، ووصولها إلى المرسول إليه ، ولا يعلم حصول الثاني بالإرسال ؛ لاحتمال التلف ، فليس هذا من موارد الاحتياط ، فتعيّن أن يكون المرجّح مرجّحا واقعيا وليس في المقام ما يحتمل كونه مرجّحا إلاّ الظنّ ، فلو لم يفد الاستصحاب الظنّ للزم </w:t>
      </w:r>
      <w:r>
        <w:rPr>
          <w:rStyle w:val="FootnoteAnchor"/>
          <w:rtl w:val="true"/>
        </w:rPr>
        <w:footnoteReference w:id="386"/>
      </w:r>
      <w:r>
        <w:rPr>
          <w:rFonts w:ascii="Amiri" w:hAnsi="Amiri" w:eastAsia="Amiri" w:cs="Amiri"/>
          <w:color w:val="111111"/>
          <w:sz w:val="28"/>
          <w:sz w:val="28"/>
          <w:szCs w:val="28"/>
          <w:rtl w:val="true"/>
          <w:lang w:bidi="ar-SA"/>
        </w:rPr>
        <w:t xml:space="preserve">خلوّ الأفعال والأعمال في تلك الموارد عمّا يقتضي رجحان أحد طرفي الوجود والعدم ، وهو فطري الاستحالة ، وليس لأحد أن يقول باختصاص ما ذكرنا بالأمور المتعلّقة بالمعاش دون الأحكام المرتبطة بالمعاد من الأحكام الشرعية ؛ لظهور استقرار بناء أهل الشرع من أصحاب النبيّ وأتباع الأئمّة عليهم أفضل الصلاة وأكمل السلام </w:t>
      </w:r>
      <w:r>
        <w:rPr>
          <w:rStyle w:val="FootnoteAnchor"/>
          <w:rtl w:val="true"/>
        </w:rPr>
        <w:footnoteReference w:id="387"/>
      </w:r>
      <w:r>
        <w:rPr>
          <w:rFonts w:ascii="Amiri" w:hAnsi="Amiri" w:eastAsia="Amiri" w:cs="Amiri"/>
          <w:color w:val="111111"/>
          <w:sz w:val="28"/>
          <w:sz w:val="28"/>
          <w:szCs w:val="28"/>
          <w:rtl w:val="true"/>
          <w:lang w:bidi="ar-SA"/>
        </w:rPr>
        <w:t xml:space="preserve">على العمل على طبق الحالة السابقة في الأحكام المأخوذة عنهم من غير اختلال في ذلك باحتمال النسخ ، سيّما النائين عنهم ، ويرشدك إلى ذلك ملاحظة حال المقلّدة </w:t>
      </w:r>
      <w:r>
        <w:rPr>
          <w:rStyle w:val="FootnoteAnchor"/>
          <w:rtl w:val="true"/>
        </w:rPr>
        <w:footnoteReference w:id="388"/>
      </w:r>
      <w:r>
        <w:rPr>
          <w:rFonts w:ascii="Amiri" w:hAnsi="Amiri" w:eastAsia="Amiri" w:cs="Amiri"/>
          <w:color w:val="111111"/>
          <w:sz w:val="28"/>
          <w:sz w:val="28"/>
          <w:szCs w:val="28"/>
          <w:rtl w:val="true"/>
          <w:lang w:bidi="ar-SA"/>
        </w:rPr>
        <w:t xml:space="preserve">في أخذ فتاوى المفتين ، فإنّهم لا يبالون في العمل بها باحتمال الرجوع عنها </w:t>
      </w:r>
      <w:r>
        <w:rPr>
          <w:rStyle w:val="FootnoteAnchor"/>
          <w:rtl w:val="true"/>
        </w:rPr>
        <w:footnoteReference w:id="389"/>
      </w:r>
      <w:r>
        <w:rPr>
          <w:rFonts w:ascii="Amiri" w:hAnsi="Amiri" w:eastAsia="Amiri" w:cs="Amiri"/>
          <w:color w:val="111111"/>
          <w:sz w:val="28"/>
          <w:sz w:val="28"/>
          <w:szCs w:val="28"/>
          <w:rtl w:val="true"/>
          <w:lang w:bidi="ar-SA"/>
        </w:rPr>
        <w:t>ونحو ذلك من احتمال الفسق أو الموت أو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فلوجهين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الاعتماد على مثل هذا الظنّ كما سمعت في الأمثلة المذكورة ، سواء في ذلك الأمور العرفية أو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ما الدليل على اعتبار بنائهم في أمثال المقام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اعتباره تقرير المعصوم لفعلهم ، ورضاؤه بعملهم على طبق الحالة السابقة واتّكالهم في الأحكام المأخوذة عنهم إلى مثل ذلك ، وعدم ردعهم إيّاهم بالأمر بالسؤال عنهم مرّة بعد مرّة ؛ ضرورة عدم كون تلك الأحكام مقرونة بما يستفاد </w:t>
      </w:r>
    </w:p>
    <w:p>
      <w:pPr>
        <w:pStyle w:val="BookText"/>
        <w:rPr/>
      </w:pPr>
      <w:r>
        <w:rPr>
          <w:rFonts w:ascii="Amiri" w:hAnsi="Amiri" w:eastAsia="Amiri" w:cs="Amiri"/>
          <w:color w:val="111111"/>
          <w:sz w:val="28"/>
          <w:sz w:val="28"/>
          <w:szCs w:val="28"/>
          <w:rtl w:val="true"/>
          <w:lang w:bidi="ar-SA"/>
        </w:rPr>
        <w:t xml:space="preserve">دوامها منه ، واحتمال عدم اطّلاعهم على هذا الأمر الشائع بينهم </w:t>
      </w:r>
      <w:r>
        <w:rPr>
          <w:rStyle w:val="FootnoteAnchor"/>
          <w:rtl w:val="true"/>
        </w:rPr>
        <w:footnoteReference w:id="390"/>
      </w:r>
      <w:r>
        <w:rPr>
          <w:rFonts w:ascii="Amiri" w:hAnsi="Amiri" w:eastAsia="Amiri" w:cs="Amiri"/>
          <w:color w:val="111111"/>
          <w:sz w:val="28"/>
          <w:sz w:val="28"/>
          <w:szCs w:val="28"/>
          <w:rtl w:val="true"/>
          <w:lang w:bidi="ar-SA"/>
        </w:rPr>
        <w:t xml:space="preserve">مع كونه بمكان من محلّ ابتلائهم ، بمكان من البعد جدّا ، بل ومستحيل عادة وإن لم نقل بإحاطة علمهم فعلا ، كاحتمال أن يكون ذلك منهم عليهم‌السلام تقيّة ، وإلاّ لبطلت الأحكام عن آخرها ، وأوضح فسادا من الكلّ وقوع الردع وعدم الوصول إلينا ؛ لوضوح توفّر الدواعي على نقل مثل هذه الأمور ، لابتلاء العامّة بذلك ، فحيث لم نظفر </w:t>
      </w:r>
      <w:r>
        <w:rPr>
          <w:rStyle w:val="FootnoteAnchor"/>
          <w:rtl w:val="true"/>
        </w:rPr>
        <w:footnoteReference w:id="391"/>
      </w:r>
      <w:r>
        <w:rPr>
          <w:rFonts w:ascii="Amiri" w:hAnsi="Amiri" w:eastAsia="Amiri" w:cs="Amiri"/>
          <w:color w:val="111111"/>
          <w:sz w:val="28"/>
          <w:sz w:val="28"/>
          <w:szCs w:val="28"/>
          <w:rtl w:val="true"/>
          <w:lang w:bidi="ar-SA"/>
        </w:rPr>
        <w:t>عليه فنعلم بأنّهم عليهم‌السلام قد وكلهم إلى ما هو المركوز في أذهانهم والمجبول عليه طباعهم كما في غيره من وجوه اختلاف طرق الإطاعة والعصيان ، ومنه استكشاف المطالب من العبائر واستعلام المقاصد من الدفاتر إلى غير ذلك من النظائر الموكولة إلى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في النهي عن العمل بمطلق ما وراء العلم ، ومنه الظنّ الحاصل من ملاحظة الحالة السابقة ، مضافا إلى الآيات القرآنية والضرورة الدينية كما مرّ في محلّه </w:t>
      </w:r>
      <w:r>
        <w:rPr>
          <w:rStyle w:val="FootnoteAnchor"/>
          <w:rtl w:val="true"/>
        </w:rPr>
        <w:footnoteReference w:id="392"/>
      </w:r>
      <w:r>
        <w:rPr>
          <w:rFonts w:ascii="Amiri" w:hAnsi="Amiri" w:eastAsia="Amiri" w:cs="Amiri"/>
          <w:color w:val="111111"/>
          <w:sz w:val="28"/>
          <w:sz w:val="28"/>
          <w:szCs w:val="28"/>
          <w:rtl w:val="true"/>
          <w:lang w:bidi="ar-SA"/>
        </w:rPr>
        <w:t>، ولا فرق في الرادع بين العموم والخصوص ، فالردع حاصل والخصم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كفاية العموم في الردع كما هو قضيّة الإنصاف على ما يقضي به الوجدان الخالي عن الاعتساف ، أنّ الأدلّة المذكورة لا تنهض ردعا في المقام ؛ لما قد تحقّق في مباحث الظنّ </w:t>
      </w:r>
      <w:r>
        <w:rPr>
          <w:rStyle w:val="FootnoteAnchor"/>
          <w:rtl w:val="true"/>
        </w:rPr>
        <w:footnoteReference w:id="393"/>
      </w:r>
      <w:r>
        <w:rPr>
          <w:rFonts w:ascii="Amiri" w:hAnsi="Amiri" w:eastAsia="Amiri" w:cs="Amiri"/>
          <w:color w:val="111111"/>
          <w:sz w:val="28"/>
          <w:sz w:val="28"/>
          <w:szCs w:val="28"/>
          <w:rtl w:val="true"/>
          <w:lang w:bidi="ar-SA"/>
        </w:rPr>
        <w:t xml:space="preserve">أنّ المرجع فيها إلى 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التشريع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الأصول القطعية في مقابل تلك الظنون ، وشيء </w:t>
      </w:r>
      <w:r>
        <w:rPr>
          <w:rStyle w:val="FootnoteAnchor"/>
          <w:rtl w:val="true"/>
        </w:rPr>
        <w:footnoteReference w:id="394"/>
      </w:r>
      <w:r>
        <w:rPr>
          <w:rFonts w:ascii="IRNazanin" w:hAnsi="IRNazanin" w:eastAsia="IRNazanin"/>
          <w:color w:val="111111"/>
          <w:sz w:val="28"/>
          <w:sz w:val="28"/>
          <w:szCs w:val="28"/>
          <w:rtl w:val="true"/>
          <w:lang w:bidi="fa-IR"/>
        </w:rPr>
        <w:t xml:space="preserve">منهما </w:t>
      </w:r>
      <w:r>
        <w:rPr>
          <w:rStyle w:val="FootnoteAnchor"/>
          <w:rtl w:val="true"/>
        </w:rPr>
        <w:footnoteReference w:id="395"/>
      </w:r>
      <w:r>
        <w:rPr>
          <w:rFonts w:ascii="Amiri" w:hAnsi="Amiri" w:eastAsia="Amiri" w:cs="Amiri"/>
          <w:color w:val="111111"/>
          <w:sz w:val="28"/>
          <w:sz w:val="28"/>
          <w:szCs w:val="28"/>
          <w:rtl w:val="true"/>
          <w:lang w:bidi="ar-SA"/>
        </w:rPr>
        <w:t>لا يتمشّى في المقام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 إذ ليس الأخذ بالحالة السابقة من التشريع في شيء ، بل التعويل إنّما هو على ثبوت الحكم في الزمن الأوّل ، وليس هذا من إدخال ما ليس من الدين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الأصول المعمولة في قبال الاستصحاب أحد الأصول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والاحتياط والتخيير ، ولا دليل على اعتبارها فيما خالف الاستصحاب أحدها ؛ لوضوح أنّ عمدة المدرك فيها العقل وبناء العقلاء ، والمفروض في المقام أنّ بناءهم على طرح </w:t>
      </w:r>
      <w:r>
        <w:rPr>
          <w:rStyle w:val="FootnoteAnchor"/>
          <w:rtl w:val="true"/>
        </w:rPr>
        <w:footnoteReference w:id="396"/>
      </w:r>
      <w:r>
        <w:rPr>
          <w:rFonts w:ascii="Amiri" w:hAnsi="Amiri" w:eastAsia="Amiri" w:cs="Amiri"/>
          <w:color w:val="111111"/>
          <w:sz w:val="28"/>
          <w:sz w:val="28"/>
          <w:szCs w:val="28"/>
          <w:rtl w:val="true"/>
          <w:lang w:bidi="ar-SA"/>
        </w:rPr>
        <w:t xml:space="preserve">تلك الأصول والاعتماد على الحالة السابقة ، ففيما لو كان الشكّ في التكليف يعوّلون على الحالة السابقة ولا يعتمدون على البراءة كما في استصحاب الوجوب السابق أو الحرمة السابقة ، ويأخذون بها فيما </w:t>
      </w:r>
      <w:r>
        <w:rPr>
          <w:rStyle w:val="FootnoteAnchor"/>
          <w:rtl w:val="true"/>
        </w:rPr>
        <w:footnoteReference w:id="397"/>
      </w:r>
      <w:r>
        <w:rPr>
          <w:rFonts w:ascii="Amiri" w:hAnsi="Amiri" w:eastAsia="Amiri" w:cs="Amiri"/>
          <w:color w:val="111111"/>
          <w:sz w:val="28"/>
          <w:sz w:val="28"/>
          <w:szCs w:val="28"/>
          <w:rtl w:val="true"/>
          <w:lang w:bidi="ar-SA"/>
        </w:rPr>
        <w:t xml:space="preserve">كان المورد من مجاري الاشتغال كما في استصحاب عدم وجوب السورة في الصلاة ، وبمثله يقولون </w:t>
      </w:r>
      <w:r>
        <w:rPr>
          <w:rStyle w:val="FootnoteAnchor"/>
          <w:rtl w:val="true"/>
        </w:rPr>
        <w:footnoteReference w:id="398"/>
      </w:r>
      <w:r>
        <w:rPr>
          <w:rFonts w:ascii="Amiri" w:hAnsi="Amiri" w:eastAsia="Amiri" w:cs="Amiri"/>
          <w:color w:val="111111"/>
          <w:sz w:val="28"/>
          <w:sz w:val="28"/>
          <w:szCs w:val="28"/>
          <w:rtl w:val="true"/>
          <w:lang w:bidi="ar-SA"/>
        </w:rPr>
        <w:t xml:space="preserve">فيما لو كان المورد من موارد التخيير ، فلا تنهض الأدلّة الناهية عن العمل بغير العلم حجّة في المقام ، فلا جدوى فيما رامه </w:t>
      </w:r>
      <w:r>
        <w:rPr>
          <w:rStyle w:val="FootnoteAnchor"/>
          <w:rtl w:val="true"/>
        </w:rPr>
        <w:footnoteReference w:id="399"/>
      </w:r>
      <w:r>
        <w:rPr>
          <w:rFonts w:ascii="IRNazanin" w:hAnsi="IRNazanin" w:eastAsia="IRNazanin"/>
          <w:color w:val="111111"/>
          <w:sz w:val="28"/>
          <w:sz w:val="28"/>
          <w:szCs w:val="28"/>
          <w:rtl w:val="true"/>
          <w:lang w:bidi="fa-IR"/>
        </w:rPr>
        <w:t xml:space="preserve">المعترض </w:t>
      </w:r>
      <w:r>
        <w:rPr>
          <w:rStyle w:val="FootnoteAnchor"/>
          <w:rtl w:val="true"/>
        </w:rPr>
        <w:footnoteReference w:id="400"/>
      </w:r>
      <w:r>
        <w:rPr>
          <w:rFonts w:ascii="Amiri" w:hAnsi="Amiri" w:eastAsia="Amiri" w:cs="Amiri"/>
          <w:color w:val="111111"/>
          <w:sz w:val="28"/>
          <w:sz w:val="28"/>
          <w:szCs w:val="28"/>
          <w:rtl w:val="true"/>
          <w:lang w:bidi="ar-SA"/>
        </w:rPr>
        <w:t>من إثبات الردع ، نعم لو كان اعتبار تلك الأصول بواسطة الأدلّة السمعية من غير احتمال رجوعها إلى ما يستفاد من العقل ، فيصير الأخذ بالاستصحاب المخالف لأحدها طرحا لها من غير دليل ، إلاّ أنّ من المحقّق في محلّه رجوعها إلى ما يستفاد من العقل ، فيتّحد مفادهما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وتوضيحه أنّ المخالف للاستصحاب إمّا أن يكون هو الدليل أو الأصل ، فلا كلام </w:t>
      </w:r>
      <w:r>
        <w:rPr>
          <w:rStyle w:val="FootnoteAnchor"/>
          <w:rtl w:val="true"/>
        </w:rPr>
        <w:footnoteReference w:id="401"/>
      </w:r>
      <w:r>
        <w:rPr>
          <w:rFonts w:ascii="Amiri" w:hAnsi="Amiri" w:eastAsia="Amiri" w:cs="Amiri"/>
          <w:color w:val="111111"/>
          <w:sz w:val="28"/>
          <w:sz w:val="28"/>
          <w:szCs w:val="28"/>
          <w:rtl w:val="true"/>
          <w:lang w:bidi="ar-SA"/>
        </w:rPr>
        <w:t xml:space="preserve">في ورود الدليل على الاستصحاب وهو خارج عن مفروض المسألة ؛ لوجوب الفحص عن الدليل في موارد الاستصحاب ، وأمّا الأصل فلا مجرى له في موارد الاستصحاب لتعويل العقلاء على الحالة السابقة على تقدير كونها مظنونة ، ولا يمكن النهي عن العمل بالظنّ الاستصحابي حينئذ والأخذ بأحد الأصول الموهومة ؛ لكونه ترجيحا للمرجوح على الراجح ، فلو حصل الظنّ بوجوب شيء </w:t>
      </w:r>
      <w:r>
        <w:rPr>
          <w:rStyle w:val="FootnoteAnchor"/>
          <w:rtl w:val="true"/>
        </w:rPr>
        <w:footnoteReference w:id="402"/>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السابق فكيف يسوغ للشارع النهي عن العمل به والأخذ بالموهوم ، وأمّا ما يرى من النهي عن العمل بالقياس وأضرابه من الظنون الباطلة ، فلعدم استقرار بناء العقلاء على العمل به كما في الاستصحاب ، وليس المدار في كلامنا على مجرّد الظنّ ، بل الظنّ الخاصّ الذي استقرّ بناء العقلاء على العمل به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مناط البراءة وتحقّق مدركها في موارد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مفيدا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قبح العقاب بلا بيان ، كما في الاحتياط من حكم العقل بلزوم دفع الضرر ولو كان محتملا ولو </w:t>
      </w:r>
      <w:r>
        <w:rPr>
          <w:rStyle w:val="FootnoteAnchor"/>
          <w:rtl w:val="true"/>
        </w:rPr>
        <w:footnoteReference w:id="404"/>
      </w:r>
      <w:r>
        <w:rPr>
          <w:rFonts w:ascii="Amiri" w:hAnsi="Amiri" w:eastAsia="Amiri" w:cs="Amiri"/>
          <w:color w:val="111111"/>
          <w:sz w:val="28"/>
          <w:sz w:val="28"/>
          <w:szCs w:val="28"/>
          <w:rtl w:val="true"/>
          <w:lang w:bidi="ar-SA"/>
        </w:rPr>
        <w:t>وهما ، لا وجه للقول بطرحها والأخذ بالاستصحاب ؛ إذ الظنّ الاستصحابي لا دليل على كونه بيانا كما أنّه لا دليل على كونه دافعا للضرر ، فاللازم هو الأخذ بأحد الأصول دون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قبح العقاب فيما إذا كان الظنّ الاستصحابي على الخلاف ، وكذلك المناط في الاحتياط ؛ إذ لا يجب عند العقل دفع الضرر الاحتمالي وإن كان قد يحسن عنده دفعه ، وقس عليهما حال التخيير </w:t>
      </w:r>
      <w:r>
        <w:rPr>
          <w:rStyle w:val="FootnoteAnchor"/>
          <w:rtl w:val="true"/>
        </w:rPr>
        <w:footnoteReference w:id="405"/>
      </w:r>
      <w:r>
        <w:rPr>
          <w:rFonts w:ascii="Amiri" w:hAnsi="Amiri" w:eastAsia="Amiri" w:cs="Amiri"/>
          <w:color w:val="111111"/>
          <w:sz w:val="28"/>
          <w:sz w:val="28"/>
          <w:szCs w:val="28"/>
          <w:rtl w:val="true"/>
          <w:lang w:bidi="ar-SA"/>
        </w:rPr>
        <w:t>؛ إذ مرجعه حقيقة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406"/>
      </w:r>
      <w:r>
        <w:rPr>
          <w:rFonts w:ascii="Amiri" w:hAnsi="Amiri" w:eastAsia="Amiri" w:cs="Amiri"/>
          <w:color w:val="111111"/>
          <w:sz w:val="28"/>
          <w:sz w:val="28"/>
          <w:szCs w:val="28"/>
          <w:rtl w:val="true"/>
          <w:lang w:bidi="ar-SA"/>
        </w:rPr>
        <w:t>غاية توجيه كلماتهم مع اختلافها غاية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العلم في الأحكام العاديّة والشرعية منسدّ لهم غالبا ، والأخذ بالبراءة والاحتياط وطرح الحالة السابقة يورث اختلال نظامهم ، فلا بدّ من الركون إلى الحالة السابقة وهو المطلوب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الوجهين المذكورين في بيان الكبرى يظهر منهم كما يشعر بذلك عبارة القوانين </w:t>
      </w:r>
      <w:r>
        <w:rPr>
          <w:rStyle w:val="FootnoteAnchor"/>
          <w:rtl w:val="true"/>
        </w:rPr>
        <w:footnoteReference w:id="408"/>
      </w:r>
      <w:r>
        <w:rPr>
          <w:rFonts w:ascii="Amiri" w:hAnsi="Amiri" w:eastAsia="Amiri" w:cs="Amiri"/>
          <w:color w:val="111111"/>
          <w:sz w:val="28"/>
          <w:sz w:val="28"/>
          <w:szCs w:val="28"/>
          <w:rtl w:val="true"/>
          <w:lang w:bidi="ar-SA"/>
        </w:rPr>
        <w:t xml:space="preserve">فلاحظها ، إلاّ أنّ المقصود من الوجه الأوّل إثبات حجّية الظنّ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الاستصحابي ولو لم نقل بمطلق المظنّة ، والمقصود من الثاني اندراجه في دليل الانسداد على ما حرّرنا كلاّ من الوجهين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فوجوه النظر ممّا لا يكاد يخفى على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الصغرى ، فإنّه إن أريد أنّ الاستصحاب مفيد للظنّ في جميع موارده ، فيكذّبه </w:t>
      </w:r>
      <w:r>
        <w:rPr>
          <w:rStyle w:val="FootnoteAnchor"/>
          <w:rtl w:val="true"/>
        </w:rPr>
        <w:footnoteReference w:id="410"/>
      </w:r>
      <w:r>
        <w:rPr>
          <w:rFonts w:ascii="Amiri" w:hAnsi="Amiri" w:eastAsia="Amiri" w:cs="Amiri"/>
          <w:color w:val="111111"/>
          <w:sz w:val="28"/>
          <w:sz w:val="28"/>
          <w:szCs w:val="28"/>
          <w:rtl w:val="true"/>
          <w:lang w:bidi="ar-SA"/>
        </w:rPr>
        <w:t>الوجدان ، فإنّ من المشاهد بالعيان عدم إفادته الظنّ في جملة منها ، بل ولم نر من ادّعى ذلك أيضا وإن حكم بعضهم بدوران اعتباره مدار الظنّ ، ومع ذلك فقد رموه بالمخالفة كلّ المخالفة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أنّه لو خلّي وطبعه ومن حيث ملاحظته في نفسه مع قطع النظر عمّا يوهن ذلك من القضايا الخارجية والأمور المكتنفة بالواقعة الاستصحابية ، مفيد للظنّ وإن لم يفده في بعض الأحيان لبعض الموانع ، فلك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نفسه لا يفيد الظنّ وان كان قد يفيده باعتبار أمر خارج كالغلبة ، بل ولعلّه كذلك أيضا ، فإنّ التدبّر في موارده يقتضى بأنّ منشأ الظنّ في محلّ حصوله إنّما هو الغلبة في منشأ الشكّ وسبب الاشتباه ويدور الظنّ مدار وجود الغلبة ، والذي يرشدك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مجرّد الحالة السابقة ليس سببا لحصول الظنّ بعد امتناع الظنّ بالمعلول مع الشكّ في العلّة كما يساعد عليه الاعتبار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يستلزم أن يكون حصول الظنّ من الأفعال الاختيارية التي لا واقع لها إلاّ بعد الاختيار مع أنّ الضرورة قضت بكونه كالعلم من الأمور الواقعية التي لها أسباب واقعية ، غاية ما في الباب أنّ المكلّف لو حاول تحصيل واحد منهما من ملاحظة أسبابهما الواقعية يمكن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اللزوم المذكور فيظهر بملاحظة ما لو </w:t>
      </w:r>
      <w:r>
        <w:rPr>
          <w:rStyle w:val="FootnoteAnchor"/>
          <w:rtl w:val="true"/>
        </w:rPr>
        <w:footnoteReference w:id="411"/>
      </w:r>
      <w:r>
        <w:rPr>
          <w:rFonts w:ascii="Amiri" w:hAnsi="Amiri" w:eastAsia="Amiri" w:cs="Amiri"/>
          <w:color w:val="111111"/>
          <w:sz w:val="28"/>
          <w:sz w:val="28"/>
          <w:szCs w:val="28"/>
          <w:rtl w:val="true"/>
          <w:lang w:bidi="ar-SA"/>
        </w:rPr>
        <w:t xml:space="preserve">علم بالاشتغال بالصلاة مع جهل القبلة وانحصارها في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المكلّف ، فإن أراد أن يظنّ </w:t>
      </w:r>
      <w:r>
        <w:rPr>
          <w:rStyle w:val="FootnoteAnchor"/>
          <w:rtl w:val="true"/>
        </w:rPr>
        <w:footnoteReference w:id="412"/>
      </w:r>
      <w:r>
        <w:rPr>
          <w:rFonts w:ascii="Amiri" w:hAnsi="Amiri" w:eastAsia="Amiri" w:cs="Amiri"/>
          <w:color w:val="111111"/>
          <w:sz w:val="28"/>
          <w:sz w:val="28"/>
          <w:szCs w:val="28"/>
          <w:rtl w:val="true"/>
          <w:lang w:bidi="ar-SA"/>
        </w:rPr>
        <w:t xml:space="preserve">بالاستصحاب أنّ القبلة في طرف ، يصلّي أوّلا في غير </w:t>
      </w:r>
    </w:p>
    <w:p>
      <w:pPr>
        <w:pStyle w:val="BookText"/>
        <w:rPr/>
      </w:pPr>
      <w:r>
        <w:rPr>
          <w:rFonts w:ascii="Amiri" w:hAnsi="Amiri" w:eastAsia="Amiri" w:cs="Amiri"/>
          <w:color w:val="111111"/>
          <w:sz w:val="28"/>
          <w:sz w:val="28"/>
          <w:szCs w:val="28"/>
          <w:rtl w:val="true"/>
          <w:lang w:bidi="ar-SA"/>
        </w:rPr>
        <w:t xml:space="preserve">ذلك الطرف ، فيستصحب الاشتغال ويظنّ ببقاء </w:t>
      </w:r>
      <w:r>
        <w:rPr>
          <w:rStyle w:val="FootnoteAnchor"/>
          <w:rtl w:val="true"/>
        </w:rPr>
        <w:footnoteReference w:id="413"/>
      </w:r>
      <w:r>
        <w:rPr>
          <w:rFonts w:ascii="Amiri" w:hAnsi="Amiri" w:eastAsia="Amiri" w:cs="Amiri"/>
          <w:color w:val="111111"/>
          <w:sz w:val="28"/>
          <w:sz w:val="28"/>
          <w:szCs w:val="28"/>
          <w:rtl w:val="true"/>
          <w:lang w:bidi="ar-SA"/>
        </w:rPr>
        <w:t xml:space="preserve">التكليف ، وهو يلازم الظنّ بكون القبلة في الطرف الباقي ؛ إذ المفروض انحصار الجهة في الباقي ، ومن المعلوم أنّ الظنّ ببقاء التكليف لا يعقل بدون الظنّ بكون القبلة في الجهة الباقية ، وإن أراد أن يظنّ </w:t>
      </w:r>
      <w:r>
        <w:rPr>
          <w:rStyle w:val="FootnoteAnchor"/>
          <w:rtl w:val="true"/>
        </w:rPr>
        <w:footnoteReference w:id="414"/>
      </w:r>
      <w:r>
        <w:rPr>
          <w:rFonts w:ascii="Amiri" w:hAnsi="Amiri" w:eastAsia="Amiri" w:cs="Amiri"/>
          <w:color w:val="111111"/>
          <w:sz w:val="28"/>
          <w:sz w:val="28"/>
          <w:szCs w:val="28"/>
          <w:rtl w:val="true"/>
          <w:lang w:bidi="ar-SA"/>
        </w:rPr>
        <w:t xml:space="preserve">بكون القبلة في غير ذلك الطرف ، يصلّي أوّلا في ذلك الغير ، فيستصحب التكليف فيظنّ ببقائه ، ويلازمه </w:t>
      </w:r>
      <w:r>
        <w:rPr>
          <w:rStyle w:val="FootnoteAnchor"/>
          <w:rtl w:val="true"/>
        </w:rPr>
        <w:footnoteReference w:id="415"/>
      </w:r>
      <w:r>
        <w:rPr>
          <w:rFonts w:ascii="Amiri" w:hAnsi="Amiri" w:eastAsia="Amiri" w:cs="Amiri"/>
          <w:color w:val="111111"/>
          <w:sz w:val="28"/>
          <w:sz w:val="28"/>
          <w:szCs w:val="28"/>
          <w:rtl w:val="true"/>
          <w:lang w:bidi="ar-SA"/>
        </w:rPr>
        <w:t xml:space="preserve">الظنّ بكون القبلة في الجهة الباقية على نحو ما عرفت في عكس ذلك في الصورة الأولى ، بل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يستلزم حصول الظنّ على طرفي الخلاف </w:t>
      </w:r>
      <w:r>
        <w:rPr>
          <w:rStyle w:val="FootnoteAnchor"/>
          <w:rtl w:val="true"/>
        </w:rPr>
        <w:footnoteReference w:id="416"/>
      </w:r>
      <w:r>
        <w:rPr>
          <w:rFonts w:ascii="Amiri" w:hAnsi="Amiri" w:eastAsia="Amiri" w:cs="Amiri"/>
          <w:color w:val="111111"/>
          <w:sz w:val="28"/>
          <w:sz w:val="28"/>
          <w:szCs w:val="28"/>
          <w:rtl w:val="true"/>
          <w:lang w:bidi="ar-SA"/>
        </w:rPr>
        <w:t xml:space="preserve">، فإنّا لو حاولنا إملاء حوض من الماء فبعد وصول الماء إلى حدّ مخصوص من الحوض نشكّ في كونه كرّا ، فباستصحاب عدم الكرّية يحصل الظنّ بعدمها ، ولو كان ذلك الحوض مملوّا من الماء وعلمنا بكونه مقدار الكرّ ، ثمّ انتقص </w:t>
      </w:r>
      <w:r>
        <w:rPr>
          <w:rStyle w:val="FootnoteAnchor"/>
          <w:rtl w:val="true"/>
        </w:rPr>
        <w:footnoteReference w:id="417"/>
      </w:r>
      <w:r>
        <w:rPr>
          <w:rFonts w:ascii="Amiri" w:hAnsi="Amiri" w:eastAsia="Amiri" w:cs="Amiri"/>
          <w:color w:val="111111"/>
          <w:sz w:val="28"/>
          <w:sz w:val="28"/>
          <w:szCs w:val="28"/>
          <w:rtl w:val="true"/>
          <w:lang w:bidi="ar-SA"/>
        </w:rPr>
        <w:t xml:space="preserve">الماء إلى أن وصل إلى ذلك الحدّ المخصوص المفروض في العكس ، فباستصحاب الكرّية يحصل الظنّ بكونه كرّا مع ظهور امتناع كون المقدار المخصوص مظنون الكرّية وعدمها ، ومن هنا طعن بعض الأخباريين على المجتهدين بأنّه كيف يمكن </w:t>
      </w:r>
      <w:r>
        <w:rPr>
          <w:rStyle w:val="FootnoteAnchor"/>
          <w:rtl w:val="true"/>
        </w:rPr>
        <w:footnoteReference w:id="418"/>
      </w:r>
      <w:r>
        <w:rPr>
          <w:rFonts w:ascii="Amiri" w:hAnsi="Amiri" w:eastAsia="Amiri" w:cs="Amiri"/>
          <w:color w:val="111111"/>
          <w:sz w:val="28"/>
          <w:sz w:val="28"/>
          <w:szCs w:val="28"/>
          <w:rtl w:val="true"/>
          <w:lang w:bidi="ar-SA"/>
        </w:rPr>
        <w:t>حصول الظنّ على طرفي الخلاف ، فالقول بأنّ مجرّد الحالة السابقة من أسباب الظنّ واه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استند إليه المستدلّ بانحصار المرجّح الواقعي في الظنّ ، فلا دلالة فيه على كون السبب فيه هو الحالة السابقة ؛ إذ لعلّه يستند إلى الغلبة كما قد تقوّى في بعض الموارد على ما ستعرف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الكبرى ، فلأنّ المستدلّ إن أراد تقرير المعصوم في العمل بالظنّ الاستصحابي في أمور معاشهم من غير ارتباط بالأحكام الشرعية كما في أكثر الأمثلة الموردة </w:t>
      </w:r>
      <w:r>
        <w:rPr>
          <w:rStyle w:val="FootnoteAnchor"/>
          <w:rtl w:val="true"/>
        </w:rPr>
        <w:footnoteReference w:id="419"/>
      </w:r>
      <w:r>
        <w:rPr>
          <w:rFonts w:ascii="Amiri" w:hAnsi="Amiri" w:eastAsia="Amiri" w:cs="Amiri"/>
          <w:color w:val="111111"/>
          <w:sz w:val="28"/>
          <w:sz w:val="28"/>
          <w:szCs w:val="28"/>
          <w:rtl w:val="true"/>
          <w:lang w:bidi="ar-SA"/>
        </w:rPr>
        <w:t>عن القائلين به ظنّا ، فما علينا من إبطال ذلك أو إحقاقه فعهدته على مدّعيه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أراد إثبات التقرير بالعمل به في موضوعات الأحكام ، فقد قام الإجماع على عدم جواز العمل بالظنّ فيها حتّى من القائلين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والتقرير فيه غير موجود ؛ لوجود الأدلّة الرادعة فيها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مباح حتّى تعلم أنّه حرام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ونحوهما ممّا يدلّ على عدم جواز التعويل بغير العلم ، والمفروض أنّ الاستصحاب منه بعد ؛ لعدم دلالة على اعتباره حينئذ ، وإن أراد دعوى استقرار بناء العقلاء في الأحكام الشرعية على الأخذ بالحالة السابقة ، فممنوعة ، فضلا عن تقرير المعصوم عن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استند إليه من استصحاب عدم النسخ في الأحكام المأخوذة عنهم عليهم‌السلام بالنسبة إلى أصحابهم وأتباعهم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أنّ </w:t>
      </w:r>
      <w:r>
        <w:rPr>
          <w:rStyle w:val="FootnoteAnchor"/>
          <w:rtl w:val="true"/>
        </w:rPr>
        <w:footnoteReference w:id="422"/>
      </w:r>
      <w:r>
        <w:rPr>
          <w:rFonts w:ascii="Amiri" w:hAnsi="Amiri" w:eastAsia="Amiri" w:cs="Amiri"/>
          <w:color w:val="111111"/>
          <w:sz w:val="28"/>
          <w:sz w:val="28"/>
          <w:szCs w:val="28"/>
          <w:rtl w:val="true"/>
          <w:lang w:bidi="ar-SA"/>
        </w:rPr>
        <w:t xml:space="preserve">استنادهم في ذلك إلى مجرّد الاستصحاب ، بل العلم العاديّ حاصل لهم بعدم النسخ ، ومنه يظهر الوجه في منع العمل بالفتاوى بالنسبة إلى المقلّدة بواسطة الاستصحاب عند الشكّ في موت المفتي أو حياته </w:t>
      </w:r>
      <w:r>
        <w:rPr>
          <w:rStyle w:val="FootnoteAnchor"/>
          <w:rtl w:val="true"/>
        </w:rPr>
        <w:footnoteReference w:id="423"/>
      </w:r>
      <w:r>
        <w:rPr>
          <w:rFonts w:ascii="Amiri" w:hAnsi="Amiri" w:eastAsia="Amiri" w:cs="Amiri"/>
          <w:color w:val="111111"/>
          <w:sz w:val="28"/>
          <w:sz w:val="28"/>
          <w:szCs w:val="28"/>
          <w:rtl w:val="true"/>
          <w:lang w:bidi="ar-SA"/>
        </w:rPr>
        <w:t>، كيف والأدلّة الناهية عن العمل بالظنّ فوق حدّ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424"/>
      </w:r>
      <w:r>
        <w:rPr>
          <w:rFonts w:ascii="IRNazanin" w:hAnsi="IRNazanin" w:eastAsia="IRNazanin"/>
          <w:color w:val="111111"/>
          <w:sz w:val="28"/>
          <w:sz w:val="28"/>
          <w:szCs w:val="28"/>
          <w:rtl w:val="true"/>
          <w:lang w:bidi="fa-IR"/>
        </w:rPr>
        <w:t xml:space="preserve">قول المستدلّ بعدم </w:t>
      </w:r>
      <w:r>
        <w:rPr>
          <w:rStyle w:val="FootnoteAnchor"/>
          <w:rtl w:val="true"/>
        </w:rPr>
        <w:footnoteReference w:id="425"/>
      </w:r>
      <w:r>
        <w:rPr>
          <w:rFonts w:ascii="Amiri" w:hAnsi="Amiri" w:eastAsia="Amiri" w:cs="Amiri"/>
          <w:color w:val="111111"/>
          <w:sz w:val="28"/>
          <w:sz w:val="28"/>
          <w:szCs w:val="28"/>
          <w:rtl w:val="true"/>
          <w:lang w:bidi="ar-SA"/>
        </w:rPr>
        <w:t xml:space="preserve">الكفاية في الردع ، ممنوع </w:t>
      </w:r>
      <w:r>
        <w:rPr>
          <w:rStyle w:val="FootnoteAnchor"/>
          <w:rtl w:val="true"/>
        </w:rPr>
        <w:footnoteReference w:id="426"/>
      </w:r>
      <w:r>
        <w:rPr>
          <w:rFonts w:ascii="Amiri" w:hAnsi="Amiri" w:eastAsia="Amiri" w:cs="Amiri"/>
          <w:color w:val="111111"/>
          <w:sz w:val="28"/>
          <w:sz w:val="28"/>
          <w:szCs w:val="28"/>
          <w:rtl w:val="true"/>
          <w:lang w:bidi="ar-SA"/>
        </w:rPr>
        <w:t xml:space="preserve">؛ للقطع بالكفاية وإن كان يحسن المنع بالخصوص أيضا ، مثلا لو شرب الخمر بمحضر من الإمام فعدم ردعه لو فرض لا يدلّ على جواز شربه بعد ما قرع الأسماع </w:t>
      </w:r>
      <w:r>
        <w:rPr>
          <w:rStyle w:val="FootnoteAnchor"/>
          <w:rtl w:val="true"/>
        </w:rPr>
        <w:footnoteReference w:id="427"/>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وَالْمَيْسِرُ وَالْأَنْصابُ وَالْأَزْلامُ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نعم يحسن ذلك إجمالا ، فيدور مدار الموارد ، وأمّا ما زعمه من عدم دلالتها على الردع بواسطة رجوعها إلى نفي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w:t>
      </w:r>
    </w:p>
    <w:p>
      <w:pPr>
        <w:pStyle w:val="BookText"/>
        <w:rPr/>
      </w:pPr>
      <w:r>
        <w:rPr>
          <w:rFonts w:ascii="Amiri" w:hAnsi="Amiri" w:eastAsia="Amiri" w:cs="Amiri"/>
          <w:color w:val="111111"/>
          <w:sz w:val="28"/>
          <w:sz w:val="28"/>
          <w:szCs w:val="28"/>
          <w:rtl w:val="true"/>
          <w:lang w:bidi="ar-SA"/>
        </w:rPr>
        <w:t xml:space="preserve">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 ؛ إذ الاستصحاب بعد لم يثبت اعتباره ، والعمل بأمارة حالها كذلك تشريع قطعا ؛ إذ الأخذ بالحالة السابقة ليس موافقا للاحتياط في جميع الموارد ، فلا ينفكّ عن التشريع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طرح الأصول القطعية من البراءة والاحتياط والتخيير ، فلزومه على تقدير الاستصحاب والأخذ به قطعي ، ولا ينافيه استقرار بناء العقلاء على العمل به بعد عدم دليل على اعتباره ، كما في غير الاستصحاب من الظنون المعمولة عند العقلاء الممنوع عنها شرعا كالظنّ الحاصل من قول البريد والمراسيل ، والقول باعتبار تلك الأصول عقلا لا ينافي ذلك ؛ إذ المفروض قطع العقل باعتبار البراءة عند الشكّ أو ما يرجع إليه من الظنون المشكوكة التي منها الاستصحاب ، وكذا الاحتياط ؛ إذ الحكم به في موارده قطعي على ما تقضي </w:t>
      </w:r>
      <w:r>
        <w:rPr>
          <w:rStyle w:val="FootnoteAnchor"/>
          <w:rtl w:val="true"/>
        </w:rPr>
        <w:footnoteReference w:id="429"/>
      </w:r>
      <w:r>
        <w:rPr>
          <w:rFonts w:ascii="Amiri" w:hAnsi="Amiri" w:eastAsia="Amiri" w:cs="Amiri"/>
          <w:color w:val="111111"/>
          <w:sz w:val="28"/>
          <w:sz w:val="28"/>
          <w:szCs w:val="28"/>
          <w:rtl w:val="true"/>
          <w:lang w:bidi="ar-SA"/>
        </w:rPr>
        <w:t xml:space="preserve">به صراحة العقل ، فتلك الأدلّة الناهية تدلّ على أنّ الظنّ ليس مناطا للإطاعة والمخالفة ولا يكفي في تحصيل الثواب والمنفعة وفي دفع العقاب والمضرّة ، فكيف يمكن القول بعدم كفاية مثل هذه الأدلّة في الردع </w:t>
      </w:r>
      <w:r>
        <w:rPr>
          <w:rStyle w:val="FootnoteAnchor"/>
          <w:rtl w:val="true"/>
        </w:rPr>
        <w:footnoteReference w:id="430"/>
      </w:r>
      <w:r>
        <w:rPr>
          <w:rFonts w:ascii="Amiri" w:hAnsi="Amiri" w:eastAsia="Amiri" w:cs="Amiri"/>
          <w:color w:val="111111"/>
          <w:sz w:val="28"/>
          <w:sz w:val="28"/>
          <w:szCs w:val="28"/>
          <w:rtl w:val="true"/>
          <w:lang w:bidi="ar-SA"/>
        </w:rPr>
        <w:t xml:space="preserve">؟ فالظنّ </w:t>
      </w:r>
      <w:r>
        <w:rPr>
          <w:rStyle w:val="FootnoteAnchor"/>
          <w:rtl w:val="true"/>
        </w:rPr>
        <w:footnoteReference w:id="431"/>
      </w:r>
      <w:r>
        <w:rPr>
          <w:rFonts w:ascii="Amiri" w:hAnsi="Amiri" w:eastAsia="Amiri" w:cs="Amiri"/>
          <w:color w:val="111111"/>
          <w:sz w:val="28"/>
          <w:sz w:val="28"/>
          <w:szCs w:val="28"/>
          <w:rtl w:val="true"/>
          <w:lang w:bidi="ar-SA"/>
        </w:rPr>
        <w:t>الحاصل من الاستصحاب في نظر الشارع كعدمه كالظنّ الحاصل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رامه المستدلّ من إثبات حجّية الظنّ الاستصحابي بالخصوص ، فمناف لما قرّره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يسوغ للشارع النهي عن العمل به والأخذ بالموهوم؟ فإنّ ذلك على فرض صحّته </w:t>
      </w:r>
      <w:r>
        <w:rPr>
          <w:rStyle w:val="FootnoteAnchor"/>
          <w:rtl w:val="true"/>
        </w:rPr>
        <w:footnoteReference w:id="432"/>
      </w:r>
      <w:r>
        <w:rPr>
          <w:rFonts w:ascii="Amiri" w:hAnsi="Amiri" w:eastAsia="Amiri" w:cs="Amiri"/>
          <w:color w:val="111111"/>
          <w:sz w:val="28"/>
          <w:sz w:val="28"/>
          <w:szCs w:val="28"/>
          <w:rtl w:val="true"/>
          <w:lang w:bidi="ar-SA"/>
        </w:rPr>
        <w:t xml:space="preserve">لا يقضي بخصوص الاستصحاب ، بل مقتضاه اعتبار مطلق الظنّ كما هو ظاهر ، وأفسد من ذلك كلّه منعه عن استقرار بناء العقلاء على العمل بالقياس أو إناطة بعض الأمور المتعلّقة بهم </w:t>
      </w:r>
      <w:r>
        <w:rPr>
          <w:rStyle w:val="FootnoteAnchor"/>
          <w:rtl w:val="true"/>
        </w:rPr>
        <w:footnoteReference w:id="433"/>
      </w:r>
      <w:r>
        <w:rPr>
          <w:rFonts w:ascii="Amiri" w:hAnsi="Amiri" w:eastAsia="Amiri" w:cs="Amiri"/>
          <w:color w:val="111111"/>
          <w:sz w:val="28"/>
          <w:sz w:val="28"/>
          <w:szCs w:val="28"/>
          <w:rtl w:val="true"/>
          <w:lang w:bidi="ar-SA"/>
        </w:rPr>
        <w:t>ممّا لا يمكن إنكاره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من الوجه الثاني في مقام إثبات الكبرى من اندارجه تحت مطلق </w:t>
      </w:r>
    </w:p>
    <w:p>
      <w:pPr>
        <w:pStyle w:val="BookText"/>
        <w:rPr/>
      </w:pPr>
      <w:r>
        <w:rPr>
          <w:rFonts w:ascii="Amiri" w:hAnsi="Amiri" w:eastAsia="Amiri" w:cs="Amiri"/>
          <w:color w:val="111111"/>
          <w:sz w:val="28"/>
          <w:sz w:val="28"/>
          <w:szCs w:val="28"/>
          <w:rtl w:val="true"/>
          <w:lang w:bidi="ar-SA"/>
        </w:rPr>
        <w:t xml:space="preserve">الظنّ الثابت اعتباره بدليل الانسداد ، فقد فرغنا عن تحقيقه وتنقيحه صحّة وفسادا بما لا مزيد عليه في مباحث </w:t>
      </w:r>
      <w:r>
        <w:rPr>
          <w:rStyle w:val="FootnoteAnchor"/>
          <w:rtl w:val="true"/>
        </w:rPr>
        <w:footnoteReference w:id="434"/>
      </w:r>
      <w:r>
        <w:rPr>
          <w:rFonts w:ascii="Amiri" w:hAnsi="Amiri" w:eastAsia="Amiri" w:cs="Amiri"/>
          <w:color w:val="111111"/>
          <w:sz w:val="28"/>
          <w:sz w:val="28"/>
          <w:szCs w:val="28"/>
          <w:rtl w:val="true"/>
          <w:lang w:bidi="ar-SA"/>
        </w:rPr>
        <w:t>الظنّ ، فليراجع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تسليم المقدّمتين لا ريب في عدم انتهاضه بتمام المدّعى ؛ لاختصاصه بالاستصحاب المفيد للظنّ ، والمدّعى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الأخذ به والرجوع إليه في موارد لا يفيد الظنّ كالنجاسة والطهارة كما يظهر من ديدنهم ويوضحه تقديمهم الأصل </w:t>
      </w:r>
      <w:r>
        <w:rPr>
          <w:rStyle w:val="FootnoteAnchor"/>
          <w:rtl w:val="true"/>
        </w:rPr>
        <w:footnoteReference w:id="435"/>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المفيد له ومن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إفادة الاستصحاب الظنّ في جميع الموارد إنّما يضرّ </w:t>
      </w:r>
      <w:r>
        <w:rPr>
          <w:rStyle w:val="FootnoteAnchor"/>
          <w:rtl w:val="true"/>
        </w:rPr>
        <w:footnoteReference w:id="436"/>
      </w:r>
      <w:r>
        <w:rPr>
          <w:rFonts w:ascii="Amiri" w:hAnsi="Amiri" w:eastAsia="Amiri" w:cs="Amiri"/>
          <w:color w:val="111111"/>
          <w:sz w:val="28"/>
          <w:sz w:val="28"/>
          <w:szCs w:val="28"/>
          <w:rtl w:val="true"/>
          <w:lang w:bidi="ar-SA"/>
        </w:rPr>
        <w:t>فيما لو أراد المستدلّ القول بإفادته الظنّ الشخصي وليس كذلك ، بل قد يكون المستدلّ من أرباب الظنون النوعية ، فيتمّ الاستدلال ؛ إذ لا أقلّ من القول بإفادة الاستصحاب في الموارد المتخلّف عنها الظنّ أنّه لو خلّي وطبعه يفيد الظنّ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أيضا ممّا لا يكاد يتمّ ؛ لظهور الفرق بين الاستصحاب وغيره من الأدلّة الظنّية ، فإنّ عدم إفادة الاستصحاب الظنّ في صورة دليل على خلافه ليس بواسطة وجود المانع عن إفادته الظنّ كما هو كذلك في سائر الأدلّة الظنّية بملاحظة امتناع قيام الظنّ على طرفي الخلاف ، بل بواسطة عدم المقتضي ، فإنّ الظاهر على ما يساعد عليه كلماتهم أنّ شرط إفادة الاستصحاب الظنّ هو عدم الظنّ الخارجي على خلافه ، يدلّ على ذلك قول العضدي </w:t>
      </w:r>
      <w:r>
        <w:rPr>
          <w:rStyle w:val="FootnoteAnchor"/>
          <w:rtl w:val="true"/>
        </w:rPr>
        <w:footnoteReference w:id="437"/>
      </w:r>
      <w:r>
        <w:rPr>
          <w:rFonts w:ascii="Amiri" w:hAnsi="Amiri" w:eastAsia="Amiri" w:cs="Amiri"/>
          <w:color w:val="111111"/>
          <w:sz w:val="28"/>
          <w:sz w:val="28"/>
          <w:szCs w:val="28"/>
          <w:rtl w:val="true"/>
          <w:lang w:bidi="ar-SA"/>
        </w:rPr>
        <w:t xml:space="preserve">في أوّل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يظنّ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لما كان لأخذ القيد المذكور وجه ؛ ضرورة استحالة اجتماع الظنّين على طرفي النقيض ، فأخذ هذا القيد يدلّ على أنّ من جملة أجزاء المقتضي للظنّ الاستصحابي هو عدم الظنّ الخارجي ، فلا ينافي القول بالظنّ النوعي عند قيام الظنّ على خلاف </w:t>
      </w:r>
    </w:p>
    <w:p>
      <w:pPr>
        <w:pStyle w:val="BookText"/>
        <w:rPr/>
      </w:pPr>
      <w:r>
        <w:rPr>
          <w:rFonts w:ascii="Amiri" w:hAnsi="Amiri" w:eastAsia="Amiri" w:cs="Amiri"/>
          <w:color w:val="111111"/>
          <w:sz w:val="28"/>
          <w:sz w:val="28"/>
          <w:szCs w:val="28"/>
          <w:rtl w:val="true"/>
          <w:lang w:bidi="ar-SA"/>
        </w:rPr>
        <w:t xml:space="preserve">الاستصحاب ، لعدم المقتضي للظنّ إذا ، ولا أقلّ من بقاء المقتضي في الظنون النوعية ، وهذا هو السرّ في تقديم سائر الأدلّة الظنّية على الاستصحاب على تقدير القول به ظنّا مع كونه من الأدلّة الاجتهادية أيضا على ما ستعرف في محلّه إن شاء اللّه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بعد ما أحطت خبرا بما تلونا </w:t>
      </w:r>
      <w:r>
        <w:rPr>
          <w:rStyle w:val="FootnoteAnchor"/>
          <w:rtl w:val="true"/>
        </w:rPr>
        <w:footnoteReference w:id="439"/>
      </w:r>
      <w:r>
        <w:rPr>
          <w:rFonts w:ascii="Amiri" w:hAnsi="Amiri" w:eastAsia="Amiri" w:cs="Amiri"/>
          <w:color w:val="111111"/>
          <w:sz w:val="28"/>
          <w:sz w:val="28"/>
          <w:szCs w:val="28"/>
          <w:rtl w:val="true"/>
          <w:lang w:bidi="ar-SA"/>
        </w:rPr>
        <w:t xml:space="preserve">تقدر على رفع ما عساه أن يقرّر الوجه المذكور بتقريب أنّ بناءهم مستقرّ على الأخذ بالحالة السابقة تعبّدا عقلائيا من غير إناطة لحصول الظنّ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عدم معقولية كون الشكّ مرجّحا ، لاستلزامه الترجيح بلا مرجّح ، فلا يعقل دعوى استقرار بناء العقلاء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دليل على اعتبار بنائهم ، على أنّه لم يذهب إليه فيما وجدناه وهم ، فإنّ الظاهر من القدماء اعتباره ظنّا وإن كان قد يوهم ذلك بعض وجوه احتجاجاتهم كما أومأنا إليه فيما تقدّم ، فتذكّر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الصدر المحقّق قد أورد في المقام كلاما </w:t>
      </w:r>
      <w:r>
        <w:rPr>
          <w:rStyle w:val="FootnoteAnchor"/>
          <w:rtl w:val="true"/>
        </w:rPr>
        <w:footnoteReference w:id="440"/>
      </w:r>
      <w:r>
        <w:rPr>
          <w:rFonts w:ascii="Amiri" w:hAnsi="Amiri" w:eastAsia="Amiri" w:cs="Amiri"/>
          <w:color w:val="111111"/>
          <w:sz w:val="28"/>
          <w:sz w:val="28"/>
          <w:szCs w:val="28"/>
          <w:rtl w:val="true"/>
          <w:lang w:bidi="ar-SA"/>
        </w:rPr>
        <w:t xml:space="preserve">وسلك في انتهاض الدليل على مطلبه مسلكا جديدا وطرزا طريفا لا بأس بذكر كلامه حتّى تحرّى في الاعتراض عليه على منواله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إذا لاحظ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Style w:val="FootnoteAnchor"/>
          <w:rtl w:val="true"/>
        </w:rPr>
        <w:footnoteReference w:id="441"/>
      </w:r>
      <w:r>
        <w:rPr>
          <w:rFonts w:ascii="Amiri" w:hAnsi="Amiri" w:eastAsia="Amiri" w:cs="Amiri"/>
          <w:color w:val="111111"/>
          <w:sz w:val="28"/>
          <w:sz w:val="28"/>
          <w:szCs w:val="28"/>
          <w:rtl w:val="true"/>
          <w:lang w:bidi="ar-SA"/>
        </w:rPr>
        <w:t xml:space="preserve">شأنه دوامه بدوام علّته التامّة وزواله بزوالها في زمان يكون من المحتمل عنده أن تحدث علّة الزوال وهي زوال </w:t>
      </w:r>
      <w:r>
        <w:rPr>
          <w:rStyle w:val="FootnoteAnchor"/>
          <w:rtl w:val="true"/>
        </w:rPr>
        <w:footnoteReference w:id="442"/>
      </w:r>
      <w:r>
        <w:rPr>
          <w:rFonts w:ascii="IRNazanin" w:hAnsi="IRNazanin" w:eastAsia="IRNazanin"/>
          <w:color w:val="111111"/>
          <w:sz w:val="28"/>
          <w:sz w:val="28"/>
          <w:szCs w:val="28"/>
          <w:rtl w:val="true"/>
          <w:lang w:bidi="fa-IR"/>
        </w:rPr>
        <w:t xml:space="preserve">جزء </w:t>
      </w:r>
      <w:r>
        <w:rPr>
          <w:rStyle w:val="FootnoteAnchor"/>
          <w:rtl w:val="true"/>
        </w:rPr>
        <w:footnoteReference w:id="443"/>
      </w:r>
      <w:r>
        <w:rPr>
          <w:rFonts w:ascii="Amiri" w:hAnsi="Amiri" w:eastAsia="Amiri" w:cs="Amiri"/>
          <w:color w:val="111111"/>
          <w:sz w:val="28"/>
          <w:sz w:val="28"/>
          <w:szCs w:val="28"/>
          <w:rtl w:val="true"/>
          <w:lang w:bidi="ar-SA"/>
        </w:rPr>
        <w:t xml:space="preserve">من أجزاء العلّة التامّة فيعدم الممكن ، أو لا تحدث فيبقى الممكن لوجود 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جانب الوجود مع ملاحظة تحقّقه السابق وإن كان هو والعدم متساويين في النظر مع ملاحظة </w:t>
      </w:r>
      <w:r>
        <w:rPr>
          <w:rStyle w:val="FootnoteAnchor"/>
          <w:rtl w:val="true"/>
        </w:rPr>
        <w:footnoteReference w:id="444"/>
      </w:r>
      <w:r>
        <w:rPr>
          <w:rFonts w:ascii="Amiri" w:hAnsi="Amiri" w:eastAsia="Amiri" w:cs="Amiri"/>
          <w:color w:val="111111"/>
          <w:sz w:val="28"/>
          <w:sz w:val="28"/>
          <w:szCs w:val="28"/>
          <w:rtl w:val="true"/>
          <w:lang w:bidi="ar-SA"/>
        </w:rPr>
        <w:t xml:space="preserve">حدوث علّة العدم </w:t>
      </w:r>
      <w:r>
        <w:rPr>
          <w:rStyle w:val="FootnoteAnchor"/>
          <w:rtl w:val="true"/>
        </w:rPr>
        <w:footnoteReference w:id="445"/>
      </w:r>
      <w:r>
        <w:rPr>
          <w:rFonts w:ascii="Amiri" w:hAnsi="Amiri" w:eastAsia="Amiri" w:cs="Amiri"/>
          <w:color w:val="111111"/>
          <w:sz w:val="28"/>
          <w:sz w:val="28"/>
          <w:szCs w:val="28"/>
          <w:rtl w:val="true"/>
          <w:lang w:bidi="ar-SA"/>
        </w:rPr>
        <w:t xml:space="preserve">وعدم حدوثها ، فيكون الوجود معلوما متيقّنا أوّلا ، ومشكوكا فيه مع قطع النظر عن اليقين السابق ثانيا ، ومظنونا بعد ملاحظة اليقين السابق ثالثا ، ولا يجوز لعاقل أن يدّعي أنّ نسبة وجود قرية رآها على ساحل بحر كان احتمال خرابها به وبقائها متساويين إلى عدمها عنده ، كنسبة وجود </w:t>
      </w:r>
    </w:p>
    <w:p>
      <w:pPr>
        <w:pStyle w:val="BookText"/>
        <w:rPr/>
      </w:pPr>
      <w:r>
        <w:rPr>
          <w:rFonts w:ascii="Amiri" w:hAnsi="Amiri" w:eastAsia="Amiri" w:cs="Amiri"/>
          <w:color w:val="111111"/>
          <w:sz w:val="28"/>
          <w:sz w:val="28"/>
          <w:szCs w:val="28"/>
          <w:rtl w:val="true"/>
          <w:lang w:bidi="ar-SA"/>
        </w:rPr>
        <w:t xml:space="preserve">قرية أخرى إلى عدمها عنده مع تساوي احتمالي بقائها وعدمه ، كيف وهو يسافر بقصد التجارة إلى الأولى دون الثانية ، ومعلوم أنّ هذا الرجحان لا بدّ له من موجب ؛ لأنّ وجود كلّ معلول يدلّ على وجود علّة له إجمالا ، وليست هي اليقين المتقدّم بنفسه ؛ لأنّ ما ثبت جاز أن يدوم وجاز أن لا يدوم ، ويشبه </w:t>
      </w:r>
      <w:r>
        <w:rPr>
          <w:rStyle w:val="FootnoteAnchor"/>
          <w:rtl w:val="true"/>
        </w:rPr>
        <w:footnoteReference w:id="446"/>
      </w:r>
      <w:r>
        <w:rPr>
          <w:rFonts w:ascii="Amiri" w:hAnsi="Amiri" w:eastAsia="Amiri" w:cs="Amiri"/>
          <w:color w:val="111111"/>
          <w:sz w:val="28"/>
          <w:sz w:val="28"/>
          <w:szCs w:val="28"/>
          <w:rtl w:val="true"/>
          <w:lang w:bidi="ar-SA"/>
        </w:rPr>
        <w:t xml:space="preserve">أن يكون هي كون الأغلب في أفراد الممكن القارّ أن يستمرّ وجوده بعد التحقّق ، فيكون رجحان وجود هذا الممكن الخاصّ للإلحاق بالأعمّ الأغلب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رجحان الدوام مؤيّدا بعادة </w:t>
      </w:r>
      <w:r>
        <w:rPr>
          <w:rStyle w:val="FootnoteAnchor"/>
          <w:rtl w:val="true"/>
        </w:rPr>
        <w:footnoteReference w:id="447"/>
      </w:r>
      <w:r>
        <w:rPr>
          <w:rFonts w:ascii="Amiri" w:hAnsi="Amiri" w:eastAsia="Amiri" w:cs="Amiri"/>
          <w:color w:val="111111"/>
          <w:sz w:val="28"/>
          <w:sz w:val="28"/>
          <w:szCs w:val="28"/>
          <w:rtl w:val="true"/>
          <w:lang w:bidi="ar-SA"/>
        </w:rPr>
        <w:t xml:space="preserve">أو أمارة أخرى ، وإلاّ فيقوّى بحسب تلك الأمارة والعادة ، وقس على الوجود حال العدم إذا تيقّنّا </w:t>
      </w:r>
      <w:r>
        <w:rPr>
          <w:rStyle w:val="FootnoteAnchor"/>
          <w:rtl w:val="true"/>
        </w:rPr>
        <w:footnoteReference w:id="448"/>
      </w:r>
      <w:r>
        <w:rPr>
          <w:rFonts w:ascii="Amiri" w:hAnsi="Amiri" w:eastAsia="Amiri" w:cs="Amiri"/>
          <w:color w:val="111111"/>
          <w:sz w:val="28"/>
          <w:sz w:val="28"/>
          <w:szCs w:val="28"/>
          <w:rtl w:val="true"/>
          <w:lang w:bidi="ar-SA"/>
        </w:rPr>
        <w:t xml:space="preserve">، مع أنّ استمرار العدم الازلي للممكن الحادث إلى وقت تمام </w:t>
      </w:r>
      <w:r>
        <w:rPr>
          <w:rStyle w:val="FootnoteAnchor"/>
          <w:rtl w:val="true"/>
        </w:rPr>
        <w:footnoteReference w:id="449"/>
      </w:r>
      <w:r>
        <w:rPr>
          <w:rFonts w:ascii="Amiri" w:hAnsi="Amiri" w:eastAsia="Amiri" w:cs="Amiri"/>
          <w:color w:val="111111"/>
          <w:sz w:val="28"/>
          <w:sz w:val="28"/>
          <w:szCs w:val="28"/>
          <w:rtl w:val="true"/>
          <w:lang w:bidi="ar-SA"/>
        </w:rPr>
        <w:t xml:space="preserve">علّته التامّة يقيني </w:t>
      </w:r>
      <w:r>
        <w:rPr>
          <w:rStyle w:val="FootnoteAnchor"/>
          <w:rtl w:val="true"/>
        </w:rPr>
        <w:footnoteReference w:id="450"/>
      </w:r>
      <w:r>
        <w:rPr>
          <w:rFonts w:ascii="Amiri" w:hAnsi="Amiri" w:eastAsia="Amiri" w:cs="Amiri"/>
          <w:color w:val="111111"/>
          <w:sz w:val="28"/>
          <w:sz w:val="28"/>
          <w:szCs w:val="28"/>
          <w:rtl w:val="true"/>
          <w:lang w:bidi="ar-SA"/>
        </w:rPr>
        <w:t xml:space="preserve">، انتهى كلامه رفع مقامه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رحمه‌اللّه </w:t>
      </w:r>
      <w:r>
        <w:rPr>
          <w:rStyle w:val="FootnoteAnchor"/>
          <w:rtl w:val="true"/>
        </w:rPr>
        <w:footnoteReference w:id="452"/>
      </w:r>
      <w:r>
        <w:rPr>
          <w:rFonts w:ascii="Amiri" w:hAnsi="Amiri" w:eastAsia="Amiri" w:cs="Amiri"/>
          <w:color w:val="111111"/>
          <w:sz w:val="28"/>
          <w:sz w:val="28"/>
          <w:szCs w:val="28"/>
          <w:rtl w:val="true"/>
          <w:lang w:bidi="ar-SA"/>
        </w:rPr>
        <w:t xml:space="preserve">وإن دقّق النظر فيما ذكره إلاّ أنّ الحقّ أحقّ بأن يتّبع ، فنقول في الجواب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فبالنقض بالموارد التي لا يفيد ظنّا مع وجود الغلبة المذكورة ، بل قد عرفت امتناع حصول الظنّ في بعض المقامات </w:t>
      </w:r>
      <w:r>
        <w:rPr>
          <w:rStyle w:val="FootnoteAnchor"/>
          <w:rtl w:val="true"/>
        </w:rPr>
        <w:footnoteReference w:id="453"/>
      </w:r>
      <w:r>
        <w:rPr>
          <w:rFonts w:ascii="Amiri" w:hAnsi="Amiri" w:eastAsia="Amiri" w:cs="Amiri"/>
          <w:color w:val="111111"/>
          <w:sz w:val="28"/>
          <w:sz w:val="28"/>
          <w:szCs w:val="28"/>
          <w:rtl w:val="true"/>
          <w:lang w:bidi="ar-SA"/>
        </w:rPr>
        <w:t>وإلاّ لزم إمّا حصول الظنّ على وجه اختياري ، وإمّا قيام الظنّ على طرفي النقيض كما مرّ مفصّلا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فبالحلّ ، وتحقيقه أنّ هذه الغلبة لا يمكن أن تصير </w:t>
      </w:r>
      <w:r>
        <w:rPr>
          <w:rStyle w:val="FootnoteAnchor"/>
          <w:rtl w:val="true"/>
        </w:rPr>
        <w:footnoteReference w:id="454"/>
      </w:r>
      <w:r>
        <w:rPr>
          <w:rFonts w:ascii="Amiri" w:hAnsi="Amiri" w:eastAsia="Amiri" w:cs="Amiri"/>
          <w:color w:val="111111"/>
          <w:sz w:val="28"/>
          <w:sz w:val="28"/>
          <w:szCs w:val="28"/>
          <w:rtl w:val="true"/>
          <w:lang w:bidi="ar-SA"/>
        </w:rPr>
        <w:t>سببا لحصول الظنّ ، أمّا إجمالا فلأنّ الغلبة والاستقراء لا يعقل أن يكون سببا للظنّ إلاّ بعد انتزاع القدر الجامع بين الأمور المستقرأة فيها وبين المشكوك على وجه يظنّ بكونه مناطا في الحكم الساري في الأفراد ، ووجود مثله ممنوع ، والأعمّ منه كالوجود غير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تفصيلا فبيانه </w:t>
      </w:r>
      <w:r>
        <w:rPr>
          <w:rStyle w:val="FootnoteAnchor"/>
          <w:rtl w:val="true"/>
        </w:rPr>
        <w:footnoteReference w:id="455"/>
      </w:r>
      <w:r>
        <w:rPr>
          <w:rFonts w:ascii="Amiri" w:hAnsi="Amiri" w:eastAsia="Amiri" w:cs="Amiri"/>
          <w:color w:val="111111"/>
          <w:sz w:val="28"/>
          <w:sz w:val="28"/>
          <w:szCs w:val="28"/>
          <w:rtl w:val="true"/>
          <w:lang w:bidi="ar-SA"/>
        </w:rPr>
        <w:t xml:space="preserve">يتوقّف على تحقيق معنى الغلبة وأقسامها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Style w:val="FootnoteAnchor"/>
          <w:rtl w:val="true"/>
        </w:rPr>
        <w:footnoteReference w:id="456"/>
      </w:r>
      <w:r>
        <w:rPr>
          <w:rFonts w:ascii="Amiri" w:hAnsi="Amiri" w:eastAsia="Amiri" w:cs="Amiri"/>
          <w:color w:val="111111"/>
          <w:sz w:val="28"/>
          <w:sz w:val="28"/>
          <w:szCs w:val="28"/>
          <w:rtl w:val="true"/>
          <w:lang w:bidi="ar-SA"/>
        </w:rPr>
        <w:t xml:space="preserve">عبارة عن كون الجزئيات المندرجة تحت كلّي في الأكثر على حالة واحدة بحيث يظنّ إلحاق المشكوك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ملاحظة تلك 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بعد ملاحظتها ، والاستقراء عبارة عن تصفّح الجزئيات لإثبات حكم المشكوك وإلحاقه بها ، ولا ريب أنّ مجرّد ملاحظة الجزئيات مع قطع النظر عن استكشاف الجامع بين الأفراد لا يعقل أن يكون مفيدا للظنّ ، وإلاّ يلزم أن يكون الجزئي كاسبا ومكتسبا ، بل لا بدّ من الظنّ بالقدر الجامع ليترتّب عليه الظنّ بالنتيجة ، ومن هنا يظهر الوجه في انحصار الحجّة في القياس ؛ لأنّ الاستقراء والتمثيل ما لم يستخرج منهما القدر الجامع </w:t>
      </w:r>
      <w:r>
        <w:rPr>
          <w:rStyle w:val="FootnoteAnchor"/>
          <w:rtl w:val="true"/>
        </w:rPr>
        <w:footnoteReference w:id="457"/>
      </w:r>
      <w:r>
        <w:rPr>
          <w:rFonts w:ascii="Amiri" w:hAnsi="Amiri" w:eastAsia="Amiri" w:cs="Amiri"/>
          <w:color w:val="111111"/>
          <w:sz w:val="28"/>
          <w:sz w:val="28"/>
          <w:szCs w:val="28"/>
          <w:rtl w:val="true"/>
          <w:lang w:bidi="ar-SA"/>
        </w:rPr>
        <w:t xml:space="preserve">يمتنع منه </w:t>
      </w:r>
      <w:r>
        <w:rPr>
          <w:rStyle w:val="FootnoteAnchor"/>
          <w:rtl w:val="true"/>
        </w:rPr>
        <w:footnoteReference w:id="458"/>
      </w:r>
      <w:r>
        <w:rPr>
          <w:rFonts w:ascii="Amiri" w:hAnsi="Amiri" w:eastAsia="Amiri" w:cs="Amiri"/>
          <w:color w:val="111111"/>
          <w:sz w:val="28"/>
          <w:sz w:val="28"/>
          <w:szCs w:val="28"/>
          <w:rtl w:val="true"/>
          <w:lang w:bidi="ar-SA"/>
        </w:rPr>
        <w:t xml:space="preserve">حصول الظنّ ، وعلى تقدير الاستخراج ينقلب قياسا ، غاية الأمر فيما إذا لم يكن الاستقراء أو التمثيل قطعيا يكون إحدى مقدّمتي القياس ظنّية ، فتكون </w:t>
      </w:r>
      <w:r>
        <w:rPr>
          <w:rStyle w:val="FootnoteAnchor"/>
          <w:rtl w:val="true"/>
        </w:rPr>
        <w:footnoteReference w:id="459"/>
      </w:r>
      <w:r>
        <w:rPr>
          <w:rFonts w:ascii="Amiri" w:hAnsi="Amiri" w:eastAsia="Amiri" w:cs="Amiri"/>
          <w:color w:val="111111"/>
          <w:sz w:val="28"/>
          <w:sz w:val="28"/>
          <w:szCs w:val="28"/>
          <w:rtl w:val="true"/>
          <w:lang w:bidi="ar-SA"/>
        </w:rPr>
        <w:t xml:space="preserve">النتيجة أيضا ظنّية ؛ لتبعيتها </w:t>
      </w:r>
      <w:r>
        <w:rPr>
          <w:rStyle w:val="FootnoteAnchor"/>
          <w:rtl w:val="true"/>
        </w:rPr>
        <w:footnoteReference w:id="460"/>
      </w:r>
      <w:r>
        <w:rPr>
          <w:rFonts w:ascii="Amiri" w:hAnsi="Amiri" w:eastAsia="Amiri" w:cs="Amiri"/>
          <w:color w:val="111111"/>
          <w:sz w:val="28"/>
          <w:sz w:val="28"/>
          <w:szCs w:val="28"/>
          <w:rtl w:val="true"/>
          <w:lang w:bidi="ar-SA"/>
        </w:rPr>
        <w:t xml:space="preserve">أخسّ مقدّماتها </w:t>
      </w:r>
      <w:r>
        <w:rPr>
          <w:rStyle w:val="FootnoteAnchor"/>
          <w:rtl w:val="true"/>
        </w:rPr>
        <w:footnoteReference w:id="461"/>
      </w:r>
      <w:r>
        <w:rPr>
          <w:rFonts w:ascii="Amiri" w:hAnsi="Amiri" w:eastAsia="Amiri" w:cs="Amiri"/>
          <w:color w:val="111111"/>
          <w:sz w:val="28"/>
          <w:sz w:val="28"/>
          <w:szCs w:val="28"/>
          <w:rtl w:val="true"/>
          <w:lang w:bidi="ar-SA"/>
        </w:rPr>
        <w:t xml:space="preserve">، فالفرق بين الغلبة والاستقراء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نبّهنا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صفة الأفراد ، والاستقراء وجدانها كذلك ، وقد يكون ملاحظة بعض الأفراد مفيدة للظنّ بالقدر الجامع وهذه وإن كانت ملحقة بالاستقراء حكما إلاّ أنّ الواقع خروجها منه موضوعا ، وبمثله نقول في الغلبة أيضا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فرض عدم استخراج القدر الجامع إمّا للشكّ في وجوده أو للقطع بعدمه ، فلا ريب في امتناع حصول الظنّ ، فلا يمكن إلحاق الفرد المشكوك ، وذلك كما إذا احتملنا أو علمنا بأنّ الحكم في كلّ واحد من الأفراد مسبّب عن سبب خاصّ غير مشترك بين الفردين من النوع مثلا ، فلو علمنا بوجود دود في الدار فبغلبة بقاء </w:t>
      </w:r>
    </w:p>
    <w:p>
      <w:pPr>
        <w:pStyle w:val="BookText"/>
        <w:rPr/>
      </w:pPr>
      <w:r>
        <w:rPr>
          <w:rFonts w:ascii="Amiri" w:hAnsi="Amiri" w:eastAsia="Amiri" w:cs="Amiri"/>
          <w:color w:val="111111"/>
          <w:sz w:val="28"/>
          <w:sz w:val="28"/>
          <w:szCs w:val="28"/>
          <w:rtl w:val="true"/>
          <w:lang w:bidi="ar-SA"/>
        </w:rPr>
        <w:t>الأشياء القارّة كالأرض والسماء والماء والهواء لا يصحّ الحكم ببقائه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الغلبة قد تكون </w:t>
      </w:r>
      <w:r>
        <w:rPr>
          <w:rStyle w:val="FootnoteAnchor"/>
          <w:rtl w:val="true"/>
        </w:rPr>
        <w:footnoteReference w:id="462"/>
      </w:r>
      <w:r>
        <w:rPr>
          <w:rFonts w:ascii="Amiri" w:hAnsi="Amiri" w:eastAsia="Amiri" w:cs="Amiri"/>
          <w:color w:val="111111"/>
          <w:sz w:val="28"/>
          <w:sz w:val="28"/>
          <w:szCs w:val="28"/>
          <w:rtl w:val="true"/>
          <w:lang w:bidi="ar-SA"/>
        </w:rPr>
        <w:t xml:space="preserve">جنسية وهي ما إذا كانت الأفراد الموجودة على صفة أفراد الجنس </w:t>
      </w:r>
      <w:r>
        <w:rPr>
          <w:rStyle w:val="FootnoteAnchor"/>
          <w:rtl w:val="true"/>
        </w:rPr>
        <w:footnoteReference w:id="463"/>
      </w:r>
      <w:r>
        <w:rPr>
          <w:rFonts w:ascii="Amiri" w:hAnsi="Amiri" w:eastAsia="Amiri" w:cs="Amiri"/>
          <w:color w:val="111111"/>
          <w:sz w:val="28"/>
          <w:sz w:val="28"/>
          <w:szCs w:val="28"/>
          <w:rtl w:val="true"/>
          <w:lang w:bidi="ar-SA"/>
        </w:rPr>
        <w:t xml:space="preserve">، كما إذا شككنا في استدارة جسم من الأجسام السفلية من المعادن أو النبات </w:t>
      </w:r>
      <w:r>
        <w:rPr>
          <w:rStyle w:val="FootnoteAnchor"/>
          <w:rtl w:val="true"/>
        </w:rPr>
        <w:footnoteReference w:id="464"/>
      </w:r>
      <w:r>
        <w:rPr>
          <w:rFonts w:ascii="Amiri" w:hAnsi="Amiri" w:eastAsia="Amiri" w:cs="Amiri"/>
          <w:color w:val="111111"/>
          <w:sz w:val="28"/>
          <w:sz w:val="28"/>
          <w:szCs w:val="28"/>
          <w:rtl w:val="true"/>
          <w:lang w:bidi="ar-SA"/>
        </w:rPr>
        <w:t xml:space="preserve">أو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يحكم فيه بعدمها ؛ لأنّ الغالب في الموجودات الجسمانية المركّبة عدم الاستدارة ، ثمّ إنّ الغلبة الجنسية كنفس الأجناس متدرّجة في المراتب ، والفرض غير خفيّ ، وقد تكون </w:t>
      </w:r>
      <w:r>
        <w:rPr>
          <w:rStyle w:val="FootnoteAnchor"/>
          <w:rtl w:val="true"/>
        </w:rPr>
        <w:footnoteReference w:id="465"/>
      </w:r>
      <w:r>
        <w:rPr>
          <w:rFonts w:ascii="Amiri" w:hAnsi="Amiri" w:eastAsia="Amiri" w:cs="Amiri"/>
          <w:color w:val="111111"/>
          <w:sz w:val="28"/>
          <w:sz w:val="28"/>
          <w:szCs w:val="28"/>
          <w:rtl w:val="true"/>
          <w:lang w:bidi="ar-SA"/>
        </w:rPr>
        <w:t xml:space="preserve">نوعية كما في أفراد الإنسان فيما إذا وجدناها </w:t>
      </w:r>
      <w:r>
        <w:rPr>
          <w:rStyle w:val="FootnoteAnchor"/>
          <w:rtl w:val="true"/>
        </w:rPr>
        <w:footnoteReference w:id="466"/>
      </w:r>
      <w:r>
        <w:rPr>
          <w:rFonts w:ascii="Amiri" w:hAnsi="Amiri" w:eastAsia="Amiri" w:cs="Amiri"/>
          <w:color w:val="111111"/>
          <w:sz w:val="28"/>
          <w:sz w:val="28"/>
          <w:szCs w:val="28"/>
          <w:rtl w:val="true"/>
          <w:lang w:bidi="ar-SA"/>
        </w:rPr>
        <w:t xml:space="preserve">على صفة واحدة ككونها في الأغلب على رأس واحد مثلا ، وقد تكون صنفية كما في أفراد الزنجي فإنّ الغالب فيها السواد مثلا ، وقد يختلف ذلك باختلاف الأصناف المندرجة تحت صنف فقد يكون أهل بلد </w:t>
      </w:r>
      <w:r>
        <w:rPr>
          <w:rStyle w:val="FootnoteAnchor"/>
          <w:rtl w:val="true"/>
        </w:rPr>
        <w:footnoteReference w:id="467"/>
      </w:r>
      <w:r>
        <w:rPr>
          <w:rFonts w:ascii="Amiri" w:hAnsi="Amiri" w:eastAsia="Amiri" w:cs="Amiri"/>
          <w:color w:val="111111"/>
          <w:sz w:val="28"/>
          <w:sz w:val="28"/>
          <w:szCs w:val="28"/>
          <w:rtl w:val="true"/>
          <w:lang w:bidi="ar-SA"/>
        </w:rPr>
        <w:t xml:space="preserve">مخصوص من الزنج على خلاف أفراد الصنف المطلق ، كما في الغلبة الجنسية أيضا تصير مختلفة على ما عرفت ، ولا شكّ في حصول الظنّ من الأقسام المذكورة ، ولا بدّ من الأخذ به أيضا على تقدير القول به أعاذنا اللّه منه بحقّ محمّد وآله </w:t>
      </w:r>
      <w:r>
        <w:rPr>
          <w:rStyle w:val="FootnoteAnchor"/>
          <w:rtl w:val="true"/>
        </w:rPr>
        <w:footnoteReference w:id="468"/>
      </w:r>
      <w:r>
        <w:rPr>
          <w:rFonts w:ascii="Amiri" w:hAnsi="Amiri" w:eastAsia="Amiri" w:cs="Amiri"/>
          <w:color w:val="111111"/>
          <w:sz w:val="28"/>
          <w:sz w:val="28"/>
          <w:szCs w:val="28"/>
          <w:rtl w:val="true"/>
          <w:lang w:bidi="ar-SA"/>
        </w:rPr>
        <w:t xml:space="preserve">، ولكن ذلك فيما إذا لم تكن </w:t>
      </w:r>
      <w:r>
        <w:rPr>
          <w:rStyle w:val="FootnoteAnchor"/>
          <w:rtl w:val="true"/>
        </w:rPr>
        <w:footnoteReference w:id="469"/>
      </w:r>
      <w:r>
        <w:rPr>
          <w:rFonts w:ascii="Amiri" w:hAnsi="Amiri" w:eastAsia="Amiri" w:cs="Amiri"/>
          <w:color w:val="111111"/>
          <w:sz w:val="28"/>
          <w:sz w:val="28"/>
          <w:szCs w:val="28"/>
          <w:rtl w:val="true"/>
          <w:lang w:bidi="ar-SA"/>
        </w:rPr>
        <w:t xml:space="preserve">الغلبة معارضة </w:t>
      </w:r>
      <w:r>
        <w:rPr>
          <w:rStyle w:val="FootnoteAnchor"/>
          <w:rtl w:val="true"/>
        </w:rPr>
        <w:footnoteReference w:id="470"/>
      </w:r>
      <w:r>
        <w:rPr>
          <w:rFonts w:ascii="Amiri" w:hAnsi="Amiri" w:eastAsia="Amiri" w:cs="Amiri"/>
          <w:color w:val="111111"/>
          <w:sz w:val="28"/>
          <w:sz w:val="28"/>
          <w:szCs w:val="28"/>
          <w:rtl w:val="true"/>
          <w:lang w:bidi="ar-SA"/>
        </w:rPr>
        <w:t>بغلبة أخرى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تعارضت الغلبتان الجنسية والنوعية أو الصنفية أو أصناف الصنف كما لا يخفى ، فالتحقيق </w:t>
      </w:r>
      <w:r>
        <w:rPr>
          <w:rStyle w:val="FootnoteAnchor"/>
          <w:rtl w:val="true"/>
        </w:rPr>
        <w:footnoteReference w:id="471"/>
      </w:r>
      <w:r>
        <w:rPr>
          <w:rFonts w:ascii="Amiri" w:hAnsi="Amiri" w:eastAsia="Amiri" w:cs="Amiri"/>
          <w:color w:val="111111"/>
          <w:sz w:val="28"/>
          <w:sz w:val="28"/>
          <w:szCs w:val="28"/>
          <w:rtl w:val="true"/>
          <w:lang w:bidi="ar-SA"/>
        </w:rPr>
        <w:t xml:space="preserve">هو الإلحاق بالغلبة الخاصّة في جميع المراتب ؛ لأنّ منشأ الإلحاق في الغلبة هو الظهور على ما عرفت ، والغلبة النوعية أشدّ ظهورا من الغلبة الجنسية ، والصنفية أظهر من النوعية ، والصنف الخاصّ أظهر من الصنف المطلق ، فبالحقيقة يرجع التعارض إلى تعارض الظاهر والأظهر ، ولا شكّ في تقديم الأظهر على الظاهر </w:t>
      </w:r>
    </w:p>
    <w:p>
      <w:pPr>
        <w:pStyle w:val="BookText"/>
        <w:rPr/>
      </w:pPr>
      <w:r>
        <w:rPr>
          <w:rFonts w:ascii="Amiri" w:hAnsi="Amiri" w:eastAsia="Amiri" w:cs="Amiri"/>
          <w:color w:val="111111"/>
          <w:sz w:val="28"/>
          <w:sz w:val="28"/>
          <w:szCs w:val="28"/>
          <w:rtl w:val="true"/>
          <w:lang w:bidi="ar-SA"/>
        </w:rPr>
        <w:t>على ما هو المعهود من تقديم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هو أنّ العقل يلاحظ المشكوك بما هو أقرب منه ، مثلا لو فرضنا أنّ محلّة من محلاّت بلدة تقضي بأن تكون أهلها على صفة ، ونفس تلك البلدة تقضي بأن تكون على صفة أخرى ، فعند الشكّ في لحوق فرد من تلك المحلّة بأهلها أو بأهل بلدها ، فلا ريب في أنّ العقل إنّما يستكشف حكمه من أهل تلك المحلّة دون تلك </w:t>
      </w:r>
      <w:r>
        <w:rPr>
          <w:rStyle w:val="FootnoteAnchor"/>
          <w:rtl w:val="true"/>
        </w:rPr>
        <w:footnoteReference w:id="472"/>
      </w:r>
      <w:r>
        <w:rPr>
          <w:rFonts w:ascii="Amiri" w:hAnsi="Amiri" w:eastAsia="Amiri" w:cs="Amiri"/>
          <w:color w:val="111111"/>
          <w:sz w:val="28"/>
          <w:sz w:val="28"/>
          <w:szCs w:val="28"/>
          <w:rtl w:val="true"/>
          <w:lang w:bidi="ar-SA"/>
        </w:rPr>
        <w:t xml:space="preserve">البلدة ، وأمثال هذه المطالب ممّا لا ينبغي الاشتباه فيها ، بل ممّا لا يكاد يشتبه على ما هو ظاهر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 قد عرفت ما مهّدنا </w:t>
      </w:r>
      <w:r>
        <w:rPr>
          <w:rStyle w:val="FootnoteAnchor"/>
          <w:rtl w:val="true"/>
        </w:rPr>
        <w:footnoteReference w:id="474"/>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بغلبة بقاء الممكنات القارّة ممّا لا يجدي في الحكم ببقاء الأحكام الشرعية إلحاقا لها بالأعمّ الأغلب كما صدر عن السيّد الصدر ، لما عرفت من أنّ الغلبة لا يمكن حصول الظنّ منها </w:t>
      </w:r>
      <w:r>
        <w:rPr>
          <w:rStyle w:val="FootnoteAnchor"/>
          <w:rtl w:val="true"/>
        </w:rPr>
        <w:footnoteReference w:id="475"/>
      </w:r>
      <w:r>
        <w:rPr>
          <w:rFonts w:ascii="Amiri" w:hAnsi="Amiri" w:eastAsia="Amiri" w:cs="Amiri"/>
          <w:color w:val="111111"/>
          <w:sz w:val="28"/>
          <w:sz w:val="28"/>
          <w:szCs w:val="28"/>
          <w:rtl w:val="true"/>
          <w:lang w:bidi="ar-SA"/>
        </w:rPr>
        <w:t xml:space="preserve">إلاّ بعد استخراج القدر الجامع القريب ، وانتفاؤه في محلّ </w:t>
      </w:r>
      <w:r>
        <w:rPr>
          <w:rStyle w:val="FootnoteAnchor"/>
          <w:rtl w:val="true"/>
        </w:rPr>
        <w:footnoteReference w:id="476"/>
      </w:r>
      <w:r>
        <w:rPr>
          <w:rFonts w:ascii="Amiri" w:hAnsi="Amiri" w:eastAsia="Amiri" w:cs="Amiri"/>
          <w:color w:val="111111"/>
          <w:sz w:val="28"/>
          <w:sz w:val="28"/>
          <w:szCs w:val="28"/>
          <w:rtl w:val="true"/>
          <w:lang w:bidi="ar-SA"/>
        </w:rPr>
        <w:t>الكلام ممّا لا يعتريه أثر الشكّ ، فإنّ القول ببقاء قطرة من الماء في ثوب زيد حال الشكّ فيه إلحاقا لها بوجود الأرض والسماء والبحار والهواء ، لعلّه يقرب من أن يكون من مضحكات الثكلى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بقاء الشيء المشكوك بقاؤه وارتفاعه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بقائه على تقدير البقاء ، والذي لا يمكن إلحاقه من الأحكام الشرعية كالخيار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بالموجودات القارّة ، لعدم القدر الجامع بينهما ، هو مقدار البقاء دون أصل البقاء ، ولعلّ السيّد إنّما قال بالإلحاق في المرحلة الأولى دون الثانية ، فإنّه لا بدّ في المرحلة الثانية </w:t>
      </w:r>
      <w:r>
        <w:rPr>
          <w:rStyle w:val="FootnoteAnchor"/>
          <w:rtl w:val="true"/>
        </w:rPr>
        <w:footnoteReference w:id="477"/>
      </w:r>
      <w:r>
        <w:rPr>
          <w:rFonts w:ascii="Amiri" w:hAnsi="Amiri" w:eastAsia="Amiri" w:cs="Amiri"/>
          <w:color w:val="111111"/>
          <w:sz w:val="28"/>
          <w:sz w:val="28"/>
          <w:szCs w:val="28"/>
          <w:rtl w:val="true"/>
          <w:lang w:bidi="ar-SA"/>
        </w:rPr>
        <w:t xml:space="preserve">من ملاحظة الأحكام الصادرة من الموالي بالنسبة إلى عبيدهم ، وملاحظة استعداد مقدار بقائها ، وبعد إحراز ذلك يحكم بالإلحاق ، ولم يظهر منه مخالفة </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اعتبار الوجود في الجملة ولو في زمان ما في الاستصحاب ، وبعد الوجود لا بدّ من الشكّ في البقاء والارتفاع ، وما يطلب من الاستصحاب هو مقدار البقاء لا أصل البقاء ، فإنّه عبارة عن الوجود الثابت في الزمان الثاني في الجملة ، وهو معلوم في الأغلب ، ولو رام إلى استصحاب أصل البقاء فهو أيضا فاسد ؛ إذ المفروض أنّه لا شكّ في البقاء في الجملة ، فلا يعقل الاستصحاب فيما لا يعقل فيه الشّك ، ومن هنا يظهر عدم استقامة ما أفاده المحقّق القمي رحمه‌اللّه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في توجيه ما أفاده السيّد ، ولعلّك بعد الإحاطة بما قرّرنا لك تقدر على استنباط وجوه النظر في كلام الموجّه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بعد تقدير التسليم عن إفادة الغلبة الظنّ بوجود المشكوك ، فالمستدلّ بها مطالب بالدليل على اعتبار الظنّ ، ولعلّه مبنيّ على القول بمطلق الظنّ ، وقد عرفت فيما حقّقنا لك من مباحث الظنّ عدم دلالة دليل على اعتباره كما أومأنا إليه </w:t>
      </w:r>
      <w:r>
        <w:rPr>
          <w:rStyle w:val="FootnoteAnchor"/>
          <w:rtl w:val="true"/>
        </w:rPr>
        <w:footnoteReference w:id="480"/>
      </w:r>
      <w:r>
        <w:rPr>
          <w:rFonts w:ascii="Amiri" w:hAnsi="Amiri" w:eastAsia="Amiri" w:cs="Amiri"/>
          <w:color w:val="111111"/>
          <w:sz w:val="28"/>
          <w:sz w:val="28"/>
          <w:szCs w:val="28"/>
          <w:rtl w:val="true"/>
          <w:lang w:bidi="ar-SA"/>
        </w:rPr>
        <w:t xml:space="preserve">في الردّ على الوجه الثاني في تقرير الكبرى من الدليل الثاني </w:t>
      </w:r>
      <w:r>
        <w:rPr>
          <w:rStyle w:val="FootnoteAnchor"/>
          <w:rtl w:val="true"/>
        </w:rPr>
        <w:footnoteReference w:id="481"/>
      </w:r>
      <w:r>
        <w:rPr>
          <w:rFonts w:ascii="Amiri" w:hAnsi="Amiri" w:eastAsia="Amiri" w:cs="Amiri"/>
          <w:color w:val="111111"/>
          <w:sz w:val="28"/>
          <w:sz w:val="28"/>
          <w:szCs w:val="28"/>
          <w:rtl w:val="true"/>
          <w:lang w:bidi="ar-SA"/>
        </w:rPr>
        <w:t xml:space="preserve">وإن لم يكن المناقشة فيما يكون مبنيّا على أصل بإنكار ذلك الأصل مرغوبا إليها عند أرباب النظر والتحصيل ، ولكنّ الذكرى تنفع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في تقرير الغلبة لو قلنا باعتبارها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483"/>
      </w:r>
      <w:r>
        <w:rPr>
          <w:rFonts w:ascii="Amiri" w:hAnsi="Amiri" w:eastAsia="Amiri" w:cs="Amiri"/>
          <w:color w:val="111111"/>
          <w:sz w:val="28"/>
          <w:sz w:val="28"/>
          <w:szCs w:val="28"/>
          <w:rtl w:val="true"/>
          <w:lang w:bidi="ar-SA"/>
        </w:rPr>
        <w:t>الغالب في الأحكام الصادرة من الموالي إلى العبيد أو خصوص الأحكام الشرعية هو البقاء ، ففيما إذا شكّ في بقاء حكم منها وارتفاعه يحكم العقل ظنّا بإلحاقه بالأغلب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مع ذلك لا يكاد يتمّ ؛ إذ هو موقوف على استخراج القدر الجامع من الغلبة النوعية أو الصنفية ، ودعوى ذلك في الأحكام الشرعية عهدتها على مدّعيها ؛ ضرورة </w:t>
      </w:r>
    </w:p>
    <w:p>
      <w:pPr>
        <w:pStyle w:val="BookText"/>
        <w:rPr/>
      </w:pPr>
      <w:r>
        <w:rPr>
          <w:rFonts w:ascii="Amiri" w:hAnsi="Amiri" w:eastAsia="Amiri" w:cs="Amiri"/>
          <w:color w:val="111111"/>
          <w:sz w:val="28"/>
          <w:sz w:val="28"/>
          <w:szCs w:val="28"/>
          <w:rtl w:val="true"/>
          <w:lang w:bidi="ar-SA"/>
        </w:rPr>
        <w:t xml:space="preserve">انتفائه فيما إذا شكّ في استعداد الحكم الشرعي ، إذ لا طريق لنا إلى العلم بمقدار استعداده حتّى يقال بإلحاقه على الأحكام العرفية </w:t>
      </w:r>
      <w:r>
        <w:rPr>
          <w:rStyle w:val="FootnoteAnchor"/>
          <w:rtl w:val="true"/>
        </w:rPr>
        <w:footnoteReference w:id="484"/>
      </w:r>
      <w:r>
        <w:rPr>
          <w:rFonts w:ascii="Amiri" w:hAnsi="Amiri" w:eastAsia="Amiri" w:cs="Amiri"/>
          <w:color w:val="111111"/>
          <w:sz w:val="28"/>
          <w:sz w:val="28"/>
          <w:szCs w:val="28"/>
          <w:rtl w:val="true"/>
          <w:lang w:bidi="ar-SA"/>
        </w:rPr>
        <w:t>على تقدير العلم باستعدادها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التوضيح فلاحظ فيما إذا شككت في عروض مانع للحكم الشرعي أو مانعية عارض له ، فإنّه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w:t>
      </w:r>
      <w:r>
        <w:rPr>
          <w:rStyle w:val="FootnoteAnchor"/>
          <w:rtl w:val="true"/>
        </w:rPr>
        <w:footnoteReference w:id="485"/>
      </w:r>
      <w:r>
        <w:rPr>
          <w:rFonts w:ascii="Amiri" w:hAnsi="Amiri" w:eastAsia="Amiri" w:cs="Amiri"/>
          <w:color w:val="111111"/>
          <w:sz w:val="28"/>
          <w:sz w:val="28"/>
          <w:szCs w:val="28"/>
          <w:rtl w:val="true"/>
          <w:lang w:bidi="ar-SA"/>
        </w:rPr>
        <w:t xml:space="preserve">في وجود البول بعد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السيّد الفلاني عبده بشراء لحم ، والآخر بضرب زيد ، والآخر بإكرام عمرو ، والآخر بضيافة خالد ، لم يعرض له مانع ، فكذلك لم يعرض المانع للطهارة ، كما أنّه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في مانعية المذي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486"/>
      </w:r>
      <w:r>
        <w:rPr>
          <w:rFonts w:ascii="Amiri" w:hAnsi="Amiri" w:eastAsia="Amiri" w:cs="Amiri"/>
          <w:color w:val="111111"/>
          <w:sz w:val="28"/>
          <w:sz w:val="28"/>
          <w:szCs w:val="28"/>
          <w:rtl w:val="true"/>
          <w:lang w:bidi="ar-SA"/>
        </w:rPr>
        <w:t>قلع الأشجار وجري الأنهار ودوران الفلك الدوّار وغيرها من الممكنات غير مانع ، فالمذي أيضا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من جميع ما مرّ عدم صحّة الاستناد إلى الغلبة في الاستصحاب ، فإنّها لا تصير منشأ لحصول الظنّ منه ، والذي يمكن أن يقال في المقام هو أنّا نرى العقلاء مطبقين على الأخذ بأحكام الحالة السابقة فيما إذا شكّ في المانع بأقسامه بعد إحراز المقتضي ، سواء كان في الوجوديات أو في العدميات ، وإن لم نعلم بالوجه في ذلك فلا نعلم أنّ ذلك منهم مبنيّ </w:t>
      </w:r>
      <w:r>
        <w:rPr>
          <w:rStyle w:val="FootnoteAnchor"/>
          <w:rtl w:val="true"/>
        </w:rPr>
        <w:footnoteReference w:id="487"/>
      </w:r>
      <w:r>
        <w:rPr>
          <w:rFonts w:ascii="IRNazanin" w:hAnsi="IRNazanin" w:eastAsia="IRNazanin"/>
          <w:color w:val="111111"/>
          <w:sz w:val="28"/>
          <w:sz w:val="28"/>
          <w:szCs w:val="28"/>
          <w:rtl w:val="true"/>
          <w:lang w:bidi="fa-IR"/>
        </w:rPr>
        <w:t xml:space="preserve">على الاستصحاب </w:t>
      </w:r>
      <w:r>
        <w:rPr>
          <w:rStyle w:val="FootnoteAnchor"/>
          <w:rtl w:val="true"/>
        </w:rPr>
        <w:footnoteReference w:id="488"/>
      </w:r>
      <w:r>
        <w:rPr>
          <w:rFonts w:ascii="Amiri" w:hAnsi="Amiri" w:eastAsia="Amiri" w:cs="Amiri"/>
          <w:color w:val="111111"/>
          <w:sz w:val="28"/>
          <w:sz w:val="28"/>
          <w:szCs w:val="28"/>
          <w:rtl w:val="true"/>
          <w:lang w:bidi="ar-SA"/>
        </w:rPr>
        <w:t xml:space="preserve">أو على قاعدة العدم ، وستعرف </w:t>
      </w:r>
      <w:r>
        <w:rPr>
          <w:rStyle w:val="FootnoteAnchor"/>
          <w:rtl w:val="true"/>
        </w:rPr>
        <w:footnoteReference w:id="489"/>
      </w:r>
      <w:r>
        <w:rPr>
          <w:rFonts w:ascii="Amiri" w:hAnsi="Amiri" w:eastAsia="Amiri" w:cs="Amiri"/>
          <w:color w:val="111111"/>
          <w:sz w:val="28"/>
          <w:sz w:val="28"/>
          <w:szCs w:val="28"/>
          <w:rtl w:val="true"/>
          <w:lang w:bidi="ar-SA"/>
        </w:rPr>
        <w:t>لذلك زيادة تحقيق وتنقيح في بعض الهدايات الآتية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بعد ملاحظة ما اقتصرنا عليه من ذكر الحجج الظنّية وإيراداتها </w:t>
      </w:r>
      <w:r>
        <w:rPr>
          <w:rStyle w:val="FootnoteAnchor"/>
          <w:rtl w:val="true"/>
        </w:rPr>
        <w:footnoteReference w:id="490"/>
      </w:r>
      <w:r>
        <w:rPr>
          <w:rFonts w:ascii="Amiri" w:hAnsi="Amiri" w:eastAsia="Amiri" w:cs="Amiri"/>
          <w:color w:val="111111"/>
          <w:sz w:val="28"/>
          <w:sz w:val="28"/>
          <w:szCs w:val="28"/>
          <w:rtl w:val="true"/>
          <w:lang w:bidi="ar-SA"/>
        </w:rPr>
        <w:t xml:space="preserve">تقدر على دفع سائر الوجوه التي لم نذكرها وهي كثيرة جدّا ، فلاحظها تهتدي إلى وجوه الإيراد عليها ، واللّه الموفّق وهو الهادي </w:t>
      </w:r>
      <w:r>
        <w:rPr>
          <w:rStyle w:val="FootnoteAnchor"/>
          <w:rtl w:val="true"/>
        </w:rPr>
        <w:footnoteReference w:id="491"/>
      </w:r>
      <w:r>
        <w:rPr>
          <w:rFonts w:ascii="Amiri" w:hAnsi="Amiri" w:eastAsia="Amiri" w:cs="Amiri"/>
          <w:color w:val="111111"/>
          <w:sz w:val="28"/>
          <w:sz w:val="28"/>
          <w:szCs w:val="28"/>
          <w:rtl w:val="true"/>
          <w:lang w:bidi="ar-SA"/>
        </w:rPr>
        <w:t>إلى طريق الرشاد وسبيل السداد</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6284_171069"/>
      <w:bookmarkStart w:id="83" w:name="pg16284_171069"/>
      <w:bookmarkEnd w:id="83"/>
    </w:p>
    <w:p>
      <w:pPr>
        <w:pStyle w:val="Heading3"/>
        <w:numPr>
          <w:ilvl w:val="2"/>
          <w:numId w:val="1"/>
        </w:numPr>
        <w:rPr/>
      </w:pPr>
      <w:bookmarkStart w:id="84" w:name="pg16284_171069"/>
      <w:bookmarkStart w:id="85" w:name="__RefHeading___Toc5012076_1280447820"/>
      <w:bookmarkStart w:id="86" w:name="_Toc27"/>
      <w:bookmarkEnd w:id="84"/>
      <w:bookmarkEnd w:id="85"/>
      <w:r>
        <w:rPr>
          <w:rtl w:val="true"/>
        </w:rPr>
        <w:t xml:space="preserve">هداية حاوية للنهاية والبداية </w:t>
      </w:r>
      <w:r>
        <w:rPr>
          <w:rtl w:val="true"/>
        </w:rPr>
        <w:t xml:space="preserve">[ </w:t>
      </w:r>
      <w:r>
        <w:rPr>
          <w:rtl w:val="true"/>
        </w:rPr>
        <w:t xml:space="preserve">في ذكر أدلّة حجّية الاستصحاب </w:t>
      </w:r>
      <w:r>
        <w:rPr>
          <w:rtl w:val="true"/>
        </w:rPr>
        <w:t>]</w:t>
      </w:r>
      <w:bookmarkEnd w:id="86"/>
    </w:p>
    <w:p>
      <w:pPr>
        <w:pStyle w:val="Heading4"/>
        <w:numPr>
          <w:ilvl w:val="3"/>
          <w:numId w:val="1"/>
        </w:numPr>
        <w:rPr/>
      </w:pPr>
      <w:bookmarkStart w:id="87" w:name="__RefHeading___Toc5012078_1280447820"/>
      <w:bookmarkStart w:id="88" w:name="_Toc28"/>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قد عرفت فيما تقدّم عدم دلالة العقل على اعتبار الاستصحاب على ما رامه المثبتون بأذيال الوجوه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الكتاب العزيز فقد يظهر من بعض </w:t>
      </w:r>
      <w:r>
        <w:rPr>
          <w:rStyle w:val="FootnoteAnchor"/>
          <w:rtl w:val="true"/>
        </w:rPr>
        <w:footnoteReference w:id="492"/>
      </w:r>
      <w:r>
        <w:rPr>
          <w:rFonts w:ascii="IRNazanin" w:hAnsi="IRNazanin" w:eastAsia="IRNazanin"/>
          <w:color w:val="111111"/>
          <w:sz w:val="28"/>
          <w:sz w:val="28"/>
          <w:szCs w:val="28"/>
          <w:rtl w:val="true"/>
          <w:lang w:bidi="fa-IR"/>
        </w:rPr>
        <w:t xml:space="preserve">من لا مساس </w:t>
      </w:r>
      <w:r>
        <w:rPr>
          <w:rStyle w:val="FootnoteAnchor"/>
          <w:rtl w:val="true"/>
        </w:rPr>
        <w:footnoteReference w:id="493"/>
      </w:r>
      <w:r>
        <w:rPr>
          <w:rFonts w:ascii="Amiri" w:hAnsi="Amiri" w:eastAsia="Amiri" w:cs="Amiri"/>
          <w:color w:val="111111"/>
          <w:sz w:val="28"/>
          <w:sz w:val="28"/>
          <w:szCs w:val="28"/>
          <w:rtl w:val="true"/>
          <w:lang w:bidi="ar-SA"/>
        </w:rPr>
        <w:t>له بالفنّ الاستناد إلى بعض الآيات ، ونحن وإن استقصينا التأمّل في تقريبه ما وقفنا على محصّل منه إلاّ أنّ أمثال هذه التقريبات من أمثاله غير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الإجماع على إثبات </w:t>
      </w:r>
      <w:r>
        <w:rPr>
          <w:rStyle w:val="FootnoteAnchor"/>
          <w:rtl w:val="true"/>
        </w:rPr>
        <w:footnoteReference w:id="494"/>
      </w:r>
      <w:r>
        <w:rPr>
          <w:rFonts w:ascii="Amiri" w:hAnsi="Amiri" w:eastAsia="Amiri" w:cs="Amiri"/>
          <w:color w:val="111111"/>
          <w:sz w:val="28"/>
          <w:sz w:val="28"/>
          <w:szCs w:val="28"/>
          <w:rtl w:val="true"/>
          <w:lang w:bidi="ar-SA"/>
        </w:rPr>
        <w:t>القاعدة السارية في تمام الموارد ، فلم نقف على ناقل منه أو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بالأدلّة الدالّة على ثبوت الحالة السابقة حال اليقين بتقريب أنّها دالّة على ثبوت الأحكام المشكوكة في اللاحق استلزاما ، فليس بشيء أيضا ؛ لعدم الملازمة بين ثبوت الشيء ودوامه ، فإنّ ما ثبت جاز أن يدوم وجاز أن لا يدوم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المرويّة عن السادة الأطهار عليهم‌السلام فمستفيضة في هذا المضمار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شيخ الطائفة المحقّة في التهذيب عن شيخه المفيد عن أحمد بن محمّد بن الحسن عن أبيه عن محمّد بن الحسن الصفّار عن أحمد بن محمّد بن عيسى عن 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جميعا عن الحسين بن سعيد عن حمّاد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 أتوجب الخفقة والخفقتان عليه الوضوء؟ فقال </w:t>
      </w:r>
      <w:r>
        <w:rPr>
          <w:rStyle w:val="FootnoteAnchor"/>
          <w:rtl w:val="true"/>
        </w:rPr>
        <w:footnoteReference w:id="495"/>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تنام العين ولا ينام القلب والأذن ، فإذا نامت العين والأذن والقلب وجب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في </w:t>
      </w:r>
      <w:r>
        <w:rPr>
          <w:rStyle w:val="FootnoteAnchor"/>
          <w:rtl w:val="true"/>
        </w:rPr>
        <w:footnoteReference w:id="496"/>
      </w:r>
      <w:r>
        <w:rPr>
          <w:rFonts w:ascii="Amiri" w:hAnsi="Amiri" w:eastAsia="Amiri" w:cs="Amiri"/>
          <w:color w:val="111111"/>
          <w:sz w:val="28"/>
          <w:sz w:val="28"/>
          <w:szCs w:val="28"/>
          <w:rtl w:val="true"/>
          <w:lang w:bidi="ar-SA"/>
        </w:rPr>
        <w:t xml:space="preserve">جنبه شيء ولا يعلم به؟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أنّه قد نام حتّى يجيء من ذلك أمر بيّن ، وإلاّ فإنّه على يقين من وضوئه ، ولا ينقض </w:t>
      </w:r>
      <w:r>
        <w:rPr>
          <w:rStyle w:val="FootnoteAnchor"/>
          <w:rtl w:val="true"/>
        </w:rPr>
        <w:footnoteReference w:id="497"/>
      </w:r>
      <w:r>
        <w:rPr>
          <w:rFonts w:ascii="Amiri" w:hAnsi="Amiri" w:eastAsia="Amiri" w:cs="Amiri"/>
          <w:color w:val="111111"/>
          <w:sz w:val="28"/>
          <w:sz w:val="28"/>
          <w:szCs w:val="28"/>
          <w:rtl w:val="true"/>
          <w:lang w:bidi="ar-SA"/>
        </w:rPr>
        <w:t xml:space="preserve">اليقين أبدا بالشكّ ، ولكن ينقضه بيقين آخر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المقام في تقريب المرام يحتاج إلى رسم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سند الرواية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عدّها عدّة من أصحابنا في عداد الصحاح ، بل جعلها صاحب المعالم في المنتقى </w:t>
      </w:r>
      <w:r>
        <w:rPr>
          <w:rStyle w:val="FootnoteAnchor"/>
          <w:rtl w:val="true"/>
        </w:rPr>
        <w:footnoteReference w:id="499"/>
      </w:r>
      <w:r>
        <w:rPr>
          <w:rFonts w:ascii="Amiri" w:hAnsi="Amiri" w:eastAsia="Amiri" w:cs="Amiri"/>
          <w:color w:val="111111"/>
          <w:sz w:val="28"/>
          <w:sz w:val="28"/>
          <w:szCs w:val="28"/>
          <w:rtl w:val="true"/>
          <w:lang w:bidi="ar-SA"/>
        </w:rPr>
        <w:t xml:space="preserve">من المزكّاة في كلّ المراتب </w:t>
      </w:r>
      <w:r>
        <w:rPr>
          <w:rStyle w:val="FootnoteAnchor"/>
          <w:rtl w:val="true"/>
        </w:rPr>
        <w:footnoteReference w:id="500"/>
      </w:r>
      <w:r>
        <w:rPr>
          <w:rFonts w:ascii="Amiri" w:hAnsi="Amiri" w:eastAsia="Amiri" w:cs="Amiri"/>
          <w:color w:val="111111"/>
          <w:sz w:val="28"/>
          <w:sz w:val="28"/>
          <w:szCs w:val="28"/>
          <w:rtl w:val="true"/>
          <w:lang w:bidi="ar-SA"/>
        </w:rPr>
        <w:t>بتزكية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نوقش </w:t>
      </w:r>
      <w:r>
        <w:rPr>
          <w:rStyle w:val="FootnoteAnchor"/>
          <w:rtl w:val="true"/>
        </w:rPr>
        <w:footnoteReference w:id="501"/>
      </w:r>
      <w:r>
        <w:rPr>
          <w:rFonts w:ascii="Amiri" w:hAnsi="Amiri" w:eastAsia="Amiri" w:cs="Amiri"/>
          <w:color w:val="111111"/>
          <w:sz w:val="28"/>
          <w:sz w:val="28"/>
          <w:szCs w:val="28"/>
          <w:rtl w:val="true"/>
          <w:lang w:bidi="ar-SA"/>
        </w:rPr>
        <w:t xml:space="preserve">في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بالإضمار ، فإنّ كتب الحديث غير التهذيب خالية عنها ، والإسناد إلى الباقر عليه‌السلام كما في بعض مصنّفات الفنّ غير معتمد عليه بعد خلوّ كتاب الرواية عنه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ظهور وثاقة أحمد بن محمّد من مهرة رجال الرجال ، وأمّا عدّه من مشايخ الإجازة فلا دلالة فيه على الوثاقة ؛ لوجوده في إبراهيم بن هاشم مع أنّ صاحب المعالم يرى روايته من الحسان دون الصحاح ، وقد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w:t>
      </w:r>
    </w:p>
    <w:p>
      <w:pPr>
        <w:pStyle w:val="BookText"/>
        <w:rPr/>
      </w:pPr>
      <w:r>
        <w:rPr>
          <w:rFonts w:ascii="Amiri" w:hAnsi="Amiri" w:eastAsia="Amiri" w:cs="Amiri"/>
          <w:color w:val="111111"/>
          <w:sz w:val="28"/>
          <w:sz w:val="28"/>
          <w:szCs w:val="28"/>
          <w:rtl w:val="true"/>
          <w:lang w:bidi="ar-SA"/>
        </w:rPr>
        <w:t>نشر أخبار الكوفيين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ربّما يطعنون 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روايته عن </w:t>
      </w:r>
      <w:r>
        <w:rPr>
          <w:rStyle w:val="FootnoteAnchor"/>
          <w:rtl w:val="true"/>
        </w:rPr>
        <w:footnoteReference w:id="502"/>
      </w:r>
      <w:r>
        <w:rPr>
          <w:rFonts w:ascii="Amiri" w:hAnsi="Amiri" w:eastAsia="Amiri" w:cs="Amiri"/>
          <w:color w:val="111111"/>
          <w:sz w:val="28"/>
          <w:sz w:val="28"/>
          <w:szCs w:val="28"/>
          <w:rtl w:val="true"/>
          <w:lang w:bidi="ar-SA"/>
        </w:rPr>
        <w:t>الضعفاء ، والراوي منه في السلسلة المذكورة هو المفيد ولم يطعن عليه بذلك أحد ، فيدلّ على وثاقة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الطعن إنّما هو فيما إذا علم ضعف الراوي وليس المقام منه ؛ إذ غاية ما يقال في حقّه عدم توثيقه لا ضعفه ، وذلك لا يكفي في الحكم بالضعف بالنسبة إلى الراويّ وإن اكتفي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النقل من </w:t>
      </w:r>
      <w:r>
        <w:rPr>
          <w:rStyle w:val="FootnoteAnchor"/>
          <w:rtl w:val="true"/>
        </w:rPr>
        <w:footnoteReference w:id="503"/>
      </w:r>
      <w:r>
        <w:rPr>
          <w:rFonts w:ascii="Amiri" w:hAnsi="Amiri" w:eastAsia="Amiri" w:cs="Amiri"/>
          <w:color w:val="111111"/>
          <w:sz w:val="28"/>
          <w:sz w:val="28"/>
          <w:szCs w:val="28"/>
          <w:rtl w:val="true"/>
          <w:lang w:bidi="ar-SA"/>
        </w:rPr>
        <w:t>الراوي يحتمل أن يكون بواسطة الاعتماد عليه والركون إليه ، ويحتمل أن يكون بواسطة الاعتماد على نفس الرواية ولكنّ النقل منه إنّما هو من حيث عدم تفرّق رواة الحديث واتّصال سنده إلى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فلا دلالة في نقل المفيد على وثاقته ؛ إذ لعلّه بواسطة الوثاقة على نفس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حريزا لم يوثّقه غير الشيخ في الفهرست </w:t>
      </w:r>
      <w:r>
        <w:rPr>
          <w:rStyle w:val="FootnoteAnchor"/>
          <w:rtl w:val="true"/>
        </w:rPr>
        <w:footnoteReference w:id="504"/>
      </w:r>
      <w:r>
        <w:rPr>
          <w:rFonts w:ascii="Amiri" w:hAnsi="Amiri" w:eastAsia="Amiri" w:cs="Amiri"/>
          <w:color w:val="111111"/>
          <w:sz w:val="28"/>
          <w:sz w:val="28"/>
          <w:szCs w:val="28"/>
          <w:rtl w:val="true"/>
          <w:lang w:bidi="ar-SA"/>
        </w:rPr>
        <w:t xml:space="preserve">فكيف يمكن أن يكون </w:t>
      </w:r>
      <w:r>
        <w:rPr>
          <w:rStyle w:val="FootnoteAnchor"/>
          <w:rtl w:val="true"/>
        </w:rPr>
        <w:footnoteReference w:id="505"/>
      </w:r>
      <w:r>
        <w:rPr>
          <w:rFonts w:ascii="Amiri" w:hAnsi="Amiri" w:eastAsia="Amiri" w:cs="Amiri"/>
          <w:color w:val="111111"/>
          <w:sz w:val="28"/>
          <w:sz w:val="28"/>
          <w:szCs w:val="28"/>
          <w:rtl w:val="true"/>
          <w:lang w:bidi="ar-SA"/>
        </w:rPr>
        <w:t xml:space="preserve">الرواية من الصحيح على مصطلح صاحب المعالم ، بل يظهر من النجاشي </w:t>
      </w:r>
      <w:r>
        <w:rPr>
          <w:rStyle w:val="FootnoteAnchor"/>
          <w:rtl w:val="true"/>
        </w:rPr>
        <w:footnoteReference w:id="506"/>
      </w:r>
      <w:r>
        <w:rPr>
          <w:rFonts w:ascii="Amiri" w:hAnsi="Amiri" w:eastAsia="Amiri" w:cs="Amiri"/>
          <w:color w:val="111111"/>
          <w:sz w:val="28"/>
          <w:sz w:val="28"/>
          <w:szCs w:val="28"/>
          <w:rtl w:val="true"/>
          <w:lang w:bidi="ar-SA"/>
        </w:rPr>
        <w:t>القدح 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أيضا وثّقه في الخلاصة كما يستفاد من </w:t>
      </w:r>
      <w:r>
        <w:rPr>
          <w:rStyle w:val="FootnoteAnchor"/>
          <w:rtl w:val="true"/>
        </w:rPr>
        <w:footnoteReference w:id="507"/>
      </w:r>
      <w:r>
        <w:rPr>
          <w:rFonts w:ascii="Amiri" w:hAnsi="Amiri" w:eastAsia="Amiri" w:cs="Amiri"/>
          <w:color w:val="111111"/>
          <w:sz w:val="28"/>
          <w:sz w:val="28"/>
          <w:szCs w:val="28"/>
          <w:rtl w:val="true"/>
          <w:lang w:bidi="ar-SA"/>
        </w:rPr>
        <w:t xml:space="preserve">عبارة الخلاصة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قبل الياء المنقّطة تحتها نقطتان والزاي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السجستاني أبو محمّد الأزدي من أهل الكوفة أكثر السفر </w:t>
      </w:r>
      <w:r>
        <w:rPr>
          <w:rStyle w:val="FootnoteAnchor"/>
          <w:rtl w:val="true"/>
        </w:rPr>
        <w:footnoteReference w:id="508"/>
      </w:r>
      <w:r>
        <w:rPr>
          <w:rFonts w:ascii="Amiri" w:hAnsi="Amiri" w:eastAsia="Amiri" w:cs="Amiri"/>
          <w:color w:val="111111"/>
          <w:sz w:val="28"/>
          <w:sz w:val="28"/>
          <w:szCs w:val="28"/>
          <w:rtl w:val="true"/>
          <w:lang w:bidi="ar-SA"/>
        </w:rPr>
        <w:t xml:space="preserve">والتجارة إلى سجستان فعرف بها ، </w:t>
      </w:r>
    </w:p>
    <w:p>
      <w:pPr>
        <w:pStyle w:val="BookText"/>
        <w:rPr/>
      </w:pPr>
      <w:r>
        <w:rPr>
          <w:rFonts w:ascii="Amiri" w:hAnsi="Amiri" w:eastAsia="Amiri" w:cs="Amiri"/>
          <w:color w:val="111111"/>
          <w:sz w:val="28"/>
          <w:sz w:val="28"/>
          <w:szCs w:val="28"/>
          <w:rtl w:val="true"/>
          <w:lang w:bidi="ar-SA"/>
        </w:rPr>
        <w:t xml:space="preserve">وكانت تجارته في السمن والزيت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 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عن أبي عبد اللّه عليه‌السلام إلاّ حديثين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موسى عليه‌السلام ،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ذلك ، 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 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حريز ممّن شهر السيف في قتال الخوارج بسجستان في حياة أبي عبد اللّه ، وروي أنّه جفاه وحجبه عنه ، وهذا القول من النجاشي لا يقتضي الطعن ؛ لعدم العلم بتعديل الراوي للجفاء ، وروى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حجبه عنه وفي طريقه محمّد بن عيسى ، وفيه قول ، مع أنّ الحجب لا يستلزم الجرح ؛ لعدم العلم بالسرّ فيه </w:t>
      </w:r>
      <w:r>
        <w:rPr>
          <w:rStyle w:val="FootnoteAnchor"/>
          <w:rtl w:val="true"/>
        </w:rPr>
        <w:footnoteReference w:id="5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 هذه العبارة على التوثيق ؛ لأنّ نفي الجرح لا يستلزم التعديل ، لكونه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Style w:val="FootnoteAnchor"/>
          <w:rtl w:val="true"/>
        </w:rPr>
        <w:footnoteReference w:id="510"/>
      </w:r>
      <w:r>
        <w:rPr>
          <w:rFonts w:ascii="Amiri" w:hAnsi="Amiri" w:eastAsia="Amiri" w:cs="Amiri"/>
          <w:color w:val="111111"/>
          <w:sz w:val="28"/>
          <w:sz w:val="28"/>
          <w:szCs w:val="28"/>
          <w:rtl w:val="true"/>
          <w:lang w:bidi="ar-SA"/>
        </w:rPr>
        <w:t>بعد التسليم فتعديل العلاّمة في الأغلب تابع لتعديل الشيخ ؛ لحسن ظنّه به ، كما يظهر ذلك لمن مارس كلامهما في التعديل ، إلاّ أنّ ذلك كلّه ممّا لا ضير فيه بعد ما استقرّ التحقيق على اعتبار الرواية الموثوق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الإضمار فلظهور أنّ جلالة شأن الراوي مانعة عن السؤال عن غير الإمام عليه‌السلام ، والظاهر أنّ الوجه في الإضمار في أمثال هذه الروايات هو تقطيع الأخبار تسهيلا على من حاول الإحاطة بما فيها من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تعديل أحمد بن محمّد فلا دليل على لزومه سوى أنّه أحد طرق تحصيل الوثوق ، وربّما يحصل من كونه من مشايخ الإجازة ما يزيد على التعديل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حكاية حريز فكالسابق ممّا لا غائلة </w:t>
      </w:r>
      <w:r>
        <w:rPr>
          <w:rStyle w:val="FootnoteAnchor"/>
          <w:rtl w:val="true"/>
        </w:rPr>
        <w:footnoteReference w:id="511"/>
      </w:r>
      <w:r>
        <w:rPr>
          <w:rFonts w:ascii="Amiri" w:hAnsi="Amiri" w:eastAsia="Amiri" w:cs="Amiri"/>
          <w:color w:val="111111"/>
          <w:sz w:val="28"/>
          <w:sz w:val="28"/>
          <w:szCs w:val="28"/>
          <w:rtl w:val="true"/>
          <w:lang w:bidi="ar-SA"/>
        </w:rPr>
        <w:t>فيها بعد الاطمئنان بالصدور ، نعم لا يتمّ على مذهب صاحب المعالم بحسب ما اصطلح عليه ، ويزيدك توضيحا في وثاقة الرواية نقله لها في المنتقى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في توجيه فقرات الرواية كي يتّضح موضع الحاجة في الاحتجاج ،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ينام وهو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إمّا تمدّد الأعضاء وإيقاع صورة النوم من المكلّف بالاستلقاء ومدّ الأيدي والأرجل استعارة ، وإمّا الشروع فيما يفضي إلى النوم من مقدّماته مشارفة ، وإمّا النوم الحقيقي ، بناء على أنّ الخفقة من مصاديقه الواقعية ، فلا منافاة بين هذه الفقرة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أتوجب الخفقة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ينام وهو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أنّه يحدث النوم والحال أنّه في زمان مقارن لزمان الوضوء ؛ لمكان دلالة الجملة الفعلية على التجدّد والحدوث بخلاف الجملة الاسمية ، فيرتفع التنافي بين قوليه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رأسه وهو ناعس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هل هو سؤال عن مانعية العارض فيكون الشبهة حكمية ، أو عن </w:t>
      </w:r>
      <w:r>
        <w:rPr>
          <w:rStyle w:val="FootnoteAnchor"/>
          <w:rtl w:val="true"/>
        </w:rPr>
        <w:footnoteReference w:id="513"/>
      </w:r>
      <w:r>
        <w:rPr>
          <w:rFonts w:ascii="Amiri" w:hAnsi="Amiri" w:eastAsia="Amiri" w:cs="Amiri"/>
          <w:color w:val="111111"/>
          <w:sz w:val="28"/>
          <w:sz w:val="28"/>
          <w:szCs w:val="28"/>
          <w:rtl w:val="true"/>
          <w:lang w:bidi="ar-SA"/>
        </w:rPr>
        <w:t xml:space="preserve">عروض المانع فيكون الشبهة موضوعية؟ وجهان ، أظهرهما الأوّل ، فإنّ المنساق منها ذلك ، ويحتمل بعيدا أن يكون السؤال عن </w:t>
      </w:r>
      <w:r>
        <w:rPr>
          <w:rStyle w:val="FootnoteAnchor"/>
          <w:rtl w:val="true"/>
        </w:rPr>
        <w:footnoteReference w:id="514"/>
      </w:r>
      <w:r>
        <w:rPr>
          <w:rFonts w:ascii="Amiri" w:hAnsi="Amiri" w:eastAsia="Amiri" w:cs="Amiri"/>
          <w:color w:val="111111"/>
          <w:sz w:val="28"/>
          <w:sz w:val="28"/>
          <w:szCs w:val="28"/>
          <w:rtl w:val="true"/>
          <w:lang w:bidi="ar-SA"/>
        </w:rPr>
        <w:t>اطّراد حكم النوم في جميع أفراده ؛ لاختلافها ظهورا وخفاء بعد العلم بدخولها تحت ماهيّة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يوضح ما ذكرنا من ظهور الرواية في السؤال عن الشكّ في مانعية العارض ملاحظة ما رواه الشيخ عن حسين بن سعيد عن فضالة عن حسين بن عثمان عن عبد الرحمن بن الحجّاج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الخفقة والخفقتين؟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الخفقة والخفقتان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إنّ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طعم النوم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الوضوء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تنام العين ولا ينام الأذن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عدم الملازمة بينهما ، وتوهّم عدم الانفكاك ساقط ، نعم الظاهر أنّ نوم الأذن يلازم نوم </w:t>
      </w:r>
    </w:p>
    <w:p>
      <w:pPr>
        <w:pStyle w:val="BookText"/>
        <w:rPr/>
      </w:pPr>
      <w:r>
        <w:rPr>
          <w:rFonts w:ascii="IRNazanin" w:hAnsi="IRNazanin" w:eastAsia="IRNazanin"/>
          <w:color w:val="111111"/>
          <w:sz w:val="28"/>
          <w:sz w:val="28"/>
          <w:szCs w:val="28"/>
          <w:rtl w:val="true"/>
          <w:lang w:bidi="fa-IR"/>
        </w:rPr>
        <w:t xml:space="preserve">القلب ولذا </w:t>
      </w:r>
      <w:r>
        <w:rPr>
          <w:rStyle w:val="FootnoteAnchor"/>
          <w:rtl w:val="true"/>
        </w:rPr>
        <w:footnoteReference w:id="517"/>
      </w:r>
      <w:r>
        <w:rPr>
          <w:rFonts w:ascii="Amiri" w:hAnsi="Amiri" w:eastAsia="Amiri" w:cs="Amiri"/>
          <w:color w:val="111111"/>
          <w:sz w:val="28"/>
          <w:sz w:val="28"/>
          <w:szCs w:val="28"/>
          <w:rtl w:val="true"/>
          <w:lang w:bidi="ar-SA"/>
        </w:rPr>
        <w:t>اقتصر الفقهاء على نوم الحاسّتين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حرّك في جنبه شيء وهو لا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سؤال عن حكم الشكّ في المانع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حصول عدم سماع الصوت الحاصل من التحريك المزبور هل يصلح أن يكون ممّا يستكشف به عن وجود النوم كما في سائر الأمارات ، أو لا؟ عكس السؤال الأوّل كما يلوح من ملاحظة نفس السؤال ، فإنّ احتمال عروض النوم أو عدم الالتفات إلى التحريك يصحّ أن يقعا مسئولا بهما في الشكّ في عروض المانع بخلاف الشكّ في مانعية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لا يعلم به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التحريك في جنبه شكّ في أنّ منشأ عدم العلم ما ذا فهل هو عروض النوم أو مجرّد عدم الالتفات إلى الصوت كما قد يحصل للإنسان؟ وهذا يصلح أن يكون شكّا في عروض المانع بخلاف الشكّ في منع العارض ؛ إذ لا يحتمل مانعية عدم الالتفات إلى الصوت ، للقطع بعدم المانعية ، كما لا يحتمل عدم مانعية النوم ، للعلم بذلك قطعا ، على أنّ الثاني لا يوافقه الجواب كما لا يخفى ، ويزيده توضيحا ملاحظة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يستيقن أنّه قد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يجيء من ذلك أمر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ظهور الجواب في كون السؤال عن الشكّ في عروض القادح والمانع ممّا لا ينكر ، ومن هنا يظهر أنّ من </w:t>
      </w:r>
      <w:r>
        <w:rPr>
          <w:rStyle w:val="FootnoteAnchor"/>
          <w:rtl w:val="true"/>
        </w:rPr>
        <w:footnoteReference w:id="519"/>
      </w:r>
      <w:r>
        <w:rPr>
          <w:rFonts w:ascii="Amiri" w:hAnsi="Amiri" w:eastAsia="Amiri" w:cs="Amiri"/>
          <w:color w:val="111111"/>
          <w:sz w:val="28"/>
          <w:sz w:val="28"/>
          <w:szCs w:val="28"/>
          <w:rtl w:val="true"/>
          <w:lang w:bidi="ar-SA"/>
        </w:rPr>
        <w:t xml:space="preserve">اقتصر في الاستدلال بهذه الفقرة ، ثمّ بالغ في الرّد على المحقّق السبزواري من </w:t>
      </w:r>
    </w:p>
    <w:p>
      <w:pPr>
        <w:pStyle w:val="BookText"/>
        <w:rPr/>
      </w:pPr>
      <w:r>
        <w:rPr>
          <w:rFonts w:ascii="Amiri" w:hAnsi="Amiri" w:eastAsia="Amiri" w:cs="Amiri"/>
          <w:color w:val="111111"/>
          <w:sz w:val="28"/>
          <w:sz w:val="28"/>
          <w:szCs w:val="28"/>
          <w:rtl w:val="true"/>
          <w:lang w:bidi="ar-SA"/>
        </w:rPr>
        <w:t>حيث منعه حجّية الاستصحاب عند الشكّ في منع العارض بأنّ مورد الرواية مخالف ، له فقد أخطأ ، نعم لو احتجّ بالفقرة الأولى أيضا صحّ الردّ والإيراد كما أنّه يدلّ على فساد التفصيل بين الموضوعات وأحكامها كما نسب إلى المحقّق المذكور أيضا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هذين الأمرين فاعلم أنّ محلّ الاستدلال 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على يقين من وضوئه 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علّة للجواب المحذوف للشرط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وقائم مقامه ، كما يوجد مثله كثيرا في كلمات الفصحاء ، سيّما القرآن العزيز فإنّه مشحون بذلك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تفق الأنام وأنت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المسك بعض دم الغزال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يستيقن فلا يجب الوضوء فإنّه على يقين من وضوئه ، فيكون بمنزلة صغرى من القياس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الكبرى ، فتنتج النتيجة المطلوبة ؛ لصحّة القياس مادّة وهيئة ، ودلالته على هذا التقدير على حجّية الاستصحاب واضحة لا تكاد تخفى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الجواب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توطئة لذكر الجواب ، كما قد تعارف عندهم أمثاله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من السفر فعندك منزل فانزل فيه ، وعلى تقديره أيضا يتمّ التقريب كما هو ظاهر إلاّ أنّه بعيد جدّا ، سيّما بعد ملاحظة الواو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الغالب في هذه الاستعمالات هو الإتيان بكلمة الفاء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يقال من أنّ حذف الجواب خلاف الأصل ، فمدفوع بأنّ خلاف الأصل </w:t>
      </w:r>
    </w:p>
    <w:p>
      <w:pPr>
        <w:pStyle w:val="BookText"/>
        <w:rPr/>
      </w:pPr>
      <w:r>
        <w:rPr>
          <w:rFonts w:ascii="Amiri" w:hAnsi="Amiri" w:eastAsia="Amiri" w:cs="Amiri"/>
          <w:color w:val="111111"/>
          <w:sz w:val="28"/>
          <w:sz w:val="28"/>
          <w:szCs w:val="28"/>
          <w:rtl w:val="true"/>
          <w:lang w:bidi="ar-SA"/>
        </w:rPr>
        <w:t xml:space="preserve">مجوّز الارتكاب بعد وجود الدليل ويكفي فيه ظهور المقام ، نعم في المقام شيء آخر لا يفرق فيه كلا الوجهين وهو احتمال إرادة العهد من 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ذكر اليقين في الوضوء قرينة قابلة لصرف اللفظ عن الحقيقة إليه ، ولا ينافيه لزوم كلّية الكبرى على التقدير الأوّل ؛ إذ يكفي فيها عموم الحكم لأفراد اليقين الوضوئي ولا يقضي بكون اليقين جنسا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المحقّق في محلّه مجازية اللام في العهد ، فأصالة الحقيقة تقضي باعتبار الجنس ، فيتمّ التقريب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دفع ذلك من أنّ أصالة الحقيقة ممّا لا عبرة بها بعد ما تقدّم من ذكر الوضوء واليقين المتعلّق به ، ونظير ذلك الجمل المتعقّبة </w:t>
      </w:r>
      <w:r>
        <w:rPr>
          <w:rStyle w:val="FootnoteAnchor"/>
          <w:rtl w:val="true"/>
        </w:rPr>
        <w:footnoteReference w:id="523"/>
      </w:r>
      <w:r>
        <w:rPr>
          <w:rFonts w:ascii="Amiri" w:hAnsi="Amiri" w:eastAsia="Amiri" w:cs="Amiri"/>
          <w:color w:val="111111"/>
          <w:sz w:val="28"/>
          <w:sz w:val="28"/>
          <w:szCs w:val="28"/>
          <w:rtl w:val="true"/>
          <w:lang w:bidi="ar-SA"/>
        </w:rPr>
        <w:t>بالاستثناء ، والأمر الوارد عقيب الحظر ، وغيرهما ، فإنّ جملة من أرباب الفنّ إنّما أهملوا إعمال أصالة الحقيقة في هذه الموارد نظرا إلى سبق ما يحتمل أن يكون صارفا عن المعنى الحقيقي ، سيّما فيما لم يكن بعيدا عن مساق اللفظ كما في المقام ، فالإنصاف أنّ دلالة هذه الرواية على حجّية الاستصحاب كانت في غاية الظهور لو كان المراد من اليقين هو جنس اليقين ، وبعد وجود ما يحتمل كونه صارفا في المقام فلا يتمّ التقريب إلاّ أن يبنى على دعوى وجود مناط الاستصحاب في غير موارد الوضوء ، وهذا وإن لم يكن بعيدا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أن يكون اللام للجنس أيضا لا وجه للاستدلال ؛ إذ لا عموم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الجنس المنفيّ يفيد العموم ، فيصحّ الاستدلال ، وقد يحتمل بعيدا أن يكون المراد باللام هو الاستغراق ، إلاّ أنّه ضعيف جدّا ؛ لأنّه مجاز لا يصار إليه إلاّ بدليل ، على أنّ ذلك إنّما يستلزم نفي العموم والمقصود لا يتمّ إلاّ بعموم النفي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بالفرق بين العموم المستفاد من اللام أو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ملاحظة الأمثلة في العرف ، ولعلّ السرّ في ذلك أنّ العموم المستفاد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ينحلّ إلى ذوات الأفراد مع قيد الإحاطة ، بخلاف عموم اللام فإنّه ينحلّ إلى نفس الأفراد من دون قيد ، فيتوجّه النفي </w:t>
      </w:r>
      <w:r>
        <w:rPr>
          <w:rStyle w:val="FootnoteAnchor"/>
          <w:rtl w:val="true"/>
        </w:rPr>
        <w:footnoteReference w:id="524"/>
      </w:r>
      <w:r>
        <w:rPr>
          <w:rFonts w:ascii="Amiri" w:hAnsi="Amiri" w:eastAsia="Amiri" w:cs="Amiri"/>
          <w:color w:val="111111"/>
          <w:sz w:val="28"/>
          <w:sz w:val="28"/>
          <w:szCs w:val="28"/>
          <w:rtl w:val="true"/>
          <w:lang w:bidi="ar-SA"/>
        </w:rPr>
        <w:t xml:space="preserve">إلى القيد في الأوّل دون الثاني ، مع أنّ بعضهم قد أفاد </w:t>
      </w:r>
      <w:r>
        <w:rPr>
          <w:rStyle w:val="FootnoteAnchor"/>
          <w:rtl w:val="true"/>
        </w:rPr>
        <w:footnoteReference w:id="525"/>
      </w:r>
      <w:r>
        <w:rPr>
          <w:rFonts w:ascii="Amiri" w:hAnsi="Amiri" w:eastAsia="Amiri" w:cs="Amiri"/>
          <w:color w:val="111111"/>
          <w:sz w:val="28"/>
          <w:sz w:val="28"/>
          <w:szCs w:val="28"/>
          <w:rtl w:val="true"/>
          <w:lang w:bidi="ar-SA"/>
        </w:rPr>
        <w:t xml:space="preserve">أنّ مرجع عموم النفي ونفي العموم إلى ما هو المستفاد من الألفاظ الدالّة على ذلك عرفا ، فلا يفرق في ذلك لفظ الكلّ أو اللام ، 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يفيد عموم النفي أو يتعسّف في إثبات العموم على تقدير نفي العموم أيضا ببرهان الحكمة ؛ إذ لا يتعيّن نفي العموم في ضمن البعض ، لاحتمال نفي الكلّ أيضا ، فإنّ السالبة الجزئية لا تناقض السالبة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أنّ دلالة الرواية على المطلوب تامّة لو لم يكن قيام الاحتمال المذكور ، فيا ليته لم يكن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 أحدهما يناسب الآخر أيضا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أيضا في كتاب صلاة التهذيب عن الحسين بن سعيد عن حمّاد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أو غيره أو شيء من منيّ ، فعلّمت أثره إلى أن أصيب له من الماء ، فأصبت وحضرت الصلاة ونسيت أنّ بثوبي شيئا وصلّيت ، ثمّ إنّي ذكرت بعد ذلك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تعيد الصلاة وتغسله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رأيت موضعه وعلمت أنّه قد أصابه ولم أتيقّن ذلك ، فنظرت فلم أر شيئا ، ثمّ صلّيت فرأيت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وتعيد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قد أصابه ولم أتيقّن ذلك ، فنظرت فلم أر شيئا ، ثمّ صلّيت فرأيت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w:t>
      </w:r>
      <w:r>
        <w:rPr>
          <w:rStyle w:val="FootnoteAnchor"/>
          <w:rtl w:val="true"/>
        </w:rPr>
        <w:footnoteReference w:id="527"/>
      </w:r>
      <w:r>
        <w:rPr>
          <w:rFonts w:ascii="Amiri" w:hAnsi="Amiri" w:eastAsia="Amiri" w:cs="Amiri"/>
          <w:color w:val="111111"/>
          <w:sz w:val="28"/>
          <w:sz w:val="28"/>
          <w:szCs w:val="28"/>
          <w:rtl w:val="true"/>
          <w:lang w:bidi="ar-SA"/>
        </w:rPr>
        <w:t xml:space="preserve">ولا تعيد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ذاك؟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 ثمّ شككت ، فليس ينبغي لك أن تنقض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أنّه قد أصاب ولم أدر أين هو فأغسله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من ثوبك الناحية التي ترى أنّه </w:t>
      </w:r>
      <w:r>
        <w:rPr>
          <w:rStyle w:val="FootnoteAnchor"/>
          <w:rtl w:val="true"/>
        </w:rPr>
        <w:footnoteReference w:id="528"/>
      </w:r>
      <w:r>
        <w:rPr>
          <w:rFonts w:ascii="Amiri" w:hAnsi="Amiri" w:eastAsia="Amiri" w:cs="Amiri"/>
          <w:color w:val="111111"/>
          <w:sz w:val="28"/>
          <w:sz w:val="28"/>
          <w:szCs w:val="28"/>
          <w:rtl w:val="true"/>
          <w:lang w:bidi="ar-SA"/>
        </w:rPr>
        <w:t xml:space="preserve">قد أصابها حتّى تكون على يقين </w:t>
      </w:r>
    </w:p>
    <w:p>
      <w:pPr>
        <w:pStyle w:val="BookText"/>
        <w:rPr/>
      </w:pPr>
      <w:r>
        <w:rPr>
          <w:rFonts w:ascii="Amiri" w:hAnsi="Amiri" w:eastAsia="Amiri" w:cs="Amiri"/>
          <w:color w:val="111111"/>
          <w:sz w:val="28"/>
          <w:sz w:val="28"/>
          <w:szCs w:val="28"/>
          <w:rtl w:val="true"/>
          <w:lang w:bidi="ar-SA"/>
        </w:rPr>
        <w:t xml:space="preserve">من طهارتك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في أنّه أصابه بشيء أن انظر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ولكنّك إنّما تريد أن تذهب الشكّ الذي وقع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رأيته في ثوبي وأنا 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تنقض الصلاة وتعيد إذا شككت في موضع منه ثمّ رأيته ، وإن لم تشكّ ثمّ رأيته رطبا قطعت وغسلته ، ثمّ بنيت على الصلاة ؛ لأنّك لا تدري لعلّه شيء أوقع عليك ، فليس ينبغي أن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الشريفة مع اشتمالها على أحكام شتّى وفقرات لا غبار عليها ، ممّا لا ضير في إضمارها </w:t>
      </w:r>
      <w:r>
        <w:rPr>
          <w:rStyle w:val="FootnoteAnchor"/>
          <w:rtl w:val="true"/>
        </w:rPr>
        <w:footnoteReference w:id="530"/>
      </w:r>
      <w:r>
        <w:rPr>
          <w:rFonts w:ascii="Amiri" w:hAnsi="Amiri" w:eastAsia="Amiri" w:cs="Amiri"/>
          <w:color w:val="111111"/>
          <w:sz w:val="28"/>
          <w:sz w:val="28"/>
          <w:szCs w:val="28"/>
          <w:rtl w:val="true"/>
          <w:lang w:bidi="ar-SA"/>
        </w:rPr>
        <w:t xml:space="preserve">ولا في قطعها بعد كون الراوي جليل الشأن رفيع المنزلة عظيم القدر ، سيّما بعد ملاحظة ما في العلل </w:t>
      </w:r>
      <w:r>
        <w:rPr>
          <w:rStyle w:val="FootnoteAnchor"/>
          <w:rtl w:val="true"/>
        </w:rPr>
        <w:footnoteReference w:id="531"/>
      </w:r>
      <w:r>
        <w:rPr>
          <w:rFonts w:ascii="Amiri" w:hAnsi="Amiri" w:eastAsia="Amiri" w:cs="Amiri"/>
          <w:color w:val="111111"/>
          <w:sz w:val="28"/>
          <w:sz w:val="28"/>
          <w:szCs w:val="28"/>
          <w:rtl w:val="true"/>
          <w:lang w:bidi="ar-SA"/>
        </w:rPr>
        <w:t>من إسنادها إلى أبي جعفر ، ووقوع إبراهيم بن هاشم في طريقها ممّا لا يقضي بعدم الوثوق بصدورها على ما هو المناط عند التحقيق في حجّية الخبر واعتباره من حيث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الاحتجاج بهذه الرواية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ظاهر مثل ما تقدّم في الرواية الأولى ، بل الأمر في المقام أظهر ؛ لكونه صريحا في التعليل ، فيوجد صغرى مفروضة ، وكبرى معلومة ، ويستدلّ بهما على النتيجة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العهد في المقام أيضا أظهر من احتماله في المقام الأوّل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العلّة المنصوصة في الرواية قاض بالأخذ بها حيث ما وجد ، فإنّ </w:t>
      </w:r>
    </w:p>
    <w:p>
      <w:pPr>
        <w:pStyle w:val="BookText"/>
        <w:rPr/>
      </w:pPr>
      <w:r>
        <w:rPr>
          <w:rFonts w:ascii="Amiri" w:hAnsi="Amiri" w:eastAsia="Amiri" w:cs="Amiri"/>
          <w:color w:val="111111"/>
          <w:sz w:val="28"/>
          <w:sz w:val="28"/>
          <w:szCs w:val="28"/>
          <w:rtl w:val="true"/>
          <w:lang w:bidi="ar-SA"/>
        </w:rPr>
        <w:t>التحقيق هو الأخذ بعمومها ، وقضيّة ذلك هو اعتبار الاستصحاب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عموم العلّة هو اطّراد الحكم المعلّل بهذه العلّة في مواردها لا ثبوت أحكام أخر على تقدير وجود العلّة ، والحكم في الرواية هو عدم إعادة الصلاة كما أنّ في الرواية السابقة هو عدم وجوب الطهارة ، واطّرادهما في الموارد معلوم غير محتاج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من ثوبك </w:t>
      </w:r>
      <w:r>
        <w:rPr>
          <w:rStyle w:val="FootnoteAnchor"/>
          <w:rtl w:val="true"/>
        </w:rPr>
        <w:footnoteReference w:id="532"/>
      </w:r>
      <w:r>
        <w:rPr>
          <w:rFonts w:ascii="Amiri" w:hAnsi="Amiri" w:eastAsia="Amiri" w:cs="Amiri"/>
          <w:color w:val="111111"/>
          <w:sz w:val="28"/>
          <w:sz w:val="28"/>
          <w:szCs w:val="28"/>
          <w:rtl w:val="true"/>
          <w:lang w:bidi="ar-SA"/>
        </w:rPr>
        <w:t xml:space="preserve">الناحية التي ترى أنّه قد أصابها حتّى تكون على يقين من طهارتك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المنساق منها ثبوت النجاسة إلى أن يعلم بزوالها ، وهو معنى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أن يكون باعتبار قاعدة الاشتغال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 أنّها تدلّ على الاستصحاب في الطهارة والنجاسة وهما معلوما الحكم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فليس ينبغي أن تنقض </w:t>
      </w:r>
      <w:r>
        <w:rPr>
          <w:rStyle w:val="FootnoteAnchor"/>
          <w:rtl w:val="true"/>
        </w:rPr>
        <w:footnoteReference w:id="534"/>
      </w:r>
      <w:r>
        <w:rPr>
          <w:rFonts w:ascii="Amiri" w:hAnsi="Amiri" w:eastAsia="Amiri" w:cs="Amiri"/>
          <w:color w:val="111111"/>
          <w:sz w:val="28"/>
          <w:sz w:val="28"/>
          <w:szCs w:val="28"/>
          <w:rtl w:val="true"/>
          <w:lang w:bidi="ar-SA"/>
        </w:rPr>
        <w:t xml:space="preserve">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والتضعيف المتقدّمين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المقام شيء </w:t>
      </w:r>
      <w:r>
        <w:rPr>
          <w:rStyle w:val="FootnoteAnchor"/>
          <w:rtl w:val="true"/>
        </w:rPr>
        <w:footnoteReference w:id="535"/>
      </w:r>
      <w:r>
        <w:rPr>
          <w:rFonts w:ascii="Amiri" w:hAnsi="Amiri" w:eastAsia="Amiri" w:cs="Amiri"/>
          <w:color w:val="111111"/>
          <w:sz w:val="28"/>
          <w:sz w:val="28"/>
          <w:szCs w:val="28"/>
          <w:rtl w:val="true"/>
          <w:lang w:bidi="ar-SA"/>
        </w:rPr>
        <w:t xml:space="preserve">ينبغي التنبيه عليه ، وهو أنّ قول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فلم أر شيئا ثمّ صلّيت فرأيته فيه ، إن كان المراد به عدم العلم بالنجاسة التي فحص عنها قبل الصلاة ، فجواب الإمام عليه‌السلام ظاهر لا إشكال فيه </w:t>
      </w:r>
      <w:r>
        <w:rPr>
          <w:rStyle w:val="FootnoteAnchor"/>
          <w:rtl w:val="true"/>
        </w:rPr>
        <w:footnoteReference w:id="536"/>
      </w:r>
      <w:r>
        <w:rPr>
          <w:rFonts w:ascii="Amiri" w:hAnsi="Amiri" w:eastAsia="Amiri" w:cs="Amiri"/>
          <w:color w:val="111111"/>
          <w:sz w:val="28"/>
          <w:sz w:val="28"/>
          <w:szCs w:val="28"/>
          <w:rtl w:val="true"/>
          <w:lang w:bidi="ar-SA"/>
        </w:rPr>
        <w:t xml:space="preserve">، وأمّا إن كان المراد به عدم وجدان النجاسة قبل الصلاة ، ثمّ العلم بها بعد الصلاة قبل الصلاة ، فيشكل الأمر من حيث إنّ الإعادة بعد ذلك بواسطة العلم بوجود النجاسة ، فيكون من نقض اليقين باليقين ، فيشكل التعليل المذكور إلاّ أن يكون المراد اليقين بوقوع العمل مطابقا للأمر </w:t>
      </w:r>
    </w:p>
    <w:p>
      <w:pPr>
        <w:pStyle w:val="BookText"/>
        <w:rPr/>
      </w:pPr>
      <w:r>
        <w:rPr>
          <w:rFonts w:ascii="Amiri" w:hAnsi="Amiri" w:eastAsia="Amiri" w:cs="Amiri"/>
          <w:color w:val="111111"/>
          <w:sz w:val="28"/>
          <w:sz w:val="28"/>
          <w:szCs w:val="28"/>
          <w:rtl w:val="true"/>
          <w:lang w:bidi="ar-SA"/>
        </w:rPr>
        <w:t xml:space="preserve">الاستصحابي الظاهري ، وهو يفيد الإجزاء ، فتكون </w:t>
      </w:r>
      <w:r>
        <w:rPr>
          <w:rStyle w:val="FootnoteAnchor"/>
          <w:rtl w:val="true"/>
        </w:rPr>
        <w:footnoteReference w:id="537"/>
      </w:r>
      <w:r>
        <w:rPr>
          <w:rFonts w:ascii="Amiri" w:hAnsi="Amiri" w:eastAsia="Amiri" w:cs="Amiri"/>
          <w:color w:val="111111"/>
          <w:sz w:val="28"/>
          <w:sz w:val="28"/>
          <w:szCs w:val="28"/>
          <w:rtl w:val="true"/>
          <w:lang w:bidi="ar-SA"/>
        </w:rPr>
        <w:t xml:space="preserve">الرواية مفيدة لهذا الحكم ، وبعده غير خفيّ على من له أنس بصناعة الكلام ، فإنّ اللازم في الجواب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دليل على المضيّ 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دليل على الحال ، فتدبّر </w:t>
      </w:r>
      <w:r>
        <w:rPr>
          <w:rStyle w:val="FootnoteAnchor"/>
          <w:rtl w:val="true"/>
        </w:rPr>
        <w:footnoteReference w:id="538"/>
      </w:r>
      <w:r>
        <w:rPr>
          <w:rFonts w:ascii="Amiri" w:hAnsi="Amiri" w:eastAsia="Amiri" w:cs="Amiri"/>
          <w:color w:val="111111"/>
          <w:sz w:val="28"/>
          <w:sz w:val="28"/>
          <w:szCs w:val="28"/>
          <w:rtl w:val="true"/>
          <w:lang w:bidi="ar-SA"/>
        </w:rPr>
        <w:t xml:space="preserve">، على أنّ ذلك إنّما يتمّ فيما أقدم المصلّي فيها اعتمادا على الطهارة واتّكالا على الاستصحاب ، والظاهر خلافه ، فإنّ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فيه فلم أر شيئا ، هو الإقدام عليها عالما بالعلم العاديّ أو الاطمئنان بعدم النجاسة ، فيكون من الأمر العقلي الظاهري لا الشرعي ، وهو ظاهر ، كذا أفاده الأستاد </w:t>
      </w:r>
      <w:r>
        <w:rPr>
          <w:rStyle w:val="FootnoteAnchor"/>
          <w:rtl w:val="true"/>
        </w:rPr>
        <w:footnoteReference w:id="539"/>
      </w:r>
      <w:r>
        <w:rPr>
          <w:rFonts w:ascii="Amiri" w:hAnsi="Amiri" w:eastAsia="Amiri" w:cs="Amiri"/>
          <w:color w:val="111111"/>
          <w:sz w:val="28"/>
          <w:sz w:val="28"/>
          <w:szCs w:val="28"/>
          <w:rtl w:val="true"/>
          <w:lang w:bidi="ar-SA"/>
        </w:rPr>
        <w:t xml:space="preserve">سلّمه اللّه تعالى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دلالة الرواية في بعض فقراتها على عدم لزوم الفحص في الموضوعات عند العمل بالأصل ، وعلى لزوم الاجتناب في الشبهة المحصورة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من ثوبك الناحية التي ترى </w:t>
      </w:r>
      <w:r>
        <w:rPr>
          <w:rStyle w:val="FootnoteAnchor"/>
          <w:rtl w:val="true"/>
        </w:rPr>
        <w:footnoteReference w:id="541"/>
      </w:r>
      <w:r>
        <w:rPr>
          <w:rFonts w:ascii="Amiri" w:hAnsi="Amiri" w:eastAsia="Amiri" w:cs="Amiri"/>
          <w:color w:val="111111"/>
          <w:sz w:val="28"/>
          <w:sz w:val="28"/>
          <w:szCs w:val="28"/>
          <w:rtl w:val="true"/>
          <w:lang w:bidi="ar-SA"/>
        </w:rPr>
        <w:t xml:space="preserve">أنّه قد أصابها حتّى تكون على يقين من طهارتك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استنباط البعض من هذه الفقرة اعتبار الظنّ في الموضوعات متخيّلا أنّ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 وقد أطنب في تقريبه مع ذهابه إلى جواز الارتكاب في الشبهة المحصورة ، وهو أغرب كما لا يخفى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رواها في الكافى عن عليّ بن إبراهيم عن أبيه ومحمّد بن إسماعيل عن الفضل بن شاذان جميعا عن حمّاد بن عيسى عن حريز عن زرارة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يدر في أربع هو أم في اثنين وقد أحرز الثنتين؟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يركع ركعتين وأربع سجدات وهو قائم بفاتحة الكتاب ويتشهّد ولا شيء عليه ، وإذا لم يدر في ثلاث هو أو في أربع وقد أحرز الثلاث قام فأضاف </w:t>
      </w:r>
      <w:r>
        <w:rPr>
          <w:rStyle w:val="FootnoteAnchor"/>
          <w:rtl w:val="true"/>
        </w:rPr>
        <w:footnoteReference w:id="542"/>
      </w:r>
      <w:r>
        <w:rPr>
          <w:rFonts w:ascii="Amiri" w:hAnsi="Amiri" w:eastAsia="Amiri" w:cs="Amiri"/>
          <w:color w:val="111111"/>
          <w:sz w:val="28"/>
          <w:sz w:val="28"/>
          <w:szCs w:val="28"/>
          <w:rtl w:val="true"/>
          <w:lang w:bidi="ar-SA"/>
        </w:rPr>
        <w:t xml:space="preserve">إليها أخرى ولا شيء عليه ولا ينقض اليقين بالشكّ ولا يدخل الشكّ في اليقين ولا يخلط أحدهما بالآخر ، </w:t>
      </w:r>
    </w:p>
    <w:p>
      <w:pPr>
        <w:pStyle w:val="BookText"/>
        <w:rPr/>
      </w:pPr>
      <w:r>
        <w:rPr>
          <w:rFonts w:ascii="Amiri" w:hAnsi="Amiri" w:eastAsia="Amiri" w:cs="Amiri"/>
          <w:color w:val="111111"/>
          <w:sz w:val="28"/>
          <w:sz w:val="28"/>
          <w:szCs w:val="28"/>
          <w:rtl w:val="true"/>
          <w:lang w:bidi="ar-SA"/>
        </w:rPr>
        <w:t xml:space="preserve">ولكنّه ينقض الشكّ باليقين ويتمّ على اليقين فيبنى عليه ، ولا يعتدّ بالشكّ في حال من الحالات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 هذه الرواية يقع </w:t>
      </w:r>
      <w:r>
        <w:rPr>
          <w:rStyle w:val="FootnoteAnchor"/>
          <w:rtl w:val="true"/>
        </w:rPr>
        <w:footnoteReference w:id="544"/>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لشيخنا الكليني فيها طريقين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إبراهيم بن هاشم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محمّد بن إسماعيل ، وهو على الأوّل حسن ، لما قرع الأسماع من حال إبراهيم ، وعلى الثاني فالظاهر أنّه صحيح أيضا ، فإنّ محمّد بن إسماعيل هو البندقي النيشابوري كما ذكر في مقدّمات المنتقى </w:t>
      </w:r>
      <w:r>
        <w:rPr>
          <w:rStyle w:val="FootnoteAnchor"/>
          <w:rtl w:val="true"/>
        </w:rPr>
        <w:footnoteReference w:id="546"/>
      </w:r>
      <w:r>
        <w:rPr>
          <w:rFonts w:ascii="Amiri" w:hAnsi="Amiri" w:eastAsia="Amiri" w:cs="Amiri"/>
          <w:color w:val="111111"/>
          <w:sz w:val="28"/>
          <w:sz w:val="28"/>
          <w:szCs w:val="28"/>
          <w:rtl w:val="true"/>
          <w:lang w:bidi="ar-SA"/>
        </w:rPr>
        <w:t>وهو ظاهر الوثاقة ، وأمّا ابن بزيع وإن كان في طبقة الفضل إلاّ أنّه يبعد رواية الكليني عنه ، فإنّ المذكور في ترجمته أنّه من رجال أبي الحسن موسى وأدرك أبا جعفر الثاني ، وظاهر الإدراك موته قبله عليه‌السلام والكليني مات بعد تكميل المائة الثالثة وانقضاء تسع وعشرين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الأستاد دام مجده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رفع الاستبعاد بأنّ الكليني كان في الغيبة الصغرى وتاريخها نور </w:t>
      </w:r>
      <w:r>
        <w:rPr>
          <w:rStyle w:val="FootnoteAnchor"/>
          <w:rtl w:val="true"/>
        </w:rPr>
        <w:footnoteReference w:id="548"/>
      </w:r>
      <w:r>
        <w:rPr>
          <w:rFonts w:ascii="Amiri" w:hAnsi="Amiri" w:eastAsia="Amiri" w:cs="Amiri"/>
          <w:color w:val="111111"/>
          <w:sz w:val="28"/>
          <w:sz w:val="28"/>
          <w:szCs w:val="28"/>
          <w:rtl w:val="true"/>
          <w:lang w:bidi="ar-SA"/>
        </w:rPr>
        <w:t xml:space="preserve">، والرضا عليه‌السلام كان في المائتين ، والفرق بينهما ستّة وخمسون ، ولا يبعد </w:t>
      </w:r>
      <w:r>
        <w:rPr>
          <w:rStyle w:val="FootnoteAnchor"/>
          <w:rtl w:val="true"/>
        </w:rPr>
        <w:footnoteReference w:id="549"/>
      </w:r>
      <w:r>
        <w:rPr>
          <w:rFonts w:ascii="IRNazanin" w:hAnsi="IRNazanin" w:eastAsia="IRNazanin"/>
          <w:color w:val="111111"/>
          <w:sz w:val="28"/>
          <w:sz w:val="28"/>
          <w:szCs w:val="28"/>
          <w:rtl w:val="true"/>
          <w:lang w:bidi="fa-IR"/>
        </w:rPr>
        <w:t xml:space="preserve">بقاء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في تلك المدّة ، فلعلّه كان في أواخر عمر المرويّ عنه </w:t>
      </w:r>
      <w:r>
        <w:rPr>
          <w:rStyle w:val="FootnoteAnchor"/>
          <w:rtl w:val="true"/>
        </w:rPr>
        <w:footnoteReference w:id="551"/>
      </w:r>
      <w:r>
        <w:rPr>
          <w:rFonts w:ascii="Amiri" w:hAnsi="Amiri" w:eastAsia="Amiri" w:cs="Amiri"/>
          <w:color w:val="111111"/>
          <w:sz w:val="28"/>
          <w:sz w:val="28"/>
          <w:szCs w:val="28"/>
          <w:rtl w:val="true"/>
          <w:lang w:bidi="ar-SA"/>
        </w:rPr>
        <w:t>وأوائل عمر الراوي ، فتدبّر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فدلالتها مبنيّة على إرادة الجنس من اللام في اليقين مع احتمال العهدية على وجه لا مانع من عدم الأخذ بأصالة الحقيقة ، مضافا إلى اشتمال الرواية على ما يخالف الإجماع من البناء على الأقلّ على ما هو ظاهر ، فلا بدّ إمّا </w:t>
      </w:r>
      <w:r>
        <w:rPr>
          <w:rStyle w:val="FootnoteAnchor"/>
          <w:rtl w:val="true"/>
        </w:rPr>
        <w:footnoteReference w:id="552"/>
      </w:r>
      <w:r>
        <w:rPr>
          <w:rFonts w:ascii="IRNazanin" w:hAnsi="IRNazanin" w:eastAsia="IRNazanin"/>
          <w:color w:val="111111"/>
          <w:sz w:val="28"/>
          <w:sz w:val="28"/>
          <w:szCs w:val="28"/>
          <w:rtl w:val="true"/>
          <w:lang w:bidi="fa-IR"/>
        </w:rPr>
        <w:t xml:space="preserve">من </w:t>
      </w:r>
      <w:r>
        <w:rPr>
          <w:rStyle w:val="FootnoteAnchor"/>
          <w:rtl w:val="true"/>
        </w:rPr>
        <w:footnoteReference w:id="553"/>
      </w:r>
      <w:r>
        <w:rPr>
          <w:rFonts w:ascii="IRNazanin" w:hAnsi="IRNazanin" w:eastAsia="IRNazanin"/>
          <w:color w:val="111111"/>
          <w:sz w:val="28"/>
          <w:sz w:val="28"/>
          <w:szCs w:val="28"/>
          <w:rtl w:val="true"/>
          <w:lang w:bidi="fa-IR"/>
        </w:rPr>
        <w:t xml:space="preserve">طرحها أو </w:t>
      </w:r>
    </w:p>
    <w:p>
      <w:pPr>
        <w:pStyle w:val="BookText"/>
        <w:rPr/>
      </w:pPr>
      <w:r>
        <w:rPr>
          <w:rFonts w:ascii="Amiri" w:hAnsi="Amiri" w:eastAsia="Amiri" w:cs="Amiri"/>
          <w:color w:val="111111"/>
          <w:sz w:val="28"/>
          <w:sz w:val="28"/>
          <w:szCs w:val="28"/>
          <w:rtl w:val="true"/>
          <w:lang w:bidi="ar-SA"/>
        </w:rPr>
        <w:t>تأويلها أو حملها على التقيّة ، سيّما بعد ملاحظة موافقتها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حمل بعض فقرات الرواية على التقيّة أو طرحها أو تأويلها لا ينافي الاستناد إلى الفقرات الأخر ، 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 إذا كان في محلّ السؤال واردا على وجه التقيّة كما فيما نحن فيه ، فلا وجه للأخذ بعمومه في غير محلّ السؤال ، فإنّ عدم جواز نقض اليقين بالشكّ في مورد السؤال وارد على وجه التقيّة كما هو المفروض ، ولا دليل على أصالة عدم التقيّة في العمل بالعامّ كما إذا خصّ العامّ بمورده ، فإنّه لا يعمل بأصالة الحقيقة في غيره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المحقّقين كالعلاّمة </w:t>
      </w:r>
      <w:r>
        <w:rPr>
          <w:rStyle w:val="FootnoteAnchor"/>
          <w:rtl w:val="true"/>
        </w:rPr>
        <w:footnoteReference w:id="554"/>
      </w:r>
      <w:r>
        <w:rPr>
          <w:rFonts w:ascii="Amiri" w:hAnsi="Amiri" w:eastAsia="Amiri" w:cs="Amiri"/>
          <w:color w:val="111111"/>
          <w:sz w:val="28"/>
          <w:sz w:val="28"/>
          <w:szCs w:val="28"/>
          <w:rtl w:val="true"/>
          <w:lang w:bidi="ar-SA"/>
        </w:rPr>
        <w:t xml:space="preserve">ومن يحذو حذوه في حفظ مراتب الشريعة قد تصدّى لتوجيه الرواية على وجه لا ينافي مذهب الفرقة المحقّة بأنّ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قاعدة الاشتغال الآمرة بالإتيان بركعتي الاحتياط ، وليس المذكور في الرواية إلاّ لزوم الإتيان بركعتين ، وأمّا البناء على الأقلّ فلا يستفاد منها أبدا ، فإنّ الاحتياط يقضي بذلك ؛ لأنّ الواقع لو كان على أربع فيحسب له نافلة ، وإلاّ فيجزي </w:t>
      </w:r>
      <w:r>
        <w:rPr>
          <w:rStyle w:val="FootnoteAnchor"/>
          <w:rtl w:val="true"/>
        </w:rPr>
        <w:footnoteReference w:id="555"/>
      </w:r>
      <w:r>
        <w:rPr>
          <w:rFonts w:ascii="Amiri" w:hAnsi="Amiri" w:eastAsia="Amiri" w:cs="Amiri"/>
          <w:color w:val="111111"/>
          <w:sz w:val="28"/>
          <w:sz w:val="28"/>
          <w:szCs w:val="28"/>
          <w:rtl w:val="true"/>
          <w:lang w:bidi="ar-SA"/>
        </w:rPr>
        <w:t xml:space="preserve">عن فرضه ، سيّما بعد ملاحظة مذهب العامّة من لزوم الاتّصال ؛ إذ على تقدير التمامية يلزم زيادة الركعتين المبطلة سهوا وعمدا ، بخلاف مذهب الإمامية فإنّ زيادة السلام لا تضرّ </w:t>
      </w:r>
      <w:r>
        <w:rPr>
          <w:rStyle w:val="FootnoteAnchor"/>
          <w:rtl w:val="true"/>
        </w:rPr>
        <w:footnoteReference w:id="556"/>
      </w:r>
      <w:r>
        <w:rPr>
          <w:rFonts w:ascii="Amiri" w:hAnsi="Amiri" w:eastAsia="Amiri" w:cs="Amiri"/>
          <w:color w:val="111111"/>
          <w:sz w:val="28"/>
          <w:sz w:val="28"/>
          <w:szCs w:val="28"/>
          <w:rtl w:val="true"/>
          <w:lang w:bidi="ar-SA"/>
        </w:rPr>
        <w:t xml:space="preserve">كما في صورة السهو ، فقاعدة الاشتغال والاحتياط تقضي </w:t>
      </w:r>
      <w:r>
        <w:rPr>
          <w:rStyle w:val="FootnoteAnchor"/>
          <w:rtl w:val="true"/>
        </w:rPr>
        <w:footnoteReference w:id="557"/>
      </w:r>
      <w:r>
        <w:rPr>
          <w:rFonts w:ascii="Amiri" w:hAnsi="Amiri" w:eastAsia="Amiri" w:cs="Amiri"/>
          <w:color w:val="111111"/>
          <w:sz w:val="28"/>
          <w:sz w:val="28"/>
          <w:szCs w:val="28"/>
          <w:rtl w:val="true"/>
          <w:lang w:bidi="ar-SA"/>
        </w:rPr>
        <w:t xml:space="preserve">بذلك ، فعلى </w:t>
      </w:r>
      <w:r>
        <w:rPr>
          <w:rStyle w:val="FootnoteAnchor"/>
          <w:rtl w:val="true"/>
        </w:rPr>
        <w:footnoteReference w:id="558"/>
      </w:r>
      <w:r>
        <w:rPr>
          <w:rFonts w:ascii="Amiri" w:hAnsi="Amiri" w:eastAsia="Amiri" w:cs="Amiri"/>
          <w:color w:val="111111"/>
          <w:sz w:val="28"/>
          <w:sz w:val="28"/>
          <w:szCs w:val="28"/>
          <w:rtl w:val="true"/>
          <w:lang w:bidi="ar-SA"/>
        </w:rPr>
        <w:t xml:space="preserve">هذا فسقوط الاستدلال بالرواية واضح ؛ إذ لا دخل </w:t>
      </w:r>
      <w:r>
        <w:rPr>
          <w:rStyle w:val="FootnoteAnchor"/>
          <w:rtl w:val="true"/>
        </w:rPr>
        <w:footnoteReference w:id="559"/>
      </w:r>
      <w:r>
        <w:rPr>
          <w:rFonts w:ascii="Amiri" w:hAnsi="Amiri" w:eastAsia="Amiri" w:cs="Amiri"/>
          <w:color w:val="111111"/>
          <w:sz w:val="28"/>
          <w:sz w:val="28"/>
          <w:szCs w:val="28"/>
          <w:rtl w:val="true"/>
          <w:lang w:bidi="ar-SA"/>
        </w:rPr>
        <w:t xml:space="preserve">للاستصحاب في ذلك ولا يجوز إرادة القاعدتين معا ، لاستلزامها التناقض في المورد ، فإنّ قضيّة الاستصحاب هو البناء على الأقلّ ، وقضيّة الاحتياط على ما سمعت في قبال مذهب العامّة هو البناء على الأكثر لئلاّ يلزم زيادة الركعتين على تقدير التمامية المستلزمة </w:t>
      </w:r>
      <w:r>
        <w:rPr>
          <w:rStyle w:val="FootnoteAnchor"/>
          <w:rtl w:val="true"/>
        </w:rPr>
        <w:footnoteReference w:id="560"/>
      </w:r>
      <w:r>
        <w:rPr>
          <w:rFonts w:ascii="IRNazanin" w:hAnsi="IRNazanin" w:eastAsia="IRNazanin"/>
          <w:color w:val="111111"/>
          <w:sz w:val="28"/>
          <w:sz w:val="28"/>
          <w:szCs w:val="28"/>
          <w:rtl w:val="true"/>
          <w:lang w:bidi="fa-IR"/>
        </w:rPr>
        <w:t xml:space="preserve">لبطلان العمل </w:t>
      </w:r>
    </w:p>
    <w:p>
      <w:pPr>
        <w:pStyle w:val="BookText"/>
        <w:rPr/>
      </w:pPr>
      <w:r>
        <w:rPr>
          <w:rFonts w:ascii="IRNazanin" w:hAnsi="IRNazanin" w:eastAsia="IRNazanin"/>
          <w:color w:val="111111"/>
          <w:sz w:val="28"/>
          <w:sz w:val="28"/>
          <w:szCs w:val="28"/>
          <w:rtl w:val="true"/>
          <w:lang w:bidi="fa-IR"/>
        </w:rPr>
        <w:t>سهوا وعمدا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رواها الصدوق في الفقيه عن إسحاق بن عمّار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ظاهرة لا غبار عليها ؛ لعدم ما يصلح لصرف اللام عن حقيقتها ، وإيرادها في الصلاة لا ينافي عمومها ، نعم يرد عليه </w:t>
      </w:r>
      <w:r>
        <w:rPr>
          <w:rStyle w:val="FootnoteAnchor"/>
          <w:rtl w:val="true"/>
        </w:rPr>
        <w:footnoteReference w:id="562"/>
      </w:r>
      <w:r>
        <w:rPr>
          <w:rFonts w:ascii="Amiri" w:hAnsi="Amiri" w:eastAsia="Amiri" w:cs="Amiri"/>
          <w:color w:val="111111"/>
          <w:sz w:val="28"/>
          <w:sz w:val="28"/>
          <w:szCs w:val="28"/>
          <w:rtl w:val="true"/>
          <w:lang w:bidi="ar-SA"/>
        </w:rPr>
        <w:t xml:space="preserve">أنّه يخالف مذهب الشيعة من البناء على اليقين على وجه العموم ، إلاّ أنّ الأخذ بعمومها في غير موارد المخالفة أيضا مشكل ، فإنّه ليس بمنزلة إحدى الفقرتين في الروايات المشتملة على فقرات كثيرة ، فالأولى حملها على لزوم البناء على اليقين الفعلي كما هو أحد احتماليه ، فيسقط الاستدلال بها أيضا ، بل لعلّه هو الظاهر منها ، فيكون مفاد الرواية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ودعوى ظهور دلالته على الاستصحاب ، ممنوع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في كتاب الصوم عن محمّد بن الحسن الصفّار عن عليّ بن محمّد القاساني </w:t>
      </w:r>
      <w:r>
        <w:rPr>
          <w:rStyle w:val="FootnoteAnchor"/>
          <w:rtl w:val="true"/>
        </w:rPr>
        <w:footnoteReference w:id="565"/>
      </w:r>
      <w:r>
        <w:rPr>
          <w:rFonts w:ascii="Amiri" w:hAnsi="Amiri" w:eastAsia="Amiri" w:cs="Amiri"/>
          <w:color w:val="111111"/>
          <w:sz w:val="28"/>
          <w:sz w:val="28"/>
          <w:szCs w:val="28"/>
          <w:rtl w:val="true"/>
          <w:lang w:bidi="ar-SA"/>
        </w:rPr>
        <w:t xml:space="preserve">قال 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 الذي يشكّ فيه </w:t>
      </w:r>
      <w:r>
        <w:rPr>
          <w:rStyle w:val="FootnoteAnchor"/>
          <w:rtl w:val="true"/>
        </w:rPr>
        <w:footnoteReference w:id="566"/>
      </w:r>
      <w:r>
        <w:rPr>
          <w:rFonts w:ascii="Amiri" w:hAnsi="Amiri" w:eastAsia="Amiri" w:cs="Amiri"/>
          <w:color w:val="111111"/>
          <w:sz w:val="28"/>
          <w:sz w:val="28"/>
          <w:szCs w:val="28"/>
          <w:rtl w:val="true"/>
          <w:lang w:bidi="ar-SA"/>
        </w:rPr>
        <w:t xml:space="preserve">من رمضان أم لا؟ فكتب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 فيه الشكّ ، صم للرؤية وأفطر للرؤية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ظاهر ولا يحتمل العهدية ولا يحتمل قاعدة الاشتغال أيضا نظرا إلى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فيه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هو اليقين السابق ، بل ولا يصحّ التفريع لو كان المراد باليقين هو الفعلي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عدم التفريع فيه ،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كذلك ؛ لدوران الأمر بين الوجوب والحرمة ، فلا يتمشّى فيه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الرواية من حيث الدلالة فيا ليتها كانت صحيحة السند ، فإنّها مكاتبة أوّلا ، ولم يصرّح النجاشي بوثاقة عليّ بن محمّد القاساني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محمّد بن شيرة القاساني أبو الحسن كان فقيها مكثرا من الحديث فاضلا ، غمز عليه أحمد بن محمّد بن عيسى وذكر أنّه سمع منه مذاهب متكثّرة </w:t>
      </w:r>
      <w:r>
        <w:rPr>
          <w:rStyle w:val="FootnoteAnchor"/>
          <w:rtl w:val="true"/>
        </w:rPr>
        <w:footnoteReference w:id="568"/>
      </w:r>
      <w:r>
        <w:rPr>
          <w:rFonts w:ascii="Amiri" w:hAnsi="Amiri" w:eastAsia="Amiri" w:cs="Amiri"/>
          <w:color w:val="111111"/>
          <w:sz w:val="28"/>
          <w:sz w:val="28"/>
          <w:szCs w:val="28"/>
          <w:rtl w:val="true"/>
          <w:lang w:bidi="ar-SA"/>
        </w:rPr>
        <w:t xml:space="preserve">، وليس في كتبه ما يدلّ على ذلك ، له كتب أخبرنا عليّ بن أحمد بن محمّد بن طاهر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569"/>
      </w:r>
      <w:r>
        <w:rPr>
          <w:rFonts w:ascii="Amiri" w:hAnsi="Amiri" w:eastAsia="Amiri" w:cs="Amiri"/>
          <w:color w:val="111111"/>
          <w:sz w:val="28"/>
          <w:sz w:val="28"/>
          <w:szCs w:val="28"/>
          <w:rtl w:val="true"/>
          <w:lang w:bidi="ar-SA"/>
        </w:rPr>
        <w:t xml:space="preserve">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عن عليّ بن محمّد بن شيرة القاساني بكتبه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دلالته على التوثيق ظاهر ، ووصفه بالفقه والفضيلة يعارضه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عليه وسمع منه مذاهب متكثّرة ، نعم في رجال الشيخ أنّ عليّ بن شيرة ثقة من أصحاب الهادي عليه‌السلام </w:t>
      </w:r>
      <w:r>
        <w:rPr>
          <w:rStyle w:val="FootnoteAnchor"/>
          <w:rtl w:val="true"/>
        </w:rPr>
        <w:footnoteReference w:id="571"/>
      </w:r>
      <w:r>
        <w:rPr>
          <w:rFonts w:ascii="Amiri" w:hAnsi="Amiri" w:eastAsia="Amiri" w:cs="Amiri"/>
          <w:color w:val="111111"/>
          <w:sz w:val="28"/>
          <w:sz w:val="28"/>
          <w:szCs w:val="28"/>
          <w:rtl w:val="true"/>
          <w:lang w:bidi="ar-SA"/>
        </w:rPr>
        <w:t xml:space="preserve">إلاّ أنّه احتمل بعضهم </w:t>
      </w:r>
      <w:r>
        <w:rPr>
          <w:rStyle w:val="FootnoteAnchor"/>
          <w:rtl w:val="true"/>
        </w:rPr>
        <w:footnoteReference w:id="572"/>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ذكره بعد ذلك بلا فصل أنّ عليّ بن محمّد القاساني ضعيف أصبهاني ، وعلى تقدير عدم التصحيف فالمعارضة بينهما ظاهرة </w:t>
      </w:r>
      <w:r>
        <w:rPr>
          <w:rStyle w:val="FootnoteAnchor"/>
          <w:rtl w:val="true"/>
        </w:rPr>
        <w:footnoteReference w:id="573"/>
      </w:r>
      <w:r>
        <w:rPr>
          <w:rFonts w:ascii="Amiri" w:hAnsi="Amiri" w:eastAsia="Amiri" w:cs="Amiri"/>
          <w:color w:val="111111"/>
          <w:sz w:val="28"/>
          <w:sz w:val="28"/>
          <w:szCs w:val="28"/>
          <w:rtl w:val="true"/>
          <w:lang w:bidi="ar-SA"/>
        </w:rPr>
        <w:t xml:space="preserve">إلاّ أن يقال بالتعدّد وأنّ عليّ بن شيرة غير القاساني كما لعلّه مؤيّد بما أفاده العلاّمة من أنّ عليّ بن محمّد القاساني وعليّ بن شيرة كانا من أصحاب أبي جعفر الثاني ، ولكن 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سهو ؛ إذ لم نجدهما في الأصحاب ، مع تصريح النجاشي بالاتّحاد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فلو لم يكن المدار في السند على الوثوق لم يكن وجه للاستدلال </w:t>
      </w:r>
    </w:p>
    <w:p>
      <w:pPr>
        <w:pStyle w:val="BookText"/>
        <w:rPr/>
      </w:pPr>
      <w:r>
        <w:rPr>
          <w:rFonts w:ascii="Amiri" w:hAnsi="Amiri" w:eastAsia="Amiri" w:cs="Amiri"/>
          <w:color w:val="111111"/>
          <w:sz w:val="28"/>
          <w:sz w:val="28"/>
          <w:szCs w:val="28"/>
          <w:rtl w:val="true"/>
          <w:lang w:bidi="ar-SA"/>
        </w:rPr>
        <w:t xml:space="preserve">بالرواية ، ومع ذلك فالخطب سهل ؛ لحصول الوثوق على ما هو الإنصاف ، مضافا إلى ما ذكره المحقّق البهبهاني في التعليقة </w:t>
      </w:r>
      <w:r>
        <w:rPr>
          <w:rStyle w:val="FootnoteAnchor"/>
          <w:rtl w:val="true"/>
        </w:rPr>
        <w:footnoteReference w:id="574"/>
      </w:r>
      <w:r>
        <w:rPr>
          <w:rFonts w:ascii="Amiri" w:hAnsi="Amiri" w:eastAsia="Amiri" w:cs="Amiri"/>
          <w:color w:val="111111"/>
          <w:sz w:val="28"/>
          <w:sz w:val="28"/>
          <w:szCs w:val="28"/>
          <w:rtl w:val="true"/>
          <w:lang w:bidi="ar-SA"/>
        </w:rPr>
        <w:t>من كونه معتمدا ، على أنّ اعتماد محمّد بن الحسن الصفّار على الرواية ممّا يعادل توثيق الراوي قطعا ، بل لا يبعد مشاهدته للمكاتبة بعينها كما هو الأغلب في المكاتبات ، فإنّ البناء على ضبطها وحفظها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غوّاص البحار فيها عن الخصال عن أبيه عن سعد بن عبد اللّه عن محمّد بن عيسى اليقطيني عن القاسم بن يحيى عن جدّه الحسن بن راشد عن أبي بصير ومحمّد بن مسلم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Style w:val="FootnoteAnchor"/>
          <w:rtl w:val="true"/>
        </w:rPr>
        <w:footnoteReference w:id="5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 فإنّ الشكّ لا ينقض اليقين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وفي الخصال أيضا في حديث </w:t>
      </w:r>
      <w:r>
        <w:rPr>
          <w:rStyle w:val="FootnoteAnchor"/>
          <w:rtl w:val="true"/>
        </w:rPr>
        <w:footnoteReference w:id="577"/>
      </w:r>
      <w:r>
        <w:rPr>
          <w:rFonts w:ascii="Amiri" w:hAnsi="Amiri" w:eastAsia="Amiri" w:cs="Amiri"/>
          <w:color w:val="111111"/>
          <w:sz w:val="28"/>
          <w:sz w:val="28"/>
          <w:szCs w:val="28"/>
          <w:rtl w:val="true"/>
          <w:lang w:bidi="ar-SA"/>
        </w:rPr>
        <w:t xml:space="preserve">الأربعمائة عن الباقر عليه‌السلام عن أمير المؤمنين عليه الصلاة والسلام من الملك العلاّم </w:t>
      </w:r>
      <w:r>
        <w:rPr>
          <w:rStyle w:val="FootnoteAnchor"/>
          <w:rtl w:val="true"/>
        </w:rPr>
        <w:footnoteReference w:id="5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 فإنّ اليقين لا يدفع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وإرسال الرواية على الثاني معلوم ، فالاعتماد على الأوّل ، وعليه فالقاسم ضعّفه ابن الغضائري وتبعه العلاّمة </w:t>
      </w:r>
      <w:r>
        <w:rPr>
          <w:rStyle w:val="FootnoteAnchor"/>
          <w:rtl w:val="true"/>
        </w:rPr>
        <w:footnoteReference w:id="579"/>
      </w:r>
      <w:r>
        <w:rPr>
          <w:rFonts w:ascii="Amiri" w:hAnsi="Amiri" w:eastAsia="Amiri" w:cs="Amiri"/>
          <w:color w:val="111111"/>
          <w:sz w:val="28"/>
          <w:sz w:val="28"/>
          <w:szCs w:val="28"/>
          <w:rtl w:val="true"/>
          <w:lang w:bidi="ar-SA"/>
        </w:rPr>
        <w:t xml:space="preserve">، ويكفي في ضعف الحديث عدم ثبوت وثاقة الراوي على تقدير عدم الاعتداد بالتضعيف المذكور ، إلاّ أنّ اعتماد اليقطيني عليها مع ظهور حاله في الرواية كاف في حصول الوثوق بها ، فإنّه من أكابر القميين ، وقد أخرج البرقي منه لاتّهامه في الرواية ، مضافا إلى اعتماد الكليني بالرواية وذكر أجزائها متفرّقة ، وقد أفاد العلاّمة المجلسي بأنّها في غاية الوثاقة على طريقة القدماء وإن كانت ضعيفة </w:t>
      </w:r>
      <w:r>
        <w:rPr>
          <w:rStyle w:val="FootnoteAnchor"/>
          <w:rtl w:val="true"/>
        </w:rPr>
        <w:footnoteReference w:id="580"/>
      </w:r>
      <w:r>
        <w:rPr>
          <w:rFonts w:ascii="Amiri" w:hAnsi="Amiri" w:eastAsia="Amiri" w:cs="Amiri"/>
          <w:color w:val="111111"/>
          <w:sz w:val="28"/>
          <w:sz w:val="28"/>
          <w:szCs w:val="28"/>
          <w:rtl w:val="true"/>
          <w:lang w:bidi="ar-SA"/>
        </w:rPr>
        <w:t xml:space="preserve">بزعم المتأخّرين </w:t>
      </w:r>
      <w:r>
        <w:rPr>
          <w:rStyle w:val="FootnoteAnchor"/>
          <w:rtl w:val="true"/>
        </w:rPr>
        <w:footnoteReference w:id="5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فسندها لعلّه ممّا لا غبار عليه فيا ليتها كانت متّضحة الدلالة على المقصود ، فإنّه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على يقين فشكّ في ارتفاع ما تيقّنه ، فليمض على ثبوت ما تيقّنه </w:t>
      </w:r>
      <w:r>
        <w:rPr>
          <w:rStyle w:val="FootnoteAnchor"/>
          <w:rtl w:val="true"/>
        </w:rPr>
        <w:footnoteReference w:id="582"/>
      </w:r>
      <w:r>
        <w:rPr>
          <w:rFonts w:ascii="Amiri" w:hAnsi="Amiri" w:eastAsia="Amiri" w:cs="Amiri"/>
          <w:color w:val="111111"/>
          <w:sz w:val="28"/>
          <w:sz w:val="28"/>
          <w:szCs w:val="28"/>
          <w:rtl w:val="true"/>
          <w:lang w:bidi="ar-SA"/>
        </w:rPr>
        <w:t xml:space="preserve">بترتيب الآثار المترتّبة على المتيقّن على المشكوك ، فمتعلّق اليقين هو ثبوت المتيقّن ، ومتعلّق الشكّ هو بقاؤه ، فيدلّ على القاعدة المطلوبة كما هو المقصود ، فإنّ ذلك هو بعينه </w:t>
      </w:r>
      <w:r>
        <w:rPr>
          <w:rStyle w:val="FootnoteAnchor"/>
          <w:rtl w:val="true"/>
        </w:rPr>
        <w:footnoteReference w:id="583"/>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على يقين وقطع بثبوت </w:t>
      </w:r>
      <w:r>
        <w:rPr>
          <w:rStyle w:val="FootnoteAnchor"/>
          <w:rtl w:val="true"/>
        </w:rPr>
        <w:footnoteReference w:id="584"/>
      </w:r>
      <w:r>
        <w:rPr>
          <w:rFonts w:ascii="Amiri" w:hAnsi="Amiri" w:eastAsia="Amiri" w:cs="Amiri"/>
          <w:color w:val="111111"/>
          <w:sz w:val="28"/>
          <w:sz w:val="28"/>
          <w:szCs w:val="28"/>
          <w:rtl w:val="true"/>
          <w:lang w:bidi="ar-SA"/>
        </w:rPr>
        <w:t>شيء فشكّ في ثبوت ذلك الشيء أوّلا وتردّد في صحّة يقينه ، فليمض على يقينه بترتيب الآثار المترتّبة على اليقين حال الشكّ في صحّة اليقين ، فمتعلّق الشكّ هو الثبوت كمتعلّق اليقين ، فيكون مفاد الخبر قاعدة أخرى من فروع قاعدة الشكّ بعد الفراغ ولا ربط له بالاستصحاب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احتمل الأمران فلا وجه للاستدلال مع احتمال ظهور الثاني لاتّحاد موردي الشكّ واليقين ، مضافا إلى ظهور الدفع والنقض في التناقض بين الشكّ واليقين وهو لا يتحقّق إلاّ على الاحتمال الأخير ؛ ضرورة إمكان الجمع بينهما في الاستصحاب ، ولمثل ذلك سلك المحقّق الخوانساري غير ما سلكه القوم كما ستقف </w:t>
      </w:r>
      <w:r>
        <w:rPr>
          <w:rStyle w:val="FootnoteAnchor"/>
          <w:rtl w:val="true"/>
        </w:rPr>
        <w:footnoteReference w:id="585"/>
      </w:r>
      <w:r>
        <w:rPr>
          <w:rFonts w:ascii="Amiri" w:hAnsi="Amiri" w:eastAsia="Amiri" w:cs="Amiri"/>
          <w:color w:val="111111"/>
          <w:sz w:val="28"/>
          <w:sz w:val="28"/>
          <w:szCs w:val="28"/>
          <w:rtl w:val="true"/>
          <w:lang w:bidi="ar-SA"/>
        </w:rPr>
        <w:t>عليه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الاحتمال الأوّل ، وربّما يؤيّده عدم لزوم التخصيص أيضا ، فإنّه على التقدير الثاني لا بدّ من تخصيصه بما إذا لم يعلم فساد مدرك اليقين السابق ، كذا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التخصيص مشترك الورود كما لا يخفى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الأخبار العامّة ، وقد يتمسّك لإثبات حجّية الاستصحاب </w:t>
      </w:r>
      <w:r>
        <w:rPr>
          <w:rStyle w:val="FootnoteAnchor"/>
          <w:rtl w:val="true"/>
        </w:rPr>
        <w:footnoteReference w:id="586"/>
      </w:r>
      <w:bookmarkStart w:id="89" w:name="pg16284_171087"/>
    </w:p>
    <w:p>
      <w:pPr>
        <w:pStyle w:val="BookText"/>
        <w:rPr/>
      </w:pPr>
      <w:bookmarkEnd w:id="89"/>
      <w:r>
        <w:rPr>
          <w:rFonts w:ascii="Amiri" w:hAnsi="Amiri" w:eastAsia="Amiri" w:cs="Amiri"/>
          <w:color w:val="111111"/>
          <w:sz w:val="28"/>
          <w:sz w:val="28"/>
          <w:szCs w:val="28"/>
          <w:rtl w:val="true"/>
          <w:lang w:bidi="ar-SA"/>
        </w:rPr>
        <w:t xml:space="preserve">بالإجماعات القائمة </w:t>
      </w:r>
      <w:r>
        <w:rPr>
          <w:rStyle w:val="FootnoteAnchor"/>
          <w:rtl w:val="true"/>
        </w:rPr>
        <w:footnoteReference w:id="587"/>
      </w:r>
      <w:r>
        <w:rPr>
          <w:rFonts w:ascii="Amiri" w:hAnsi="Amiri" w:eastAsia="Amiri" w:cs="Amiri"/>
          <w:color w:val="111111"/>
          <w:sz w:val="28"/>
          <w:sz w:val="28"/>
          <w:szCs w:val="28"/>
          <w:rtl w:val="true"/>
          <w:lang w:bidi="ar-SA"/>
        </w:rPr>
        <w:t xml:space="preserve">في موارد مخصوصة على وجوب الأخذ بالحالة السابقة كما في استصحاب الطهارة والنجاسة والحدث ودخول الليل والنهار والحياة والوكالة ، فحكموا </w:t>
      </w:r>
      <w:r>
        <w:rPr>
          <w:rStyle w:val="FootnoteAnchor"/>
          <w:rtl w:val="true"/>
        </w:rPr>
        <w:footnoteReference w:id="588"/>
      </w:r>
      <w:r>
        <w:rPr>
          <w:rFonts w:ascii="Amiri" w:hAnsi="Amiri" w:eastAsia="Amiri" w:cs="Amiri"/>
          <w:color w:val="111111"/>
          <w:sz w:val="28"/>
          <w:sz w:val="28"/>
          <w:szCs w:val="28"/>
          <w:rtl w:val="true"/>
          <w:lang w:bidi="ar-SA"/>
        </w:rPr>
        <w:t xml:space="preserve">بجواز الدخول في الصلاة في الأوّل ، وعدمه في الثاني على تقدير عدم العفو ، ووجوب التطهير كما في الثالث ، وجواز الأكل وعدمه في الرابع والخامس ، وعدم جواز قسمة أمواله بين ورثته وعدم جواز نكاح زوجته واستحقاقها النفقة ووجوب إحراز حصّة من مال مورّثه وجواز عتقه لو كان عبدا فيجزي عن الكفّارة في السادس ، وجواز التصرّف في السابع ، إلى غير ذلك من الموارد المختلفة المتشتّتة في أبواب الفقه عبادة ومعاملة ، فإن أريد أنّ ملاحظة هذه الموارد يفيد القطع بأنّ المناط على الحالة </w:t>
      </w:r>
      <w:r>
        <w:rPr>
          <w:rStyle w:val="FootnoteAnchor"/>
          <w:rtl w:val="true"/>
        </w:rPr>
        <w:footnoteReference w:id="589"/>
      </w:r>
      <w:r>
        <w:rPr>
          <w:rFonts w:ascii="Amiri" w:hAnsi="Amiri" w:eastAsia="Amiri" w:cs="Amiri"/>
          <w:color w:val="111111"/>
          <w:sz w:val="28"/>
          <w:sz w:val="28"/>
          <w:szCs w:val="28"/>
          <w:rtl w:val="true"/>
          <w:lang w:bidi="ar-SA"/>
        </w:rPr>
        <w:t>السابقة الموجودة في غيرها ، فخلافهم في باب الاستصحاب يكشف عن اختصاص كلّ واحد لعلّة غير جارية في الآخر ، وإن أريد الظنّ فهو القياس الباطل ، وإن أريد كثرتها على وجه يلحق المشكوك فهو في محلّ من المنع ، وعلى تقديره فهو أيضا من القياس كما هو ظاهر</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012080_1280447820"/>
      <w:bookmarkStart w:id="91" w:name="_Toc29"/>
      <w:bookmarkEnd w:id="90"/>
      <w:r>
        <w:rPr>
          <w:rtl w:val="true"/>
        </w:rPr>
        <w:t xml:space="preserve">وقد يتمسّك بأخبار خاصّة واردة في مقامات خاصة </w:t>
      </w:r>
      <w:r>
        <w:rPr>
          <w:rtl w:val="true"/>
        </w:rPr>
        <w:t>:</w:t>
      </w:r>
      <w:bookmarkEnd w:id="91"/>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استيقنت أنّك قد توضّأت فإيّاك أن تحدث وضوء أبدا حتّى تستيقن أنّك قد أحدثت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ودلالته على الاستصحاب في خصوص الوضوء واضحة جليّة غير قابلة للإنكار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w:t>
      </w:r>
      <w:r>
        <w:rPr>
          <w:rStyle w:val="FootnoteAnchor"/>
          <w:rtl w:val="true"/>
        </w:rPr>
        <w:footnoteReference w:id="591"/>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أعير الذمّي ثوبي وأنا أعلم أنّه يشرب الخمر ويأكل لحم الخنزير ، </w:t>
      </w:r>
    </w:p>
    <w:p>
      <w:pPr>
        <w:pStyle w:val="BookText"/>
        <w:rPr/>
      </w:pPr>
      <w:r>
        <w:rPr>
          <w:rFonts w:ascii="Amiri" w:hAnsi="Amiri" w:eastAsia="Amiri" w:cs="Amiri"/>
          <w:color w:val="111111"/>
          <w:sz w:val="28"/>
          <w:sz w:val="28"/>
          <w:szCs w:val="28"/>
          <w:rtl w:val="true"/>
          <w:lang w:bidi="ar-SA"/>
        </w:rPr>
        <w:t xml:space="preserve">فيردّه عليّ ، فأغسله قبل أن أصلّي فيه؟ 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 ولا تغسله من أجل ذلك ، فإنّك أعرته إيّاه وهو طاهر ولم تستيقن أنّه نجّسه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وهذه أيضا صريحة الدلالة على الاستصحاب في الطهارة مطلقا ، لمكان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ضريس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w:t>
      </w:r>
      <w:r>
        <w:rPr>
          <w:rStyle w:val="FootnoteAnchor"/>
          <w:rtl w:val="true"/>
        </w:rPr>
        <w:footnoteReference w:id="593"/>
      </w:r>
      <w:r>
        <w:rPr>
          <w:rFonts w:ascii="Amiri" w:hAnsi="Amiri" w:eastAsia="Amiri" w:cs="Amiri"/>
          <w:color w:val="111111"/>
          <w:sz w:val="28"/>
          <w:sz w:val="28"/>
          <w:szCs w:val="28"/>
          <w:rtl w:val="true"/>
          <w:lang w:bidi="ar-SA"/>
        </w:rPr>
        <w:t xml:space="preserve">عن السمن والجبن نجده في أرض المشركين بالروم أنأكله؟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علمت أنّه قد خلطه الحرام فلا تأكل ، وأمّا ما لم تعلمه فكله حتّى تعلم أنّه حرام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595"/>
      </w:r>
      <w:r>
        <w:rPr>
          <w:rFonts w:ascii="Amiri" w:hAnsi="Amiri" w:eastAsia="Amiri" w:cs="Amiri"/>
          <w:color w:val="111111"/>
          <w:sz w:val="28"/>
          <w:sz w:val="28"/>
          <w:szCs w:val="28"/>
          <w:rtl w:val="true"/>
          <w:lang w:bidi="ar-SA"/>
        </w:rPr>
        <w:t xml:space="preserve">استفادة القطع بمطلق الاستصحاب من هذه الأخبار دعوى لا شاهد عليها ، والظنّ بأنّ المناط فيها على الاستصحاب والحالة السابقة من استخراج العلّة ظنّا لا تعويل </w:t>
      </w:r>
      <w:r>
        <w:rPr>
          <w:rStyle w:val="FootnoteAnchor"/>
          <w:rtl w:val="true"/>
        </w:rPr>
        <w:footnoteReference w:id="596"/>
      </w:r>
      <w:r>
        <w:rPr>
          <w:rFonts w:ascii="Amiri" w:hAnsi="Amiri" w:eastAsia="Amiri" w:cs="Amiri"/>
          <w:color w:val="111111"/>
          <w:sz w:val="28"/>
          <w:sz w:val="28"/>
          <w:szCs w:val="28"/>
          <w:rtl w:val="true"/>
          <w:lang w:bidi="ar-SA"/>
        </w:rPr>
        <w:t>عليه ، على أنّ الرواية الأخيرة ممّا لا شاهد فيها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العلّة وسرايتها كما هي منصوصة في الرواية الثانية اعتبار مطلق الاستصحاب ، لاعتبار القياس المنصوص</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غفلة واضحة ؛ لأنّ قضيّة تسرية العلّة إلى غير محلّ النصّ هو الاشتراك في ذلك الحكم الذي علّق على موضوعه معلّلا بالعلّة المذكورة لا الحكم بما هو نظير لذلك الحكم فيما وجد فيه العلّة كما يظهر من ملاحظة الحكم بالحرمة في النبيذ لوجود السكر المعلّل به الحرمة في الخمر ، والحكم بثبوت الخيار فيما إذا شكّ فيه قياسا على ثبوت الطهارة ، فإنّ نهاية ما يستفاد من تسرية الحكم في موارد العلّة هو الحكم بوجود مطلق الطهارة حين الشكّ فيها لا ثبوت الخيار ؛ لأنّ بقاء الخيار ليس معلّقا على الأصل حتّى يثبت في الفرع لوجود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يستدلّ بأخبار أخر أيضا لا دلالة فيها على الاستصحاب في موردها أيضا ، كالرواية الأخيرة ، فإنّها ظاهرة في الشبهة الموضوعية الغير المسبوقة بالحالة السابقة كما هو محلّ البراءة ، ومثل رواية عبد اللّه بن سنان المذكورة في مباحث البراءة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فيه حلال وحرام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وعدم ارتباطها بالمقام ممّا لا ينبغي الكلام فيه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اشتهرت روايته </w:t>
      </w:r>
      <w:r>
        <w:rPr>
          <w:rStyle w:val="FootnoteAnchor"/>
          <w:rtl w:val="true"/>
        </w:rPr>
        <w:footnoteReference w:id="598"/>
      </w:r>
      <w:r>
        <w:rPr>
          <w:rFonts w:ascii="Amiri" w:hAnsi="Amiri" w:eastAsia="Amiri" w:cs="Amiri"/>
          <w:color w:val="111111"/>
          <w:sz w:val="28"/>
          <w:sz w:val="28"/>
          <w:szCs w:val="28"/>
          <w:rtl w:val="true"/>
          <w:lang w:bidi="ar-SA"/>
        </w:rPr>
        <w:t xml:space="preserve">ولم نجدها في كتب الحديث على ما أفاده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ماء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وقول الصادق عليه‌السلام في 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والتقريب فيهما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 وحصول القذارة في الشيء مسبوق بالعلم بالطهارة ، فمفاد الروايتين طهارة كلّ ماء ونظافة كلّ شيء علم طهارته أو نظافته حتّى يحصل العلم بقذارته وأنّه حصل فيه وصف القذارة ، إلاّ أنّ ذلك غير معيّن ؛ لوجود احتمالات أخر في الرواية ، بل وهو </w:t>
      </w:r>
      <w:r>
        <w:rPr>
          <w:rStyle w:val="FootnoteAnchor"/>
          <w:rtl w:val="true"/>
        </w:rPr>
        <w:footnoteReference w:id="601"/>
      </w:r>
      <w:r>
        <w:rPr>
          <w:rFonts w:ascii="Amiri" w:hAnsi="Amiri" w:eastAsia="Amiri" w:cs="Amiri"/>
          <w:color w:val="111111"/>
          <w:sz w:val="28"/>
          <w:sz w:val="28"/>
          <w:szCs w:val="28"/>
          <w:rtl w:val="true"/>
          <w:lang w:bidi="ar-SA"/>
        </w:rPr>
        <w:t>أقبح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الرواية الأخيرة يحتمل وجوها ،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الماضوية ، والوصفية ،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الشبهة الموضوعية فقط ، أو الحكمية فقط ، أو الأعمّ ، وعلى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الشبهة الموضوعية الغير المسبوقة بالعلم بالطهارة ، أو الحكمية كذلك ، أو الأعمّ كذلك ، أو المسبوقة بالعلم بالطهارة في الموضوعات ، أو في الأحكام ، أو فيهما ، أو الأعمّ من المسبوقة بالعلم والغير المسبوقة على اختلاف احتمالاتها من الاختصاص بالموضوع ، أو الحكم ، أو الأعمّ منهما ، فيرتقى </w:t>
      </w:r>
    </w:p>
    <w:p>
      <w:pPr>
        <w:pStyle w:val="BookText"/>
        <w:rPr/>
      </w:pPr>
      <w:r>
        <w:rPr>
          <w:rFonts w:ascii="Amiri" w:hAnsi="Amiri" w:eastAsia="Amiri" w:cs="Amiri"/>
          <w:color w:val="111111"/>
          <w:sz w:val="28"/>
          <w:sz w:val="28"/>
          <w:szCs w:val="28"/>
          <w:rtl w:val="true"/>
          <w:lang w:bidi="ar-SA"/>
        </w:rPr>
        <w:t xml:space="preserve">الاحتمال إلى ستّة عشر احتمالا يجمع أكثرها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وكون المراد من الشيء ما ثبتت نظافته ، سواء كانت الشبهة حكمية أو موضوعية أو الأعمّ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ويكون المراد بالشيء الموضوعات الخارجية مع عدم سبقها بالعلم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الأمور الخارجية التي يشكّ في نجاستها وطهارتها فيحكم فيها بالطهارة حتّى تثبت فيها النجاسة ، فتدلّ الرواية حينئذ على اعتبار العلم في الحكم بالنجاسة في الشبهات الموضوعية الخارجية ، ولا دخل لها بالاستصحاب كما هو ظاهر ، وكذا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 أعمّ من المسبوق وغير المسبوق ، فإنّ الحكم بعدم النجاسة فيما لم يعلم نجاسته أعمّ من الحكم بوجوب الأخذ بالحالة السابقة كما هو مفاد الاستصحاب ، ومجرّد انطباق بعض موارده لموارد الاستصحاب غير قاض باعتبار الاستصحاب ؛ لعدم دلالة عليه في الرواية ، بل ذلك </w:t>
      </w:r>
      <w:r>
        <w:rPr>
          <w:rStyle w:val="FootnoteAnchor"/>
          <w:rtl w:val="true"/>
        </w:rPr>
        <w:footnoteReference w:id="602"/>
      </w:r>
      <w:r>
        <w:rPr>
          <w:rFonts w:ascii="Amiri" w:hAnsi="Amiri" w:eastAsia="Amiri" w:cs="Amiri"/>
          <w:color w:val="111111"/>
          <w:sz w:val="28"/>
          <w:sz w:val="28"/>
          <w:szCs w:val="28"/>
          <w:rtl w:val="true"/>
          <w:lang w:bidi="ar-SA"/>
        </w:rPr>
        <w:t xml:space="preserve">لعلّه ظاهر الاستحالة ، فإنّ الحكم في هذه الرواية مناطه مجرّد الشكّ ، وفي الاستصحاب هو الشكّ مع الحالة السابقة ، فدليل أحد الحكمين لا يمكن أن يستفاد منه الآخر ، ولذلك لا يصحّ </w:t>
      </w:r>
      <w:r>
        <w:rPr>
          <w:rStyle w:val="FootnoteAnchor"/>
          <w:rtl w:val="true"/>
        </w:rPr>
        <w:footnoteReference w:id="603"/>
      </w:r>
      <w:r>
        <w:rPr>
          <w:rFonts w:ascii="Amiri" w:hAnsi="Amiri" w:eastAsia="Amiri" w:cs="Amiri"/>
          <w:color w:val="111111"/>
          <w:sz w:val="28"/>
          <w:sz w:val="28"/>
          <w:szCs w:val="28"/>
          <w:rtl w:val="true"/>
          <w:lang w:bidi="ar-SA"/>
        </w:rPr>
        <w:t>التمسّك بأدلّة البراءة أو بغيرها من أدلّة الأصول التي تنطبق مواردها في بعض الأحيان لمورد الاستصحاب لاعتبار الاستصحاب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الشيء العناوين الكلّية القابلة للحكم عليها بالطهارة كابن آوى </w:t>
      </w:r>
      <w:r>
        <w:rPr>
          <w:rStyle w:val="FootnoteAnchor"/>
          <w:rtl w:val="true"/>
        </w:rPr>
        <w:footnoteReference w:id="604"/>
      </w:r>
      <w:r>
        <w:rPr>
          <w:rFonts w:ascii="Amiri" w:hAnsi="Amiri" w:eastAsia="Amiri" w:cs="Amiri"/>
          <w:color w:val="111111"/>
          <w:sz w:val="28"/>
          <w:sz w:val="28"/>
          <w:szCs w:val="28"/>
          <w:rtl w:val="true"/>
          <w:lang w:bidi="ar-SA"/>
        </w:rPr>
        <w:t xml:space="preserve">وكلب الماء والأرنب مثلا ، أو النجاسة ، فعند عدم العلم بحكمها الشرعي الواقعي لا بدّ من معاملة الطهارة معها حتّى يعلم شرعا أنّها قذر فيجتنب عنها ، فتكون الرواية مختصّة بالشبهة الحكمية ، ويحتمل الوجهين من المسبوقية وعدمها بالعلم بالطهارة إلاّ أنّه لا يدلّ على تقدير التعميم على الاستصحاب ؛ لما عرفت من </w:t>
      </w:r>
    </w:p>
    <w:p>
      <w:pPr>
        <w:pStyle w:val="BookText"/>
        <w:rPr/>
      </w:pPr>
      <w:r>
        <w:rPr>
          <w:rFonts w:ascii="Amiri" w:hAnsi="Amiri" w:eastAsia="Amiri" w:cs="Amiri"/>
          <w:color w:val="111111"/>
          <w:sz w:val="28"/>
          <w:sz w:val="28"/>
          <w:szCs w:val="28"/>
          <w:rtl w:val="true"/>
          <w:lang w:bidi="ar-SA"/>
        </w:rPr>
        <w:t>اختلاف مناط القاعدتين ، والفرق بين هذا الاحتمال وسابقه ممّا لا يخفى ، فإنّ الرافع للجهل في السابق هو معرفة ذات الشيء من الرجوع إلى الواقع أو السؤال عن أهل الخبرة ، بخلاف هذا الاحتمال فإنّ رافع الاشتباه هو الدليل الشرعي كما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الوجوه المحتملة كلّها مشتركة في أنّ الحكم المأخوذ فيها هو الحكم الظاهري لمكان الغاية وإن اختلفت في أنّ مفاد الأوّل هو اعتبار قاعدة الاستصحاب ، ومفاد الثاني والثالث هو اعتبار العلم في الحكم بالنجاسة ، فيكفي في الحكم بالطهارة عدم العلم بالنجاسة والشكّ فيها وإن اختلفا أيضا في اختصاص الثاني بالموضوعية </w:t>
      </w:r>
      <w:r>
        <w:rPr>
          <w:rStyle w:val="FootnoteAnchor"/>
          <w:rtl w:val="true"/>
        </w:rPr>
        <w:footnoteReference w:id="605"/>
      </w:r>
      <w:r>
        <w:rPr>
          <w:rFonts w:ascii="Amiri" w:hAnsi="Amiri" w:eastAsia="Amiri" w:cs="Amiri"/>
          <w:color w:val="111111"/>
          <w:sz w:val="28"/>
          <w:sz w:val="28"/>
          <w:szCs w:val="28"/>
          <w:rtl w:val="true"/>
          <w:lang w:bidi="ar-SA"/>
        </w:rPr>
        <w:t>، والثالث بالحكمية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 إرادة المعاني الثلاثة من الرواية بأخذ معنى عامّ شامل للوجوه الثلاثة مع ما عرفت في الأخيرين من الاحتمال ، أو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القمي </w:t>
      </w:r>
      <w:r>
        <w:rPr>
          <w:rStyle w:val="FootnoteAnchor"/>
          <w:rtl w:val="true"/>
        </w:rPr>
        <w:footnoteReference w:id="606"/>
      </w:r>
      <w:r>
        <w:rPr>
          <w:rFonts w:ascii="Amiri" w:hAnsi="Amiri" w:eastAsia="Amiri" w:cs="Amiri"/>
          <w:color w:val="111111"/>
          <w:sz w:val="28"/>
          <w:sz w:val="28"/>
          <w:szCs w:val="28"/>
          <w:rtl w:val="true"/>
          <w:lang w:bidi="ar-SA"/>
        </w:rPr>
        <w:t>إلى العدم نظرا إلى اختلاف الشبهة الحكمية والموضوعية في لزوم الفحص وعدمه ، وفي رفع الجهل فيهما ، فإنّ الحكمية جهلها يرتفع بالدليل دون الموضوعية ، وعدم حصول العلم الوجداني في الأحكام دون الموضوعات ، فاستعمال الرواية فيها يوجب إرادة أكثر من معنى واحد مع عدم الجامع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الأجلّة إرادة المعاني الثلاثة من الرواية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نلتزم بأنّها مستعملة في كلّ واحد من المعاني المذكورة على الاستقلال حتّى يلزم ما ذكره ، بل في القدر المشترك بينهما كما بيّناه </w:t>
      </w:r>
      <w:r>
        <w:rPr>
          <w:rStyle w:val="FootnoteAnchor"/>
          <w:rtl w:val="true"/>
        </w:rPr>
        <w:footnoteReference w:id="60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الرواية أنّ الجزئيات الخارجية المجهولة حكما أو موضوعا ، سواء كانت مسبوقة بالعلم أو لا ، يحكم فيها بالطهارة حتّى يرتفع الجهل ويحصل العلم في كلّ واحد بحسبه ، ففي الموضوعات بالرجوع إلى أهل الخبرة ، وفي الأحكام بالرجوع إلى </w:t>
      </w:r>
    </w:p>
    <w:p>
      <w:pPr>
        <w:pStyle w:val="BookText"/>
        <w:rPr/>
      </w:pPr>
      <w:r>
        <w:rPr>
          <w:rFonts w:ascii="Amiri" w:hAnsi="Amiri" w:eastAsia="Amiri" w:cs="Amiri"/>
          <w:color w:val="111111"/>
          <w:sz w:val="28"/>
          <w:sz w:val="28"/>
          <w:szCs w:val="28"/>
          <w:rtl w:val="true"/>
          <w:lang w:bidi="ar-SA"/>
        </w:rPr>
        <w:t>الأدلّة ، وفي الشبهة البدوية يرتفع الجهل ، وفي المسبوقة بالعلم يحصل اليقين بالخلاف ، هذا على ما ذكره الزاعم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على ما عرفت عدم جواز إرادة المعاني الثلاثة من الرواية مع جواز إرادة المعنيين الأخيرين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فلانتفاء القدر الجامع بين المعاني الثلاثة ؛ لما عرفت من أنّ مجرّد انطباق أحد الأصول للآخر موردا لا يصير منشأ لإرادة مفهومه من دليل الآخر بعد اختلاف مناطهما ، وما ذكره الزاعم المذكور وإن كان صحيحا إلاّ أنّه لا يفيد إلاّ الانطباق بحسب المورد </w:t>
      </w:r>
      <w:r>
        <w:rPr>
          <w:rStyle w:val="FootnoteAnchor"/>
          <w:rtl w:val="true"/>
        </w:rPr>
        <w:footnoteReference w:id="608"/>
      </w:r>
      <w:r>
        <w:rPr>
          <w:rFonts w:ascii="Amiri" w:hAnsi="Amiri" w:eastAsia="Amiri" w:cs="Amiri"/>
          <w:color w:val="111111"/>
          <w:sz w:val="28"/>
          <w:sz w:val="28"/>
          <w:szCs w:val="28"/>
          <w:rtl w:val="true"/>
          <w:lang w:bidi="ar-SA"/>
        </w:rPr>
        <w:t>، وبعد اختلاف المناط لا يمكن إلقاء كلام واحد مفيد للمعنيين فإنّ الكلام في قاعدة الاستصحاب لا بدّ أن يكون مسوقا إلى بيان حال الطهارة السابقة واستمرارها لا لبيان الشكّ فيها من حيث كونه شكّا فقط على ما هو مناط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القدر المشترك بين المعنيين ، فالمراد بالشيء مطلق مجهول الحكم ، سواء كان الجهل باعتبار شبهة خارجية أو شبهة حكمية ، فالمعنى أنّ كلّ شيء لم يعلم حكمه من الطهارة والنجاسة من أيّ قسم كان فهو محكوم بالطهارة الظاهرية إلى حصول العلم بنجاسته ، وعمومه للمعنيين ظاهر ، وما ذكره المحقّق مانعا خارج عن طريقة استكشاف المرادات من الألفاظ كما لا يخفى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إنّما هو بحسب إمكان الإرادة ، وأمّا أنّه هل هي ظاهرة </w:t>
      </w:r>
      <w:r>
        <w:rPr>
          <w:rStyle w:val="FootnoteAnchor"/>
          <w:rtl w:val="true"/>
        </w:rPr>
        <w:footnoteReference w:id="609"/>
      </w:r>
      <w:r>
        <w:rPr>
          <w:rFonts w:ascii="Amiri" w:hAnsi="Amiri" w:eastAsia="Amiri" w:cs="Amiri"/>
          <w:color w:val="111111"/>
          <w:sz w:val="28"/>
          <w:sz w:val="28"/>
          <w:szCs w:val="28"/>
          <w:rtl w:val="true"/>
          <w:lang w:bidi="ar-SA"/>
        </w:rPr>
        <w:t xml:space="preserve">في المعنى الأوّل أو في الثاني أو في الأخيرين؟ فالظاهر ظهورها </w:t>
      </w:r>
      <w:r>
        <w:rPr>
          <w:rStyle w:val="FootnoteAnchor"/>
          <w:rtl w:val="true"/>
        </w:rPr>
        <w:footnoteReference w:id="610"/>
      </w:r>
      <w:r>
        <w:rPr>
          <w:rFonts w:ascii="Amiri" w:hAnsi="Amiri" w:eastAsia="Amiri" w:cs="Amiri"/>
          <w:color w:val="111111"/>
          <w:sz w:val="28"/>
          <w:sz w:val="28"/>
          <w:szCs w:val="28"/>
          <w:rtl w:val="true"/>
          <w:lang w:bidi="ar-SA"/>
        </w:rPr>
        <w:t xml:space="preserve">في المعنى الثاني ؛ لأنّ جهل </w:t>
      </w:r>
      <w:r>
        <w:rPr>
          <w:rStyle w:val="FootnoteAnchor"/>
          <w:rtl w:val="true"/>
        </w:rPr>
        <w:footnoteReference w:id="611"/>
      </w:r>
      <w:r>
        <w:rPr>
          <w:rFonts w:ascii="Amiri" w:hAnsi="Amiri" w:eastAsia="Amiri" w:cs="Amiri"/>
          <w:color w:val="111111"/>
          <w:sz w:val="28"/>
          <w:sz w:val="28"/>
          <w:szCs w:val="28"/>
          <w:rtl w:val="true"/>
          <w:lang w:bidi="ar-SA"/>
        </w:rPr>
        <w:t xml:space="preserve">الحكم وإن كان يسري إلى جهل الموضوع إلاّ أنّه خلاف الظاهر ، مضافا إلى أنّ المعصوم على ما هو </w:t>
      </w:r>
      <w:r>
        <w:rPr>
          <w:rStyle w:val="FootnoteAnchor"/>
          <w:rtl w:val="true"/>
        </w:rPr>
        <w:footnoteReference w:id="612"/>
      </w:r>
      <w:r>
        <w:rPr>
          <w:rFonts w:ascii="Amiri" w:hAnsi="Amiri" w:eastAsia="Amiri" w:cs="Amiri"/>
          <w:color w:val="111111"/>
          <w:sz w:val="28"/>
          <w:sz w:val="28"/>
          <w:szCs w:val="28"/>
          <w:rtl w:val="true"/>
          <w:lang w:bidi="ar-SA"/>
        </w:rPr>
        <w:t xml:space="preserve">الظاهر من مساق الرواية إنّما هو في مقام إقعاد قاعدة يرجع إليها </w:t>
      </w:r>
    </w:p>
    <w:p>
      <w:pPr>
        <w:pStyle w:val="BookText"/>
        <w:rPr/>
      </w:pPr>
      <w:r>
        <w:rPr>
          <w:rFonts w:ascii="Amiri" w:hAnsi="Amiri" w:eastAsia="Amiri" w:cs="Amiri"/>
          <w:color w:val="111111"/>
          <w:sz w:val="28"/>
          <w:sz w:val="28"/>
          <w:szCs w:val="28"/>
          <w:rtl w:val="true"/>
          <w:lang w:bidi="ar-SA"/>
        </w:rPr>
        <w:t>ولو عند حضوره عليه‌السلام ، والغالب هو الشبهة الموضوعية ، فإنّ الجهل الحكمي غالبا يرتفع بالسؤال عنهم عليهم‌السلام ، وأمّا إرادة المعنى الأوّل ففي غاية البعد كما لا يخفى ، هذا تمام الكلام في الرواية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الأولى فاحتمل المحقّق القمي </w:t>
      </w:r>
      <w:r>
        <w:rPr>
          <w:rStyle w:val="FootnoteAnchor"/>
          <w:rtl w:val="true"/>
        </w:rPr>
        <w:footnoteReference w:id="613"/>
      </w:r>
      <w:r>
        <w:rPr>
          <w:rFonts w:ascii="Amiri" w:hAnsi="Amiri" w:eastAsia="Amiri" w:cs="Amiri"/>
          <w:color w:val="111111"/>
          <w:sz w:val="28"/>
          <w:sz w:val="28"/>
          <w:szCs w:val="28"/>
          <w:rtl w:val="true"/>
          <w:lang w:bidi="ar-SA"/>
        </w:rPr>
        <w:t xml:space="preserve">فيها الوجوه المذكورة ،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مستقيم ؛ لأنّ القاعدة إنّما يحسن جعلها لموارد </w:t>
      </w:r>
      <w:r>
        <w:rPr>
          <w:rStyle w:val="FootnoteAnchor"/>
          <w:rtl w:val="true"/>
        </w:rPr>
        <w:footnoteReference w:id="614"/>
      </w:r>
      <w:r>
        <w:rPr>
          <w:rFonts w:ascii="Amiri" w:hAnsi="Amiri" w:eastAsia="Amiri" w:cs="Amiri"/>
          <w:color w:val="111111"/>
          <w:sz w:val="28"/>
          <w:sz w:val="28"/>
          <w:szCs w:val="28"/>
          <w:rtl w:val="true"/>
          <w:lang w:bidi="ar-SA"/>
        </w:rPr>
        <w:t xml:space="preserve">الاشتباه ، ومن المعلوم بداهة عدم الاشتباه في الماء ، لا في طبيعة الماء </w:t>
      </w:r>
      <w:r>
        <w:rPr>
          <w:rStyle w:val="FootnoteAnchor"/>
          <w:rtl w:val="true"/>
        </w:rPr>
        <w:footnoteReference w:id="615"/>
      </w:r>
      <w:r>
        <w:rPr>
          <w:rFonts w:ascii="Amiri" w:hAnsi="Amiri" w:eastAsia="Amiri" w:cs="Amiri"/>
          <w:color w:val="111111"/>
          <w:sz w:val="28"/>
          <w:sz w:val="28"/>
          <w:szCs w:val="28"/>
          <w:rtl w:val="true"/>
          <w:lang w:bidi="ar-SA"/>
        </w:rPr>
        <w:t xml:space="preserve">ولا في أفراده ، فلا بدّ من الحمل على بيان الحكم الظاهري من جهة الشكّ في عروض المزيل ، فينطبق </w:t>
      </w:r>
      <w:r>
        <w:rPr>
          <w:rStyle w:val="FootnoteAnchor"/>
          <w:rtl w:val="true"/>
        </w:rPr>
        <w:footnoteReference w:id="616"/>
      </w:r>
      <w:r>
        <w:rPr>
          <w:rFonts w:ascii="Amiri" w:hAnsi="Amiri" w:eastAsia="Amiri" w:cs="Amiri"/>
          <w:color w:val="111111"/>
          <w:sz w:val="28"/>
          <w:sz w:val="28"/>
          <w:szCs w:val="28"/>
          <w:rtl w:val="true"/>
          <w:lang w:bidi="ar-SA"/>
        </w:rPr>
        <w:t>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الاشتباه لا ينحصر </w:t>
      </w:r>
      <w:r>
        <w:rPr>
          <w:rStyle w:val="FootnoteAnchor"/>
          <w:rtl w:val="true"/>
        </w:rPr>
        <w:footnoteReference w:id="617"/>
      </w:r>
      <w:r>
        <w:rPr>
          <w:rFonts w:ascii="Amiri" w:hAnsi="Amiri" w:eastAsia="Amiri" w:cs="Amiri"/>
          <w:color w:val="111111"/>
          <w:sz w:val="28"/>
          <w:sz w:val="28"/>
          <w:szCs w:val="28"/>
          <w:rtl w:val="true"/>
          <w:lang w:bidi="ar-SA"/>
        </w:rPr>
        <w:t xml:space="preserve">فيما يزعمه </w:t>
      </w:r>
      <w:r>
        <w:rPr>
          <w:rStyle w:val="FootnoteAnchor"/>
          <w:rtl w:val="true"/>
        </w:rPr>
        <w:footnoteReference w:id="618"/>
      </w:r>
      <w:r>
        <w:rPr>
          <w:rFonts w:ascii="Amiri" w:hAnsi="Amiri" w:eastAsia="Amiri" w:cs="Amiri"/>
          <w:color w:val="111111"/>
          <w:sz w:val="28"/>
          <w:sz w:val="28"/>
          <w:szCs w:val="28"/>
          <w:rtl w:val="true"/>
          <w:lang w:bidi="ar-SA"/>
        </w:rPr>
        <w:t xml:space="preserve">؛ إذ قد يحصل باعتبار العوارض ، فإنّ له أفراد </w:t>
      </w:r>
      <w:r>
        <w:rPr>
          <w:rStyle w:val="FootnoteAnchor"/>
          <w:rtl w:val="true"/>
        </w:rPr>
        <w:footnoteReference w:id="619"/>
      </w:r>
      <w:r>
        <w:rPr>
          <w:rFonts w:ascii="Amiri" w:hAnsi="Amiri" w:eastAsia="Amiri" w:cs="Amiri"/>
          <w:color w:val="111111"/>
          <w:sz w:val="28"/>
          <w:sz w:val="28"/>
          <w:szCs w:val="28"/>
          <w:rtl w:val="true"/>
          <w:lang w:bidi="ar-SA"/>
        </w:rPr>
        <w:t xml:space="preserve">مختلفة بحسب ما يعرضه من الحالات من ملاقاته بالنجس مغيّرا له أو غيره ، ومن كونه قليلا أو كثيرا ، جاريا أو محقونا ، ويشاهد ذلك في الكرّ المتنجّس إذا شكّ في تطهيره بإلقاء كرّ عليه ، فإنّ قضيّة </w:t>
      </w:r>
      <w:r>
        <w:rPr>
          <w:rStyle w:val="FootnoteAnchor"/>
          <w:rtl w:val="true"/>
        </w:rPr>
        <w:footnoteReference w:id="620"/>
      </w:r>
      <w:r>
        <w:rPr>
          <w:rFonts w:ascii="Amiri" w:hAnsi="Amiri" w:eastAsia="Amiri" w:cs="Amiri"/>
          <w:color w:val="111111"/>
          <w:sz w:val="28"/>
          <w:sz w:val="28"/>
          <w:szCs w:val="28"/>
          <w:rtl w:val="true"/>
          <w:lang w:bidi="ar-SA"/>
        </w:rPr>
        <w:t xml:space="preserve">القاعدة هو الحكم بالطهارة وإن كانت </w:t>
      </w:r>
      <w:r>
        <w:rPr>
          <w:rStyle w:val="FootnoteAnchor"/>
          <w:rtl w:val="true"/>
        </w:rPr>
        <w:footnoteReference w:id="621"/>
      </w:r>
      <w:r>
        <w:rPr>
          <w:rFonts w:ascii="Amiri" w:hAnsi="Amiri" w:eastAsia="Amiri" w:cs="Amiri"/>
          <w:color w:val="111111"/>
          <w:sz w:val="28"/>
          <w:sz w:val="28"/>
          <w:szCs w:val="28"/>
          <w:rtl w:val="true"/>
          <w:lang w:bidi="ar-SA"/>
        </w:rPr>
        <w:t>قضيّة الاستصحاب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الماء الذي هو مسبوق بالعلم بالنجاسة عند الشكّ في طهارته ونجاسته هل هو داخل فيما بعد الغاية نظرا إلى أنّ العلم أعمّ من الحاصل قبل الشكّ وبعده كما لعلّه يظهر من سيّد الرياض ، أو فيما قبله ؛ لأنّ الرواية منساقة إلى بيان حكم المشكوك ، فتشتمل </w:t>
      </w:r>
      <w:r>
        <w:rPr>
          <w:rStyle w:val="FootnoteAnchor"/>
          <w:rtl w:val="true"/>
        </w:rPr>
        <w:footnoteReference w:id="622"/>
      </w:r>
      <w:r>
        <w:rPr>
          <w:rFonts w:ascii="Amiri" w:hAnsi="Amiri" w:eastAsia="Amiri" w:cs="Amiri"/>
          <w:color w:val="111111"/>
          <w:sz w:val="28"/>
          <w:sz w:val="28"/>
          <w:szCs w:val="28"/>
          <w:rtl w:val="true"/>
          <w:lang w:bidi="ar-SA"/>
        </w:rPr>
        <w:t xml:space="preserve">موارد الشكّ بأجمعها وهو الظاهر؟ وجهان ، إلاّ أنّ الاستصحاب حاكم على الأصل المذكور كما ستعرف إن شاء اللّه في محلّه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من جميع ما مرّ أنّ هذه الروايات لا دلالة فيها على الاستصحاب في </w:t>
      </w:r>
    </w:p>
    <w:p>
      <w:pPr>
        <w:pStyle w:val="BookText"/>
        <w:rPr/>
      </w:pPr>
      <w:r>
        <w:rPr>
          <w:rFonts w:ascii="Amiri" w:hAnsi="Amiri" w:eastAsia="Amiri" w:cs="Amiri"/>
          <w:color w:val="111111"/>
          <w:sz w:val="28"/>
          <w:sz w:val="28"/>
          <w:szCs w:val="28"/>
          <w:rtl w:val="true"/>
          <w:lang w:bidi="ar-SA"/>
        </w:rPr>
        <w:t>مواردها فكيف بإثبات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الأستاد في الاحتجاج بالروايات العامّة والخاصّة على حجّية الاستصحاب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القطع بدلالة هذه الأخبار على اعتبار الاستصحاب ، فإنّ غاية ما احتمله سلّمه اللّه في الروايات </w:t>
      </w:r>
      <w:r>
        <w:rPr>
          <w:rStyle w:val="FootnoteAnchor"/>
          <w:rtl w:val="true"/>
        </w:rPr>
        <w:footnoteReference w:id="624"/>
      </w:r>
      <w:r>
        <w:rPr>
          <w:rFonts w:ascii="IRNazanin" w:hAnsi="IRNazanin" w:eastAsia="IRNazanin"/>
          <w:color w:val="111111"/>
          <w:sz w:val="28"/>
          <w:sz w:val="28"/>
          <w:szCs w:val="28"/>
          <w:rtl w:val="true"/>
          <w:lang w:bidi="fa-IR"/>
        </w:rPr>
        <w:t xml:space="preserve">هو احتمال العهد ، والإنصاف على ما هو ظاهر لمن جانب الاعتساف ظهورها </w:t>
      </w:r>
      <w:r>
        <w:rPr>
          <w:rStyle w:val="FootnoteAnchor"/>
          <w:rtl w:val="true"/>
        </w:rPr>
        <w:footnoteReference w:id="625"/>
      </w:r>
      <w:r>
        <w:rPr>
          <w:rFonts w:ascii="Amiri" w:hAnsi="Amiri" w:eastAsia="Amiri" w:cs="Amiri"/>
          <w:color w:val="111111"/>
          <w:sz w:val="28"/>
          <w:sz w:val="28"/>
          <w:szCs w:val="28"/>
          <w:rtl w:val="true"/>
          <w:lang w:bidi="ar-SA"/>
        </w:rPr>
        <w:t>في الجنس ، فيتمّ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الأخبار تنقطع أصالة عدم الاعتبار والآيات الناهية عن العمل بغير العلم وعدم جواز الافتراء على اللّه ، فإنّ الحكم في الزمان الثاني ثبوته ليس افتراء ولا قولا بغير علم ، بل هو إثبات للحكم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بإمعان النظر في دلالة الأخبار ، فلعلّها بعد تأمّل ما ظاهرة</w:t>
      </w:r>
      <w:r>
        <w:rPr>
          <w:rFonts w:eastAsia="Amiri" w:cs="Amiri" w:ascii="Amiri" w:hAnsi="Amiri"/>
          <w:color w:val="111111"/>
          <w:sz w:val="28"/>
          <w:szCs w:val="28"/>
          <w:rtl w:val="true"/>
          <w:lang w:bidi="ar-SA"/>
        </w:rPr>
        <w:t xml:space="preserve">. </w:t>
      </w:r>
      <w:bookmarkStart w:id="92" w:name="pg16284_171095"/>
    </w:p>
    <w:p>
      <w:pPr>
        <w:pStyle w:val="Heading3"/>
        <w:numPr>
          <w:ilvl w:val="2"/>
          <w:numId w:val="1"/>
        </w:numPr>
        <w:rPr/>
      </w:pPr>
      <w:bookmarkStart w:id="93" w:name="__RefHeading___Toc5012082_1280447820"/>
      <w:bookmarkStart w:id="94" w:name="_Toc30"/>
      <w:bookmarkEnd w:id="92"/>
      <w:bookmarkEnd w:id="93"/>
      <w:r>
        <w:rPr>
          <w:rtl w:val="true"/>
        </w:rPr>
        <w:t xml:space="preserve">هداية </w:t>
      </w:r>
      <w:r>
        <w:rPr>
          <w:rtl w:val="true"/>
        </w:rPr>
        <w:t xml:space="preserve">[ </w:t>
      </w:r>
      <w:r>
        <w:rPr>
          <w:rtl w:val="true"/>
        </w:rPr>
        <w:t xml:space="preserve">في حجّية الاستصحاب في الوضعيات دون الطلبيات </w:t>
      </w:r>
      <w:r>
        <w:rPr>
          <w:rtl w:val="true"/>
        </w:rPr>
        <w:t>]</w:t>
      </w:r>
      <w:bookmarkEnd w:id="94"/>
    </w:p>
    <w:p>
      <w:pPr>
        <w:pStyle w:val="Heading4"/>
        <w:numPr>
          <w:ilvl w:val="3"/>
          <w:numId w:val="1"/>
        </w:numPr>
        <w:rPr/>
      </w:pPr>
      <w:bookmarkStart w:id="95" w:name="__RefHeading___Toc5012084_1280447820"/>
      <w:bookmarkStart w:id="96" w:name="_Toc31"/>
      <w:bookmarkEnd w:id="95"/>
      <w:r>
        <w:rPr>
          <w:rtl w:val="true"/>
        </w:rPr>
        <w:t>اشارة</w:t>
      </w:r>
      <w:bookmarkEnd w:id="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626"/>
      </w:r>
      <w:r>
        <w:rPr>
          <w:rFonts w:ascii="Amiri" w:hAnsi="Amiri" w:eastAsia="Amiri" w:cs="Amiri"/>
          <w:color w:val="111111"/>
          <w:sz w:val="28"/>
          <w:sz w:val="28"/>
          <w:szCs w:val="28"/>
          <w:rtl w:val="true"/>
          <w:lang w:bidi="ar-SA"/>
        </w:rPr>
        <w:t xml:space="preserve">في بعض الهدايات السابقة نسبة القول بحجية الاستصحاب في الوضعيات دون الطلبيات إلى الفاضل التوني ، والمتراءى منه في الوافية عدم جريان الاستصحاب وتعقّله في الطلبيات دون عدم الحجّية ، فإنّ ذلك ربّما لا ينافي التعقّل ، كما أنّ المتراءى منه أيضا هو جريانه في نفس الأسباب والشرائط ، والأحكام الوضعية عندهم السببية والشرطية لا نفس الأسباب والشرائط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تحديده له وتحرير الخلاف وذكر أدلّة الفريقين من الأخبار وغيرها وتنويع الأحكام إلى الوضعية والتكليفية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 هذا فإذا ورد أمر بطلب شيء فلا يخلو إمّا أن يكون موقّتا ، أو لا ، وعلى الأوّل يكون وجوب ذلك الشيء أو ندبه في كلّ جزء من أجزاء ذلك الوقت ثابتا بذلك الأمر ، فالتمسّك حينئذ في ثبوت ذلك الحكم في الزمان الثاني بالنصّ لا بالثبوت في الزمان الأوّل حتّى يكون استصحابا وهو ظاهر ، وعلى الثاني أيضا كذلك إن قلنا بإفادة الأمر للتكرار </w:t>
      </w:r>
      <w:r>
        <w:rPr>
          <w:rStyle w:val="FootnoteAnchor"/>
          <w:rtl w:val="true"/>
        </w:rPr>
        <w:footnoteReference w:id="627"/>
      </w:r>
      <w:r>
        <w:rPr>
          <w:rFonts w:ascii="Amiri" w:hAnsi="Amiri" w:eastAsia="Amiri" w:cs="Amiri"/>
          <w:color w:val="111111"/>
          <w:sz w:val="28"/>
          <w:sz w:val="28"/>
          <w:szCs w:val="28"/>
          <w:rtl w:val="true"/>
          <w:lang w:bidi="ar-SA"/>
        </w:rPr>
        <w:t>، وإلاّ فذمّة المكلّف مشغولة حتّى يأتي به في أيّ زمان كان ، ونسبة أجزاء الزمان إليه نسبة واحدة في كونه أداء في كلّ جزء منها ، سواء قلنا بأنّ الأمر للفور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والتوهّم بأنّ الأمر إذا كان للفور يكون من قبيل الموقّت المضيّق ، اشتباه غير خفيّ </w:t>
      </w:r>
      <w:r>
        <w:rPr>
          <w:rStyle w:val="FootnoteAnchor"/>
          <w:rtl w:val="true"/>
        </w:rPr>
        <w:footnoteReference w:id="628"/>
      </w:r>
      <w:r>
        <w:rPr>
          <w:rFonts w:ascii="Amiri" w:hAnsi="Amiri" w:eastAsia="Amiri" w:cs="Amiri"/>
          <w:color w:val="111111"/>
          <w:sz w:val="28"/>
          <w:sz w:val="28"/>
          <w:szCs w:val="28"/>
          <w:rtl w:val="true"/>
          <w:lang w:bidi="ar-SA"/>
        </w:rPr>
        <w:t xml:space="preserve">على المتأمّل ، فهذا أيضا ليس من الاستصحاب في شيء ولا </w:t>
      </w:r>
    </w:p>
    <w:p>
      <w:pPr>
        <w:pStyle w:val="BookText"/>
        <w:rPr/>
      </w:pPr>
      <w:r>
        <w:rPr>
          <w:rFonts w:ascii="Amiri" w:hAnsi="Amiri" w:eastAsia="Amiri" w:cs="Amiri"/>
          <w:color w:val="111111"/>
          <w:sz w:val="28"/>
          <w:sz w:val="28"/>
          <w:szCs w:val="28"/>
          <w:rtl w:val="true"/>
          <w:lang w:bidi="ar-SA"/>
        </w:rPr>
        <w:t xml:space="preserve">يمكن أن يقال بأنّ إثبات الحكم في القسم الأوّل فيما بعد وقته من الاستصحاب ، فإنّ هذا </w:t>
      </w:r>
      <w:r>
        <w:rPr>
          <w:rStyle w:val="FootnoteAnchor"/>
          <w:rtl w:val="true"/>
        </w:rPr>
        <w:footnoteReference w:id="629"/>
      </w:r>
      <w:r>
        <w:rPr>
          <w:rFonts w:ascii="Amiri" w:hAnsi="Amiri" w:eastAsia="Amiri" w:cs="Amiri"/>
          <w:color w:val="111111"/>
          <w:sz w:val="28"/>
          <w:sz w:val="28"/>
          <w:szCs w:val="28"/>
          <w:rtl w:val="true"/>
          <w:lang w:bidi="ar-SA"/>
        </w:rPr>
        <w:t xml:space="preserve">لم يقل به أحد ولا يجوز إجماعا ، وكذلك الكلام في النهي ، بل هو أولى لعدم </w:t>
      </w:r>
      <w:r>
        <w:rPr>
          <w:rStyle w:val="FootnoteAnchor"/>
          <w:rtl w:val="true"/>
        </w:rPr>
        <w:footnoteReference w:id="630"/>
      </w:r>
      <w:r>
        <w:rPr>
          <w:rFonts w:ascii="Amiri" w:hAnsi="Amiri" w:eastAsia="Amiri" w:cs="Amiri"/>
          <w:color w:val="111111"/>
          <w:sz w:val="28"/>
          <w:sz w:val="28"/>
          <w:szCs w:val="28"/>
          <w:rtl w:val="true"/>
          <w:lang w:bidi="ar-SA"/>
        </w:rPr>
        <w:t xml:space="preserve">توهّم الاستصحاب فيه ؛ لأنّ مطلقه يفيد </w:t>
      </w:r>
      <w:r>
        <w:rPr>
          <w:rStyle w:val="FootnoteAnchor"/>
          <w:rtl w:val="true"/>
        </w:rPr>
        <w:footnoteReference w:id="631"/>
      </w:r>
      <w:r>
        <w:rPr>
          <w:rFonts w:ascii="Amiri" w:hAnsi="Amiri" w:eastAsia="Amiri" w:cs="Amiri"/>
          <w:color w:val="111111"/>
          <w:sz w:val="28"/>
          <w:sz w:val="28"/>
          <w:szCs w:val="28"/>
          <w:rtl w:val="true"/>
          <w:lang w:bidi="ar-SA"/>
        </w:rPr>
        <w:t>التكرار ، والتخييري كذلك ، فالأحكام الخمسة المجرّدة عن الأحكام الوضعية لا يتصوّر فيها الاستدلال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الوضعية فإذا جعل الشارع شيئا سببا لحكم من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كالدلوك لوجوب الظهر ، أو الكسوف لوجوب صلاته ، والزلزلة لصلاتها ، والإيجاب والقبول لإباحة التصرّفات والاستمتاعات في الملك والنكاح وفيه لتحريم أمّ الزوجة ، والحيض والنفاس لتحريم الصوم والصلاة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ينظر إلى </w:t>
      </w:r>
      <w:r>
        <w:rPr>
          <w:rStyle w:val="FootnoteAnchor"/>
          <w:rtl w:val="true"/>
        </w:rPr>
        <w:footnoteReference w:id="632"/>
      </w:r>
      <w:r>
        <w:rPr>
          <w:rFonts w:ascii="Amiri" w:hAnsi="Amiri" w:eastAsia="Amiri" w:cs="Amiri"/>
          <w:color w:val="111111"/>
          <w:sz w:val="28"/>
          <w:sz w:val="28"/>
          <w:szCs w:val="28"/>
          <w:rtl w:val="true"/>
          <w:lang w:bidi="ar-SA"/>
        </w:rPr>
        <w:t xml:space="preserve">كيفية سببيته </w:t>
      </w:r>
      <w:r>
        <w:rPr>
          <w:rStyle w:val="FootnoteAnchor"/>
          <w:rtl w:val="true"/>
        </w:rPr>
        <w:footnoteReference w:id="633"/>
      </w:r>
      <w:r>
        <w:rPr>
          <w:rFonts w:ascii="Amiri" w:hAnsi="Amiri" w:eastAsia="Amiri" w:cs="Amiri"/>
          <w:color w:val="111111"/>
          <w:sz w:val="28"/>
          <w:sz w:val="28"/>
          <w:szCs w:val="28"/>
          <w:rtl w:val="true"/>
          <w:lang w:bidi="ar-SA"/>
        </w:rPr>
        <w:t xml:space="preserve">هل هي على الإطلاق كما في الإيجاب والقبول فإنّ سببيته على نحو خاصّ وهو الدوام إلى أن يتحقّق المزيل </w:t>
      </w:r>
      <w:r>
        <w:rPr>
          <w:rStyle w:val="FootnoteAnchor"/>
          <w:rtl w:val="true"/>
        </w:rPr>
        <w:footnoteReference w:id="634"/>
      </w:r>
      <w:r>
        <w:rPr>
          <w:rFonts w:ascii="Amiri" w:hAnsi="Amiri" w:eastAsia="Amiri" w:cs="Amiri"/>
          <w:color w:val="111111"/>
          <w:sz w:val="28"/>
          <w:sz w:val="28"/>
          <w:szCs w:val="28"/>
          <w:rtl w:val="true"/>
          <w:lang w:bidi="ar-SA"/>
        </w:rPr>
        <w:t>وكذا الزلزلة ، أو في وقت معيّن كالدلوك ونحوه ممّا لم يكن السبب وقتا وكالكسوف والحيض ونحوهما ممّا يكون السبب وقتا للحكم ، فإنّ السببية في هذه الأشياء على نحو آخر فإنّها أسباب للحكم في أوقات معيّنة ، وجميع ذلك ليس من الاستصحاب في شيء ، فإنّ ثبوت الحكم في شيء من أجزاء الزمان الثابت فيه الحكم ليس تابعا للثبوت في جزء آخر ، بل نسبة السبب في اقتضاء الحكم في كلّ جزء نسبة واحدة؟ وكذا الكلام في الشرط والمانع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مرّ أنّ الاستصحاب المختلف فيه لا يكون إلاّ في الأحكام الوضعية أعني الأسباب والشرائط والموانع للأحكام الخمسة من حيث إنّها كذلك ، ووقوعه فيها إنّما هو بتبعيتها كما يقال في الماء الكرّ المتغيّر بالنجاسة إذا زال تغيّره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الاجتناب عنه في الصلاة ؛ لوجوبه قبل زوال تغيّره ، فإنّ مرجعه إلى أنّ النجاسة </w:t>
      </w:r>
    </w:p>
    <w:p>
      <w:pPr>
        <w:pStyle w:val="BookText"/>
        <w:rPr/>
      </w:pPr>
      <w:r>
        <w:rPr>
          <w:rFonts w:ascii="Amiri" w:hAnsi="Amiri" w:eastAsia="Amiri" w:cs="Amiri"/>
          <w:color w:val="111111"/>
          <w:sz w:val="28"/>
          <w:sz w:val="28"/>
          <w:szCs w:val="28"/>
          <w:rtl w:val="true"/>
          <w:lang w:bidi="ar-SA"/>
        </w:rPr>
        <w:t xml:space="preserve">كانت ثابتة قبل زوال تغيّره فيكون </w:t>
      </w:r>
      <w:r>
        <w:rPr>
          <w:rStyle w:val="FootnoteAnchor"/>
          <w:rtl w:val="true"/>
        </w:rPr>
        <w:footnoteReference w:id="635"/>
      </w:r>
      <w:r>
        <w:rPr>
          <w:rFonts w:ascii="Amiri" w:hAnsi="Amiri" w:eastAsia="Amiri" w:cs="Amiri"/>
          <w:color w:val="111111"/>
          <w:sz w:val="28"/>
          <w:sz w:val="28"/>
          <w:szCs w:val="28"/>
          <w:rtl w:val="true"/>
          <w:lang w:bidi="ar-SA"/>
        </w:rPr>
        <w:t xml:space="preserve">كذلك بعده ، ويقال في المتيمّم إذا وجد الماء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صلاته كانت صحيحة قبل الوجدان فكذا بعده </w:t>
      </w:r>
      <w:r>
        <w:rPr>
          <w:rStyle w:val="FootnoteAnchor"/>
          <w:rtl w:val="true"/>
        </w:rPr>
        <w:footnoteReference w:id="636"/>
      </w:r>
      <w:r>
        <w:rPr>
          <w:rFonts w:ascii="Amiri" w:hAnsi="Amiri" w:eastAsia="Amiri" w:cs="Amiri"/>
          <w:color w:val="111111"/>
          <w:sz w:val="28"/>
          <w:sz w:val="28"/>
          <w:szCs w:val="28"/>
          <w:rtl w:val="true"/>
          <w:lang w:bidi="ar-SA"/>
        </w:rPr>
        <w:t>، والطهارة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مع قطع النظر عن الروايات عدم حجّية الاستصحاب ؛ لأنّ العلم بوجود السبب والشرط والمانع </w:t>
      </w:r>
      <w:r>
        <w:rPr>
          <w:rStyle w:val="FootnoteAnchor"/>
          <w:rtl w:val="true"/>
        </w:rPr>
        <w:footnoteReference w:id="637"/>
      </w:r>
      <w:r>
        <w:rPr>
          <w:rFonts w:ascii="Amiri" w:hAnsi="Amiri" w:eastAsia="Amiri" w:cs="Amiri"/>
          <w:color w:val="111111"/>
          <w:sz w:val="28"/>
          <w:sz w:val="28"/>
          <w:szCs w:val="28"/>
          <w:rtl w:val="true"/>
          <w:lang w:bidi="ar-SA"/>
        </w:rPr>
        <w:t xml:space="preserve">في زمان لا يقتضي العلم ، بل ولا الظنّ بوجوده في غير ذلك الوقت </w:t>
      </w:r>
      <w:r>
        <w:rPr>
          <w:rStyle w:val="FootnoteAnchor"/>
          <w:rtl w:val="true"/>
        </w:rPr>
        <w:footnoteReference w:id="638"/>
      </w:r>
      <w:r>
        <w:rPr>
          <w:rFonts w:ascii="Amiri" w:hAnsi="Amiri" w:eastAsia="Amiri" w:cs="Amiri"/>
          <w:color w:val="111111"/>
          <w:sz w:val="28"/>
          <w:sz w:val="28"/>
          <w:szCs w:val="28"/>
          <w:rtl w:val="true"/>
          <w:lang w:bidi="ar-SA"/>
        </w:rPr>
        <w:t xml:space="preserve">، فالذي يقتضيه النظر بدون ملاحظة الروايات أنّه إذا علم تحقّق العلامة الوضعية تعلّق الحكم بالمكلّف ، وإذا زال ذلك العلم بطروّ شكّ بل وظنّ به أيضا يتوقّف عن الحكم الثابت أوّلا </w:t>
      </w:r>
      <w:r>
        <w:rPr>
          <w:rStyle w:val="FootnoteAnchor"/>
          <w:rtl w:val="true"/>
        </w:rPr>
        <w:footnoteReference w:id="639"/>
      </w:r>
      <w:r>
        <w:rPr>
          <w:rFonts w:ascii="Amiri" w:hAnsi="Amiri" w:eastAsia="Amiri" w:cs="Amiri"/>
          <w:color w:val="111111"/>
          <w:sz w:val="28"/>
          <w:sz w:val="28"/>
          <w:szCs w:val="28"/>
          <w:rtl w:val="true"/>
          <w:lang w:bidi="ar-SA"/>
        </w:rPr>
        <w:t xml:space="preserve">، إلاّ أنّ الظاهر من الأخبار أنّه إذا علم وجود شيء يحكم به </w:t>
      </w:r>
      <w:r>
        <w:rPr>
          <w:rStyle w:val="FootnoteAnchor"/>
          <w:rtl w:val="true"/>
        </w:rPr>
        <w:footnoteReference w:id="640"/>
      </w:r>
      <w:r>
        <w:rPr>
          <w:rFonts w:ascii="Amiri" w:hAnsi="Amiri" w:eastAsia="Amiri" w:cs="Amiri"/>
          <w:color w:val="111111"/>
          <w:sz w:val="28"/>
          <w:sz w:val="28"/>
          <w:szCs w:val="28"/>
          <w:rtl w:val="true"/>
          <w:lang w:bidi="ar-SA"/>
        </w:rPr>
        <w:t xml:space="preserve">حتّى يعلم زواله </w:t>
      </w:r>
      <w:r>
        <w:rPr>
          <w:rStyle w:val="FootnoteAnchor"/>
          <w:rtl w:val="true"/>
        </w:rPr>
        <w:footnoteReference w:id="641"/>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للسيّد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من غرائب الكلام ؛ إذ الشكّ قد يحصل في التكليف في الموقّت كمن شكّ في وجوب إتمام الصوم لو حصل له المرض في أثناء النهار مع شكّه في أنّه هل يصحّ له الإفطار </w:t>
      </w:r>
      <w:r>
        <w:rPr>
          <w:rStyle w:val="FootnoteAnchor"/>
          <w:rtl w:val="true"/>
        </w:rPr>
        <w:footnoteReference w:id="642"/>
      </w:r>
      <w:r>
        <w:rPr>
          <w:rFonts w:ascii="Amiri" w:hAnsi="Amiri" w:eastAsia="Amiri" w:cs="Amiri"/>
          <w:color w:val="111111"/>
          <w:sz w:val="28"/>
          <w:sz w:val="28"/>
          <w:szCs w:val="28"/>
          <w:rtl w:val="true"/>
          <w:lang w:bidi="ar-SA"/>
        </w:rPr>
        <w:t xml:space="preserve">أو لا؟ وكذلك في صورة التكرار وهو واضح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الإيراد عليه أنّه لا ينحصر </w:t>
      </w:r>
      <w:r>
        <w:rPr>
          <w:rStyle w:val="FootnoteAnchor"/>
          <w:rtl w:val="true"/>
        </w:rPr>
        <w:footnoteReference w:id="644"/>
      </w:r>
      <w:r>
        <w:rPr>
          <w:rFonts w:ascii="Amiri" w:hAnsi="Amiri" w:eastAsia="Amiri" w:cs="Amiri"/>
          <w:color w:val="111111"/>
          <w:sz w:val="28"/>
          <w:sz w:val="28"/>
          <w:szCs w:val="28"/>
          <w:rtl w:val="true"/>
          <w:lang w:bidi="ar-SA"/>
        </w:rPr>
        <w:t xml:space="preserve">أسباب الشكّ فيما تخيّله ، فإنّه </w:t>
      </w:r>
      <w:r>
        <w:rPr>
          <w:rStyle w:val="FootnoteAnchor"/>
          <w:rtl w:val="true"/>
        </w:rPr>
        <w:footnoteReference w:id="645"/>
      </w:r>
      <w:r>
        <w:rPr>
          <w:rFonts w:ascii="Amiri" w:hAnsi="Amiri" w:eastAsia="Amiri" w:cs="Amiri"/>
          <w:color w:val="111111"/>
          <w:sz w:val="28"/>
          <w:sz w:val="28"/>
          <w:szCs w:val="28"/>
          <w:rtl w:val="true"/>
          <w:lang w:bidi="ar-SA"/>
        </w:rPr>
        <w:t xml:space="preserve">قد يحصل في حصول الحدّ والوقت ، وقد يحصل في وجود المانع ، وقد يحصل في مانعية العارض ، ففي جميع هذه الصور يجري الاستصحاب من دون مانع ، ولا فرق في </w:t>
      </w:r>
    </w:p>
    <w:p>
      <w:pPr>
        <w:pStyle w:val="BookText"/>
        <w:rPr/>
      </w:pPr>
      <w:r>
        <w:rPr>
          <w:rFonts w:ascii="Amiri" w:hAnsi="Amiri" w:eastAsia="Amiri" w:cs="Amiri"/>
          <w:color w:val="111111"/>
          <w:sz w:val="28"/>
          <w:sz w:val="28"/>
          <w:szCs w:val="28"/>
          <w:rtl w:val="true"/>
          <w:lang w:bidi="ar-SA"/>
        </w:rPr>
        <w:t xml:space="preserve">ذلك بين الاحتمالات السابقة من </w:t>
      </w:r>
      <w:r>
        <w:rPr>
          <w:rStyle w:val="FootnoteAnchor"/>
          <w:rtl w:val="true"/>
        </w:rPr>
        <w:footnoteReference w:id="646"/>
      </w:r>
      <w:r>
        <w:rPr>
          <w:rFonts w:ascii="Amiri" w:hAnsi="Amiri" w:eastAsia="Amiri" w:cs="Amiri"/>
          <w:color w:val="111111"/>
          <w:sz w:val="28"/>
          <w:sz w:val="28"/>
          <w:szCs w:val="28"/>
          <w:rtl w:val="true"/>
          <w:lang w:bidi="ar-SA"/>
        </w:rPr>
        <w:t>القول بالتكرار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ولناصر الفاضل أن يذبّ عنه هذه الإيرادات بأنّ المستصحب في هذه الموارد هو الحكم الوضعي ؛ لأنّه يستصحب فيها عدم المانع ، وأمّا نفس الحكم المعلّق على عدم المانع فلا يمكن استصحابه ؛ لأنّه إن كان معلوما بجميع قيوده المعتبرة فيه فلا يعقل فيه الشكّ لاحقا وجودا وعدما ، وإلاّ فلم يكن معلوما في السابق فلا يجري الاستصحاب كما ستعرف تفصيله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الفاضل المذكور ومن يحذو حذو الأخباريين عندهم قاعدة مقرّرة موسومة بعموم الدليل وهي أنّه إذا ثبت حكم إلى زمان أو حال ، ثمّ شكّ بعد ذلك في عروض ذلك الحال أو في مانعية الحادث ، فلا بدّ من الأخذ بالدليل الدالّ على ذلك الحكم ، ففيما إذا شكّ في وجوب إتمام الصوم لو حصل له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المانعية أو لاحتمال عروض ما هو المانع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الأخذ بما دلّ على وجوب الصوم في مقابل هذه الاحتمالات نظرا إلى أنّ الدليل دلّ على وجوب الصوم إلاّ في حال كذا ، فلا يجوز الإخلال به إلاّ فيما علم أنّه حال كذا ، وليس نظرهم في هذا الحكم إلى الاستصحاب وثبوت الحكم في الزمان الأوّل ، بل هم يستندون في ذلك إلى عموم الدليل إلى أنّ يعلم بالمخصّص ، وهذه القاعدة وإن كانت فاسدة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نفس الحكم لا ينهض لدفع الشكّ في عروض المانع أو في مانعية العارض أو حصول حدّ المحدود كما هو ظاهر ، فإنّه لا يتّكل عاقل فضلا عن فاضل في دفع احتمال عروض الطهارة بأدلّة حصول النجاسة في الماء ، وفي دفع احتمال ناقضية المذي للوضوء بأدلّة الوضوء ، فإنّ الأخذ بالعموم إنّما يحسن فيما يحتمل التخصيص ، وأمّا احتمال التخصيص بتبدّل الموضوع فلا مسرح للعامّ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تجدي </w:t>
      </w:r>
      <w:r>
        <w:rPr>
          <w:rStyle w:val="FootnoteAnchor"/>
          <w:rtl w:val="true"/>
        </w:rPr>
        <w:footnoteReference w:id="647"/>
      </w:r>
      <w:r>
        <w:rPr>
          <w:rFonts w:ascii="Amiri" w:hAnsi="Amiri" w:eastAsia="Amiri" w:cs="Amiri"/>
          <w:color w:val="111111"/>
          <w:sz w:val="28"/>
          <w:sz w:val="28"/>
          <w:szCs w:val="28"/>
          <w:rtl w:val="true"/>
          <w:lang w:bidi="ar-SA"/>
        </w:rPr>
        <w:t>في دفع النقوض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القاعدة مقرّرة عند الأخبارية ، ففي موارد هذه الشكوك لا يستندون إلى الاستصحاب ، فموارد العمل بالاستصحاب عندهم هي مواضع الشكّ في المقتضي ، وبملاحظة هذه القاعدة تندفع النقوض المذكورة من كلامه ، فإنّ من </w:t>
      </w:r>
      <w:r>
        <w:rPr>
          <w:rStyle w:val="FootnoteAnchor"/>
          <w:rtl w:val="true"/>
        </w:rPr>
        <w:footnoteReference w:id="648"/>
      </w:r>
      <w:r>
        <w:rPr>
          <w:rFonts w:ascii="Amiri" w:hAnsi="Amiri" w:eastAsia="Amiri" w:cs="Amiri"/>
          <w:color w:val="111111"/>
          <w:sz w:val="28"/>
          <w:sz w:val="28"/>
          <w:szCs w:val="28"/>
          <w:rtl w:val="true"/>
          <w:lang w:bidi="ar-SA"/>
        </w:rPr>
        <w:t xml:space="preserve">البعيد </w:t>
      </w:r>
      <w:r>
        <w:rPr>
          <w:rStyle w:val="FootnoteAnchor"/>
          <w:rtl w:val="true"/>
        </w:rPr>
        <w:footnoteReference w:id="649"/>
      </w:r>
      <w:r>
        <w:rPr>
          <w:rFonts w:ascii="Amiri" w:hAnsi="Amiri" w:eastAsia="Amiri" w:cs="Amiri"/>
          <w:color w:val="111111"/>
          <w:sz w:val="28"/>
          <w:sz w:val="28"/>
          <w:szCs w:val="28"/>
          <w:rtl w:val="true"/>
          <w:lang w:bidi="ar-SA"/>
        </w:rPr>
        <w:t>في الغاية عدم تفطّنه لمثل هذه الأمور الواضحة الجليّة ، كيف وهو من فحول الصناعة وبزل الفنّ؟</w:t>
      </w:r>
    </w:p>
    <w:p>
      <w:pPr>
        <w:pStyle w:val="BookText"/>
        <w:rPr/>
      </w:pPr>
      <w:r>
        <w:rPr>
          <w:rFonts w:ascii="Amiri" w:hAnsi="Amiri" w:eastAsia="Amiri" w:cs="Amiri"/>
          <w:color w:val="111111"/>
          <w:sz w:val="28"/>
          <w:sz w:val="28"/>
          <w:szCs w:val="28"/>
          <w:rtl w:val="true"/>
          <w:lang w:bidi="ar-SA"/>
        </w:rPr>
        <w:t xml:space="preserve">فالتحقيق في دفع ما أفاده الفاضل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غير محصّل المراد ، فإنّ صدره يشعر بما نسب إليه من التفصيل بين الأحكام التكليفية والوضعية على ما هو ظاهر ، وذيل إفاداته يؤذّن بتفصيل </w:t>
      </w:r>
      <w:r>
        <w:rPr>
          <w:rStyle w:val="FootnoteAnchor"/>
          <w:rtl w:val="true"/>
        </w:rPr>
        <w:footnoteReference w:id="650"/>
      </w:r>
      <w:r>
        <w:rPr>
          <w:rFonts w:ascii="Amiri" w:hAnsi="Amiri" w:eastAsia="Amiri" w:cs="Amiri"/>
          <w:color w:val="111111"/>
          <w:sz w:val="28"/>
          <w:sz w:val="28"/>
          <w:szCs w:val="28"/>
          <w:rtl w:val="true"/>
          <w:lang w:bidi="ar-SA"/>
        </w:rPr>
        <w:t xml:space="preserve">آخر وهو القول بحجّية الاستصحاب وجريانه في الأمور الخارجية والموضوعات التي يتعلّق بها الأحكام ، وعدمها في الأحكام الشرعية التكليفية والوضعية ، على 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التقسيم المذكور في كلامه أوّلا وذكر الأسباب 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وجميع ذلك ليس من الاستصحاب في شيء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مرّ أنّ الاستصحاب المختلف فيه لا يكون إلاّ في الأحكام الوضعية أعني الأسباب والشرائط والموانع للأحكام الخمسة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الاستصحاب في نفس تلك الأحكام إنّما هو بتبعية جريانه فيها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أراد الأوّل على ما يقتضيه ظاهر النسبة إليه فيرد عليه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بما إذا ثبت الحكم بدليل لبّي كالإجماع أو الشهرة على القول بها بعد العلم باستمراره في الجملة مع الشكّ في مقداره أو حصول معارض محتمل أو احتمال عروض ما هو المانع أو فى حصول الحدّ إذا كان محدودا ، وبما لو شكّ في النسخ ، وبما لو شكّ في صدق التكرار وعدمه عرفا بدون الإتيان بفرد ، وبما لو شكّ في الوجوب في الوقت إذا فقد المكلّف شرطا من شروطه كما إذا صار فاقد الطهورين ، وبما إذا دار </w:t>
      </w:r>
    </w:p>
    <w:p>
      <w:pPr>
        <w:pStyle w:val="BookText"/>
        <w:rPr/>
      </w:pPr>
      <w:r>
        <w:rPr>
          <w:rFonts w:ascii="Amiri" w:hAnsi="Amiri" w:eastAsia="Amiri" w:cs="Amiri"/>
          <w:color w:val="111111"/>
          <w:sz w:val="28"/>
          <w:sz w:val="28"/>
          <w:szCs w:val="28"/>
          <w:rtl w:val="true"/>
          <w:lang w:bidi="ar-SA"/>
        </w:rPr>
        <w:t>الأمر بين الفور والتراخي ، فإنّ هذه الصور كلّها محتاجة إلى الاستصحاب مع عدم دليل ينهض ثبوت الأحكام الثابتة فيها غير الاستصحاب ، فإنّ الأخذ بعموم الدليل في هذه الصور فيما لو كان لفظيا أيضا غير معقول ، ولا يتفوّه به في لسانهم أيضا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رام إلى ما أيّدنا به كلامه وانتصرناه </w:t>
      </w:r>
      <w:r>
        <w:rPr>
          <w:rStyle w:val="FootnoteAnchor"/>
          <w:rtl w:val="true"/>
        </w:rPr>
        <w:footnoteReference w:id="651"/>
      </w:r>
      <w:r>
        <w:rPr>
          <w:rFonts w:ascii="Amiri" w:hAnsi="Amiri" w:eastAsia="Amiri" w:cs="Amiri"/>
          <w:color w:val="111111"/>
          <w:sz w:val="28"/>
          <w:sz w:val="28"/>
          <w:szCs w:val="28"/>
          <w:rtl w:val="true"/>
          <w:lang w:bidi="ar-SA"/>
        </w:rPr>
        <w:t xml:space="preserve">من أنّ الحكم إذا كان معلوما بجميع قيوده وموارده فلا يعقل الشكّ فيما سيأتي ، وإلاّ فلا علم به فيما مضى ، فينهدم الاستصحاب على التقديرين بانهدام أحد ركنيه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فينتقض بنفس الأحكام الوضعية ، فإنّ حكم الشارع بسببية شيء لو كان بجميع قيوده معلوما فلا شكّ ، وإلاّ فلا علم ،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بأنّ ما أورده من المثالين غير مطابق لما هو بصدده ، فإنّه ليس من استصحاب المانعية التي هي من الأحكام الشرعية ، بل هو استصحاب للموضوع الخارجي ؛ إذ لا شكّ في مانعية النجاسة وشرطية الطهارة حتّى يحتاج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فبالحلّ ، وتحقيقه أنّ الحكم على قسمين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اختلافه باختلاف الزمان ؛ لاحتمال كونه مأخوذا فيه قيدا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ذلك ، وكذا </w:t>
      </w:r>
      <w:r>
        <w:rPr>
          <w:rStyle w:val="FootnoteAnchor"/>
          <w:rtl w:val="true"/>
        </w:rPr>
        <w:footnoteReference w:id="652"/>
      </w:r>
      <w:r>
        <w:rPr>
          <w:rFonts w:ascii="Amiri" w:hAnsi="Amiri" w:eastAsia="Amiri" w:cs="Amiri"/>
          <w:color w:val="111111"/>
          <w:sz w:val="28"/>
          <w:sz w:val="28"/>
          <w:szCs w:val="28"/>
          <w:rtl w:val="true"/>
          <w:lang w:bidi="ar-SA"/>
        </w:rPr>
        <w:t>الكلام في سائر القيود المأخوذة في الحكم حالا أو شرطا أو صفة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فهو كما أفاده كما في الأحكام الوجوبية ، بخلاف الثاني فإنّ الحكم أمر واحد استمراري عرفا ولا يحتمل اختلافه باختلاف الزمان </w:t>
      </w:r>
      <w:r>
        <w:rPr>
          <w:rStyle w:val="FootnoteAnchor"/>
          <w:rtl w:val="true"/>
        </w:rPr>
        <w:footnoteReference w:id="653"/>
      </w:r>
      <w:r>
        <w:rPr>
          <w:rFonts w:ascii="Amiri" w:hAnsi="Amiri" w:eastAsia="Amiri" w:cs="Amiri"/>
          <w:color w:val="111111"/>
          <w:sz w:val="28"/>
          <w:sz w:val="28"/>
          <w:szCs w:val="28"/>
          <w:rtl w:val="true"/>
          <w:lang w:bidi="ar-SA"/>
        </w:rPr>
        <w:t>، فيمكن تعلّق العلم به في الزمان الأوّل مع الشكّ فيه في ثاني الزمان كما في الأحكام التحريمية ، كذا أفاد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غير معقول إلاّ بواسطة الرافع والمفروض رفعه بالعموم 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أراد الثاني فمرجع التفصيل في كلامه إلى التفصيل المنسوب إلى من هو من أهل مشربه من الأخباريين ، فيسقط عنه النقوض المذكورة وينطبق </w:t>
      </w:r>
      <w:r>
        <w:rPr>
          <w:rStyle w:val="FootnoteAnchor"/>
          <w:rtl w:val="true"/>
        </w:rPr>
        <w:footnoteReference w:id="654"/>
      </w:r>
      <w:r>
        <w:rPr>
          <w:rFonts w:ascii="Amiri" w:hAnsi="Amiri" w:eastAsia="Amiri" w:cs="Amiri"/>
          <w:color w:val="111111"/>
          <w:sz w:val="28"/>
          <w:sz w:val="28"/>
          <w:szCs w:val="28"/>
          <w:rtl w:val="true"/>
          <w:lang w:bidi="ar-SA"/>
        </w:rPr>
        <w:t xml:space="preserve">مثاله لما هو بصدده ، ويبقى الكلام في تزييفه فيما ستعرفه في الهداية الأخبارية </w:t>
      </w:r>
      <w:r>
        <w:rPr>
          <w:rStyle w:val="FootnoteAnchor"/>
          <w:rtl w:val="true"/>
        </w:rPr>
        <w:footnoteReference w:id="655"/>
      </w:r>
      <w:r>
        <w:rPr>
          <w:rFonts w:ascii="Amiri" w:hAnsi="Amiri" w:eastAsia="Amiri" w:cs="Amiri"/>
          <w:color w:val="111111"/>
          <w:sz w:val="28"/>
          <w:sz w:val="28"/>
          <w:szCs w:val="28"/>
          <w:rtl w:val="true"/>
          <w:lang w:bidi="ar-SA"/>
        </w:rPr>
        <w:t>، إلاّ أنّه مع ذلك فلا يخلو ما نقلناه من كلامه كغيره من وجوه النظر ، فإنّه جعل الأحكام الاقتضائية هو الواجب والمندوب والمكروه والحرام والأحكام التخييرية الدالّة على الإباحة مع أنّ الأحكام الاقتضائية هي نفس تلك الأوصاف لا الذات المأخوذة معها تلك الأوصاف ، والحكم التخييري هو مجرّد الإباحة لا الدالّ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على عدم جريان الاستصحاب في الموقّت مع وجود المخالف ، باطلة قطعا ، غاية الأمر بطلان المذهب ، ولا ينافي وجود القول كما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بعدم جريان الاستصحاب في النهي على وجه الأولوية قد عرفت أنّ جريانه فيه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بدوام السببية </w:t>
      </w:r>
      <w:r>
        <w:rPr>
          <w:rStyle w:val="FootnoteAnchor"/>
          <w:rtl w:val="true"/>
        </w:rPr>
        <w:footnoteReference w:id="656"/>
      </w:r>
      <w:r>
        <w:rPr>
          <w:rFonts w:ascii="Amiri" w:hAnsi="Amiri" w:eastAsia="Amiri" w:cs="Amiri"/>
          <w:color w:val="111111"/>
          <w:sz w:val="28"/>
          <w:sz w:val="28"/>
          <w:szCs w:val="28"/>
          <w:rtl w:val="true"/>
          <w:lang w:bidi="ar-SA"/>
        </w:rPr>
        <w:t>في الإيجاب والقبول ممّا لا دليل عليه ، غاية الأمر اعتبار الدوام في المسبب إذا حصل في الخارج ، وأمّا نفس السبب فقد يحتمل إهماله على بعض الوجوه ، ولذا يشكّ في جواز العقد بالفارسية بعد موت المفتي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ثبوت الحكم في جزئه إلخ ، يستفاد منه اشتراط طبيعة الاستصحاب بعدم الدليل في الواقع في الزمان الثاني مع كفاية انتفائه عند الأخذ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الاستصحاب المختلف فيه لا يكون إلاّ في الأسباب والشرائط والموانع من حيث إنّها كذلك ووقوعه في الأحكام الخمسة إنّما هو بتبعيتها ، فيه أنّه لم يظهر منه جريانه لا في الوضعية ولا في التكليفية ، فلا يخلو من التهافت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المستفاد من كلامه أنّ السببية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وقتية ، فتبقى المهملة مجرى للاستصحاب ، ينافيه ظهور كلامه في الحصر بينهما ، على أنّه لو تمّ لجرى في الأحكام التكليفيّة ، فتأمّل في المقام فلعلّه لا يخلو عن شيء</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يؤيّد كلام الفاضل المذكور بوجه وجيه أفاده الأستاد أنار اللّه برهانه وملخّصه ما أشير إليه سابقا من أنّ الحكم الشرعي غير معلوم بجميع أنحائه وخصوصياته ، فيحتمل تقييده بمكان أو زمان ، وبعد ذلك فلا يجري الاستصحاب ، وتوضيحه وتنقيحه أنّ </w:t>
      </w:r>
      <w:r>
        <w:rPr>
          <w:rStyle w:val="FootnoteAnchor"/>
          <w:rtl w:val="true"/>
        </w:rPr>
        <w:footnoteReference w:id="657"/>
      </w:r>
      <w:r>
        <w:rPr>
          <w:rFonts w:ascii="Amiri" w:hAnsi="Amiri" w:eastAsia="Amiri" w:cs="Amiri"/>
          <w:color w:val="111111"/>
          <w:sz w:val="28"/>
          <w:sz w:val="28"/>
          <w:szCs w:val="28"/>
          <w:rtl w:val="true"/>
          <w:lang w:bidi="ar-SA"/>
        </w:rPr>
        <w:t xml:space="preserve">ممّا برهنّا عليه في محلّه تبعية </w:t>
      </w:r>
      <w:r>
        <w:rPr>
          <w:rStyle w:val="FootnoteAnchor"/>
          <w:rtl w:val="true"/>
        </w:rPr>
        <w:footnoteReference w:id="658"/>
      </w:r>
      <w:r>
        <w:rPr>
          <w:rFonts w:ascii="Amiri" w:hAnsi="Amiri" w:eastAsia="Amiri" w:cs="Amiri"/>
          <w:color w:val="111111"/>
          <w:sz w:val="28"/>
          <w:sz w:val="28"/>
          <w:szCs w:val="28"/>
          <w:rtl w:val="true"/>
          <w:lang w:bidi="ar-SA"/>
        </w:rPr>
        <w:t xml:space="preserve">الأحكام الشرعية للصفات الكامنة والمصالح الموجودة في نفس الأفعال التي هي متعلّقات لتلك الأحكام ، ومن الواضح الجليّ اختلاف الصفات باختلاف وجوه الفعل واعتباراته كاختلاف نفس الفعل باختلاف الحركات والسكنات ، فإنّه ليس خارجا عنهما ، فقد يكون الفعل حسنا في زمان دون زمان أو في مكان دون مكان ، وقد يكون قبيحا إذا كان من فاعل كذا في مكان كذا في زمان كذا عن آلة كذائية ، وقد يكون قبيحا على وجه الإطلاق كما قد يكون حسنا كذلك ، فالفعل في كلّ هذه الصور ليس حاله متّحدا ؛ إذ يختلف بتلك الوجوه ، وهذه الاختلافات كما يلاحظ في الامساك فإنّه قد يعدّ قبيحا إذا لم يكن صاحب المال محتاجا مع احتياج الغير إليه </w:t>
      </w:r>
      <w:r>
        <w:rPr>
          <w:rStyle w:val="FootnoteAnchor"/>
          <w:rtl w:val="true"/>
        </w:rPr>
        <w:footnoteReference w:id="659"/>
      </w:r>
      <w:r>
        <w:rPr>
          <w:rFonts w:ascii="Amiri" w:hAnsi="Amiri" w:eastAsia="Amiri" w:cs="Amiri"/>
          <w:color w:val="111111"/>
          <w:sz w:val="28"/>
          <w:sz w:val="28"/>
          <w:szCs w:val="28"/>
          <w:rtl w:val="true"/>
          <w:lang w:bidi="ar-SA"/>
        </w:rPr>
        <w:t xml:space="preserve">حاجة شديدة ، وقد يعدّ واجبا إذا كان صرفه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عدم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لإهلاك نفسه ، وناهيك </w:t>
      </w:r>
      <w:r>
        <w:rPr>
          <w:rStyle w:val="FootnoteAnchor"/>
          <w:rtl w:val="true"/>
        </w:rPr>
        <w:footnoteReference w:id="660"/>
      </w:r>
      <w:r>
        <w:rPr>
          <w:rFonts w:ascii="Amiri" w:hAnsi="Amiri" w:eastAsia="Amiri" w:cs="Amiri"/>
          <w:color w:val="111111"/>
          <w:sz w:val="28"/>
          <w:sz w:val="28"/>
          <w:szCs w:val="28"/>
          <w:rtl w:val="true"/>
          <w:lang w:bidi="ar-SA"/>
        </w:rPr>
        <w:t xml:space="preserve">عن ذلك ملاحظة الأدوية التي يعالج بها الأمراض البدنية ، فإنّ تأثير الأفعال في تصحيح الأمراض النفسانية وتمريض النفوس الناسوتية ليس </w:t>
      </w:r>
      <w:r>
        <w:rPr>
          <w:rStyle w:val="FootnoteAnchor"/>
          <w:rtl w:val="true"/>
        </w:rPr>
        <w:footnoteReference w:id="661"/>
      </w:r>
      <w:r>
        <w:rPr>
          <w:rFonts w:ascii="Amiri" w:hAnsi="Amiri" w:eastAsia="Amiri" w:cs="Amiri"/>
          <w:color w:val="111111"/>
          <w:sz w:val="28"/>
          <w:sz w:val="28"/>
          <w:szCs w:val="28"/>
          <w:rtl w:val="true"/>
          <w:lang w:bidi="ar-SA"/>
        </w:rPr>
        <w:t xml:space="preserve">في محلّ تنال إليه يد الإنكار ، فإنّ برهان ذلك بعد حكومة الوجدان به على منار ، فربّ دواء يرطّب في مزاج ويجفّف في آخر ، ويبرّد في طبع ويسخّن </w:t>
      </w:r>
      <w:r>
        <w:rPr>
          <w:rStyle w:val="FootnoteAnchor"/>
          <w:rtl w:val="true"/>
        </w:rPr>
        <w:footnoteReference w:id="662"/>
      </w:r>
      <w:r>
        <w:rPr>
          <w:rFonts w:ascii="Amiri" w:hAnsi="Amiri" w:eastAsia="Amiri" w:cs="Amiri"/>
          <w:color w:val="111111"/>
          <w:sz w:val="28"/>
          <w:sz w:val="28"/>
          <w:szCs w:val="28"/>
          <w:rtl w:val="true"/>
          <w:lang w:bidi="ar-SA"/>
        </w:rPr>
        <w:t>في آخر ، فهما في الواقع مختلفان باعتبار وقوعهما في الحالتين ، فالأمر بأحدهما لا يوجب الأمر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w:t>
      </w:r>
      <w:r>
        <w:rPr>
          <w:rStyle w:val="FootnoteAnchor"/>
          <w:rtl w:val="true"/>
        </w:rPr>
        <w:footnoteReference w:id="663"/>
      </w:r>
      <w:r>
        <w:rPr>
          <w:rFonts w:ascii="IRNazanin" w:hAnsi="IRNazanin" w:eastAsia="IRNazanin"/>
          <w:color w:val="111111"/>
          <w:sz w:val="28"/>
          <w:sz w:val="28"/>
          <w:szCs w:val="28"/>
          <w:rtl w:val="true"/>
          <w:lang w:bidi="fa-IR"/>
        </w:rPr>
        <w:t xml:space="preserve">الآمر </w:t>
      </w:r>
    </w:p>
    <w:p>
      <w:pPr>
        <w:pStyle w:val="BookText"/>
        <w:rPr/>
      </w:pPr>
      <w:r>
        <w:rPr>
          <w:rFonts w:ascii="Amiri" w:hAnsi="Amiri" w:eastAsia="Amiri" w:cs="Amiri"/>
          <w:color w:val="111111"/>
          <w:sz w:val="28"/>
          <w:sz w:val="28"/>
          <w:szCs w:val="28"/>
          <w:rtl w:val="true"/>
          <w:lang w:bidi="ar-SA"/>
        </w:rPr>
        <w:t>إذا أمر بشيء وطلب وقوعه من المأمور إنّما يأمر ويطلب شيئا معلوما عنده على وجوه اختلافه ، فإن كان مطلقا فيطلبه كذلك ، وإن كان مقيّدا فيطلبه على تقييده ، فإنّ إنشاء الأمر والطلب تابع إطلاقه وتقييده بالزمان والمكان والحال والوصف والشرط والإضافة وغيرها من الأمور المتعلّقة بالأفعال التي تختلف باختلافها وتتكثّر بتكثّرها لإطلاق الفعل الذي اقتضت المصلحة الكامنة فيه بالأمر به وتقييده بالأمور المذكورة ، وذلك مشاهد من الأوامر المختلفة على وجوه شتّى في العرف والشرع ، فربّما يكون الشيء واجبا عينيا مضيّقا وأخرى موسّعا ، وتارة كفائيا على الوجهين ، وأخرى شرطيا ، وتارة تعليقيا ، ومرّة تخييريا ، إلى غير ذلك من وجوه الاختلاف ، فاختلاف الأمر في هذه الأفعال بواسطة اختلاف ضروب المصالح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تحقّقت هذه الجملة تحقّق عندك عدم جريان الاستصحاب في الأحكام الشرعية عند الشكّ في كيفية الحكم ومدخلية شيء في ذلك ، وتوضيحه أنّه إذا ثبت وجوب شيء في زمان ، ثمّ شكّ في زمان آخر في بقائه ، فالمستصحب إن أراد به إبقاء الإنشاء الصادر من الآمر حين الشكّ ، فهو غير معقول ؛ لأنّ الإنشاء لا يراد به </w:t>
      </w:r>
      <w:r>
        <w:rPr>
          <w:rStyle w:val="FootnoteAnchor"/>
          <w:rtl w:val="true"/>
        </w:rPr>
        <w:footnoteReference w:id="664"/>
      </w:r>
      <w:r>
        <w:rPr>
          <w:rFonts w:ascii="Amiri" w:hAnsi="Amiri" w:eastAsia="Amiri" w:cs="Amiri"/>
          <w:color w:val="111111"/>
          <w:sz w:val="28"/>
          <w:sz w:val="28"/>
          <w:szCs w:val="28"/>
          <w:rtl w:val="true"/>
          <w:lang w:bidi="ar-SA"/>
        </w:rPr>
        <w:t>إلاّ الإرادة الحتمية ، ولا شبهة في كونها آنية غير متقرّرة في الوجود ، فيستحيل بقاؤها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به إبقاء الأثر الحاصل من الإنشاء المتعلّق بالفعل المنشأ فيه الوجوب الذي يعبّر عنه بالمطلوبية والمحبوبية ، فلا يجوز استصحابه ، فإنّ الإنشاء إن كان متعلّقا بالفعل في الزمان فالحالة المذكورة تنعدم بعد مضيّ الزمان الأوّل ، وإن كان متعلّقا به من دون اعتبار زمان فيه أو مع اعتبار زمان أطول منه فالحالة المذكورة باقية قطعا ، ولا شكّ في عدم جريان الاستصحاب على التقديرين ؛ للقطع بالارتفاع في الأوّل ، وبالبقاء في الثاني ، وإن كان وجه تعلّق الإنشاء بالفعل مشكوكا ، فلا يجري الاستصحاب أيضا ؛ لأنّه عبارة عن إبقاء الحكم في الزمان الثاني فيما كان </w:t>
      </w:r>
      <w:r>
        <w:rPr>
          <w:rStyle w:val="FootnoteAnchor"/>
          <w:rtl w:val="true"/>
        </w:rPr>
        <w:footnoteReference w:id="665"/>
      </w:r>
      <w:r>
        <w:rPr>
          <w:rFonts w:ascii="Amiri" w:hAnsi="Amiri" w:eastAsia="Amiri" w:cs="Amiri"/>
          <w:color w:val="111111"/>
          <w:sz w:val="28"/>
          <w:sz w:val="28"/>
          <w:szCs w:val="28"/>
          <w:rtl w:val="true"/>
          <w:lang w:bidi="ar-SA"/>
        </w:rPr>
        <w:t xml:space="preserve">فيه الحكم </w:t>
      </w:r>
    </w:p>
    <w:p>
      <w:pPr>
        <w:pStyle w:val="BookText"/>
        <w:rPr/>
      </w:pPr>
      <w:r>
        <w:rPr>
          <w:rFonts w:ascii="Amiri" w:hAnsi="Amiri" w:eastAsia="Amiri" w:cs="Amiri"/>
          <w:color w:val="111111"/>
          <w:sz w:val="28"/>
          <w:sz w:val="28"/>
          <w:szCs w:val="28"/>
          <w:rtl w:val="true"/>
          <w:lang w:bidi="ar-SA"/>
        </w:rPr>
        <w:t xml:space="preserve">في الزمان الأوّل على وجه كانت القضيّة المعلومة متّحدة مع القضيّة المشكوكة ، وعند الشكّ لا يعلم بالاتّحاد ؛ لعدم العلم بالموضوع في القضيّة الأولى التي هي معلومة ، إذ المفروض إمكان اختلاف موضوعه بطريان العوارض وعروض الحالات والحوادث الزمانية وغيرها من الأمور التي يصير منشأ لاختلاف الحسن والقبح اللذين </w:t>
      </w:r>
      <w:r>
        <w:rPr>
          <w:rStyle w:val="FootnoteAnchor"/>
          <w:rtl w:val="true"/>
        </w:rPr>
        <w:footnoteReference w:id="666"/>
      </w:r>
      <w:r>
        <w:rPr>
          <w:rFonts w:ascii="Amiri" w:hAnsi="Amiri" w:eastAsia="Amiri" w:cs="Amiri"/>
          <w:color w:val="111111"/>
          <w:sz w:val="28"/>
          <w:sz w:val="28"/>
          <w:szCs w:val="28"/>
          <w:rtl w:val="true"/>
          <w:lang w:bidi="ar-SA"/>
        </w:rPr>
        <w:t>هما منشآن للأمر والنهي على ما قرّرنا ، ومع الشكّ في الاتّحاد والاختلاف لا مجرى للاستصحاب ؛ إذ ليس هو إثبات حكم فرد لفرد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شكّ في وجوب شيء في زمان فعلى ما ذكرنا لا بدّ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فيه في الزمان الثاني إمّا شكّ في الوجوب النفسي بمعنى إفادته البراءة </w:t>
      </w:r>
      <w:r>
        <w:rPr>
          <w:rStyle w:val="FootnoteAnchor"/>
          <w:rtl w:val="true"/>
        </w:rPr>
        <w:footnoteReference w:id="667"/>
      </w:r>
      <w:r>
        <w:rPr>
          <w:rFonts w:ascii="Amiri" w:hAnsi="Amiri" w:eastAsia="Amiri" w:cs="Amiri"/>
          <w:color w:val="111111"/>
          <w:sz w:val="28"/>
          <w:sz w:val="28"/>
          <w:szCs w:val="28"/>
          <w:rtl w:val="true"/>
          <w:lang w:bidi="ar-SA"/>
        </w:rPr>
        <w:t>على تقدير عدم كفاية دليل عنه يكفي في الحكم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شكّ في الوجوب التخييري كما لو أمر بالصلاة وشكّ في أنّ وقتها إلى سقوط القرص أو زوال الحمرة المشرقية ، فإنّه يرجع الشكّ فما بين الزمانين إلى الشكّ في الوجوب التخييري ، والمرجع فيه إلى الاشتغال بمعنى الحكم بالضيق ؛ لأنّها به عدم المطلوبية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شكّ في الوجوب الغيري ، فلا بدّ من ملاحظة القول بجريان البراءة وعدمه في الواجبات الغيرية ، وليس لك القول بالاستصحاب نظرا إلى أنّ الوجوب </w:t>
      </w:r>
      <w:r>
        <w:rPr>
          <w:rStyle w:val="FootnoteAnchor"/>
          <w:rtl w:val="true"/>
        </w:rPr>
        <w:footnoteReference w:id="669"/>
      </w:r>
      <w:r>
        <w:rPr>
          <w:rFonts w:ascii="Amiri" w:hAnsi="Amiri" w:eastAsia="Amiri" w:cs="Amiri"/>
          <w:color w:val="111111"/>
          <w:sz w:val="28"/>
          <w:sz w:val="28"/>
          <w:szCs w:val="28"/>
          <w:rtl w:val="true"/>
          <w:lang w:bidi="ar-SA"/>
        </w:rPr>
        <w:t xml:space="preserve">السابق هو بعينه مستصحب ، وليس الوجوب الثاني فردا آخر حتّى يدفع بأصالة البراءة ؛ إذ احتمال الاختلاف </w:t>
      </w:r>
      <w:r>
        <w:rPr>
          <w:rStyle w:val="FootnoteAnchor"/>
          <w:rtl w:val="true"/>
        </w:rPr>
        <w:footnoteReference w:id="670"/>
      </w:r>
      <w:r>
        <w:rPr>
          <w:rFonts w:ascii="Amiri" w:hAnsi="Amiri" w:eastAsia="Amiri" w:cs="Amiri"/>
          <w:color w:val="111111"/>
          <w:sz w:val="28"/>
          <w:sz w:val="28"/>
          <w:szCs w:val="28"/>
          <w:rtl w:val="true"/>
          <w:lang w:bidi="ar-SA"/>
        </w:rPr>
        <w:t xml:space="preserve">مع وجود ما يحتمل أن يكون هو الوجه في الاختلاف كاف في عدم جريان الاستصحاب ، وقد عرفت أنّ الفعل يمكن اختلاف وجوهه ومصالحه </w:t>
      </w:r>
      <w:bookmarkStart w:id="97" w:name="pg16284_171105"/>
    </w:p>
    <w:p>
      <w:pPr>
        <w:pStyle w:val="BookText"/>
        <w:rPr/>
      </w:pPr>
      <w:bookmarkEnd w:id="97"/>
      <w:r>
        <w:rPr>
          <w:rFonts w:ascii="Amiri" w:hAnsi="Amiri" w:eastAsia="Amiri" w:cs="Amiri"/>
          <w:color w:val="111111"/>
          <w:sz w:val="28"/>
          <w:sz w:val="28"/>
          <w:szCs w:val="28"/>
          <w:rtl w:val="true"/>
          <w:lang w:bidi="ar-SA"/>
        </w:rPr>
        <w:t>باختلاف القيود والطواري العارضة له ، فلا يعلم ببقاء الموضوع ، وعلى قياسه الكلام في سائر الأحكام من التحريم والاستحباب والكراهة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كلّه بملاحظة ما تقتضيه </w:t>
      </w:r>
      <w:r>
        <w:rPr>
          <w:rStyle w:val="FootnoteAnchor"/>
          <w:rtl w:val="true"/>
        </w:rPr>
        <w:footnoteReference w:id="671"/>
      </w:r>
      <w:r>
        <w:rPr>
          <w:rFonts w:ascii="Amiri" w:hAnsi="Amiri" w:eastAsia="Amiri" w:cs="Amiri"/>
          <w:color w:val="111111"/>
          <w:sz w:val="28"/>
          <w:sz w:val="28"/>
          <w:szCs w:val="28"/>
          <w:rtl w:val="true"/>
          <w:lang w:bidi="ar-SA"/>
        </w:rPr>
        <w:t xml:space="preserve">الدقّة ، ولا أظنّ ابتناء أمر الاستصحاب عندهم عليها ، فلعلّ جريان الاستصحاب في الأحكام الشرعية عندهم موقوف على المسامحة ، فإنّ الوجوب السابق مستصحب كما في الحرمة السابقة ، واحتمال اختلاف الوجوب والحرمة باختلاف الطواري العارضة للفعل ملغى عن أصله ، فإنّ هذه الطواري لا تعدّ قيودا للفعل عرفا ، سيّما في النهي على ما نبّهنا عليه ، فالزمان وما يقرب منه من متعلّقات الفعل مأخوذ ظرفا على وجه لا يختلف المظروف باختلافه ، وستطّلع على زيادة </w:t>
      </w:r>
      <w:r>
        <w:rPr>
          <w:rStyle w:val="FootnoteAnchor"/>
          <w:rtl w:val="true"/>
        </w:rPr>
        <w:footnoteReference w:id="672"/>
      </w:r>
      <w:r>
        <w:rPr>
          <w:rFonts w:ascii="Amiri" w:hAnsi="Amiri" w:eastAsia="Amiri" w:cs="Amiri"/>
          <w:color w:val="111111"/>
          <w:sz w:val="28"/>
          <w:sz w:val="28"/>
          <w:szCs w:val="28"/>
          <w:rtl w:val="true"/>
          <w:lang w:bidi="ar-SA"/>
        </w:rPr>
        <w:t xml:space="preserve">تحقيق لذلك في بعض الهدايات الآتية </w:t>
      </w:r>
      <w:r>
        <w:rPr>
          <w:rStyle w:val="FootnoteAnchor"/>
          <w:rtl w:val="true"/>
        </w:rPr>
        <w:footnoteReference w:id="673"/>
      </w:r>
      <w:r>
        <w:rPr>
          <w:rFonts w:ascii="Amiri" w:hAnsi="Amiri" w:eastAsia="Amiri" w:cs="Amiri"/>
          <w:color w:val="111111"/>
          <w:sz w:val="28"/>
          <w:sz w:val="28"/>
          <w:szCs w:val="28"/>
          <w:rtl w:val="true"/>
          <w:lang w:bidi="ar-SA"/>
        </w:rPr>
        <w:t xml:space="preserve">إن شاء اللّه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5012086_1280447820"/>
      <w:bookmarkStart w:id="99" w:name="_Toc32"/>
      <w:bookmarkEnd w:id="98"/>
      <w:r>
        <w:rPr>
          <w:rtl w:val="true"/>
        </w:rPr>
        <w:t>تنبيه</w:t>
      </w:r>
      <w:bookmarkEnd w:id="9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عدّ الفاضل المذكور في عداد المفصّلين ليس على ما ينبغي ، فانّ المنع الصغروي ليس تفصيلا بعد تسليم الكبرى ، فإنّه لم يظهر منه مناقشة في دلالة الأخبار </w:t>
      </w:r>
      <w:r>
        <w:rPr>
          <w:rStyle w:val="FootnoteAnchor"/>
          <w:rtl w:val="true"/>
        </w:rPr>
        <w:footnoteReference w:id="675"/>
      </w:r>
      <w:r>
        <w:rPr>
          <w:rFonts w:ascii="Amiri" w:hAnsi="Amiri" w:eastAsia="Amiri" w:cs="Amiri"/>
          <w:color w:val="111111"/>
          <w:sz w:val="28"/>
          <w:sz w:val="28"/>
          <w:szCs w:val="28"/>
          <w:rtl w:val="true"/>
          <w:lang w:bidi="ar-SA"/>
        </w:rPr>
        <w:t>فهو قائل بمفاد هذه الأخبار على وجه الكلّية كما يشعر بذلك حصره الاستصحاب المختلف فيه فيما تخيّله ، فمورد النفي والإثبات عنده هو هذا الاستصحاب</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6284_171107"/>
      <w:bookmarkStart w:id="101" w:name="pg16284_171107"/>
      <w:bookmarkEnd w:id="101"/>
    </w:p>
    <w:p>
      <w:pPr>
        <w:pStyle w:val="Heading3"/>
        <w:numPr>
          <w:ilvl w:val="2"/>
          <w:numId w:val="1"/>
        </w:numPr>
        <w:rPr/>
      </w:pPr>
      <w:bookmarkStart w:id="102" w:name="pg16284_171107"/>
      <w:bookmarkStart w:id="103" w:name="__RefHeading___Toc5012088_1280447820"/>
      <w:bookmarkStart w:id="104" w:name="_Toc33"/>
      <w:bookmarkEnd w:id="102"/>
      <w:bookmarkEnd w:id="103"/>
      <w:r>
        <w:rPr>
          <w:rtl w:val="true"/>
        </w:rPr>
        <w:t xml:space="preserve">هداية شريفة في تحقيق مقالة منيفة </w:t>
      </w:r>
      <w:r>
        <w:rPr>
          <w:rtl w:val="true"/>
        </w:rPr>
        <w:t xml:space="preserve">[ </w:t>
      </w:r>
      <w:r>
        <w:rPr>
          <w:rtl w:val="true"/>
        </w:rPr>
        <w:t xml:space="preserve">في اختصاص الأخبار بالشكّ في الرافع </w:t>
      </w:r>
      <w:r>
        <w:rPr>
          <w:rtl w:val="true"/>
        </w:rPr>
        <w:t>]</w:t>
      </w:r>
      <w:bookmarkEnd w:id="104"/>
    </w:p>
    <w:p>
      <w:pPr>
        <w:pStyle w:val="Heading4"/>
        <w:numPr>
          <w:ilvl w:val="3"/>
          <w:numId w:val="1"/>
        </w:numPr>
        <w:rPr/>
      </w:pPr>
      <w:bookmarkStart w:id="105" w:name="__RefHeading___Toc5012090_1280447820"/>
      <w:bookmarkStart w:id="106" w:name="_Toc34"/>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قد اشتهر ذهاب أستاد الكلّ في الكلّ المحقّق الخوانساري إلى حجّية الاستصحاب فيما إذا ثبت حكم وعلم استمراره إلى حالة أو غاية معيّنة ، ثمّ شكّ فيه من جهة احتمال حدوث الحالة أو حصول الغاية أو من جهة كون الحادث مندرجا تحت المزيل ، وإلى عدمها في غير ما ذكر من سائر أصناف الشكوك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كلامه في المشارق هو نفي الحجّية مطلقا ، نعم يظهر منه اعتبار قاعدة أخرى منطبقة لاستصحاب القوم في الموارد المذكورة ، قال في شرح 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ذو الجهات الثلاث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القول بعدم الإجزاء الروايات الواردة بالمسح بثلاثة أحجار ، والحجر الواحد لا يسمّى ثلاثة أحجار ، واستصحاب حكم النجاسة حتّى يعلم المطهّر الشرعي </w:t>
      </w:r>
      <w:r>
        <w:rPr>
          <w:rStyle w:val="FootnoteAnchor"/>
          <w:rtl w:val="true"/>
        </w:rPr>
        <w:footnoteReference w:id="676"/>
      </w:r>
      <w:r>
        <w:rPr>
          <w:rFonts w:ascii="Amiri" w:hAnsi="Amiri" w:eastAsia="Amiri" w:cs="Amiri"/>
          <w:color w:val="111111"/>
          <w:sz w:val="28"/>
          <w:sz w:val="28"/>
          <w:szCs w:val="28"/>
          <w:rtl w:val="true"/>
          <w:lang w:bidi="ar-SA"/>
        </w:rPr>
        <w:t xml:space="preserve">، وبدون المسح بثلاثة أحجار لم يعلم المطهّر الشرعي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ساق الكلام إلى منع حجّية الاستصحاب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القوم ذكروا أنّ الاستصحاب إثبات حكم في زمان لوجوده في زمان سابق عليه ، وهو ينقسم إلى قسمين باعتبار انقسام الحكم المأخوذ فيه إلى شرعي وغيره ، فالأوّل مثل ما إذا ثبت حكم الشرع </w:t>
      </w:r>
      <w:r>
        <w:rPr>
          <w:rStyle w:val="FootnoteAnchor"/>
          <w:rtl w:val="true"/>
        </w:rPr>
        <w:footnoteReference w:id="678"/>
      </w:r>
      <w:r>
        <w:rPr>
          <w:rFonts w:ascii="Amiri" w:hAnsi="Amiri" w:eastAsia="Amiri" w:cs="Amiri"/>
          <w:color w:val="111111"/>
          <w:sz w:val="28"/>
          <w:sz w:val="28"/>
          <w:szCs w:val="28"/>
          <w:rtl w:val="true"/>
          <w:lang w:bidi="ar-SA"/>
        </w:rPr>
        <w:t xml:space="preserve">بنجاسة ثوب أو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 فيقولون إنّ بعد ذلك الزمان </w:t>
      </w:r>
    </w:p>
    <w:p>
      <w:pPr>
        <w:pStyle w:val="BookText"/>
        <w:rPr/>
      </w:pPr>
      <w:r>
        <w:rPr>
          <w:rFonts w:ascii="Amiri" w:hAnsi="Amiri" w:eastAsia="Amiri" w:cs="Amiri"/>
          <w:color w:val="111111"/>
          <w:sz w:val="28"/>
          <w:sz w:val="28"/>
          <w:szCs w:val="28"/>
          <w:rtl w:val="true"/>
          <w:lang w:bidi="ar-SA"/>
        </w:rPr>
        <w:t>أيضا يجب الحكم بالنجاسة إذا لم يحصل اليقين بما يرفعها ، والثاني مثل ما إذا ثبت رطوبة ثوب في زمان ، فبعد ذلك الزمان أيضا يحكم برطوبته ما لم يعلم الجفاف ، وذهب بعضهم إلى حجّيته بقسميه ، وبعضهم إلى حجّية القسم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كلّ من الفريقين بدلائل مذكورة في محلّها كلّها قاصرة عن إفادة المرام كما يظهر عند التأمّل </w:t>
      </w:r>
      <w:r>
        <w:rPr>
          <w:rStyle w:val="FootnoteAnchor"/>
          <w:rtl w:val="true"/>
        </w:rPr>
        <w:footnoteReference w:id="679"/>
      </w:r>
      <w:r>
        <w:rPr>
          <w:rFonts w:ascii="Amiri" w:hAnsi="Amiri" w:eastAsia="Amiri" w:cs="Amiri"/>
          <w:color w:val="111111"/>
          <w:sz w:val="28"/>
          <w:sz w:val="28"/>
          <w:szCs w:val="28"/>
          <w:rtl w:val="true"/>
          <w:lang w:bidi="ar-SA"/>
        </w:rPr>
        <w:t xml:space="preserve">فيها ، ولم نتعرّض لذكرها هنا ، بل نشير إلى ما هو الظاهر عندنا في هذا الباب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الاستصحاب بهذا المعنى لا حجّية فيه أصلا بكلا قسميه ؛ إذ لا دليل عليه تامّا ، لا عقلا ولا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حجّية الاستصحاب بمعنى آخر وهو أن يكون دليل شرعي على أنّ الحكم الفلاني بعد تحقّقه ثابت إلى حدوث حال كذا أو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في الواقع بلا اشتراطه بشيء أصلا ، فحينئذ إذا حصل ذلك الحكم فيلزم الحكم باستمراره إلى أن يعلم وجود ما جعل مزيلا له ، ولا يحكم بنفيه بمجرّد الشكّ في وجوده </w:t>
      </w:r>
      <w:r>
        <w:rPr>
          <w:rStyle w:val="FootnoteAnchor"/>
          <w:rtl w:val="true"/>
        </w:rPr>
        <w:footnoteReference w:id="68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وصراحة نفيه الاستصحاب المتنازع فيه </w:t>
      </w:r>
      <w:r>
        <w:rPr>
          <w:rStyle w:val="FootnoteAnchor"/>
          <w:rtl w:val="true"/>
        </w:rPr>
        <w:footnoteReference w:id="681"/>
      </w:r>
      <w:r>
        <w:rPr>
          <w:rFonts w:ascii="Amiri" w:hAnsi="Amiri" w:eastAsia="Amiri" w:cs="Amiri"/>
          <w:color w:val="111111"/>
          <w:sz w:val="28"/>
          <w:sz w:val="28"/>
          <w:szCs w:val="28"/>
          <w:rtl w:val="true"/>
          <w:lang w:bidi="ar-SA"/>
        </w:rPr>
        <w:t xml:space="preserve">بين القوم كافية عن تقريب دلالته على ما ذكرنا ، والوجه فيه أنّ ما أفاده منطبق على بعض موارد الاستصحاب ، وهذا لا يوجب التفصيل فيه ، وذلك نظير ما لو توافق الاستصحاب مع البراءة ، فالقول بالبراءة لا يعدّ تفصيلا في الاستصحاب بعد اختلاف المناط ، فإنّ مناط الاستصحاب هو الوجود السابق ، ومناط ما أفاده هو نفس الشكّ في الفراغ بعد تيقّن الاشتغال ، غاية الأمر جريان الاستصحاب في المقام </w:t>
      </w:r>
      <w:r>
        <w:rPr>
          <w:rStyle w:val="FootnoteAnchor"/>
          <w:rtl w:val="true"/>
        </w:rPr>
        <w:footnoteReference w:id="68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من الشارع أمر بصوم الغد إلى الليل وشكّ في تحقّق الغاية ووصول الليل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لوجوب الإمساك في الوقت المشكوك بالاستصحاب كما عليه القوم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بالاشتغال كما عليه المحقّق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p>
    <w:p>
      <w:pPr>
        <w:pStyle w:val="BookText"/>
        <w:rPr/>
      </w:pPr>
      <w:r>
        <w:rPr>
          <w:rFonts w:ascii="Amiri" w:hAnsi="Amiri" w:eastAsia="Amiri" w:cs="Amiri"/>
          <w:color w:val="111111"/>
          <w:sz w:val="28"/>
          <w:sz w:val="28"/>
          <w:szCs w:val="28"/>
          <w:rtl w:val="true"/>
          <w:lang w:bidi="ar-SA"/>
        </w:rPr>
        <w:t xml:space="preserve">بنفس الخطاب والأمر كما عليه الأخبارية من تحكيم العامّ في الشبهة الموضوعية ، ومن المعلوم عدم ارتباط أحد الوجوه بالآخر ، فإنّ قضيّة الاشتغال وجوب الصوم والإمساك في زمان الشكّ من غير ملاحظة تبعية بعض الآنات للآخر على وجه لو فرض اجتماع تلك الآنات لكان الحكم فيها وجوب الإمساك بمقتضى القاعدة ، بخلاف الاستصحاب فإنّ الحكم في الزمان الثاني تابع له في الزمان الأوّل كما هو ظاهر ، فتدبّر ، كذا أفاد الأستاد </w:t>
      </w:r>
      <w:r>
        <w:rPr>
          <w:rStyle w:val="FootnoteAnchor"/>
          <w:rtl w:val="true"/>
        </w:rPr>
        <w:footnoteReference w:id="683"/>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المذكور المنسوب إليه في محلّه كما يؤذّن بذلك تمسّكه بأخبار الاستصحاب ، غاية الأمر جريان الاشتغال في موارد الاستصحاب الذي عنده حجّة ، فإنّ التمسّك بخبر الشكّ واليقين دليل على أنّ ثبوت الحكم عنده في زمان الشكّ بواسطة ثبوته في الأوّل وإن كان مجرّد الشكّ أيضا كافيا في جريان دليله الأوّل كما لا يخفى ، فتدبّر ، فالنسبة المذكورة مساهلة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روّح اللّه </w:t>
      </w:r>
      <w:r>
        <w:rPr>
          <w:rStyle w:val="FootnoteAnchor"/>
          <w:rtl w:val="true"/>
        </w:rPr>
        <w:footnoteReference w:id="684"/>
      </w:r>
      <w:r>
        <w:rPr>
          <w:rFonts w:ascii="Amiri" w:hAnsi="Amiri" w:eastAsia="Amiri" w:cs="Amiri"/>
          <w:color w:val="111111"/>
          <w:sz w:val="28"/>
          <w:sz w:val="28"/>
          <w:szCs w:val="28"/>
          <w:rtl w:val="true"/>
          <w:lang w:bidi="ar-SA"/>
        </w:rPr>
        <w:t xml:space="preserve">روحه الشريف من غير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حجّيته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الحكم إمّا وضعي أو اقتضائي أو تخييري ، ولمّا كان الأوّل أيضا عند التحقيق يرجع اليهما فينحصر في الأخيرين ، وعلى التقديرين يثبت ما ذكرنا ، أمّا على الأوّل فلأنّه إذا كان أمر أو نهي بفعل إلى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الشكّ بحدوث تلك الغاية لو لم يمتثل التكليف المذكور لم يحصل الظنّ بالامتثال والخروج عن العهدة ، وما لم يحصل الظنّ لم يحصل الامتثال ، فلا بدّ من بقاء ذلك التكليف حال الشكّ أيضا ،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فالأمر كذلك </w:t>
      </w:r>
      <w:r>
        <w:rPr>
          <w:rStyle w:val="FootnoteAnchor"/>
          <w:rtl w:val="true"/>
        </w:rPr>
        <w:footnoteReference w:id="685"/>
      </w:r>
      <w:r>
        <w:rPr>
          <w:rFonts w:ascii="Amiri" w:hAnsi="Amiri" w:eastAsia="Amiri" w:cs="Amiri"/>
          <w:color w:val="111111"/>
          <w:sz w:val="28"/>
          <w:sz w:val="28"/>
          <w:szCs w:val="28"/>
          <w:rtl w:val="true"/>
          <w:lang w:bidi="ar-SA"/>
        </w:rPr>
        <w:t xml:space="preserve">كما لا يخفى </w:t>
      </w:r>
      <w:r>
        <w:rPr>
          <w:rStyle w:val="FootnoteAnchor"/>
          <w:rtl w:val="true"/>
        </w:rPr>
        <w:footnoteReference w:id="6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ما أفاده في المقام أنّه إذا وجب الإمساك من الفجر إلى غسق الليل فلو شكّ المكلّف في الجزء الآخر أنّه هل هو من الليل أو من النهار؟ يجب عليه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الإمساك </w:t>
      </w:r>
      <w:r>
        <w:rPr>
          <w:rStyle w:val="FootnoteAnchor"/>
          <w:rtl w:val="true"/>
        </w:rPr>
        <w:footnoteReference w:id="687"/>
      </w:r>
      <w:r>
        <w:rPr>
          <w:rFonts w:ascii="Amiri" w:hAnsi="Amiri" w:eastAsia="Amiri" w:cs="Amiri"/>
          <w:color w:val="111111"/>
          <w:sz w:val="28"/>
          <w:sz w:val="28"/>
          <w:szCs w:val="28"/>
          <w:rtl w:val="true"/>
          <w:lang w:bidi="ar-SA"/>
        </w:rPr>
        <w:t xml:space="preserve">المشكوك تحصيلا لليقين بالفراغ بعد العلم بالاشتغال ، والتعبير بالظنّ في كلامه لعلّه مقيّد بالظنّ المعتبر شرعا ، وإلاّ فلا نرى له وجها ، وذلك في الأمر والنهي ظاهر جدا ، بل القول بالاشتغال في المقام في بعض موارده هو الحقّ الذي لا محيص عنه ، بل يمكن دعوى الاتّفاق عليه </w:t>
      </w:r>
      <w:r>
        <w:rPr>
          <w:rStyle w:val="FootnoteAnchor"/>
          <w:rtl w:val="true"/>
        </w:rPr>
        <w:footnoteReference w:id="688"/>
      </w:r>
      <w:r>
        <w:rPr>
          <w:rFonts w:ascii="Amiri" w:hAnsi="Amiri" w:eastAsia="Amiri" w:cs="Amiri"/>
          <w:color w:val="111111"/>
          <w:sz w:val="28"/>
          <w:sz w:val="28"/>
          <w:szCs w:val="28"/>
          <w:rtl w:val="true"/>
          <w:lang w:bidi="ar-SA"/>
        </w:rPr>
        <w:t xml:space="preserve">، والمحقّق القمي مع مبالغته في نفي الاشتغال قد أذعن به في المقام ، إلاّ أنّ اتّكال المحقّق المذكور على عدم الخفاء في جريان قاعدة الشغل </w:t>
      </w:r>
      <w:r>
        <w:rPr>
          <w:rStyle w:val="FootnoteAnchor"/>
          <w:rtl w:val="true"/>
        </w:rPr>
        <w:footnoteReference w:id="689"/>
      </w:r>
      <w:r>
        <w:rPr>
          <w:rFonts w:ascii="Amiri" w:hAnsi="Amiri" w:eastAsia="Amiri" w:cs="Amiri"/>
          <w:color w:val="111111"/>
          <w:sz w:val="28"/>
          <w:sz w:val="28"/>
          <w:szCs w:val="28"/>
          <w:rtl w:val="true"/>
          <w:lang w:bidi="ar-SA"/>
        </w:rPr>
        <w:t xml:space="preserve">في الإباحة ممّا لم نقف له على وجه فيا ليته لم يتّكل عليه ؛ لأنّ الوجه فيه في غاية الخفاء والغموض ، بل ممّا لا وجه له ، وغاية ما يمكن أن يوجّه به هو ما أفاده المحقّق القمي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الإباحة وما يستلزمه </w:t>
      </w:r>
      <w:r>
        <w:rPr>
          <w:rStyle w:val="FootnoteAnchor"/>
          <w:rtl w:val="true"/>
        </w:rPr>
        <w:footnoteReference w:id="690"/>
      </w:r>
      <w:r>
        <w:rPr>
          <w:rFonts w:ascii="Amiri" w:hAnsi="Amiri" w:eastAsia="Amiri" w:cs="Amiri"/>
          <w:color w:val="111111"/>
          <w:sz w:val="28"/>
          <w:sz w:val="28"/>
          <w:szCs w:val="28"/>
          <w:rtl w:val="true"/>
          <w:lang w:bidi="ar-SA"/>
        </w:rPr>
        <w:t xml:space="preserve">من الأحكام الوضعية ، فلأنّ عدم اعتقاد إباحته يوجب عدم امتثال أمر اللّه تعالى ، فإنّ الاعتقاد بما سنّه </w:t>
      </w:r>
      <w:r>
        <w:rPr>
          <w:rStyle w:val="FootnoteAnchor"/>
          <w:rtl w:val="true"/>
        </w:rPr>
        <w:footnoteReference w:id="691"/>
      </w:r>
      <w:r>
        <w:rPr>
          <w:rFonts w:ascii="Amiri" w:hAnsi="Amiri" w:eastAsia="Amiri" w:cs="Amiri"/>
          <w:color w:val="111111"/>
          <w:sz w:val="28"/>
          <w:sz w:val="28"/>
          <w:szCs w:val="28"/>
          <w:rtl w:val="true"/>
          <w:lang w:bidi="ar-SA"/>
        </w:rPr>
        <w:t xml:space="preserve">واجب ، واجبا كان أو مباحا أو غيرهما </w:t>
      </w:r>
      <w:r>
        <w:rPr>
          <w:rStyle w:val="FootnoteAnchor"/>
          <w:rtl w:val="true"/>
        </w:rPr>
        <w:footnoteReference w:id="692"/>
      </w:r>
      <w:r>
        <w:rPr>
          <w:rFonts w:ascii="Amiri" w:hAnsi="Amiri" w:eastAsia="Amiri" w:cs="Amiri"/>
          <w:color w:val="111111"/>
          <w:sz w:val="28"/>
          <w:sz w:val="28"/>
          <w:szCs w:val="28"/>
          <w:rtl w:val="true"/>
          <w:lang w:bidi="ar-SA"/>
        </w:rPr>
        <w:t xml:space="preserve">، وسقوطه ظاهر ، فإنّ وجوب الاعتقاد على ما سنّه على تقدير تسليمه لا يقضي بالاعتقاد إلى الغاية المعيّنة ؛ لأنّ ذلك واجب مطلقا قبل الغاية وبعد الغاية وعند الغاية من غير فرق في ذلك ، فإنّ الاعتقاد ليس وجوبه مغيّا بالغاية ، والمعتقد لا يؤثّر في الاعتقاد ، فإذا حكم الشارع بإباحة العصير قبل الغليان وشكّ في حصوله في زمان ، يحكم بوجوب اعتقاد الإباحة إلى حصول الغليان ، وذلك لا يوجب الحكم بكون المشكوك فيه ممّا وجب الاعتقاد فيه بالإباحة كما هو المطلوب ، مضافا إلى أنّ غاية الإباحة لا يعقل أن يكون إباحة ، بل لا بدّ أن يكون حكما اقتضائيا ، والمفروض وجوب الاعتقاد به أيضا ، فالحكم بوجوب الاعتقاد بالإباحة قبل الغاية دون ذلك الحكم تحكّم ، على أنّ المفروض أنّ المكلّف شاكّ في </w:t>
      </w:r>
    </w:p>
    <w:p>
      <w:pPr>
        <w:pStyle w:val="BookText"/>
        <w:rPr/>
      </w:pPr>
      <w:r>
        <w:rPr>
          <w:rFonts w:ascii="Amiri" w:hAnsi="Amiri" w:eastAsia="Amiri" w:cs="Amiri"/>
          <w:color w:val="111111"/>
          <w:sz w:val="28"/>
          <w:sz w:val="28"/>
          <w:szCs w:val="28"/>
          <w:rtl w:val="true"/>
          <w:lang w:bidi="ar-SA"/>
        </w:rPr>
        <w:t xml:space="preserve">الإباحة فلا يحصل الاعتقاد ؛ لعدم </w:t>
      </w:r>
      <w:r>
        <w:rPr>
          <w:rStyle w:val="FootnoteAnchor"/>
          <w:rtl w:val="true"/>
        </w:rPr>
        <w:footnoteReference w:id="693"/>
      </w:r>
      <w:r>
        <w:rPr>
          <w:rFonts w:ascii="Amiri" w:hAnsi="Amiri" w:eastAsia="Amiri" w:cs="Amiri"/>
          <w:color w:val="111111"/>
          <w:sz w:val="28"/>
          <w:sz w:val="28"/>
          <w:szCs w:val="28"/>
          <w:rtl w:val="true"/>
          <w:lang w:bidi="ar-SA"/>
        </w:rPr>
        <w:t>اجتماع الاعتقاد والشكّ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أستادنا المحقّق في المقام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الإباحة في صورة الإباحة موقوف على أصالة البراءة ، فإنّ المفروض أنّ غاية الإباحة هو الوجوب والحرمة ، فالشكّ في حصول الغاية شكّ في التكليف التحريمي أو الوجوبي والأصل البراءة ، فثبت </w:t>
      </w:r>
      <w:r>
        <w:rPr>
          <w:rStyle w:val="FootnoteAnchor"/>
          <w:rtl w:val="true"/>
        </w:rPr>
        <w:footnoteReference w:id="694"/>
      </w:r>
      <w:r>
        <w:rPr>
          <w:rFonts w:ascii="Amiri" w:hAnsi="Amiri" w:eastAsia="Amiri" w:cs="Amiri"/>
          <w:color w:val="111111"/>
          <w:sz w:val="28"/>
          <w:sz w:val="28"/>
          <w:szCs w:val="28"/>
          <w:rtl w:val="true"/>
          <w:lang w:bidi="ar-SA"/>
        </w:rPr>
        <w:t xml:space="preserve">الإباحة ، فالأحكام الاقتضائية ثبوتها في زمان الشكّ عنده مستند </w:t>
      </w:r>
      <w:r>
        <w:rPr>
          <w:rStyle w:val="FootnoteAnchor"/>
          <w:rtl w:val="true"/>
        </w:rPr>
        <w:footnoteReference w:id="695"/>
      </w:r>
      <w:r>
        <w:rPr>
          <w:rFonts w:ascii="Amiri" w:hAnsi="Amiri" w:eastAsia="Amiri" w:cs="Amiri"/>
          <w:color w:val="111111"/>
          <w:sz w:val="28"/>
          <w:sz w:val="28"/>
          <w:szCs w:val="28"/>
          <w:rtl w:val="true"/>
          <w:lang w:bidi="ar-SA"/>
        </w:rPr>
        <w:t xml:space="preserve">إلى الاشتغال ، والإباحة إلى البراءة </w:t>
      </w:r>
      <w:r>
        <w:rPr>
          <w:rStyle w:val="FootnoteAnchor"/>
          <w:rtl w:val="true"/>
        </w:rPr>
        <w:footnoteReference w:id="696"/>
      </w:r>
      <w:r>
        <w:rPr>
          <w:rFonts w:ascii="Amiri" w:hAnsi="Amiri" w:eastAsia="Amiri" w:cs="Amiri"/>
          <w:color w:val="111111"/>
          <w:sz w:val="28"/>
          <w:sz w:val="28"/>
          <w:szCs w:val="28"/>
          <w:rtl w:val="true"/>
          <w:lang w:bidi="ar-SA"/>
        </w:rPr>
        <w:t xml:space="preserve">، إلاّ أنّ ذلك بعد عدم ظهوره من كلامه لا يتمّ فيما كانت الغاية مندوبة أو مكروهة ، على أنّ البراءة لا يفيد عدا نفي العقاب ولا يفيد حكما ولو كان إباحة </w:t>
      </w:r>
      <w:r>
        <w:rPr>
          <w:rStyle w:val="FootnoteAnchor"/>
          <w:rtl w:val="true"/>
        </w:rPr>
        <w:footnoteReference w:id="697"/>
      </w:r>
      <w:r>
        <w:rPr>
          <w:rFonts w:ascii="Amiri" w:hAnsi="Amiri" w:eastAsia="Amiri" w:cs="Amiri"/>
          <w:color w:val="111111"/>
          <w:sz w:val="28"/>
          <w:sz w:val="28"/>
          <w:szCs w:val="28"/>
          <w:rtl w:val="true"/>
          <w:lang w:bidi="ar-SA"/>
        </w:rPr>
        <w:t>على ما برهن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الروايات من أنّ اليقين لا ينقض بالشكّ </w:t>
      </w:r>
      <w:r>
        <w:rPr>
          <w:rStyle w:val="FootnoteAnchor"/>
          <w:rtl w:val="true"/>
        </w:rPr>
        <w:footnoteReference w:id="698"/>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يدلّ على حجّية المعنى المذكور كذلك يدلّ على المعنى الذي ذكره القوم ؛ لأنّه إذا حصل اليقين في زمان فينبغي أن لا ينقض في زمان آخر بالشكّ نظرا إلى الرواية ، وهو بعنيه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عدم نقض اليقين بالشكّ أنّه عند التعارض لا ينقض به ، والمراد بالتعارض أن يكون شيء يوجب اليقين لو لا الشكّ ، وفيما ذكروه ليس كذلك ، لأنّ اليقين بحكم في زمان ليس ممّا يجب حصوله في زمان آخر لو لا عروض الشكّ </w:t>
      </w:r>
      <w:r>
        <w:rPr>
          <w:rStyle w:val="FootnoteAnchor"/>
          <w:rtl w:val="true"/>
        </w:rPr>
        <w:footnoteReference w:id="699"/>
      </w:r>
      <w:r>
        <w:rPr>
          <w:rFonts w:ascii="IRNazanin" w:hAnsi="IRNazanin" w:eastAsia="IRNazanin"/>
          <w:color w:val="111111"/>
          <w:sz w:val="28"/>
          <w:sz w:val="28"/>
          <w:szCs w:val="28"/>
          <w:rtl w:val="true"/>
          <w:lang w:bidi="fa-IR"/>
        </w:rPr>
        <w:t xml:space="preserve">، وهو ظاهر </w:t>
      </w:r>
      <w:r>
        <w:rPr>
          <w:rStyle w:val="FootnoteAnchor"/>
          <w:rtl w:val="true"/>
        </w:rPr>
        <w:footnoteReference w:id="7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ما أفاده المحقّق المذكور هو أنّ هذه الأخبار إنّما هي مسوقة لبيان الحكم الظاهري وعلاج في الواقعة المشكوكة ، فلا يعقل أن يكون المأمور به في تلك الأخبار </w:t>
      </w:r>
    </w:p>
    <w:p>
      <w:pPr>
        <w:pStyle w:val="BookText"/>
        <w:rPr/>
      </w:pPr>
      <w:r>
        <w:rPr>
          <w:rFonts w:ascii="Amiri" w:hAnsi="Amiri" w:eastAsia="Amiri" w:cs="Amiri"/>
          <w:color w:val="111111"/>
          <w:sz w:val="28"/>
          <w:sz w:val="28"/>
          <w:szCs w:val="28"/>
          <w:rtl w:val="true"/>
          <w:lang w:bidi="ar-SA"/>
        </w:rPr>
        <w:t>غير ممكن الحصول ، وعلى هذا التقدير فلا دلالة فيها على استصحاب القوم وتدلّ على الاستصحاب بالمعنى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فكلامه متضمّن لدعويين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بالرواية ليس النهي عن النقض مطلقا بل عند التعارض بالمعنى الذي فسّره وهو أن يكون شيء يوجب اليقين لو لا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بعد ما عرفت المراد منها لا دلالة فيها على استصحاب القوم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فلأنّ ظاهر لفظ النقض في اللغة والعرف هو كسر الشيء إذا كان متّصل </w:t>
      </w:r>
      <w:r>
        <w:rPr>
          <w:rStyle w:val="FootnoteAnchor"/>
          <w:rtl w:val="true"/>
        </w:rPr>
        <w:footnoteReference w:id="701"/>
      </w:r>
      <w:r>
        <w:rPr>
          <w:rFonts w:ascii="Amiri" w:hAnsi="Amiri" w:eastAsia="Amiri" w:cs="Amiri"/>
          <w:color w:val="111111"/>
          <w:sz w:val="28"/>
          <w:sz w:val="28"/>
          <w:szCs w:val="28"/>
          <w:rtl w:val="true"/>
          <w:lang w:bidi="ar-SA"/>
        </w:rPr>
        <w:t xml:space="preserve">الأجزاء خلاف الإبرام ، ولا بدّ في تحقّق </w:t>
      </w:r>
      <w:r>
        <w:rPr>
          <w:rStyle w:val="FootnoteAnchor"/>
          <w:rtl w:val="true"/>
        </w:rPr>
        <w:footnoteReference w:id="702"/>
      </w:r>
      <w:r>
        <w:rPr>
          <w:rFonts w:ascii="Amiri" w:hAnsi="Amiri" w:eastAsia="Amiri" w:cs="Amiri"/>
          <w:color w:val="111111"/>
          <w:sz w:val="28"/>
          <w:sz w:val="28"/>
          <w:szCs w:val="28"/>
          <w:rtl w:val="true"/>
          <w:lang w:bidi="ar-SA"/>
        </w:rPr>
        <w:t xml:space="preserve">هذا المعنى من اجتماع الناقض والمنقوض ، فإنّ ذلك لا يحصل إلاّ بعد التصادم والتعاند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كَالَّتِي نَقَضَتْ غَزْلَها مِنْ بَعْدِ قُوَّةٍ أَنْكاثاً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ولا ريب في استحالة إرادة هذا المعنى من الرواية ؛ لامتناع اجتماع الشكّ واليقين فإنّ فرض أحدهما ينافي وجود الآخر ، وعلى تقدير إرادة هذا المعنى من أخبار الباب لا بدّ أن يكون اليقين أمرا متّصلا مستمرّا ، ثمّ ينقطع ذلك الأمر المستمرّ بحدوث الشكّ ، وبطلانه أمر بيّن ، فلا مناص من حملها على خلاف ما هو الظاهر من لفظ النقض على وجه يكون أقرب إلى معناه الحقيقي كما قرّر من لزوم ذلك عند تعذّر الحقيقة ، وأقرب الوجوه إلى المعنى الحقيقي هو أن يكون الشكّ متعلّقا على قضيّة تعلّق بها اليقين قبل حدوث الشكّ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اليقين بشيء ، ثمّ شكّ في صحّة ذلك اليقين ، فلا بدّ من الأخذ باليقين وعدم الاعتناء بالشكّ ، فإنّه على هذا التقدير </w:t>
      </w:r>
      <w:r>
        <w:rPr>
          <w:rStyle w:val="FootnoteAnchor"/>
          <w:rtl w:val="true"/>
        </w:rPr>
        <w:footnoteReference w:id="704"/>
      </w:r>
      <w:r>
        <w:rPr>
          <w:rFonts w:ascii="Amiri" w:hAnsi="Amiri" w:eastAsia="Amiri" w:cs="Amiri"/>
          <w:color w:val="111111"/>
          <w:sz w:val="28"/>
          <w:sz w:val="28"/>
          <w:szCs w:val="28"/>
          <w:rtl w:val="true"/>
          <w:lang w:bidi="ar-SA"/>
        </w:rPr>
        <w:t>تكون القضيّة المعلومة هي بعينها القضيّة المشكوكة من غير تغاير ، ولا ريب في أقربية هذا المعنى من معنى النقض ؛ لاجتماع الشكّ واليقين في مورد واحد من جميع الوجوه حتّى في الزمان أيضا بالنسبة إلى متعلّقهما وإن كان زمان حصولهما متغايرا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فتكون </w:t>
      </w:r>
      <w:r>
        <w:rPr>
          <w:rStyle w:val="FootnoteAnchor"/>
          <w:rtl w:val="true"/>
        </w:rPr>
        <w:footnoteReference w:id="705"/>
      </w:r>
      <w:r>
        <w:rPr>
          <w:rFonts w:ascii="Amiri" w:hAnsi="Amiri" w:eastAsia="Amiri" w:cs="Amiri"/>
          <w:color w:val="111111"/>
          <w:sz w:val="28"/>
          <w:sz w:val="28"/>
          <w:szCs w:val="28"/>
          <w:rtl w:val="true"/>
          <w:lang w:bidi="ar-SA"/>
        </w:rPr>
        <w:t xml:space="preserve">الرواية دليلا على اعتبار أصالة الصحّة في الاعتقادات وتكون </w:t>
      </w:r>
      <w:r>
        <w:rPr>
          <w:rStyle w:val="FootnoteAnchor"/>
          <w:rtl w:val="true"/>
        </w:rPr>
        <w:footnoteReference w:id="706"/>
      </w:r>
      <w:r>
        <w:rPr>
          <w:rFonts w:ascii="Amiri" w:hAnsi="Amiri" w:eastAsia="Amiri" w:cs="Amiri"/>
          <w:color w:val="111111"/>
          <w:sz w:val="28"/>
          <w:sz w:val="28"/>
          <w:szCs w:val="28"/>
          <w:rtl w:val="true"/>
          <w:lang w:bidi="ar-SA"/>
        </w:rPr>
        <w:t xml:space="preserve">من وجوه الدليل على اعتبار استصحاب </w:t>
      </w:r>
      <w:r>
        <w:rPr>
          <w:rStyle w:val="FootnoteAnchor"/>
          <w:rtl w:val="true"/>
        </w:rPr>
        <w:footnoteReference w:id="707"/>
      </w:r>
      <w:r>
        <w:rPr>
          <w:rFonts w:ascii="Amiri" w:hAnsi="Amiri" w:eastAsia="Amiri" w:cs="Amiri"/>
          <w:color w:val="111111"/>
          <w:sz w:val="28"/>
          <w:sz w:val="28"/>
          <w:szCs w:val="28"/>
          <w:rtl w:val="true"/>
          <w:lang w:bidi="ar-SA"/>
        </w:rPr>
        <w:t xml:space="preserve">الساري ، إلاّ أنّ ملاحظة صدر الرواية وذيلها وعدم الارتباط بينها وبين التعليل المذكور في رواية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تفصيل ذلك في محلّه بعيد ذلك </w:t>
      </w:r>
      <w:r>
        <w:rPr>
          <w:rStyle w:val="FootnoteAnchor"/>
          <w:rtl w:val="true"/>
        </w:rPr>
        <w:footnoteReference w:id="708"/>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الإعراض عن هذا المعنى إلى معنى آخر أقرب إلى المعنى الحقيقي بين المعاني المحتملة ، وما يحتمل قريبا في الرواية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يدلّ على استصحاب القوم ، والآخر على استصحاب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يراد من النقض مطلق الأخذ بخلاف الأحكام والآثار المترتّبة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يراد من النقض الأخذ </w:t>
      </w:r>
      <w:r>
        <w:rPr>
          <w:rStyle w:val="FootnoteAnchor"/>
          <w:rtl w:val="true"/>
        </w:rPr>
        <w:footnoteReference w:id="709"/>
      </w:r>
      <w:r>
        <w:rPr>
          <w:rFonts w:ascii="Amiri" w:hAnsi="Amiri" w:eastAsia="Amiri" w:cs="Amiri"/>
          <w:color w:val="111111"/>
          <w:sz w:val="28"/>
          <w:sz w:val="28"/>
          <w:szCs w:val="28"/>
          <w:rtl w:val="true"/>
          <w:lang w:bidi="ar-SA"/>
        </w:rPr>
        <w:t xml:space="preserve">بالآثار التي من شأنها البقاء </w:t>
      </w:r>
      <w:r>
        <w:rPr>
          <w:rStyle w:val="FootnoteAnchor"/>
          <w:rtl w:val="true"/>
        </w:rPr>
        <w:footnoteReference w:id="710"/>
      </w:r>
      <w:r>
        <w:rPr>
          <w:rFonts w:ascii="Amiri" w:hAnsi="Amiri" w:eastAsia="Amiri" w:cs="Amiri"/>
          <w:color w:val="111111"/>
          <w:sz w:val="28"/>
          <w:sz w:val="28"/>
          <w:szCs w:val="28"/>
          <w:rtl w:val="true"/>
          <w:lang w:bidi="ar-SA"/>
        </w:rPr>
        <w:t>لو لا الشكّ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الثاني أقرب إلى معنى النقض </w:t>
      </w:r>
      <w:r>
        <w:rPr>
          <w:rStyle w:val="FootnoteAnchor"/>
          <w:rtl w:val="true"/>
        </w:rPr>
        <w:footnoteReference w:id="711"/>
      </w:r>
      <w:r>
        <w:rPr>
          <w:rFonts w:ascii="Amiri" w:hAnsi="Amiri" w:eastAsia="Amiri" w:cs="Amiri"/>
          <w:color w:val="111111"/>
          <w:sz w:val="28"/>
          <w:sz w:val="28"/>
          <w:szCs w:val="28"/>
          <w:rtl w:val="true"/>
          <w:lang w:bidi="ar-SA"/>
        </w:rPr>
        <w:t xml:space="preserve">من الأوّل ، وتوضيحه أنّ صدق معنى النقض حقيقة موقوف على وجود أمرين في زمان واحد ، فيتحقّق </w:t>
      </w:r>
      <w:r>
        <w:rPr>
          <w:rStyle w:val="FootnoteAnchor"/>
          <w:rtl w:val="true"/>
        </w:rPr>
        <w:footnoteReference w:id="712"/>
      </w:r>
      <w:r>
        <w:rPr>
          <w:rFonts w:ascii="Amiri" w:hAnsi="Amiri" w:eastAsia="Amiri" w:cs="Amiri"/>
          <w:color w:val="111111"/>
          <w:sz w:val="28"/>
          <w:sz w:val="28"/>
          <w:szCs w:val="28"/>
          <w:rtl w:val="true"/>
          <w:lang w:bidi="ar-SA"/>
        </w:rPr>
        <w:t xml:space="preserve">التعارض والتعاند بينهما فينقض </w:t>
      </w:r>
      <w:r>
        <w:rPr>
          <w:rStyle w:val="FootnoteAnchor"/>
          <w:rtl w:val="true"/>
        </w:rPr>
        <w:footnoteReference w:id="713"/>
      </w:r>
      <w:r>
        <w:rPr>
          <w:rFonts w:ascii="Amiri" w:hAnsi="Amiri" w:eastAsia="Amiri" w:cs="Amiri"/>
          <w:color w:val="111111"/>
          <w:sz w:val="28"/>
          <w:sz w:val="28"/>
          <w:szCs w:val="28"/>
          <w:rtl w:val="true"/>
          <w:lang w:bidi="ar-SA"/>
        </w:rPr>
        <w:t xml:space="preserve">أحدهما بالآخر ، وإذا امتنع تحقّق هذا المعنى فالأقرب إليه أن يراد من اللفظ ما يتحقّق </w:t>
      </w:r>
      <w:r>
        <w:rPr>
          <w:rStyle w:val="FootnoteAnchor"/>
          <w:rtl w:val="true"/>
        </w:rPr>
        <w:footnoteReference w:id="714"/>
      </w:r>
      <w:r>
        <w:rPr>
          <w:rFonts w:ascii="Amiri" w:hAnsi="Amiri" w:eastAsia="Amiri" w:cs="Amiri"/>
          <w:color w:val="111111"/>
          <w:sz w:val="28"/>
          <w:sz w:val="28"/>
          <w:szCs w:val="28"/>
          <w:rtl w:val="true"/>
          <w:lang w:bidi="ar-SA"/>
        </w:rPr>
        <w:t xml:space="preserve">فيه التعارض شأنا ، وذلك لا يصدق إلاّ مع بقاء مقتضي الحكم من زمان إلى زمان ، ثمّ يعرض في الوسط ما يحتمل كونه مزيلا أو احتمل عروض المزيل أو نحو ذلك ، وانطباق هذا المعنى على استصحاب </w:t>
      </w:r>
      <w:r>
        <w:rPr>
          <w:rStyle w:val="FootnoteAnchor"/>
          <w:rtl w:val="true"/>
        </w:rPr>
        <w:footnoteReference w:id="715"/>
      </w:r>
      <w:r>
        <w:rPr>
          <w:rFonts w:ascii="Amiri" w:hAnsi="Amiri" w:eastAsia="Amiri" w:cs="Amiri"/>
          <w:color w:val="111111"/>
          <w:sz w:val="28"/>
          <w:sz w:val="28"/>
          <w:szCs w:val="28"/>
          <w:rtl w:val="true"/>
          <w:lang w:bidi="ar-SA"/>
        </w:rPr>
        <w:t xml:space="preserve">المحقّق ظاهر ، وليس ما ذكرنا من </w:t>
      </w:r>
    </w:p>
    <w:p>
      <w:pPr>
        <w:pStyle w:val="BookText"/>
        <w:rPr/>
      </w:pPr>
      <w:r>
        <w:rPr>
          <w:rFonts w:ascii="Amiri" w:hAnsi="Amiri" w:eastAsia="Amiri" w:cs="Amiri"/>
          <w:color w:val="111111"/>
          <w:sz w:val="28"/>
          <w:sz w:val="28"/>
          <w:szCs w:val="28"/>
          <w:rtl w:val="true"/>
          <w:lang w:bidi="ar-SA"/>
        </w:rPr>
        <w:t xml:space="preserve">الأقربية مخصوصا بالرواية المشتملة على لفظ النقض كما توهّمه جماعة ، بل لفظ الدفع كما في رواية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لا يدفع بالشكّ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أيضا الظاهر منه ما ذكرنا كالرواية المشتملة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فيما ذكرنا </w:t>
      </w:r>
      <w:r>
        <w:rPr>
          <w:rStyle w:val="FootnoteAnchor"/>
          <w:rtl w:val="true"/>
        </w:rPr>
        <w:footnoteReference w:id="717"/>
      </w:r>
      <w:r>
        <w:rPr>
          <w:rFonts w:ascii="Amiri" w:hAnsi="Amiri" w:eastAsia="Amiri" w:cs="Amiri"/>
          <w:color w:val="111111"/>
          <w:sz w:val="28"/>
          <w:sz w:val="28"/>
          <w:szCs w:val="28"/>
          <w:rtl w:val="true"/>
          <w:lang w:bidi="ar-SA"/>
        </w:rPr>
        <w:t>بعد امتناع إرادة المعنى الحقيقي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ضعفها </w:t>
      </w:r>
      <w:r>
        <w:rPr>
          <w:rStyle w:val="FootnoteAnchor"/>
          <w:rtl w:val="true"/>
        </w:rPr>
        <w:footnoteReference w:id="718"/>
      </w:r>
      <w:r>
        <w:rPr>
          <w:rFonts w:ascii="Amiri" w:hAnsi="Amiri" w:eastAsia="Amiri" w:cs="Amiri"/>
          <w:color w:val="111111"/>
          <w:sz w:val="28"/>
          <w:sz w:val="28"/>
          <w:szCs w:val="28"/>
          <w:rtl w:val="true"/>
          <w:lang w:bidi="ar-SA"/>
        </w:rPr>
        <w:t>في خلال تقريب الأولى فلا حاجة إلى إطالة الكلام في تقريرها ، فإنّ التعارض لا يحصل إلاّ فيما ذكره دون ما ذكره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استصحاب القوم أيضا كذلك ؛ إذ ليس الكلام في الأحكام الموقّتة التي تزول بزوالها ، ولا فيما تنعدم بعد وجودها آناً ما ، بل في الأحكام القابلة للبقاء والزوال حين الشكّ ، وحينئذ فلو فرض عدم الشكّ في البقاء لكان اليقين به في محلّه ، فإنّ عروض الشكّ لا يمكن إلاّ فيما احتمل انتفاء جزء من العلّة المقتضية للحكم ، فعند عدم الشكّ فلا بدّ من القطع ببقاء العلّة التامّة ، فتفرّع عليها القطع ببقاء الحكم ، فاليقين حاصل لو لا الشكّ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 بدّ أن يعلم أنّ مراد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في الحاشية التي علّقها على غير المقام على ما حكاه السيّد الشارح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المقتضي للحكم المعمول به عند عدم الشكّ قطعا ، لامجرّد عدم الشكّ فإنّه وإن كان يلازم اليقين لكنّه بواسطة انتفاء الواسطة بين الشكّ واليقين ، فإنّ المراد بالشكّ ما عدا اليقين في المقام وذلك لا ينافي الشكّ في وجود المقتضي أيضا بخلاف ما ذكره فيما فسّر التعارض بأن يكون شيء يوجب اليقين لو لا الشكّ ، فالمفروض عنده وجود خطاب يقضي بالحكم لو لا معارضة الشكّ ، ولا ريب في أنّه إذا فرض ارتفاع المعارض بانتفاء احتمال المانع وجب الأخذ بالمقتضي فإنّه يؤثّر </w:t>
      </w:r>
      <w:r>
        <w:rPr>
          <w:rStyle w:val="FootnoteAnchor"/>
          <w:rtl w:val="true"/>
        </w:rPr>
        <w:footnoteReference w:id="719"/>
      </w:r>
      <w:r>
        <w:rPr>
          <w:rFonts w:ascii="Amiri" w:hAnsi="Amiri" w:eastAsia="Amiri" w:cs="Amiri"/>
          <w:color w:val="111111"/>
          <w:sz w:val="28"/>
          <w:sz w:val="28"/>
          <w:szCs w:val="28"/>
          <w:rtl w:val="true"/>
          <w:lang w:bidi="ar-SA"/>
        </w:rPr>
        <w:t>أثره على تقدير عدم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الشكّ لا يوجب اليقين بالبقاء دائما ؛ لإمكان ارتفاعه باليقين بالعدم ، فارتفاع الشكّ لا يوجب اليقين كما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وجود المقتضي للحكم في استصحابه ، فالقطع بالعدم لا يتصوّر إلاّ بواسطة القطع بوجود المزيل ، وخروجه عن مفروضه معلوم 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طيّب اللّه رمسه اللطيف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الشكّ في كون شيء مزيلا للحكم مع اليقين بوجوده كالشكّ في وجود المزيل أو لا </w:t>
      </w:r>
      <w:r>
        <w:rPr>
          <w:rStyle w:val="FootnoteAnchor"/>
          <w:rtl w:val="true"/>
        </w:rPr>
        <w:footnoteReference w:id="7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تفصيل ؛ لأنّه إن ثبت بالدليل أنّ ذلك الحكم مستمرّ إلى غاية معيّنة في الواقع ، ثمّ علمنا صدق تلك الغاية على شيء وشككنا في صدقها على شيء آخر </w:t>
      </w:r>
      <w:r>
        <w:rPr>
          <w:rStyle w:val="FootnoteAnchor"/>
          <w:rtl w:val="true"/>
        </w:rPr>
        <w:footnoteReference w:id="722"/>
      </w:r>
      <w:r>
        <w:rPr>
          <w:rFonts w:ascii="Amiri" w:hAnsi="Amiri" w:eastAsia="Amiri" w:cs="Amiri"/>
          <w:color w:val="111111"/>
          <w:sz w:val="28"/>
          <w:sz w:val="28"/>
          <w:szCs w:val="28"/>
          <w:rtl w:val="true"/>
          <w:lang w:bidi="ar-SA"/>
        </w:rPr>
        <w:t xml:space="preserve">أم لا ، فحينئذ لا ينقض اليقين بالشكّ ، وأمّا إذا لم يثبت ذلك ، بل إنّما ثبت أنّ ذلك الحكم مستمرّ في الجملة ومزيله الشيء الفلاني وشككنا في أنّ الشيء الآخر مزيله أم لا ، فحينئذ لا ظهور في عدم نقض الحكم وثبوت استمراره ؛ إذ الدليل الأوّل ليس بجار فيه ، لعدم ثبوت حكم العقل في هذه الصورة </w:t>
      </w:r>
      <w:r>
        <w:rPr>
          <w:rStyle w:val="FootnoteAnchor"/>
          <w:rtl w:val="true"/>
        </w:rPr>
        <w:footnoteReference w:id="723"/>
      </w:r>
      <w:r>
        <w:rPr>
          <w:rFonts w:ascii="Amiri" w:hAnsi="Amiri" w:eastAsia="Amiri" w:cs="Amiri"/>
          <w:color w:val="111111"/>
          <w:sz w:val="28"/>
          <w:sz w:val="28"/>
          <w:szCs w:val="28"/>
          <w:rtl w:val="true"/>
          <w:lang w:bidi="ar-SA"/>
        </w:rPr>
        <w:t xml:space="preserve">، خصوصا مع ورود بعض الروايات الدالّة على عدم المؤاخذة بما </w:t>
      </w:r>
      <w:r>
        <w:rPr>
          <w:rStyle w:val="FootnoteAnchor"/>
          <w:rtl w:val="true"/>
        </w:rPr>
        <w:footnoteReference w:id="724"/>
      </w:r>
      <w:r>
        <w:rPr>
          <w:rFonts w:ascii="Amiri" w:hAnsi="Amiri" w:eastAsia="Amiri" w:cs="Amiri"/>
          <w:color w:val="111111"/>
          <w:sz w:val="28"/>
          <w:sz w:val="28"/>
          <w:szCs w:val="28"/>
          <w:rtl w:val="true"/>
          <w:lang w:bidi="ar-SA"/>
        </w:rPr>
        <w:t xml:space="preserve">لا يعلم ، والدليل </w:t>
      </w:r>
      <w:r>
        <w:rPr>
          <w:rStyle w:val="FootnoteAnchor"/>
          <w:rtl w:val="true"/>
        </w:rPr>
        <w:footnoteReference w:id="725"/>
      </w:r>
      <w:r>
        <w:rPr>
          <w:rFonts w:ascii="Amiri" w:hAnsi="Amiri" w:eastAsia="Amiri" w:cs="Amiri"/>
          <w:color w:val="111111"/>
          <w:sz w:val="28"/>
          <w:sz w:val="28"/>
          <w:szCs w:val="28"/>
          <w:rtl w:val="true"/>
          <w:lang w:bidi="ar-SA"/>
        </w:rPr>
        <w:t xml:space="preserve">الثاني الحقّ أنّه لا يخلو عن إجمال ، وغاية ما يسلّم منه إفادته </w:t>
      </w:r>
      <w:r>
        <w:rPr>
          <w:rStyle w:val="FootnoteAnchor"/>
          <w:rtl w:val="true"/>
        </w:rPr>
        <w:footnoteReference w:id="726"/>
      </w:r>
      <w:r>
        <w:rPr>
          <w:rFonts w:ascii="Amiri" w:hAnsi="Amiri" w:eastAsia="Amiri" w:cs="Amiri"/>
          <w:color w:val="111111"/>
          <w:sz w:val="28"/>
          <w:sz w:val="28"/>
          <w:szCs w:val="28"/>
          <w:rtl w:val="true"/>
          <w:lang w:bidi="ar-SA"/>
        </w:rPr>
        <w:t xml:space="preserve">الحكم في الصورتين اللتين ذكرناهما وإن كان فيه بعض المناقشات </w:t>
      </w:r>
      <w:r>
        <w:rPr>
          <w:rStyle w:val="FootnoteAnchor"/>
          <w:rtl w:val="true"/>
        </w:rPr>
        <w:footnoteReference w:id="727"/>
      </w:r>
      <w:r>
        <w:rPr>
          <w:rFonts w:ascii="Amiri" w:hAnsi="Amiri" w:eastAsia="Amiri" w:cs="Amiri"/>
          <w:color w:val="111111"/>
          <w:sz w:val="28"/>
          <w:sz w:val="28"/>
          <w:szCs w:val="28"/>
          <w:rtl w:val="true"/>
          <w:lang w:bidi="ar-SA"/>
        </w:rPr>
        <w:t xml:space="preserve">، لكنّه لا يخلو من </w:t>
      </w:r>
      <w:r>
        <w:rPr>
          <w:rStyle w:val="FootnoteAnchor"/>
          <w:rtl w:val="true"/>
        </w:rPr>
        <w:footnoteReference w:id="728"/>
      </w:r>
      <w:r>
        <w:rPr>
          <w:rFonts w:ascii="Amiri" w:hAnsi="Amiri" w:eastAsia="Amiri" w:cs="Amiri"/>
          <w:color w:val="111111"/>
          <w:sz w:val="28"/>
          <w:sz w:val="28"/>
          <w:szCs w:val="28"/>
          <w:rtl w:val="true"/>
          <w:lang w:bidi="ar-SA"/>
        </w:rPr>
        <w:t xml:space="preserve">تأييد للدليل الأوّل ، فتأمّل </w:t>
      </w:r>
      <w:r>
        <w:rPr>
          <w:rStyle w:val="FootnoteAnchor"/>
          <w:rtl w:val="true"/>
        </w:rPr>
        <w:footnoteReference w:id="72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وسوق كلامه هذا لبيان الحكم فيما إذا جاء الشكّ من جهة الشك في مزيلية </w:t>
      </w:r>
    </w:p>
    <w:p>
      <w:pPr>
        <w:pStyle w:val="BookText"/>
        <w:rPr/>
      </w:pPr>
      <w:r>
        <w:rPr>
          <w:rFonts w:ascii="Amiri" w:hAnsi="Amiri" w:eastAsia="Amiri" w:cs="Amiri"/>
          <w:color w:val="111111"/>
          <w:sz w:val="28"/>
          <w:sz w:val="28"/>
          <w:szCs w:val="28"/>
          <w:rtl w:val="true"/>
          <w:lang w:bidi="ar-SA"/>
        </w:rPr>
        <w:t xml:space="preserve">الحادث ، وحاصله التفصيل بين ما إذا كان الشكّ راجعا إلى الشكّ في الدليل المثبت لليقين في السابق الموجب لإجماله ، وبين ما لم يكن راجعا إلى الشكّ فيه وموجبا لإجماله ، فيحكم ببقاء التكليف على الأوّل دون الثاني ، ودليله في المقام هو ما ذكره فيما إذا كان الشكّ في حصول المزيل وبلوغ الغاية ، فانّ قاعدة الاشتغال جارية </w:t>
      </w:r>
      <w:r>
        <w:rPr>
          <w:rStyle w:val="FootnoteAnchor"/>
          <w:rtl w:val="true"/>
        </w:rPr>
        <w:footnoteReference w:id="730"/>
      </w:r>
      <w:r>
        <w:rPr>
          <w:rFonts w:ascii="Amiri" w:hAnsi="Amiri" w:eastAsia="Amiri" w:cs="Amiri"/>
          <w:color w:val="111111"/>
          <w:sz w:val="28"/>
          <w:sz w:val="28"/>
          <w:szCs w:val="28"/>
          <w:rtl w:val="true"/>
          <w:lang w:bidi="ar-SA"/>
        </w:rPr>
        <w:t>بعد العلم بالتكليف من دون إجمال في المكلّف به مفهوما ، بخلاف ما إذا كان مفهومه مجملا فلا يجري عنده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دليله الثاني لا يقضي </w:t>
      </w:r>
      <w:r>
        <w:rPr>
          <w:rStyle w:val="FootnoteAnchor"/>
          <w:rtl w:val="true"/>
        </w:rPr>
        <w:footnoteReference w:id="731"/>
      </w:r>
      <w:r>
        <w:rPr>
          <w:rFonts w:ascii="Amiri" w:hAnsi="Amiri" w:eastAsia="Amiri" w:cs="Amiri"/>
          <w:color w:val="111111"/>
          <w:sz w:val="28"/>
          <w:sz w:val="28"/>
          <w:szCs w:val="28"/>
          <w:rtl w:val="true"/>
          <w:lang w:bidi="ar-SA"/>
        </w:rPr>
        <w:t>بالفرق كما نبّه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تفصيله في المقام راجع إلى تفصيله سابقا من أنّ الشكّ إن كان من جهة إجمال الدليل المقتضي لليقين السابق فلا يحكم ببقاء التكليف ، وإن لم يكن كذلك بأن يكون الدليل مسبّبا فيحكم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قدس اللّه لطيفه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الذي يدّعونه </w:t>
      </w:r>
      <w:r>
        <w:rPr>
          <w:rStyle w:val="FootnoteAnchor"/>
          <w:rtl w:val="true"/>
        </w:rPr>
        <w:footnoteReference w:id="733"/>
      </w:r>
      <w:r>
        <w:rPr>
          <w:rFonts w:ascii="Amiri" w:hAnsi="Amiri" w:eastAsia="Amiri" w:cs="Amiri"/>
          <w:color w:val="111111"/>
          <w:sz w:val="28"/>
          <w:sz w:val="28"/>
          <w:szCs w:val="28"/>
          <w:rtl w:val="true"/>
          <w:lang w:bidi="ar-SA"/>
        </w:rPr>
        <w:t xml:space="preserve">فيما نحن فيه وأنت قد منعته الظاهر أنّه من قبيل ما اعترفت بحجّيته ؛ لأنّ حكم النجاسة ثابت ما لم يحصل الظنّ </w:t>
      </w:r>
      <w:r>
        <w:rPr>
          <w:rStyle w:val="FootnoteAnchor"/>
          <w:rtl w:val="true"/>
        </w:rPr>
        <w:footnoteReference w:id="734"/>
      </w:r>
      <w:r>
        <w:rPr>
          <w:rFonts w:ascii="Amiri" w:hAnsi="Amiri" w:eastAsia="Amiri" w:cs="Amiri"/>
          <w:color w:val="111111"/>
          <w:sz w:val="28"/>
          <w:sz w:val="28"/>
          <w:szCs w:val="28"/>
          <w:rtl w:val="true"/>
          <w:lang w:bidi="ar-SA"/>
        </w:rPr>
        <w:t xml:space="preserve">المعتبر شرعا بوجود المطهّر ، لأنّ حسنة ابن المغيرة وموثّقة ابن يعقوب ليستا حجّتين شرعيتين </w:t>
      </w:r>
      <w:r>
        <w:rPr>
          <w:rStyle w:val="FootnoteAnchor"/>
          <w:rtl w:val="true"/>
        </w:rPr>
        <w:footnoteReference w:id="735"/>
      </w:r>
      <w:r>
        <w:rPr>
          <w:rFonts w:ascii="Amiri" w:hAnsi="Amiri" w:eastAsia="Amiri" w:cs="Amiri"/>
          <w:color w:val="111111"/>
          <w:sz w:val="28"/>
          <w:sz w:val="28"/>
          <w:szCs w:val="28"/>
          <w:rtl w:val="true"/>
          <w:lang w:bidi="ar-SA"/>
        </w:rPr>
        <w:t>خصوصا مع معارضتهما بالروايات كما تقدّم ، فغاية الأمر حصول الشكّ بوجود المطهّر وهو لا ينقض اليقين كما ذكرت ، فما وجه المنع؟</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قبيل الثاني ممنوع ؛ إذ لا دليل على أنّ النجاسة ثابتة ما لم يحصل مطهّر شرعي ، وما ذكروه </w:t>
      </w:r>
      <w:r>
        <w:rPr>
          <w:rStyle w:val="FootnoteAnchor"/>
          <w:rtl w:val="true"/>
        </w:rPr>
        <w:footnoteReference w:id="736"/>
      </w:r>
      <w:r>
        <w:rPr>
          <w:rFonts w:ascii="Amiri" w:hAnsi="Amiri" w:eastAsia="Amiri" w:cs="Amiri"/>
          <w:color w:val="111111"/>
          <w:sz w:val="28"/>
          <w:sz w:val="28"/>
          <w:szCs w:val="28"/>
          <w:rtl w:val="true"/>
          <w:lang w:bidi="ar-SA"/>
        </w:rPr>
        <w:t xml:space="preserve">من الإجماع غير معلوم ؛ لأنّ غاية ما أجمعوا عليه أنّه </w:t>
      </w:r>
      <w:r>
        <w:rPr>
          <w:rStyle w:val="FootnoteAnchor"/>
          <w:rtl w:val="true"/>
        </w:rPr>
        <w:footnoteReference w:id="737"/>
      </w:r>
      <w:r>
        <w:rPr>
          <w:rFonts w:ascii="Amiri" w:hAnsi="Amiri" w:eastAsia="Amiri" w:cs="Amiri"/>
          <w:color w:val="111111"/>
          <w:sz w:val="28"/>
          <w:sz w:val="28"/>
          <w:szCs w:val="28"/>
          <w:rtl w:val="true"/>
          <w:lang w:bidi="ar-SA"/>
        </w:rPr>
        <w:t xml:space="preserve">بعد التغوّط لا يصحّ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الماء والتمسّح رأسا بثلاثة أحجار متعدّدة ولا بشعب حجر واحد ، وهذا الإجماع لا يستلزم الإجماع على ثبوت الحكم والنجاسة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حتّى يحدث شيء معيّن في الواقع مجهول عندنا قد اعتبره الشارع مطهّرا ، فلا يكون من قبيل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أنّه ليس داخلا تحت الاستصحاب المذكور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بالإجماع وجوب شيء على المتغوّط في الواقع ، وهو مردّد بين أن يكون المسح بثلاثة أحجار متعدّدة أو الأعمّ منه ومن المسح بجهات حجر واحد ، فما لم يأت بالأوّل لم يحصل اليقين بالامتثال والخروج عن العهدة ، فيكون الإتيان به واجبا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وجوب شيء معيّن في الواقع مبهم في نظرنا عليه </w:t>
      </w:r>
      <w:r>
        <w:rPr>
          <w:rStyle w:val="FootnoteAnchor"/>
          <w:rtl w:val="true"/>
        </w:rPr>
        <w:footnoteReference w:id="739"/>
      </w:r>
      <w:r>
        <w:rPr>
          <w:rFonts w:ascii="Amiri" w:hAnsi="Amiri" w:eastAsia="Amiri" w:cs="Amiri"/>
          <w:color w:val="111111"/>
          <w:sz w:val="28"/>
          <w:sz w:val="28"/>
          <w:szCs w:val="28"/>
          <w:rtl w:val="true"/>
          <w:lang w:bidi="ar-SA"/>
        </w:rPr>
        <w:t xml:space="preserve">بحيث لو لم يأت بذلك الشيء المعيّن لا يستحقّ العقاب </w:t>
      </w:r>
      <w:r>
        <w:rPr>
          <w:rStyle w:val="FootnoteAnchor"/>
          <w:rtl w:val="true"/>
        </w:rPr>
        <w:footnoteReference w:id="740"/>
      </w:r>
      <w:r>
        <w:rPr>
          <w:rFonts w:ascii="IRNazanin" w:hAnsi="IRNazanin" w:eastAsia="IRNazanin"/>
          <w:color w:val="111111"/>
          <w:sz w:val="28"/>
          <w:sz w:val="28"/>
          <w:szCs w:val="28"/>
          <w:rtl w:val="true"/>
          <w:lang w:bidi="fa-IR"/>
        </w:rPr>
        <w:t xml:space="preserve">، ممنوع ، بل الإجماع على </w:t>
      </w:r>
      <w:r>
        <w:rPr>
          <w:rStyle w:val="FootnoteAnchor"/>
          <w:rtl w:val="true"/>
        </w:rPr>
        <w:footnoteReference w:id="741"/>
      </w:r>
      <w:r>
        <w:rPr>
          <w:rFonts w:ascii="Amiri" w:hAnsi="Amiri" w:eastAsia="Amiri" w:cs="Amiri"/>
          <w:color w:val="111111"/>
          <w:sz w:val="28"/>
          <w:sz w:val="28"/>
          <w:szCs w:val="28"/>
          <w:rtl w:val="true"/>
          <w:lang w:bidi="ar-SA"/>
        </w:rPr>
        <w:t xml:space="preserve">ترك الأمرين معا سبب لاستحقاق العقاب ، فيجب أن لا يتركهما ، والحاصل أنّه إذا ورد نصّ أو إجماع على وجوب شيء معيّن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عندنا أو ثبوت حكم إلى غاية معلومة عندنا ، فلا بدّ من الحكم بلزوم تحصيل اليقين أو الظنّ بوجود ذلك الشيء المعلوم حتّى يتحقّق الامتثال ولا يكفي الشكّ في وجوده ، وكذا يلزم الحكم ببقاء ذلك الحكم إلى أن يحصل العلم أو الظنّ بوجود تلك الغاية المعلومة ولا يكفي الشكّ في وجودها في ارتفاع ذلك الحكم ، وكذا </w:t>
      </w:r>
      <w:r>
        <w:rPr>
          <w:rStyle w:val="FootnoteAnchor"/>
          <w:rtl w:val="true"/>
        </w:rPr>
        <w:footnoteReference w:id="743"/>
      </w:r>
      <w:r>
        <w:rPr>
          <w:rFonts w:ascii="Amiri" w:hAnsi="Amiri" w:eastAsia="Amiri" w:cs="Amiri"/>
          <w:color w:val="111111"/>
          <w:sz w:val="28"/>
          <w:sz w:val="28"/>
          <w:szCs w:val="28"/>
          <w:rtl w:val="true"/>
          <w:lang w:bidi="ar-SA"/>
        </w:rPr>
        <w:t xml:space="preserve">إذا ورد نصّ أو إجماع على وجوب شيء معيّن في الواقع مردّد عندنا بين أشياء </w:t>
      </w:r>
      <w:r>
        <w:rPr>
          <w:rStyle w:val="FootnoteAnchor"/>
          <w:rtl w:val="true"/>
        </w:rPr>
        <w:footnoteReference w:id="744"/>
      </w:r>
      <w:r>
        <w:rPr>
          <w:rFonts w:ascii="Amiri" w:hAnsi="Amiri" w:eastAsia="Amiri" w:cs="Amiri"/>
          <w:color w:val="111111"/>
          <w:sz w:val="28"/>
          <w:sz w:val="28"/>
          <w:szCs w:val="28"/>
          <w:rtl w:val="true"/>
          <w:lang w:bidi="ar-SA"/>
        </w:rPr>
        <w:t xml:space="preserve">ونعلم أيضا عدم اشتراطه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الحكم بوجوب تلك الأشياء المردّدة بينها </w:t>
      </w:r>
      <w:r>
        <w:rPr>
          <w:rStyle w:val="FootnoteAnchor"/>
          <w:rtl w:val="true"/>
        </w:rPr>
        <w:footnoteReference w:id="745"/>
      </w:r>
      <w:r>
        <w:rPr>
          <w:rFonts w:ascii="Amiri" w:hAnsi="Amiri" w:eastAsia="Amiri" w:cs="Amiri"/>
          <w:color w:val="111111"/>
          <w:sz w:val="28"/>
          <w:sz w:val="28"/>
          <w:szCs w:val="28"/>
          <w:rtl w:val="true"/>
          <w:lang w:bidi="ar-SA"/>
        </w:rPr>
        <w:t xml:space="preserve">في نظرنا وبقاء ذلك الحكم إلى حصول تلك الأشياء أيضا ، ولا يكفي الإتيان بشيء واحد منها في سقوط التكليف ، وكذا حصول شيء واحد في </w:t>
      </w:r>
    </w:p>
    <w:p>
      <w:pPr>
        <w:pStyle w:val="BookText"/>
        <w:rPr/>
      </w:pPr>
      <w:r>
        <w:rPr>
          <w:rFonts w:ascii="Amiri" w:hAnsi="Amiri" w:eastAsia="Amiri" w:cs="Amiri"/>
          <w:color w:val="111111"/>
          <w:sz w:val="28"/>
          <w:sz w:val="28"/>
          <w:szCs w:val="28"/>
          <w:rtl w:val="true"/>
          <w:lang w:bidi="ar-SA"/>
        </w:rPr>
        <w:t xml:space="preserve">ارتفاع الحكم ، سواء </w:t>
      </w:r>
      <w:r>
        <w:rPr>
          <w:rStyle w:val="FootnoteAnchor"/>
          <w:rtl w:val="true"/>
        </w:rPr>
        <w:footnoteReference w:id="746"/>
      </w:r>
      <w:r>
        <w:rPr>
          <w:rFonts w:ascii="Amiri" w:hAnsi="Amiri" w:eastAsia="Amiri" w:cs="Amiri"/>
          <w:color w:val="111111"/>
          <w:sz w:val="28"/>
          <w:sz w:val="28"/>
          <w:szCs w:val="28"/>
          <w:rtl w:val="true"/>
          <w:lang w:bidi="ar-SA"/>
        </w:rPr>
        <w:t xml:space="preserve">في ذلك كون ذلك الواجب شيئا معيّنا في الواقع مجهولا عندنا ، أو أشياء كذلك ، أو غاية معيّنة في الواقع مجهولة عندنا ، أو غايات كذلك ، وسواء أيضا تحقّق قدر مشترك بين تلك الأشياء والغايات ، أو تباينها بالكلّية ، وأمّا إذا لم يكن كذلك وورد </w:t>
      </w:r>
      <w:r>
        <w:rPr>
          <w:rStyle w:val="FootnoteAnchor"/>
          <w:rtl w:val="true"/>
        </w:rPr>
        <w:footnoteReference w:id="747"/>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الواجب الشيء الفلاني ونصّ آخر على أنّ ذلك الواجب شيء آخر وذهب بعض الأمّة إلى وجوب شيء والآخرون إلى وجوب شيء آخر دونه وظهر بالنصّ أو الإجماع في الصورتين أنّ ترك ذينك </w:t>
      </w:r>
      <w:r>
        <w:rPr>
          <w:rStyle w:val="FootnoteAnchor"/>
          <w:rtl w:val="true"/>
        </w:rPr>
        <w:footnoteReference w:id="748"/>
      </w:r>
      <w:r>
        <w:rPr>
          <w:rFonts w:ascii="Amiri" w:hAnsi="Amiri" w:eastAsia="Amiri" w:cs="Amiri"/>
          <w:color w:val="111111"/>
          <w:sz w:val="28"/>
          <w:sz w:val="28"/>
          <w:szCs w:val="28"/>
          <w:rtl w:val="true"/>
          <w:lang w:bidi="ar-SA"/>
        </w:rPr>
        <w:t xml:space="preserve">الشيئين معا سبب لاستحقاق العقاب ، فحينئذ لم يظهر وجوب الإتيان بهما معا حتّى يتحقّق الامتثال ، بل الظاهر الاكتفاء بواحد منهما ، سواء اشتركا في أمر ، أو تباينا كلّية </w:t>
      </w:r>
      <w:r>
        <w:rPr>
          <w:rStyle w:val="FootnoteAnchor"/>
          <w:rtl w:val="true"/>
        </w:rPr>
        <w:footnoteReference w:id="749"/>
      </w:r>
      <w:r>
        <w:rPr>
          <w:rFonts w:ascii="Amiri" w:hAnsi="Amiri" w:eastAsia="Amiri" w:cs="Amiri"/>
          <w:color w:val="111111"/>
          <w:sz w:val="28"/>
          <w:sz w:val="28"/>
          <w:szCs w:val="28"/>
          <w:rtl w:val="true"/>
          <w:lang w:bidi="ar-SA"/>
        </w:rPr>
        <w:t xml:space="preserve">، وكذلك الحكم في ثبوت الحكم إلى غاية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مجمل القول </w:t>
      </w:r>
      <w:r>
        <w:rPr>
          <w:rStyle w:val="FootnoteAnchor"/>
          <w:rtl w:val="true"/>
        </w:rPr>
        <w:footnoteReference w:id="751"/>
      </w:r>
      <w:r>
        <w:rPr>
          <w:rFonts w:ascii="Amiri" w:hAnsi="Amiri" w:eastAsia="Amiri" w:cs="Amiri"/>
          <w:color w:val="111111"/>
          <w:sz w:val="28"/>
          <w:sz w:val="28"/>
          <w:szCs w:val="28"/>
          <w:rtl w:val="true"/>
          <w:lang w:bidi="ar-SA"/>
        </w:rPr>
        <w:t xml:space="preserve">في هذا المقام وعليك بالتأمّل في خصوصيات الموارد واستنباط أحكامها عن </w:t>
      </w:r>
      <w:r>
        <w:rPr>
          <w:rStyle w:val="FootnoteAnchor"/>
          <w:rtl w:val="true"/>
        </w:rPr>
        <w:footnoteReference w:id="752"/>
      </w:r>
      <w:r>
        <w:rPr>
          <w:rFonts w:ascii="Amiri" w:hAnsi="Amiri" w:eastAsia="Amiri" w:cs="Amiri"/>
          <w:color w:val="111111"/>
          <w:sz w:val="28"/>
          <w:sz w:val="28"/>
          <w:szCs w:val="28"/>
          <w:rtl w:val="true"/>
          <w:lang w:bidi="ar-SA"/>
        </w:rPr>
        <w:t xml:space="preserve">هذا الأصل ورعاية جميع ما يجب رعايته عند تعارض المعارضات ، واللّه الهادي إلى سواء الطريق </w:t>
      </w:r>
      <w:r>
        <w:rPr>
          <w:rStyle w:val="FootnoteAnchor"/>
          <w:rtl w:val="true"/>
        </w:rPr>
        <w:footnoteReference w:id="753"/>
      </w:r>
      <w:r>
        <w:rPr>
          <w:rFonts w:ascii="Amiri" w:hAnsi="Amiri" w:eastAsia="Amiri" w:cs="Amiri"/>
          <w:color w:val="111111"/>
          <w:sz w:val="28"/>
          <w:sz w:val="28"/>
          <w:szCs w:val="28"/>
          <w:rtl w:val="true"/>
          <w:lang w:bidi="ar-SA"/>
        </w:rPr>
        <w:t xml:space="preserve">، انتهى كلماته الشريفة قدّس اللّه سرّه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المذكور كلام </w:t>
      </w:r>
      <w:r>
        <w:rPr>
          <w:rStyle w:val="FootnoteAnchor"/>
          <w:rtl w:val="true"/>
        </w:rPr>
        <w:footnoteReference w:id="755"/>
      </w:r>
      <w:r>
        <w:rPr>
          <w:rFonts w:ascii="Amiri" w:hAnsi="Amiri" w:eastAsia="Amiri" w:cs="Amiri"/>
          <w:color w:val="111111"/>
          <w:sz w:val="28"/>
          <w:sz w:val="28"/>
          <w:szCs w:val="28"/>
          <w:rtl w:val="true"/>
          <w:lang w:bidi="ar-SA"/>
        </w:rPr>
        <w:t xml:space="preserve">آخر في الحاشية على ما حكاه السيّد الشارح مربوط بالمقام لا بأس بإيراده كي ينقّح </w:t>
      </w:r>
      <w:r>
        <w:rPr>
          <w:rStyle w:val="FootnoteAnchor"/>
          <w:rtl w:val="true"/>
        </w:rPr>
        <w:footnoteReference w:id="756"/>
      </w:r>
      <w:r>
        <w:rPr>
          <w:rFonts w:ascii="Amiri" w:hAnsi="Amiri" w:eastAsia="Amiri" w:cs="Amiri"/>
          <w:color w:val="111111"/>
          <w:sz w:val="28"/>
          <w:sz w:val="28"/>
          <w:szCs w:val="28"/>
          <w:rtl w:val="true"/>
          <w:lang w:bidi="ar-SA"/>
        </w:rPr>
        <w:t xml:space="preserve">المرام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قول الشهيد رحمه‌اللّه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استعمال الماء النجس والمشتبه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توضيحه </w:t>
      </w:r>
      <w:r>
        <w:rPr>
          <w:rStyle w:val="FootnoteAnchor"/>
          <w:rtl w:val="true"/>
        </w:rPr>
        <w:footnoteReference w:id="758"/>
      </w:r>
      <w:r>
        <w:rPr>
          <w:rFonts w:ascii="Amiri" w:hAnsi="Amiri" w:eastAsia="Amiri" w:cs="Amiri"/>
          <w:color w:val="111111"/>
          <w:sz w:val="28"/>
          <w:sz w:val="28"/>
          <w:szCs w:val="28"/>
          <w:rtl w:val="true"/>
          <w:lang w:bidi="ar-SA"/>
        </w:rPr>
        <w:t xml:space="preserve">أنّ الاستصحاب لا دليل على حجّيته عقلا ، وما تمسّكوا به ضعيف ، وغاية ما يتمسّك فيها ما ورد في بعض الروايات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اليقين لا ينقض بالشكّ أبدا أو أنّه ينقضه بيقين آخر مثله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وعلى تقدير تسليم صحّة الاحتجاج بالخبر في مثل هذا الحكم الظاهر </w:t>
      </w:r>
      <w:r>
        <w:rPr>
          <w:rStyle w:val="FootnoteAnchor"/>
          <w:rtl w:val="true"/>
        </w:rPr>
        <w:footnoteReference w:id="761"/>
      </w:r>
      <w:r>
        <w:rPr>
          <w:rFonts w:ascii="Amiri" w:hAnsi="Amiri" w:eastAsia="Amiri" w:cs="Amiri"/>
          <w:color w:val="111111"/>
          <w:sz w:val="28"/>
          <w:sz w:val="28"/>
          <w:szCs w:val="28"/>
          <w:rtl w:val="true"/>
          <w:lang w:bidi="ar-SA"/>
        </w:rPr>
        <w:t xml:space="preserve">أنّه من الأصول ويشكل التمسّك بالخبر الواحد في الأصول إن سلّم جواز التمسّك به في الفروع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أوّلا أنّه لا يظهر شموله للأمور الخارجية مثل رطوبة الثوب ونحوها ؛ إذ يبعد أن يكون مرادهم بيان الحكم في مثل هذه الأمور الذي ليس حكما شرعيا وإن كان يمكن أن يصير منشأ لحكم شرعي بالعرض ، ومع عدم الظهور لا يمكن الاحتجاج به فيها ، وهذا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في الأمور الخارجية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تخصيصه بالأحكام الشرعية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حكم شرعي في مورد خاصّ باعتبار حال يعلم من الخارج أنّ زوال تلك الحالة لا يستلزم زوال ذلك الحكم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باعتبار حال لا يعلم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إذا ثبت نجاسة ثوب خاصّ باعتبار ملاقاته للبول بأن يستدلّ عليها بأنّ هذا شيء لاقاه البول ، وكلّ ما لاقاه البول نجس ، فهذا نجس ، والحكم الشرعي النجاسة ، وثبوته باعتبار حال هو ملاقاة البول وقد علم من خارج ضرورة أو إجماعا أو غير ذلك بأنّه لا تزول </w:t>
      </w:r>
      <w:r>
        <w:rPr>
          <w:rStyle w:val="FootnoteAnchor"/>
          <w:rtl w:val="true"/>
        </w:rPr>
        <w:footnoteReference w:id="762"/>
      </w:r>
      <w:r>
        <w:rPr>
          <w:rFonts w:ascii="Amiri" w:hAnsi="Amiri" w:eastAsia="Amiri" w:cs="Amiri"/>
          <w:color w:val="111111"/>
          <w:sz w:val="28"/>
          <w:sz w:val="28"/>
          <w:szCs w:val="28"/>
          <w:rtl w:val="true"/>
          <w:lang w:bidi="ar-SA"/>
        </w:rPr>
        <w:t>النجاسة بزوال الملاقاة فقط</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الثاني ما نحن بصدده فإنّه ثبت وجوب الاجتناب عن الإناء المخصوص باعتبار أنّه شيء يعلم وقوع النجاسة فيه بعينه ، وكلّ شيء كذلك يجب الاجتناب عنه ولم يدلّ دليل </w:t>
      </w:r>
      <w:r>
        <w:rPr>
          <w:rStyle w:val="FootnoteAnchor"/>
          <w:rtl w:val="true"/>
        </w:rPr>
        <w:footnoteReference w:id="763"/>
      </w:r>
      <w:r>
        <w:rPr>
          <w:rFonts w:ascii="IRNazanin" w:hAnsi="IRNazanin" w:eastAsia="IRNazanin"/>
          <w:color w:val="111111"/>
          <w:sz w:val="28"/>
          <w:sz w:val="28"/>
          <w:szCs w:val="28"/>
          <w:rtl w:val="true"/>
          <w:lang w:bidi="fa-IR"/>
        </w:rPr>
        <w:t xml:space="preserve">من الخارج أنّ </w:t>
      </w:r>
      <w:r>
        <w:rPr>
          <w:rStyle w:val="FootnoteAnchor"/>
          <w:rtl w:val="true"/>
        </w:rPr>
        <w:footnoteReference w:id="764"/>
      </w:r>
      <w:r>
        <w:rPr>
          <w:rFonts w:ascii="Amiri" w:hAnsi="Amiri" w:eastAsia="Amiri" w:cs="Amiri"/>
          <w:color w:val="111111"/>
          <w:sz w:val="28"/>
          <w:sz w:val="28"/>
          <w:szCs w:val="28"/>
          <w:rtl w:val="true"/>
          <w:lang w:bidi="ar-SA"/>
        </w:rPr>
        <w:t xml:space="preserve">ذلك الوصف الذي يحصل باعتبار زوال المعلومية بعينه لا دخل له </w:t>
      </w:r>
      <w:r>
        <w:rPr>
          <w:rStyle w:val="FootnoteAnchor"/>
          <w:rtl w:val="true"/>
        </w:rPr>
        <w:footnoteReference w:id="765"/>
      </w:r>
      <w:r>
        <w:rPr>
          <w:rFonts w:ascii="Amiri" w:hAnsi="Amiri" w:eastAsia="Amiri" w:cs="Amiri"/>
          <w:color w:val="111111"/>
          <w:sz w:val="28"/>
          <w:sz w:val="28"/>
          <w:szCs w:val="28"/>
          <w:rtl w:val="true"/>
          <w:lang w:bidi="ar-SA"/>
        </w:rPr>
        <w:t>في زوال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الخبر للقسم الأوّل ظاهر ، فيمكن التمسّك بالاستصحاب فيه ، وأمّا القسم الثاني فلا ، فالتمسّك </w:t>
      </w:r>
      <w:r>
        <w:rPr>
          <w:rStyle w:val="FootnoteAnchor"/>
          <w:rtl w:val="true"/>
        </w:rPr>
        <w:footnoteReference w:id="766"/>
      </w:r>
      <w:r>
        <w:rPr>
          <w:rFonts w:ascii="Amiri" w:hAnsi="Amiri" w:eastAsia="Amiri" w:cs="Amiri"/>
          <w:color w:val="111111"/>
          <w:sz w:val="28"/>
          <w:sz w:val="28"/>
          <w:szCs w:val="28"/>
          <w:rtl w:val="true"/>
          <w:lang w:bidi="ar-SA"/>
        </w:rPr>
        <w:t>فيه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علم في القسم الأوّل أنّه لا يزول الحكم بزوال الوصف فأيّ حاجة إلى التمسّك بالاستصحاب؟ وأيّ فائدة فيما ورد في الأخبار بأنّ </w:t>
      </w:r>
      <w:r>
        <w:rPr>
          <w:rStyle w:val="FootnoteAnchor"/>
          <w:rtl w:val="true"/>
        </w:rPr>
        <w:footnoteReference w:id="767"/>
      </w:r>
      <w:r>
        <w:rPr>
          <w:rFonts w:ascii="Amiri" w:hAnsi="Amiri" w:eastAsia="Amiri" w:cs="Amiri"/>
          <w:color w:val="111111"/>
          <w:sz w:val="28"/>
          <w:sz w:val="28"/>
          <w:szCs w:val="28"/>
          <w:rtl w:val="true"/>
          <w:lang w:bidi="ar-SA"/>
        </w:rPr>
        <w:t>اليقين لا ينقض إلاّ بمثله؟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الحكم بمثل النجاسة بعد ملاقاة النجس حاصل ما لم يرد عليه الماء على الوجه المعتبر في الشرع ، وحينئذ فائدته أنّ عند حصول الشكّ بورود الماء لا يحكم بزوال النجاسة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ثبوت الحكم في الجملة بعد زوال الوصف لكن لم يعلم أنّه ثابت دائما أو في بعض الأوقات إلى غاية معيّنة محدودة أو لا ، وفائدته حينئذ أنّه إذا ثبت الحكم فيستصحب إلى أن يعلم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الفرق الذي ذكرنا من أنّ إثبات مثل هذا بمجرّد الخبر مشكل ، مع انضمام أنّ </w:t>
      </w:r>
      <w:r>
        <w:rPr>
          <w:rStyle w:val="FootnoteAnchor"/>
          <w:rtl w:val="true"/>
        </w:rPr>
        <w:footnoteReference w:id="769"/>
      </w:r>
      <w:r>
        <w:rPr>
          <w:rFonts w:ascii="Amiri" w:hAnsi="Amiri" w:eastAsia="Amiri" w:cs="Amiri"/>
          <w:color w:val="111111"/>
          <w:sz w:val="28"/>
          <w:sz w:val="28"/>
          <w:szCs w:val="28"/>
          <w:rtl w:val="true"/>
          <w:lang w:bidi="ar-SA"/>
        </w:rPr>
        <w:t xml:space="preserve">في القسم الثاني لم يبلغ مبلغه في القسم الأوّل وأنّ اليقين لا ينقض بالشكّ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 أن يكون اليقين حاصلا لو لا الشكّ باعتبار دليل دالّ على الحكم في غير صورة ما شكّ فيه ؛ إذ لو فرض عدم دليل عليه لكان نقض اليقين حقيقة باعتبار عدم الدليل الذي هو دليل العدم لا الشكّ كأنّه يصير قريبا ، ومع ذلك ينبغي الاحتياط في كلّ من القسمين ، بل في الأمور الخارجية أيضا </w:t>
      </w:r>
      <w:r>
        <w:rPr>
          <w:rStyle w:val="FootnoteAnchor"/>
          <w:rtl w:val="true"/>
        </w:rPr>
        <w:footnoteReference w:id="770"/>
      </w:r>
      <w:r>
        <w:rPr>
          <w:rFonts w:ascii="Amiri" w:hAnsi="Amiri" w:eastAsia="Amiri" w:cs="Amiri"/>
          <w:color w:val="111111"/>
          <w:sz w:val="28"/>
          <w:sz w:val="28"/>
          <w:szCs w:val="28"/>
          <w:rtl w:val="true"/>
          <w:lang w:bidi="ar-SA"/>
        </w:rPr>
        <w:t>، انتهى كلامه الشريف في التعليقة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وخلاصته ما أورد على نفسه في الكلام المنقول عنه </w:t>
      </w:r>
      <w:r>
        <w:rPr>
          <w:rStyle w:val="FootnoteAnchor"/>
          <w:rtl w:val="true"/>
        </w:rPr>
        <w:footnoteReference w:id="771"/>
      </w:r>
      <w:r>
        <w:rPr>
          <w:rFonts w:ascii="Amiri" w:hAnsi="Amiri" w:eastAsia="Amiri" w:cs="Amiri"/>
          <w:color w:val="111111"/>
          <w:sz w:val="28"/>
          <w:sz w:val="28"/>
          <w:szCs w:val="28"/>
          <w:rtl w:val="true"/>
          <w:lang w:bidi="ar-SA"/>
        </w:rPr>
        <w:t xml:space="preserve">قبل الحاشية </w:t>
      </w:r>
      <w:r>
        <w:rPr>
          <w:rStyle w:val="FootnoteAnchor"/>
          <w:rtl w:val="true"/>
        </w:rPr>
        <w:footnoteReference w:id="772"/>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إرجاع ما يكون الشكّ فيه من حيث احتمال مانعية الشيء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كالمذي والاستنجاء بحجر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يكون الشكّ فيه من جهة الصدق حتّى يقال بجريان الاستصحاب فيه ، وبيان الرجوع فبانتزاع مفهوم عامّ يشكّ في صدقه على المشكوك </w:t>
      </w:r>
      <w:r>
        <w:rPr>
          <w:rStyle w:val="FootnoteAnchor"/>
          <w:rtl w:val="true"/>
        </w:rPr>
        <w:footnoteReference w:id="773"/>
      </w:r>
      <w:r>
        <w:rPr>
          <w:rFonts w:ascii="Amiri" w:hAnsi="Amiri" w:eastAsia="Amiri" w:cs="Amiri"/>
          <w:color w:val="111111"/>
          <w:sz w:val="28"/>
          <w:sz w:val="28"/>
          <w:szCs w:val="28"/>
          <w:rtl w:val="true"/>
          <w:lang w:bidi="ar-SA"/>
        </w:rPr>
        <w:t xml:space="preserve">المانعية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باق إلى حدوث المزيل ، والنجاسة باقية إلى حدوث ما يرتفع بها ، ويشكّ في صدق المزيل على المذي كالرافع على الحجر المذكور فيؤخذ بالاستصحاب في دفع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أجاب به عن ذلك هو أنّه لا وجه للإرجاع المذكور ؛ إذ المناط على العناوين الموجودة في كلام الشارع وليس في كلامه ما يدلّ على بقاء النجاسة إلى حدوث ما به يرتفع </w:t>
      </w:r>
      <w:r>
        <w:rPr>
          <w:rStyle w:val="FootnoteAnchor"/>
          <w:rtl w:val="true"/>
        </w:rPr>
        <w:footnoteReference w:id="774"/>
      </w:r>
      <w:r>
        <w:rPr>
          <w:rFonts w:ascii="Amiri" w:hAnsi="Amiri" w:eastAsia="Amiri" w:cs="Amiri"/>
          <w:color w:val="111111"/>
          <w:sz w:val="28"/>
          <w:sz w:val="28"/>
          <w:szCs w:val="28"/>
          <w:rtl w:val="true"/>
          <w:lang w:bidi="ar-SA"/>
        </w:rPr>
        <w:t>قطعا ، فانّ الإجماع المدّعى على ذلك ممنوع ، نعم العقل قد انتزع هذا العنوان من قبل نفسه ولا يناط عليه كما هو ظاهر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ما أورده في المقام ودفعه كثير </w:t>
      </w:r>
      <w:r>
        <w:rPr>
          <w:rStyle w:val="FootnoteAnchor"/>
          <w:rtl w:val="true"/>
        </w:rPr>
        <w:footnoteReference w:id="775"/>
      </w:r>
      <w:r>
        <w:rPr>
          <w:rFonts w:ascii="Amiri" w:hAnsi="Amiri" w:eastAsia="Amiri" w:cs="Amiri"/>
          <w:color w:val="111111"/>
          <w:sz w:val="28"/>
          <w:sz w:val="28"/>
          <w:szCs w:val="28"/>
          <w:rtl w:val="true"/>
          <w:lang w:bidi="ar-SA"/>
        </w:rPr>
        <w:t>كتوهّم البعض عدم جواز الأخذ بالعمومات والأصول الكلّية بعد العلم بوصول التخصيص بها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عنه بأنّ العامّ المخصّص بالمجمل إنّما يقصر عن الحجّية فيما لم يكن الإجمال انتزاعيا عقليا كما إذا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مثل المقام </w:t>
      </w:r>
      <w:r>
        <w:rPr>
          <w:rStyle w:val="FootnoteAnchor"/>
          <w:rtl w:val="true"/>
        </w:rPr>
        <w:footnoteReference w:id="776"/>
      </w:r>
      <w:r>
        <w:rPr>
          <w:rFonts w:ascii="Amiri" w:hAnsi="Amiri" w:eastAsia="Amiri" w:cs="Amiri"/>
          <w:color w:val="111111"/>
          <w:sz w:val="28"/>
          <w:sz w:val="28"/>
          <w:szCs w:val="28"/>
          <w:rtl w:val="true"/>
          <w:lang w:bidi="ar-SA"/>
        </w:rPr>
        <w:t xml:space="preserve">فذلك يوجب الفحص على وجه لا يبقى معه العلم الإجمالي بالمخصص وبعد ذلك فظاهر العامّ محكّم ، ومنه حسبان بعضهم عدم جواز التمسّك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عند الشكّ في وجوب الوفاء بعقد ؛ لتخصيصه بالعقود الجائزة قطعا ، فعند الشكّ لا يعلم بدخول المشكوك في عنوان المخصّص أو المخصّص ، والجواب عنه أيضا ما عرفت من عدم الاعتبار بعنوان المخصّص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توهّم عدم جواز التمسّك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صحّة صلاة مشكوكة ؛ إذ المراد بالأمر ما لا يكون فاسدا ، وفيه أيضا أنّ الصحّة والفساد </w:t>
      </w:r>
    </w:p>
    <w:p>
      <w:pPr>
        <w:pStyle w:val="BookText"/>
        <w:rPr/>
      </w:pPr>
      <w:r>
        <w:rPr>
          <w:rFonts w:ascii="Amiri" w:hAnsi="Amiri" w:eastAsia="Amiri" w:cs="Amiri"/>
          <w:color w:val="111111"/>
          <w:sz w:val="28"/>
          <w:sz w:val="28"/>
          <w:szCs w:val="28"/>
          <w:rtl w:val="true"/>
          <w:lang w:bidi="ar-SA"/>
        </w:rPr>
        <w:t>أمران انتزاعيان وليسا ممّا جاءا من قبل الشارع ، فلا اعتداد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أخيرا فمرجعه إلى جريان قاعدة الاشتغال فيما إذا علم بوجود المكلّف به بين أشياء مردّدة ، وعدم الأخذ بمقتضاها من القول بوجوب الموافقة القطعية بعد القول بحرمة المخالفة القطعية فيما إذا علمنا إجمالا بأنّ الحكم إمّا كذا وإمّا كذا ، من غير فرق في ذلك بين دوران الأمر بين المتباينين أو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في التعليقة فلعلّه مطابق لما حقّقه في المقام كما يظهر بالتأمّل ، إلاّ أنّه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الفرق الذي </w:t>
      </w:r>
      <w:r>
        <w:rPr>
          <w:rStyle w:val="FootnoteAnchor"/>
          <w:rtl w:val="true"/>
        </w:rPr>
        <w:footnoteReference w:id="778"/>
      </w:r>
      <w:r>
        <w:rPr>
          <w:rFonts w:ascii="IRNazanin" w:hAnsi="IRNazanin" w:eastAsia="IRNazanin"/>
          <w:color w:val="111111"/>
          <w:sz w:val="28"/>
          <w:sz w:val="28"/>
          <w:szCs w:val="28"/>
          <w:rtl w:val="true"/>
          <w:lang w:bidi="fa-IR"/>
        </w:rPr>
        <w:t xml:space="preserve">إلخ ، وجه </w:t>
      </w:r>
      <w:r>
        <w:rPr>
          <w:rStyle w:val="FootnoteAnchor"/>
          <w:rtl w:val="true"/>
        </w:rPr>
        <w:footnoteReference w:id="779"/>
      </w:r>
      <w:r>
        <w:rPr>
          <w:rFonts w:ascii="Amiri" w:hAnsi="Amiri" w:eastAsia="Amiri" w:cs="Amiri"/>
          <w:color w:val="111111"/>
          <w:sz w:val="28"/>
          <w:sz w:val="28"/>
          <w:szCs w:val="28"/>
          <w:rtl w:val="true"/>
          <w:lang w:bidi="ar-SA"/>
        </w:rPr>
        <w:t xml:space="preserve">آخر في الاستدلال على مرامه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الأخبار عدم جواز نقض اليقين بالشكّ ، ولا ريب أنّه إذا لم يعلم مقدار الاقتضاء ففي زمان الشكّ لا دليل على الحكم السابق ، فإنّ المفروض عدم شموله لزمان الشكّ ، ومن المقرّر في مقامه هو الأخذ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الحكم عند عدم دليل عليه ؛ لأنّه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الزمان الثاني الذي يشكّ في </w:t>
      </w:r>
      <w:r>
        <w:rPr>
          <w:rStyle w:val="FootnoteAnchor"/>
          <w:rtl w:val="true"/>
        </w:rPr>
        <w:footnoteReference w:id="780"/>
      </w:r>
      <w:r>
        <w:rPr>
          <w:rFonts w:ascii="Amiri" w:hAnsi="Amiri" w:eastAsia="Amiri" w:cs="Amiri"/>
          <w:color w:val="111111"/>
          <w:sz w:val="28"/>
          <w:sz w:val="28"/>
          <w:szCs w:val="28"/>
          <w:rtl w:val="true"/>
          <w:lang w:bidi="ar-SA"/>
        </w:rPr>
        <w:t xml:space="preserve">ثبوت الحكم فيه لا مورد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نقض له باليقين ؛ لما حقّق في محلّه من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علمنا مقدار الاقتضاء فإنّ الدليل الأوّل شامل لزمان الشكّ ، فإذا حكمنا بخلافه فإنّما هو نقض لليقين بالشكّ لا لأجل عدم الدليل ؛ إذ المفروض وجود الدليل ، فالأخبار لا تشمل ما إذا كان الشكّ في مقدار زمان الحكم كما فرضه القوم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الحاصل من مذهب المحقّق المذكور أنّه إذا كان الحكم الشرعي محدودا إلى غاية معيّنة أو حالة كذلك ، فلا بدّ من الحكم ببقائه عند الشكّ في وجود الغاية أو الحالة المزيلتين ، وأمّا إذا لم يكن كذلك سواء كان الشكّ في وجود الدليل المقتضي للحكم أو كان الشكّ في مانعية الموجود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فصريح كلماته المنقولة تنادي </w:t>
      </w:r>
    </w:p>
    <w:p>
      <w:pPr>
        <w:pStyle w:val="BookText"/>
        <w:rPr/>
      </w:pPr>
      <w:r>
        <w:rPr>
          <w:rFonts w:ascii="Amiri" w:hAnsi="Amiri" w:eastAsia="Amiri" w:cs="Amiri"/>
          <w:color w:val="111111"/>
          <w:sz w:val="28"/>
          <w:sz w:val="28"/>
          <w:szCs w:val="28"/>
          <w:rtl w:val="true"/>
          <w:lang w:bidi="ar-SA"/>
        </w:rPr>
        <w:t xml:space="preserve">بذلك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منه فيما أورده على وجه السؤال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الشكّ في كونه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لازم تضعيف أدلّة الاستصحاب والحكم بإجمالها حجّيته في الصورتين اللتين نبّه عليهما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الغاية المعلومة أو المزيل المعلوم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صدق الغاية على شيء ، فالأوّل كما إذا شكّ في وجود الليل </w:t>
      </w:r>
      <w:r>
        <w:rPr>
          <w:rStyle w:val="FootnoteAnchor"/>
          <w:rtl w:val="true"/>
        </w:rPr>
        <w:footnoteReference w:id="781"/>
      </w:r>
      <w:r>
        <w:rPr>
          <w:rFonts w:ascii="Amiri" w:hAnsi="Amiri" w:eastAsia="Amiri" w:cs="Amiri"/>
          <w:color w:val="111111"/>
          <w:sz w:val="28"/>
          <w:sz w:val="28"/>
          <w:szCs w:val="28"/>
          <w:rtl w:val="true"/>
          <w:lang w:bidi="ar-SA"/>
        </w:rPr>
        <w:t xml:space="preserve">بعد كونه غاية للصوم ، أو في حدوث البول بعد العلم بكونه مزيلا للطهارة ، و </w:t>
      </w:r>
      <w:r>
        <w:rPr>
          <w:rStyle w:val="FootnoteAnchor"/>
          <w:rtl w:val="true"/>
        </w:rPr>
        <w:footnoteReference w:id="782"/>
      </w:r>
      <w:r>
        <w:rPr>
          <w:rFonts w:ascii="Amiri" w:hAnsi="Amiri" w:eastAsia="Amiri" w:cs="Amiri"/>
          <w:color w:val="111111"/>
          <w:sz w:val="28"/>
          <w:sz w:val="28"/>
          <w:szCs w:val="28"/>
          <w:rtl w:val="true"/>
          <w:lang w:bidi="ar-SA"/>
        </w:rPr>
        <w:t xml:space="preserve">الثاني كالشكّ في صدق النوم المزيل على الخفقة والخفقتين </w:t>
      </w:r>
      <w:r>
        <w:rPr>
          <w:rStyle w:val="FootnoteAnchor"/>
          <w:rtl w:val="true"/>
        </w:rPr>
        <w:footnoteReference w:id="783"/>
      </w:r>
      <w:r>
        <w:rPr>
          <w:rFonts w:ascii="Amiri" w:hAnsi="Amiri" w:eastAsia="Amiri" w:cs="Amiri"/>
          <w:color w:val="111111"/>
          <w:sz w:val="28"/>
          <w:sz w:val="28"/>
          <w:szCs w:val="28"/>
          <w:rtl w:val="true"/>
          <w:lang w:bidi="ar-SA"/>
        </w:rPr>
        <w:t>مثلا ، ويجمعهما الشكّ من جهة الاشتباه في الأمر الخارجي بعد العلم بالحكم الشرعي ، وأمّا إذا كان الشكّ في نفس الحكم الشرعي كالشكّ في مانعية المذي للطهارة بعد العلم بعدم صدق المزيل المعلوم المزيلية وهو البول عليه ، وكالشكّ في إزالة النجاسة بالتمسيح بحجر واحد ذي ثلاث شعب بعد العلم بعدم كونه من مصاديق ثلاثة أحجار ، فالاستصحاب ليس حجّة عنده فيه وإن كان من أقسام الشكّ في المانعية ؛ لأنّه لو فرض عدم الشكّ لا يلزم منه اليقين كما أخذه معيارا في مجاري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بنفس الخطاب الدالّ على الحكم ، فلا وجه له عنده أيضا ؛ لعدم تعرّض دليل الوضوء لحال عروض المذي ، ولذلك لم يحكم بجريان قاعدة الاشتغال في هذه الصورة أيضا ، فجريان الاستصحاب فيها موقوف على ما يراه القوم فيه ولا يتمّ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توضيح ما أفاده واستخراج مرامه من ألفاظه الشريفة فها أنا أشرع في الإيراد عليه متمسّكا بالعروة الوثقى والحبل المتين الذي أودعه اللّه ببركات مولانا الأمير في نفوسنا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خلاصة ما استدلّ به على مطلبه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بقاعدة </w:t>
      </w:r>
    </w:p>
    <w:p>
      <w:pPr>
        <w:pStyle w:val="BookText"/>
        <w:rPr/>
      </w:pPr>
      <w:r>
        <w:rPr>
          <w:rFonts w:ascii="Amiri" w:hAnsi="Amiri" w:eastAsia="Amiri" w:cs="Amiri"/>
          <w:color w:val="111111"/>
          <w:sz w:val="28"/>
          <w:sz w:val="28"/>
          <w:szCs w:val="28"/>
          <w:rtl w:val="true"/>
          <w:lang w:bidi="ar-SA"/>
        </w:rPr>
        <w:t xml:space="preserve">الاشتغال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الوجه الأوّل وجوه من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مطابق لما أخذه في عنوان مطلبه ، وتحقيق ذلك أنّ العبارة المنقولة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بعد نفيه لاستصحاب القوم واستظهاره حجّية الاستصحاب بمعنى آخر وهو أن يكون دليل شرعي على أنّ الحكم الفلاني بعد تحقّقه ثابت إلى حدوث حالة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لصور عديدة لا مسرح لقاعدة الاشتغال فيها بوجه ، وتوضيحه أنّ الأحكام على ما ذكره على </w:t>
      </w:r>
      <w:r>
        <w:rPr>
          <w:rStyle w:val="FootnoteAnchor"/>
          <w:rtl w:val="true"/>
        </w:rPr>
        <w:footnoteReference w:id="784"/>
      </w:r>
      <w:r>
        <w:rPr>
          <w:rFonts w:ascii="Amiri" w:hAnsi="Amiri" w:eastAsia="Amiri" w:cs="Amiri"/>
          <w:color w:val="111111"/>
          <w:sz w:val="28"/>
          <w:sz w:val="28"/>
          <w:szCs w:val="28"/>
          <w:rtl w:val="true"/>
          <w:lang w:bidi="ar-SA"/>
        </w:rPr>
        <w:t xml:space="preserve">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وضعية أو اقتضائية أو تخييرية ، ولمّا كان مرجع الأولى إلى أحد الأخيرين فينحصر فيهما ، وقد عرفت ما ذكرنا في توجيه التخييرية فلا نطيل </w:t>
      </w:r>
      <w:r>
        <w:rPr>
          <w:rStyle w:val="FootnoteAnchor"/>
          <w:rtl w:val="true"/>
        </w:rPr>
        <w:footnoteReference w:id="785"/>
      </w:r>
      <w:r>
        <w:rPr>
          <w:rFonts w:ascii="IRNazanin" w:hAnsi="IRNazanin" w:eastAsia="IRNazanin"/>
          <w:color w:val="111111"/>
          <w:sz w:val="28"/>
          <w:sz w:val="28"/>
          <w:szCs w:val="28"/>
          <w:rtl w:val="true"/>
          <w:lang w:bidi="fa-IR"/>
        </w:rPr>
        <w:t>بإعادته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الاقتضائية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أمر أو نهي ، فالأمر الوارد في الشريعة يحتمل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رجوعه إلى واجبات عينية متعدّدة على حسب تعدّد الأزمنة التي يمكن وقوع المأمور به فيها على وجه لا يناط الوجوب في زمان به في زمان آخر ،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كذا ، فيما لو كان الجلوس في كلّ آن واجبا مستقلاّ ، ولا ريب في أنّ الوقت الذي يشكّ فيه أنّه مما أمر بالجلوس فيه أو لا الاشتباه فيه ليس بواسطة الاشتباه في الحكم الشرعي ، بل الشبهة موضوعية وجوبية صرفة ولا يكاد يعقل جريان الاشتغال في الموضوع المشتبه كما حقّقنا ذلك في محلّه بما لا مزيد عليه حتى أنّ الأخباري أيضا لم يحم حول الاحتياط في المقام ، ولا أظنّ أنّه يرضى بذلك أيضا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وجه يكون مرجعه إلى الواجبات التخييرية كما في الواجبات الموسّعة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فلو شكّ في زمان في حصول الغاية فالحكم كما ذكرنا </w:t>
      </w:r>
      <w:r>
        <w:rPr>
          <w:rStyle w:val="FootnoteAnchor"/>
          <w:rtl w:val="true"/>
        </w:rPr>
        <w:footnoteReference w:id="787"/>
      </w:r>
      <w:r>
        <w:rPr>
          <w:rFonts w:ascii="Amiri" w:hAnsi="Amiri" w:eastAsia="Amiri" w:cs="Amiri"/>
          <w:color w:val="111111"/>
          <w:sz w:val="28"/>
          <w:sz w:val="28"/>
          <w:szCs w:val="28"/>
          <w:rtl w:val="true"/>
          <w:lang w:bidi="ar-SA"/>
        </w:rPr>
        <w:t xml:space="preserve">البراءة أيضا ؛ إذ لا فرق في جريان </w:t>
      </w:r>
    </w:p>
    <w:p>
      <w:pPr>
        <w:pStyle w:val="BookText"/>
        <w:rPr/>
      </w:pPr>
      <w:r>
        <w:rPr>
          <w:rFonts w:ascii="Amiri" w:hAnsi="Amiri" w:eastAsia="Amiri" w:cs="Amiri"/>
          <w:color w:val="111111"/>
          <w:sz w:val="28"/>
          <w:sz w:val="28"/>
          <w:szCs w:val="28"/>
          <w:rtl w:val="true"/>
          <w:lang w:bidi="ar-SA"/>
        </w:rPr>
        <w:t xml:space="preserve">البراءة بين </w:t>
      </w:r>
      <w:r>
        <w:rPr>
          <w:rStyle w:val="FootnoteAnchor"/>
          <w:rtl w:val="true"/>
        </w:rPr>
        <w:footnoteReference w:id="788"/>
      </w:r>
      <w:r>
        <w:rPr>
          <w:rFonts w:ascii="Amiri" w:hAnsi="Amiri" w:eastAsia="Amiri" w:cs="Amiri"/>
          <w:color w:val="111111"/>
          <w:sz w:val="28"/>
          <w:sz w:val="28"/>
          <w:szCs w:val="28"/>
          <w:rtl w:val="true"/>
          <w:lang w:bidi="ar-SA"/>
        </w:rPr>
        <w:t xml:space="preserve">كون الواجب تخييريا أو تعيينيا ، ولا سيّما في الشبهة الموضوعية ، لكن ذلك بالنسبة إلى لزوم الفعل في الآن المشكوك فيه ، وأمّا بالنسبة إلى إتيان نفس الفعل فقضيّة القاعدة المذكورة هو وجوب إتيانه </w:t>
      </w:r>
      <w:r>
        <w:rPr>
          <w:rStyle w:val="FootnoteAnchor"/>
          <w:rtl w:val="true"/>
        </w:rPr>
        <w:footnoteReference w:id="789"/>
      </w:r>
      <w:r>
        <w:rPr>
          <w:rFonts w:ascii="Amiri" w:hAnsi="Amiri" w:eastAsia="Amiri" w:cs="Amiri"/>
          <w:color w:val="111111"/>
          <w:sz w:val="28"/>
          <w:sz w:val="28"/>
          <w:szCs w:val="28"/>
          <w:rtl w:val="true"/>
          <w:lang w:bidi="ar-SA"/>
        </w:rPr>
        <w:t>قبل مجيء الوقت المشكوك تحصيلا للفراغ اليقيني بعد العلم بالاشتغال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على تقدير استصحاب نفس الوقت نظرا إلى أصالة عدم دخول الغاية ، وهو هدم لما أسّس ؛ لرجوعه إلى استصحاب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وجه لا يرجع إلى واجبات عينية تخييرية ، فيكون الفعل في تمام الوقت واجبا عينيا مستقلاّ ، والوجوب في أجزاء الوقت راجع </w:t>
      </w:r>
      <w:r>
        <w:rPr>
          <w:rStyle w:val="FootnoteAnchor"/>
          <w:rtl w:val="true"/>
        </w:rPr>
        <w:footnoteReference w:id="790"/>
      </w:r>
      <w:r>
        <w:rPr>
          <w:rFonts w:ascii="Amiri" w:hAnsi="Amiri" w:eastAsia="Amiri" w:cs="Amiri"/>
          <w:color w:val="111111"/>
          <w:sz w:val="28"/>
          <w:sz w:val="28"/>
          <w:szCs w:val="28"/>
          <w:rtl w:val="true"/>
          <w:lang w:bidi="ar-SA"/>
        </w:rPr>
        <w:t xml:space="preserve">إلى الوجوب الغيري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إلى الليل ، على أن يكون الإمساك في تمام النهار واجبا مستقلاّ لا واجبات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زمان يشكّ </w:t>
      </w:r>
      <w:r>
        <w:rPr>
          <w:rStyle w:val="FootnoteAnchor"/>
          <w:rtl w:val="true"/>
        </w:rPr>
        <w:footnoteReference w:id="791"/>
      </w:r>
      <w:r>
        <w:rPr>
          <w:rFonts w:ascii="Amiri" w:hAnsi="Amiri" w:eastAsia="Amiri" w:cs="Amiri"/>
          <w:color w:val="111111"/>
          <w:sz w:val="28"/>
          <w:sz w:val="28"/>
          <w:szCs w:val="28"/>
          <w:rtl w:val="true"/>
          <w:lang w:bidi="ar-SA"/>
        </w:rPr>
        <w:t xml:space="preserve">فيه في انقضاء المدّة ودخول الغاية هل يحكم بوجوب الإمساك عملا بالاشتغال أو يؤخذ بالبراءة؟ فيه تفصيل ، فإنّ ما بعد الغاية قد يكون الإمساك فيه محرّما أو موجبا </w:t>
      </w:r>
      <w:r>
        <w:rPr>
          <w:rStyle w:val="FootnoteAnchor"/>
          <w:rtl w:val="true"/>
        </w:rPr>
        <w:footnoteReference w:id="792"/>
      </w:r>
      <w:r>
        <w:rPr>
          <w:rFonts w:ascii="Amiri" w:hAnsi="Amiri" w:eastAsia="Amiri" w:cs="Amiri"/>
          <w:color w:val="111111"/>
          <w:sz w:val="28"/>
          <w:sz w:val="28"/>
          <w:szCs w:val="28"/>
          <w:rtl w:val="true"/>
          <w:lang w:bidi="ar-SA"/>
        </w:rPr>
        <w:t xml:space="preserve">لفساد العمل فيما قبل الغاية ، وقد لا يكون حراما ولا موجبا لفساد العمل على وجه </w:t>
      </w:r>
      <w:r>
        <w:rPr>
          <w:rStyle w:val="FootnoteAnchor"/>
          <w:rtl w:val="true"/>
        </w:rPr>
        <w:footnoteReference w:id="793"/>
      </w:r>
      <w:r>
        <w:rPr>
          <w:rFonts w:ascii="Amiri" w:hAnsi="Amiri" w:eastAsia="Amiri" w:cs="Amiri"/>
          <w:color w:val="111111"/>
          <w:sz w:val="28"/>
          <w:sz w:val="28"/>
          <w:szCs w:val="28"/>
          <w:rtl w:val="true"/>
          <w:lang w:bidi="ar-SA"/>
        </w:rPr>
        <w:t xml:space="preserve">، فعلى الأوّل ففي زمان الشكّ يدور الأمر </w:t>
      </w:r>
      <w:r>
        <w:rPr>
          <w:rStyle w:val="FootnoteAnchor"/>
          <w:rtl w:val="true"/>
        </w:rPr>
        <w:footnoteReference w:id="794"/>
      </w:r>
      <w:r>
        <w:rPr>
          <w:rFonts w:ascii="Amiri" w:hAnsi="Amiri" w:eastAsia="Amiri" w:cs="Amiri"/>
          <w:color w:val="111111"/>
          <w:sz w:val="28"/>
          <w:sz w:val="28"/>
          <w:szCs w:val="28"/>
          <w:rtl w:val="true"/>
          <w:lang w:bidi="ar-SA"/>
        </w:rPr>
        <w:t xml:space="preserve">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يؤخذ بجانب الحرمة لكونها دفعا </w:t>
      </w:r>
      <w:r>
        <w:rPr>
          <w:rStyle w:val="FootnoteAnchor"/>
          <w:rtl w:val="true"/>
        </w:rPr>
        <w:footnoteReference w:id="795"/>
      </w:r>
      <w:r>
        <w:rPr>
          <w:rFonts w:ascii="Amiri" w:hAnsi="Amiri" w:eastAsia="Amiri" w:cs="Amiri"/>
          <w:color w:val="111111"/>
          <w:sz w:val="28"/>
          <w:sz w:val="28"/>
          <w:szCs w:val="28"/>
          <w:rtl w:val="true"/>
          <w:lang w:bidi="ar-SA"/>
        </w:rPr>
        <w:t xml:space="preserve">، دون الوجوب لكونه جلبا </w:t>
      </w:r>
      <w:r>
        <w:rPr>
          <w:rStyle w:val="FootnoteAnchor"/>
          <w:rtl w:val="true"/>
        </w:rPr>
        <w:footnoteReference w:id="796"/>
      </w:r>
      <w:r>
        <w:rPr>
          <w:rFonts w:ascii="Amiri" w:hAnsi="Amiri" w:eastAsia="Amiri" w:cs="Amiri"/>
          <w:color w:val="111111"/>
          <w:sz w:val="28"/>
          <w:sz w:val="28"/>
          <w:szCs w:val="28"/>
          <w:rtl w:val="true"/>
          <w:lang w:bidi="ar-SA"/>
        </w:rPr>
        <w:t>، أو يقال بالتخيير ، وعلى التقديرين لا مجال للاحتياط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فهو مورد الاحتياط عند التحقيق وإن احتمل بعضهم البراءة ؛ لكون الشبهة مصداقية مع دوران الأمر بين الأقلّ والأكثر ، فيصحّ ما أفاده في هذه الصورة خاصّة على التحقيق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الاحتمال الآخر فلا وقع لكلامه أصلا إلاّ على تقدير استصحاب الوقت وقد عرفت أنّه لا يتمّ إلاّ على مذاق القوم ، مضافا إلى أنّ هذه الصورة خارجة عن </w:t>
      </w:r>
    </w:p>
    <w:p>
      <w:pPr>
        <w:pStyle w:val="BookText"/>
        <w:rPr/>
      </w:pPr>
      <w:r>
        <w:rPr>
          <w:rFonts w:ascii="Amiri" w:hAnsi="Amiri" w:eastAsia="Amiri" w:cs="Amiri"/>
          <w:color w:val="111111"/>
          <w:sz w:val="28"/>
          <w:sz w:val="28"/>
          <w:szCs w:val="28"/>
          <w:rtl w:val="true"/>
          <w:lang w:bidi="ar-SA"/>
        </w:rPr>
        <w:t xml:space="preserve">عنوان كلامه ؛ لأنّ الحكم في وجوب الصوم ليس مغيّا بغاية ، بل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ولا دخل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القياس فيما لو كان الحكم الاقتضائي نهيا من </w:t>
      </w:r>
      <w:r>
        <w:rPr>
          <w:rStyle w:val="FootnoteAnchor"/>
          <w:rtl w:val="true"/>
        </w:rPr>
        <w:footnoteReference w:id="797"/>
      </w:r>
      <w:r>
        <w:rPr>
          <w:rFonts w:ascii="Amiri" w:hAnsi="Amiri" w:eastAsia="Amiri" w:cs="Amiri"/>
          <w:color w:val="111111"/>
          <w:sz w:val="28"/>
          <w:sz w:val="28"/>
          <w:szCs w:val="28"/>
          <w:rtl w:val="true"/>
          <w:lang w:bidi="ar-SA"/>
        </w:rPr>
        <w:t>غير فرق بين قسميهما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جميع هذه الصور فالمناقشة عليها بما مرّ ظاهرة ، وإن أراد خصوص الصورة المفروضة فبعد عدم انطباقها بعنوانه كما عرفت فهو خلاف قاعدة التعبير ، سيّما </w:t>
      </w:r>
      <w:r>
        <w:rPr>
          <w:rStyle w:val="FootnoteAnchor"/>
          <w:rtl w:val="true"/>
        </w:rPr>
        <w:footnoteReference w:id="798"/>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أورد عليه السيّد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Style w:val="FootnoteAnchor"/>
          <w:rtl w:val="true"/>
        </w:rPr>
        <w:footnoteReference w:id="799"/>
      </w:r>
      <w:r>
        <w:rPr>
          <w:rFonts w:ascii="Amiri" w:hAnsi="Amiri" w:eastAsia="Amiri" w:cs="Amiri"/>
          <w:color w:val="111111"/>
          <w:sz w:val="28"/>
          <w:sz w:val="28"/>
          <w:szCs w:val="28"/>
          <w:rtl w:val="true"/>
          <w:lang w:bidi="ar-SA"/>
        </w:rPr>
        <w:t xml:space="preserve">الدليل جار فيما إذا ثبت تحقّق حكم في الواقع مع الشكّ في تحقّقه بعد انقضاء زمان لا بدّ للتحقّق منه ، وهذا هو الذي أجرى القوم فيه </w:t>
      </w:r>
      <w:r>
        <w:rPr>
          <w:rStyle w:val="FootnoteAnchor"/>
          <w:rtl w:val="true"/>
        </w:rPr>
        <w:footnoteReference w:id="800"/>
      </w:r>
      <w:r>
        <w:rPr>
          <w:rFonts w:ascii="Amiri" w:hAnsi="Amiri" w:eastAsia="Amiri" w:cs="Amiri"/>
          <w:color w:val="111111"/>
          <w:sz w:val="28"/>
          <w:sz w:val="28"/>
          <w:szCs w:val="28"/>
          <w:rtl w:val="true"/>
          <w:lang w:bidi="ar-SA"/>
        </w:rPr>
        <w:t xml:space="preserve">الاستصحاب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أنّا كما نجزم في الصورة التي فرضها بتحقّق الحكم في قطعة من الزمان ونشكّ أيضا حين القطع في تحقّقه في زمان يكون حدوث الغاية وعدم حدوثها </w:t>
      </w:r>
      <w:r>
        <w:rPr>
          <w:rStyle w:val="FootnoteAnchor"/>
          <w:rtl w:val="true"/>
        </w:rPr>
        <w:footnoteReference w:id="801"/>
      </w:r>
      <w:r>
        <w:rPr>
          <w:rFonts w:ascii="Amiri" w:hAnsi="Amiri" w:eastAsia="Amiri" w:cs="Amiri"/>
          <w:color w:val="111111"/>
          <w:sz w:val="28"/>
          <w:sz w:val="28"/>
          <w:szCs w:val="28"/>
          <w:rtl w:val="true"/>
          <w:lang w:bidi="ar-SA"/>
        </w:rPr>
        <w:t xml:space="preserve">متساويين عندنا ، كذلك نجزم بتحقّق الحكم في زمان لا يمكن تحقّقه إلاّ فيه ونشكّ أيضا حين القطع في تحقّقه في زمان متّصل بذلك الزمان ؛ لاحتمال وجود رافع لجزء من أجزاء علّة الوجود وعدمه ، فكما أنّ في صورة الشكّ في الصورة الأولى يكون الدليل محتملا لأن يراد منه وجود الحكم في الزمان الذي يشكّ في وجود الحكم فيه وأن يراد منه عدم وجوده فيه ، كذلك حال الدليل في الصورة التي فرضناها ، وعلى هذا القول </w:t>
      </w:r>
      <w:r>
        <w:rPr>
          <w:rStyle w:val="FootnoteAnchor"/>
          <w:rtl w:val="true"/>
        </w:rPr>
        <w:footnoteReference w:id="802"/>
      </w:r>
      <w:r>
        <w:rPr>
          <w:rFonts w:ascii="Amiri" w:hAnsi="Amiri" w:eastAsia="Amiri" w:cs="Amiri"/>
          <w:color w:val="111111"/>
          <w:sz w:val="28"/>
          <w:sz w:val="28"/>
          <w:szCs w:val="28"/>
          <w:rtl w:val="true"/>
          <w:lang w:bidi="ar-SA"/>
        </w:rPr>
        <w:t>لو لم يمتثل التكليف المذكور لم يحصل الظنّ بالامتثال والخروج عن العهدة ، ولو امتثل لحصل القطع به ؛ لأنّه في زمان الشكّ إن كان الواقع وجود الحكم فقد فعلنا ما كان علينا من التكليف ، وإن كان الواقع عدمه فقد خرجنا بما فعلنا في زمان القطع عن العهدة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تحصيل القطع أو الظنّ بالامتثال إنّما يلزم مع القطع أو الظنّ بثبوت التكليف ، وفي زمان الشكّ ليس شيء منهما حاصلا ولو تمسّك بأنّ الشكّ إنّما هو في أوّل النظر ، وأمّا مع ملاحظة اليقين السابق فالحاصل هو الظنّ ببقاء التكليف ، فيكون المرجع هو ما قاله القوم ، ونحن كما نطالبهم بدليل التعويل على مثل هذا الظنّ نطالبه قدس‌سره أيضا ، والظاهر أنّ بناء كلامه رحمه‌اللّه </w:t>
      </w:r>
      <w:r>
        <w:rPr>
          <w:rStyle w:val="FootnoteAnchor"/>
          <w:rtl w:val="true"/>
        </w:rPr>
        <w:footnoteReference w:id="803"/>
      </w:r>
      <w:r>
        <w:rPr>
          <w:rFonts w:ascii="Amiri" w:hAnsi="Amiri" w:eastAsia="Amiri" w:cs="Amiri"/>
          <w:color w:val="111111"/>
          <w:sz w:val="28"/>
          <w:sz w:val="28"/>
          <w:szCs w:val="28"/>
          <w:rtl w:val="true"/>
          <w:lang w:bidi="ar-SA"/>
        </w:rPr>
        <w:t xml:space="preserve">على أنّ اليقين بشغل الذمّة إذا حصل فلا بدّ من اليقين أو الظنّ بالبراءة ولا أقلّ من الظنّ وإن صار يقين شغل الذمّة بعد عروض الشكّ بالبراءة </w:t>
      </w:r>
      <w:r>
        <w:rPr>
          <w:rStyle w:val="FootnoteAnchor"/>
          <w:rtl w:val="true"/>
        </w:rPr>
        <w:footnoteReference w:id="804"/>
      </w:r>
      <w:r>
        <w:rPr>
          <w:rFonts w:ascii="Amiri" w:hAnsi="Amiri" w:eastAsia="Amiri" w:cs="Amiri"/>
          <w:color w:val="111111"/>
          <w:sz w:val="28"/>
          <w:sz w:val="28"/>
          <w:szCs w:val="28"/>
          <w:rtl w:val="true"/>
          <w:lang w:bidi="ar-SA"/>
        </w:rPr>
        <w:t xml:space="preserve">مشكوكا فيه أيضا ، وقد ادّعى الإجماع على هذا أيضا </w:t>
      </w:r>
      <w:r>
        <w:rPr>
          <w:rStyle w:val="FootnoteAnchor"/>
          <w:rtl w:val="true"/>
        </w:rPr>
        <w:footnoteReference w:id="805"/>
      </w:r>
      <w:r>
        <w:rPr>
          <w:rFonts w:ascii="Amiri" w:hAnsi="Amiri" w:eastAsia="Amiri" w:cs="Amiri"/>
          <w:color w:val="111111"/>
          <w:sz w:val="28"/>
          <w:sz w:val="28"/>
          <w:szCs w:val="28"/>
          <w:rtl w:val="true"/>
          <w:lang w:bidi="ar-SA"/>
        </w:rPr>
        <w:t>، انتهى ما أورده السيّد على المحقّق المذكور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الوجه الأوّل في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وجيها في بادئ الأنظار ، فإنّ المورد إذا كان من موارد الاشتغال كالصوم المعتبر فيه الارتباط بين الأجزاء ، فلا فرق في جريان القاعدة بين أن يكون الخطاب مغيّا بغاية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أخذ الغاية ، فيعمّ الدليل غير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 المقرّر في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هذا الإيراد على المحقّق المذكور ؛ لأنّ الحكم الشرعي قد يعلم تعلّقه بعنوان معلوم كوجوب الصوم إلى مجيء الليل مثلا ، وإنّما يكون الشكّ في امتثال هذا العنوان ، فيشكّ في تحقّق الصوم من زمان كذا إلى غاية كذائية ، وحينئذ لا بدّ من الاحتياط ، ومثل ذلك ما لو نذر صوم بين هلالي رجب وشعبان وشكّ في يوم أنّه من أيّ الشهرين ، فإنّه لا بدّ من صيامه عملا بالاحتياط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يعلم تعلّقه بعنوان غير معلوم المراد كما إذا تعلّق الوجوب بالصوم النهاري وشكّ في أنّه هل هو يتمّ عند سقوط القرص أو عند ذهاب الحمرة المشرقية لغة؟ كما في الأقلّ والأكثر الارتباطيين في الشبهة الحكمية على ما سبق تحقيق القول فيها ، </w:t>
      </w:r>
    </w:p>
    <w:p>
      <w:pPr>
        <w:pStyle w:val="BookText"/>
        <w:rPr/>
      </w:pPr>
      <w:r>
        <w:rPr>
          <w:rFonts w:ascii="Amiri" w:hAnsi="Amiri" w:eastAsia="Amiri" w:cs="Amiri"/>
          <w:color w:val="111111"/>
          <w:sz w:val="28"/>
          <w:sz w:val="28"/>
          <w:szCs w:val="28"/>
          <w:rtl w:val="true"/>
          <w:lang w:bidi="ar-SA"/>
        </w:rPr>
        <w:t>وحينئذ فلا دليل على وجوب الاحتياط ، بل التحقيق هو الأخذ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هذه المقدّمة ثبوت الفرق بين موارد الاستصحاب على ما ذكره القوم وبينه </w:t>
      </w:r>
      <w:r>
        <w:rPr>
          <w:rStyle w:val="FootnoteAnchor"/>
          <w:rtl w:val="true"/>
        </w:rPr>
        <w:footnoteReference w:id="806"/>
      </w:r>
      <w:r>
        <w:rPr>
          <w:rFonts w:ascii="Amiri" w:hAnsi="Amiri" w:eastAsia="Amiri" w:cs="Amiri"/>
          <w:color w:val="111111"/>
          <w:sz w:val="28"/>
          <w:sz w:val="28"/>
          <w:szCs w:val="28"/>
          <w:rtl w:val="true"/>
          <w:lang w:bidi="ar-SA"/>
        </w:rPr>
        <w:t xml:space="preserve">على ما ذكره ، ومن هنا يظهر وجه الضعف في الوجه الثاني أيضا ، ولعلّه تنبّه بضعفه </w:t>
      </w:r>
      <w:r>
        <w:rPr>
          <w:rStyle w:val="FootnoteAnchor"/>
          <w:rtl w:val="true"/>
        </w:rPr>
        <w:footnoteReference w:id="807"/>
      </w:r>
      <w:r>
        <w:rPr>
          <w:rFonts w:ascii="Amiri" w:hAnsi="Amiri" w:eastAsia="Amiri" w:cs="Amiri"/>
          <w:color w:val="111111"/>
          <w:sz w:val="28"/>
          <w:sz w:val="28"/>
          <w:szCs w:val="28"/>
          <w:rtl w:val="true"/>
          <w:lang w:bidi="ar-SA"/>
        </w:rPr>
        <w:t xml:space="preserve">المورد أيضا كما أشعر بذلك </w:t>
      </w:r>
      <w:r>
        <w:rPr>
          <w:rStyle w:val="FootnoteAnchor"/>
          <w:rtl w:val="true"/>
        </w:rPr>
        <w:footnoteReference w:id="808"/>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بناء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ذكرنا يرجع ما أفاده المحقّق القمي في دفع </w:t>
      </w:r>
      <w:r>
        <w:rPr>
          <w:rStyle w:val="FootnoteAnchor"/>
          <w:rtl w:val="true"/>
        </w:rPr>
        <w:footnoteReference w:id="809"/>
      </w:r>
      <w:r>
        <w:rPr>
          <w:rFonts w:ascii="Amiri" w:hAnsi="Amiri" w:eastAsia="Amiri" w:cs="Amiri"/>
          <w:color w:val="111111"/>
          <w:sz w:val="28"/>
          <w:sz w:val="28"/>
          <w:szCs w:val="28"/>
          <w:rtl w:val="true"/>
          <w:lang w:bidi="ar-SA"/>
        </w:rPr>
        <w:t>ما أورده السيّد ، فلا مساس لما أورده بعض الأجلّة في الاعتراض عليه بكلامه ، فلاحظ وتأمّل تهتدي إلى ما هو الحقّ بإفاضة من الموفّق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الوجه الثاني من وجهي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في معنى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منها عدم جواز النقض عند التعارض ، وجعله معنى التعارض أن يكون هناك شيء يوجب اليقين لو لا الشكّ ، وحسبانه أنّ هذا المعنى لا ينطبق على استصحاب القوم ، بل هو مختصّ بما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يظهر له وجه وجيه ، بل لعلّه ممّا لا يستقيم بوجه ، أمّا حمله الرواية على المعنى المذكور فالوجه فيه هو ما عرفته من استفادة ذلك من مادّة النقض والدفع والدخل ، والجواب عن ذلك أنّ الأقربية وإن اقتضت حمل الرواية على ما ذكره إلاّ أنّ هناك قرائن أخر توجب حملها على ما هو متفاهم القوم من إرادة ترتيب مطلق الآثار التي يترتّب على المتيقّن ممّا هي لا يترتّب على نفس صفة العلم كما ستعرف الوجه في هذا التقييد ، ففيما لو شكّ في ثبوت الشفعة أو الخيار في زمان بعد العلم بهما في الجملة لا بدّ من الأخذ بالاستصحاب جريا على طريقة القوم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المعنى المذكور من الرواية ممّا لا ينساق عرفا بعد العرض على الأفهام المستقيمة الخالية عن شوائب الأوهام ؛ لظهور ابتنائه على الدقّة التي لا تصل إليها إلاّ الأوحدي ، ومن البعيد في الغاية حمل الروايات التي هي منساقة على متفاهم العرف على مثل هذه الوجوه البعيدة عن أذهانهم ، فإنّ الذهن </w:t>
      </w:r>
      <w:r>
        <w:rPr>
          <w:rStyle w:val="FootnoteAnchor"/>
          <w:rtl w:val="true"/>
        </w:rPr>
        <w:footnoteReference w:id="810"/>
      </w:r>
      <w:r>
        <w:rPr>
          <w:rFonts w:ascii="Amiri" w:hAnsi="Amiri" w:eastAsia="Amiri" w:cs="Amiri"/>
          <w:color w:val="111111"/>
          <w:sz w:val="28"/>
          <w:sz w:val="28"/>
          <w:szCs w:val="28"/>
          <w:rtl w:val="true"/>
          <w:lang w:bidi="ar-SA"/>
        </w:rPr>
        <w:t xml:space="preserve">لا يكاد يلتفت إلى هذا </w:t>
      </w:r>
    </w:p>
    <w:p>
      <w:pPr>
        <w:pStyle w:val="BookText"/>
        <w:rPr/>
      </w:pPr>
      <w:r>
        <w:rPr>
          <w:rFonts w:ascii="IRNazanin" w:hAnsi="IRNazanin" w:eastAsia="IRNazanin"/>
          <w:color w:val="111111"/>
          <w:sz w:val="28"/>
          <w:sz w:val="28"/>
          <w:szCs w:val="28"/>
          <w:rtl w:val="true"/>
          <w:lang w:bidi="fa-IR"/>
        </w:rPr>
        <w:t>المعنى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مورد الرواية من استصحاب القوم ، فإنّ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يدر في ثلاث هو أو أربع وقد أحرز الثلاث ، قام وأضاف إليها أخرى ولا شيء عليه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تمسّك منه بأصالة عدم وقوع الركعة المشكوكة واستصحاب لعدمها ، وليس من استصحاب المحقّق كما هو ظاهر ؛ لانتفاء التعارض على ما زعمه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عليه‌السلام في الرواية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ينقض الشكّ باليقين ويبنى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أوضح القرائن على أنّ المراد بالنقض هو عدم ترتيب الآثار المترتّبة على المتيقّن ؛ لأنّ الظاهر وروده مفسّرا لسابقه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يعتدّ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يختلط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ظاهر في ترتيب مطلق الآثار ، ولا يتصوّر فيها القول بأنّ المراد عدم النقض فيما إذا كان شيء يوجب اليقين لو لا الشكّ ، ففيما إذا شكّ في الخيار أو الشفعة فلو لم يؤخذ باليقين لصدق أنّه ما بنى على اليقين وأنّه نقض يقينه بالشكّ وبنى على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w:t>
      </w:r>
      <w:r>
        <w:rPr>
          <w:rStyle w:val="FootnoteAnchor"/>
          <w:rtl w:val="true"/>
        </w:rPr>
        <w:footnoteReference w:id="812"/>
      </w:r>
      <w:r>
        <w:rPr>
          <w:rFonts w:ascii="Amiri" w:hAnsi="Amiri" w:eastAsia="Amiri" w:cs="Amiri"/>
          <w:color w:val="111111"/>
          <w:sz w:val="28"/>
          <w:sz w:val="28"/>
          <w:szCs w:val="28"/>
          <w:rtl w:val="true"/>
          <w:lang w:bidi="ar-SA"/>
        </w:rPr>
        <w:t xml:space="preserve">ذكرنا من ورود بعض هذه الفقرات مفسّرا للآخر ينقطع ما عسى أن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النقض قرينة لهذه الفقرات بصرفها </w:t>
      </w:r>
      <w:r>
        <w:rPr>
          <w:rStyle w:val="FootnoteAnchor"/>
          <w:rtl w:val="true"/>
        </w:rPr>
        <w:footnoteReference w:id="813"/>
      </w:r>
      <w:r>
        <w:rPr>
          <w:rFonts w:ascii="IRNazanin" w:hAnsi="IRNazanin" w:eastAsia="IRNazanin"/>
          <w:color w:val="111111"/>
          <w:sz w:val="28"/>
          <w:sz w:val="28"/>
          <w:szCs w:val="28"/>
          <w:rtl w:val="true"/>
          <w:lang w:bidi="fa-IR"/>
        </w:rPr>
        <w:t xml:space="preserve">عن ظاهرها </w:t>
      </w:r>
      <w:r>
        <w:rPr>
          <w:rStyle w:val="FootnoteAnchor"/>
          <w:rtl w:val="true"/>
        </w:rPr>
        <w:footnoteReference w:id="814"/>
      </w:r>
      <w:r>
        <w:rPr>
          <w:rFonts w:ascii="Amiri" w:hAnsi="Amiri" w:eastAsia="Amiri" w:cs="Amiri"/>
          <w:color w:val="111111"/>
          <w:sz w:val="28"/>
          <w:sz w:val="28"/>
          <w:szCs w:val="28"/>
          <w:rtl w:val="true"/>
          <w:lang w:bidi="ar-SA"/>
        </w:rPr>
        <w:t xml:space="preserve">إلى ما هو المراد منه أيضا محتمل ، فلا وجه للعكس كما هو مبنى الإيراد ، مضافا إلى بعده في نفسه كما ذكرنا ، ويتّضح ما ذكرنا في الغاية بعد ملاحظة قوله عليه‌السلام في رواية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على يقينه ، فإنّ اليقين لا يدفع بالشكّ </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فإنّ الظاهر من الإمضاء البناء </w:t>
      </w:r>
      <w:r>
        <w:rPr>
          <w:rStyle w:val="FootnoteAnchor"/>
          <w:rtl w:val="true"/>
        </w:rPr>
        <w:footnoteReference w:id="816"/>
      </w:r>
      <w:r>
        <w:rPr>
          <w:rFonts w:ascii="Amiri" w:hAnsi="Amiri" w:eastAsia="Amiri" w:cs="Amiri"/>
          <w:color w:val="111111"/>
          <w:sz w:val="28"/>
          <w:sz w:val="28"/>
          <w:szCs w:val="28"/>
          <w:rtl w:val="true"/>
          <w:lang w:bidi="ar-SA"/>
        </w:rPr>
        <w:t xml:space="preserve">على شيء والعمل عليه ، فيصير قرينة على أنّ المراد بالدفع أو النقض الواردين في العلّة هو ما يساوي الإمضاء ، والقول بأنّ عموم الإمضاء يدفع باختصاص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ديدنهم في الأخذ بعموم العلّة وخصوصها في نظائر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يصغى إليه بعد </w:t>
      </w:r>
    </w:p>
    <w:p>
      <w:pPr>
        <w:pStyle w:val="BookText"/>
        <w:rPr/>
      </w:pPr>
      <w:r>
        <w:rPr>
          <w:rFonts w:ascii="Amiri" w:hAnsi="Amiri" w:eastAsia="Amiri" w:cs="Amiri"/>
          <w:color w:val="111111"/>
          <w:sz w:val="28"/>
          <w:sz w:val="28"/>
          <w:szCs w:val="28"/>
          <w:rtl w:val="true"/>
          <w:lang w:bidi="ar-SA"/>
        </w:rPr>
        <w:t>مساعدة العرف على الأخذ بعموم الحكم كما يشاهد ما ذكرنا فيما لو اختصّ العامّ بالفرد النادر عند التعويل على تخصيصه بالعلّة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فأخبارهم بعضها يكشف عن بعض ، وبعد عدم مساعدة العرف على معنى في البعض فلا بدّ من الأخذ بما هو الظاهر من غيره وحمله عليه ، أمّا حسبانه اختصاص الرواية بموارد استصحابه دون استصحاب القوم نظرا إلى ما أفاده من معنى التعارض ، فمبنيّ على ما أوضحنا مراده عند نقل كلامه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مورد </w:t>
      </w:r>
      <w:r>
        <w:rPr>
          <w:rStyle w:val="FootnoteAnchor"/>
          <w:rtl w:val="true"/>
        </w:rPr>
        <w:footnoteReference w:id="817"/>
      </w:r>
      <w:r>
        <w:rPr>
          <w:rFonts w:ascii="Amiri" w:hAnsi="Amiri" w:eastAsia="Amiri" w:cs="Amiri"/>
          <w:color w:val="111111"/>
          <w:sz w:val="28"/>
          <w:sz w:val="28"/>
          <w:szCs w:val="28"/>
          <w:rtl w:val="true"/>
          <w:lang w:bidi="ar-SA"/>
        </w:rPr>
        <w:t xml:space="preserve">استصحابه مقتضي اليقين موجود وإنّما الشكّ من حيث احتمال وجود المانع ، بخلاف موارد استصحاب القوم فإنّ الشكّ فيه كما يحتمل من حيث احتمال وجود </w:t>
      </w:r>
      <w:r>
        <w:rPr>
          <w:rStyle w:val="FootnoteAnchor"/>
          <w:rtl w:val="true"/>
        </w:rPr>
        <w:footnoteReference w:id="818"/>
      </w:r>
      <w:r>
        <w:rPr>
          <w:rFonts w:ascii="Amiri" w:hAnsi="Amiri" w:eastAsia="Amiri" w:cs="Amiri"/>
          <w:color w:val="111111"/>
          <w:sz w:val="28"/>
          <w:sz w:val="28"/>
          <w:szCs w:val="28"/>
          <w:rtl w:val="true"/>
          <w:lang w:bidi="ar-SA"/>
        </w:rPr>
        <w:t xml:space="preserve">المانع من اليقين كذلك يحتمل من حيث احتمال انتفاء المقتضي ، فلا يتحقّق التعارض ؛ لأنّ المانع معارض للمقتضي كما تقدّم ، وبذلك دفعنا ما أورد عليه بعض المحقّقين من أنّ فرض عدم الشكّ في كلّ مورد يوجب اليقين كما صرّح به بعض الأجلّة </w:t>
      </w:r>
      <w:r>
        <w:rPr>
          <w:rStyle w:val="FootnoteAnchor"/>
          <w:rtl w:val="true"/>
        </w:rPr>
        <w:footnoteReference w:id="819"/>
      </w:r>
      <w:r>
        <w:rPr>
          <w:rFonts w:ascii="Amiri" w:hAnsi="Amiri" w:eastAsia="Amiri" w:cs="Amiri"/>
          <w:color w:val="111111"/>
          <w:sz w:val="28"/>
          <w:sz w:val="28"/>
          <w:szCs w:val="28"/>
          <w:rtl w:val="true"/>
          <w:lang w:bidi="ar-SA"/>
        </w:rPr>
        <w:t>أيضا ، إلاّ أنّ البناء على ذلك موجب لهدم ما أسّسه أيضا ، فإنّ ذلك غير موجود في شيء من موارد الاستصحاب ، لا على ما يراه ولا على ما يراه القوم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إذا لم يكن ضروريا غير محتاج إلى علّة العلم فلا بدّ في حصول اليقين بذلك الحكم من واسطة ، ويمتنع عقلا على ما بيّن في محلّه حصول ذلك اليقين من مقدّمة واحدة ، بل لا بدّ من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تحكم باندراج الأصغر في الوسط ، والأخرى </w:t>
      </w:r>
      <w:r>
        <w:rPr>
          <w:rStyle w:val="FootnoteAnchor"/>
          <w:rtl w:val="true"/>
        </w:rPr>
        <w:footnoteReference w:id="820"/>
      </w:r>
      <w:r>
        <w:rPr>
          <w:rFonts w:ascii="Amiri" w:hAnsi="Amiri" w:eastAsia="Amiri" w:cs="Amiri"/>
          <w:color w:val="111111"/>
          <w:sz w:val="28"/>
          <w:sz w:val="28"/>
          <w:szCs w:val="28"/>
          <w:rtl w:val="true"/>
          <w:lang w:bidi="ar-SA"/>
        </w:rPr>
        <w:t xml:space="preserve">تحكم بثبوت الأكبر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 تعدّي الحكم منه إليه ، ولا يعقل حصول اليقين بدون إحدى المقدّمتين ، فمقتضى اليقين في كلّ حكم فرض هو الوسط في الإثبات فإنّه هو العلّة في ثبوت العلم ، فمتى وجدت العلّة حصل المعلول ، وإذا انتفت بانتفاء المقدّمتين كلتيهما أو بانتفاء إحداهما انتفى العلم ، ولمّا امتنع خلوّ المدرك الملتفت عن الشكّ أو اليقين لمكان التضادّ من غير ثالث بينهما ؛ إذ المراد بالشكّ </w:t>
      </w:r>
    </w:p>
    <w:p>
      <w:p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821"/>
      </w:r>
      <w:r>
        <w:rPr>
          <w:rFonts w:ascii="Amiri" w:hAnsi="Amiri" w:eastAsia="Amiri" w:cs="Amiri"/>
          <w:color w:val="111111"/>
          <w:sz w:val="28"/>
          <w:sz w:val="28"/>
          <w:szCs w:val="28"/>
          <w:rtl w:val="true"/>
          <w:lang w:bidi="ar-SA"/>
        </w:rPr>
        <w:t xml:space="preserve">ما عدا اليقين ، يحصل الشكّ لخلوّ </w:t>
      </w:r>
      <w:r>
        <w:rPr>
          <w:rStyle w:val="FootnoteAnchor"/>
          <w:rtl w:val="true"/>
        </w:rPr>
        <w:footnoteReference w:id="822"/>
      </w:r>
      <w:r>
        <w:rPr>
          <w:rFonts w:ascii="Amiri" w:hAnsi="Amiri" w:eastAsia="Amiri" w:cs="Amiri"/>
          <w:color w:val="111111"/>
          <w:sz w:val="28"/>
          <w:sz w:val="28"/>
          <w:szCs w:val="28"/>
          <w:rtl w:val="true"/>
          <w:lang w:bidi="ar-SA"/>
        </w:rPr>
        <w:t>المحلّ القابل عن المعارض ، فعدم الشكّ لا تأثير له في حصول اليقين ما لم يفرض وجود علّة العلم من الواسطة في الإثبات المركّب من المقدّمتين ، فانتفاء العلم دائما مستند إلى انتفاء أحد جزئي علّته وهي الصغرى تارة ، والكبرى أخرى ، لا إلى وجود المانع بعد إحراز المقتضي ؛ لأنّ ذلك لا يعقل في العلم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هذه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وقت معلوم في وجوب الصوم في ذلك الوقت ، فعدم العلم بهذا الحكم من جهة انتفاء الكبرى ؛ إذ المفروض عدم وجوب الصوم دائما أو موقّتا إلى وقت معيّن ، لإطلاق الأمر وإهماله ، وإن كانت الصغرى موجودة ؛ للعلم بوجود النهار في الفرض مع الشكّ في وجوب الصوم في تمام النهار ، وإذا </w:t>
      </w:r>
      <w:r>
        <w:rPr>
          <w:rStyle w:val="FootnoteAnchor"/>
          <w:rtl w:val="true"/>
        </w:rPr>
        <w:footnoteReference w:id="823"/>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وقت أنّه هل هو من النهار أو لا؟ فعدم العلم بوجوب الصوم في الفرض من جهة انتفاء الصغرى مع العلم بالكبرى وهو وجوب تمام صوم النهار ، فلو فرض في الفرض الأوّل وجود </w:t>
      </w:r>
      <w:r>
        <w:rPr>
          <w:rStyle w:val="FootnoteAnchor"/>
          <w:rtl w:val="true"/>
        </w:rPr>
        <w:footnoteReference w:id="824"/>
      </w:r>
      <w:r>
        <w:rPr>
          <w:rFonts w:ascii="Amiri" w:hAnsi="Amiri" w:eastAsia="Amiri" w:cs="Amiri"/>
          <w:color w:val="111111"/>
          <w:sz w:val="28"/>
          <w:sz w:val="28"/>
          <w:szCs w:val="28"/>
          <w:rtl w:val="true"/>
          <w:lang w:bidi="ar-SA"/>
        </w:rPr>
        <w:t xml:space="preserve">كلمة </w:t>
      </w:r>
      <w:r>
        <w:rPr>
          <w:rStyle w:val="FootnoteAnchor"/>
          <w:rtl w:val="true"/>
        </w:rPr>
        <w:footnoteReference w:id="825"/>
      </w:r>
      <w:r>
        <w:rPr>
          <w:rFonts w:ascii="Amiri" w:hAnsi="Amiri" w:eastAsia="Amiri" w:cs="Amiri"/>
          <w:color w:val="111111"/>
          <w:sz w:val="28"/>
          <w:sz w:val="28"/>
          <w:szCs w:val="28"/>
          <w:rtl w:val="true"/>
          <w:lang w:bidi="ar-SA"/>
        </w:rPr>
        <w:t>تدلّ على وجوب صوم النهار لم يكن الشكّ معقولا ، كما أنّه لو فرض في الفرض الثاني ما يدلّ على أنّ الوقت المشكوك من النهار ما كان الشكّ في الوجوب معقولا ، فعدم العلم في المقامين مستند إلى فقد تمام المقتضي للعلم وانتفاء العلّة ، ولا يعقل وجود المانع من العلم بعد إحراز الصغرى والكبرى والعلم بهما ، فظهر من ذلك أنّ استصحاب القوم مع استصحابه مشتركان في عدم مقتضي اليقين ، فإنّ الفرض الأوّل من استصحاب القوم وانتفاء العلم فيه لانتفاء الكبرى ، والفرض الثاني من استصحابه وانتفاء العلم فيه لانتفاء 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بأنّ الكبرى مقتض للعلم والعلم بالصغرى بمنزلة عدم المانع ، بعد أنّه من المجازفات والخرافات ليس بأولى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بأنّ مقتضي اليقين باق في استصحابه دون استصحاب القوم ، تحكّم صرف ؛ لتساويهما في انتفاء المقتضي وهو علّة العلم ، لأنّ مقتضي العلم هو علّته ولا فرق بينهما في المقام ، والشكّ إنّما يحدث بعد انتفاء العلّة والمقتضي من حيث استحالة الخلوّ كما مرّ ، ولئن سلّمنا أنّ الشكّ مانع من حصول اليقين فالمفروض أنّه لا يحصل إلاّ بعد انتفاء إحدى المقدّمتين ، فوجود </w:t>
      </w:r>
      <w:r>
        <w:rPr>
          <w:rStyle w:val="FootnoteAnchor"/>
          <w:rtl w:val="true"/>
        </w:rPr>
        <w:footnoteReference w:id="826"/>
      </w:r>
      <w:r>
        <w:rPr>
          <w:rFonts w:ascii="Amiri" w:hAnsi="Amiri" w:eastAsia="Amiri" w:cs="Amiri"/>
          <w:color w:val="111111"/>
          <w:sz w:val="28"/>
          <w:sz w:val="28"/>
          <w:szCs w:val="28"/>
          <w:rtl w:val="true"/>
          <w:lang w:bidi="ar-SA"/>
        </w:rPr>
        <w:t>المانع مسبوق بانتفاء المقتضي ، وعدم الشيء منسوب إلى عدم المقتضي لو اجتمع ذلك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ذكره يتمّ فيما لو قلنا بأنّ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على وجوب الصوم في النهار يدلّ على أنّ المشكوك أيضا من النهار ، فيكون العمل على الفرض الباطل بالدليل ، ولا حاجة إلى التكلّف المذكور والتماس ذلك من الاشتغال وأخبار الاستصحاب كما استراح الأخبارية بذلك ، وممّا يوضح ما ذكرنا أنّ الخطاب المغيّى بغاية ينحلّ إلى عقد إيجابي وهو الوجوب قبل الغاية ، وعقد سلبي وهو عدم الوجوب بعد الغاية ، ونسبة المشكوك إلى القبل والبعد مساوية </w:t>
      </w:r>
      <w:r>
        <w:rPr>
          <w:rStyle w:val="FootnoteAnchor"/>
          <w:rtl w:val="true"/>
        </w:rPr>
        <w:footnoteReference w:id="827"/>
      </w:r>
      <w:r>
        <w:rPr>
          <w:rFonts w:ascii="Amiri" w:hAnsi="Amiri" w:eastAsia="Amiri" w:cs="Amiri"/>
          <w:color w:val="111111"/>
          <w:sz w:val="28"/>
          <w:sz w:val="28"/>
          <w:szCs w:val="28"/>
          <w:rtl w:val="true"/>
          <w:lang w:bidi="ar-SA"/>
        </w:rPr>
        <w:t>، فالقول برفع الشكّ فيه بدخوله في العقد الإيجابي دون السلبي تحكّم صرف ومجازفة صريحة ، وذلك لا يتمّ إلاّ على ما ذكرنا من أنّ عدم الشكّ لا دخل له في حصول اليقين ، بل لا بدّ من إحراز موضوع أحدهما على وجه اليقين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بقي الكلام فيما أورده ذلك المحقّق الأستاد في التعليقة التي علّقها على قول الشهيد في الشبهة المحصورة ، ومحصّله هو الاستناد إلى وجه آخر في عدم حجّية الاستصحاب في موارده عند القوم ؛ لاستناد النقض فيها إلى اليقين وهو مقتضى قاعدة العدم</w:t>
      </w:r>
      <w:r>
        <w:rPr>
          <w:rFonts w:eastAsia="Amiri" w:cs="Amiri" w:ascii="Amiri" w:hAnsi="Amiri"/>
          <w:color w:val="111111"/>
          <w:sz w:val="28"/>
          <w:szCs w:val="28"/>
          <w:rtl w:val="true"/>
          <w:lang w:bidi="ar-SA"/>
        </w:rPr>
        <w:t xml:space="preserve">. </w:t>
      </w:r>
      <w:bookmarkStart w:id="107" w:name="pg16284_171133"/>
    </w:p>
    <w:p>
      <w:pPr>
        <w:pStyle w:val="BookText"/>
        <w:rPr/>
      </w:pPr>
      <w:bookmarkEnd w:id="107"/>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بالنقض بالاستصحاب في الموارد التي زعم جريانه فيها ، فإنّ زمان الشكّ مع كونه مشكوكا إن كان مشمولا للدليل فلا حاجة إلى الاستصحاب في انسحاب الحكم إليه كما هو المقرّر عند الأخبارية ، وإن لم يكن مشمولا للدليل فالمفروض عدم الدليل بالنسبة إلى 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المغيّى بالغاية </w:t>
      </w:r>
      <w:r>
        <w:rPr>
          <w:rStyle w:val="FootnoteAnchor"/>
          <w:rtl w:val="true"/>
        </w:rPr>
        <w:footnoteReference w:id="828"/>
      </w:r>
      <w:r>
        <w:rPr>
          <w:rFonts w:ascii="Amiri" w:hAnsi="Amiri" w:eastAsia="Amiri" w:cs="Amiri"/>
          <w:color w:val="111111"/>
          <w:sz w:val="28"/>
          <w:sz w:val="28"/>
          <w:szCs w:val="28"/>
          <w:rtl w:val="true"/>
          <w:lang w:bidi="ar-SA"/>
        </w:rPr>
        <w:t xml:space="preserve">ثابت بالفرض فلا يستقيم دعوى عدم الدليل ، غير مستقيم ؛ لأنّ المراد بالدليل إن كان حكم العقل بلزوم الامتثال بعد ملاحظة خطاب الشرع فلا يتمّ إلاّ في بعض الموارد على ما عرفت تفصيل ذلك ، ومع ذلك فهو خروج عن التمسّك بالاستصحاب وأخذ </w:t>
      </w:r>
      <w:r>
        <w:rPr>
          <w:rStyle w:val="FootnoteAnchor"/>
          <w:rtl w:val="true"/>
        </w:rPr>
        <w:footnoteReference w:id="829"/>
      </w:r>
      <w:r>
        <w:rPr>
          <w:rFonts w:ascii="Amiri" w:hAnsi="Amiri" w:eastAsia="Amiri" w:cs="Amiri"/>
          <w:color w:val="111111"/>
          <w:sz w:val="28"/>
          <w:sz w:val="28"/>
          <w:szCs w:val="28"/>
          <w:rtl w:val="true"/>
          <w:lang w:bidi="ar-SA"/>
        </w:rPr>
        <w:t>بالاشتغال ، وإن كان مجرّد الخطاب الشرعي فمن الظاهر أنّه لا مسرح للخطاب في زمن الشكّ ؛ إذ لا يعقل الشكّ مع ذلك ، وإن كان المراد هو أدلّة الاستصحاب على أبعد الوجوه فنسبتها إلى المقامين متساوية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w:t>
      </w:r>
      <w:r>
        <w:rPr>
          <w:rStyle w:val="FootnoteAnchor"/>
          <w:rtl w:val="true"/>
        </w:rPr>
        <w:footnoteReference w:id="830"/>
      </w:r>
      <w:r>
        <w:rPr>
          <w:rFonts w:ascii="Amiri" w:hAnsi="Amiri" w:eastAsia="Amiri" w:cs="Amiri"/>
          <w:color w:val="111111"/>
          <w:sz w:val="28"/>
          <w:sz w:val="28"/>
          <w:szCs w:val="28"/>
          <w:rtl w:val="true"/>
          <w:lang w:bidi="ar-SA"/>
        </w:rPr>
        <w:t>عدم صدق النقض في استصحاب القوم ، وقد عرفت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بالحلّ وهو أنّ معنى حجّية الاستصحاب هو إلغاء أحكام الشكّ في موارده ، ومنها الأخذ بالبراءة أو الاحتياط أو قاعدة العدم ، فإنّها أصول شرعية مقرّرة في مقام الشكّ ، فالاستصحاب حاكم على هذه الأصول ، وستعرف تفصيل ذلك في محلّه عن قريب إن شاء اللّه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5012092_1280447820"/>
      <w:bookmarkStart w:id="109" w:name="_Toc35"/>
      <w:bookmarkEnd w:id="108"/>
      <w:r>
        <w:rPr>
          <w:rtl w:val="true"/>
        </w:rPr>
        <w:t>تذنيب</w:t>
      </w:r>
      <w:bookmarkEnd w:id="10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بعض الأجلّة </w:t>
      </w:r>
      <w:r>
        <w:rPr>
          <w:rStyle w:val="FootnoteAnchor"/>
          <w:rtl w:val="true"/>
        </w:rPr>
        <w:footnoteReference w:id="831"/>
      </w:r>
      <w:r>
        <w:rPr>
          <w:rFonts w:ascii="IRNazanin" w:hAnsi="IRNazanin" w:eastAsia="IRNazanin"/>
          <w:color w:val="111111"/>
          <w:sz w:val="28"/>
          <w:sz w:val="28"/>
          <w:szCs w:val="28"/>
          <w:rtl w:val="true"/>
          <w:lang w:bidi="fa-IR"/>
        </w:rPr>
        <w:t xml:space="preserve">نهوض أخبار الباب على </w:t>
      </w:r>
      <w:r>
        <w:rPr>
          <w:rStyle w:val="FootnoteAnchor"/>
          <w:rtl w:val="true"/>
        </w:rPr>
        <w:footnoteReference w:id="832"/>
      </w:r>
      <w:r>
        <w:rPr>
          <w:rFonts w:ascii="Amiri" w:hAnsi="Amiri" w:eastAsia="Amiri" w:cs="Amiri"/>
          <w:color w:val="111111"/>
          <w:sz w:val="28"/>
          <w:sz w:val="28"/>
          <w:szCs w:val="28"/>
          <w:rtl w:val="true"/>
          <w:lang w:bidi="ar-SA"/>
        </w:rPr>
        <w:t>اعتبار الاستصحاب فيما إذا كان قضيّة الشيء المعلوم ثبوته في زمن الشكّ لو لا عروض المانع أو منع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p>
    <w:p>
      <w:pPr>
        <w:pStyle w:val="BookText"/>
        <w:rPr/>
      </w:pPr>
      <w:r>
        <w:rPr>
          <w:rFonts w:ascii="Amiri" w:hAnsi="Amiri" w:eastAsia="Amiri" w:cs="Amiri"/>
          <w:color w:val="111111"/>
          <w:sz w:val="28"/>
          <w:sz w:val="28"/>
          <w:szCs w:val="28"/>
          <w:rtl w:val="true"/>
          <w:lang w:bidi="ar-SA"/>
        </w:rPr>
        <w:t xml:space="preserve">واضحة إذا كان الشكّ من جهة المقتضي فلا دلالة للأخبار على اعتبار الاستصحاب ، وإذا كان الشكّ من جهة الرافع فينهض الأخبار بإثبات الاستصحاب فيه ، وزعم أنّه مطابق لما نقلناه من </w:t>
      </w:r>
      <w:r>
        <w:rPr>
          <w:rStyle w:val="FootnoteAnchor"/>
          <w:rtl w:val="true"/>
        </w:rPr>
        <w:footnoteReference w:id="833"/>
      </w:r>
      <w:r>
        <w:rPr>
          <w:rFonts w:ascii="Amiri" w:hAnsi="Amiri" w:eastAsia="Amiri" w:cs="Amiri"/>
          <w:color w:val="111111"/>
          <w:sz w:val="28"/>
          <w:sz w:val="28"/>
          <w:szCs w:val="28"/>
          <w:rtl w:val="true"/>
          <w:lang w:bidi="ar-SA"/>
        </w:rPr>
        <w:t xml:space="preserve">المحقّق الخوانساري إلاّ أنّه قد يكون أعمّ موردا ممّا ذهب إليه حيث أفاد ، ولقد أجاد المحقّق الخوانساري في فهم الرواية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عدم نقض اليقين بالشكّ هو عدم النقض عند التعارض </w:t>
      </w:r>
      <w:r>
        <w:rPr>
          <w:rStyle w:val="FootnoteAnchor"/>
          <w:rtl w:val="true"/>
        </w:rPr>
        <w:footnoteReference w:id="834"/>
      </w:r>
      <w:r>
        <w:rPr>
          <w:rFonts w:ascii="Amiri" w:hAnsi="Amiri" w:eastAsia="Amiri" w:cs="Amiri"/>
          <w:color w:val="111111"/>
          <w:sz w:val="28"/>
          <w:sz w:val="28"/>
          <w:szCs w:val="28"/>
          <w:rtl w:val="true"/>
          <w:lang w:bidi="ar-SA"/>
        </w:rPr>
        <w:t xml:space="preserve">، ولكنّه ما أجاد في تخصيصها بالأحكام التي ثبت استمرارها إلى غاية معيّنة وشكّ في حصولها ، بل يجري في كلّ ما ثبت بقاؤه ما لم يمنع منه مانع </w:t>
      </w:r>
      <w:r>
        <w:rPr>
          <w:rStyle w:val="FootnoteAnchor"/>
          <w:rtl w:val="true"/>
        </w:rPr>
        <w:footnoteReference w:id="8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القولين مختلفان مفهوما وموردا ، فلا وجه لحسبان انطباق أحدهما على الآخر على الوجه المذكور ؛ لاختلاف مناطهما وتغاير ما هو الملاك فيهما ، فإنّ قول المحقّق يناط على ثبوت الخطاب الموجب لليقين في مورد الشكّ لو لاه من دون ملاحظة استعداد المستصحب للبقاء في زمن الشكّ لو لا المانع ، ومدار قول الزاعم إنّما هو ملاحظة حال المستصحب واستعداده من دون نظر إلى ثبوت الخطاب الموجب لليقين لو لا الشكّ ، فملاك الأوّل على ملاحظة حال الدليل ، وملاك الثاني على ملاحظة حال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يكون المستصحب في مورد الخطاب الموجب لليقين ممّا قضيّته الثبوت عند الشكّ لو لا عروض المانع أو منع العارض كما في استصحاب بقاء الوضوء عند الشكّ في عروض البول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المستصحب مقتضيا للبقاء مع انتفاء الخطاب الموجب لليقين كما في استصحاب بقاء النجاسة فيما إذا شكّ في مانعية التمسيح بحجر ذي ثلاث شعب ، وكما في استصحاب الطهارة عند عروض المذي ؛ إذ قد عرفت صراحة من المحقّق المذكور عدم </w:t>
      </w:r>
    </w:p>
    <w:p>
      <w:pPr>
        <w:pStyle w:val="BookText"/>
        <w:rPr/>
      </w:pPr>
      <w:r>
        <w:rPr>
          <w:rFonts w:ascii="Amiri" w:hAnsi="Amiri" w:eastAsia="Amiri" w:cs="Amiri"/>
          <w:color w:val="111111"/>
          <w:sz w:val="28"/>
          <w:sz w:val="28"/>
          <w:szCs w:val="28"/>
          <w:rtl w:val="true"/>
          <w:lang w:bidi="ar-SA"/>
        </w:rPr>
        <w:t>جريان الاستصحاب في المثال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الخطاب الموجب لليقين موجودا مع الشكّ في اقتضاء المستصحب للثبوت في زمن الشكّ كما في الخطاب الآمر بالصوم إلى الليل فيما إذا شكّ في آن أنّه من النهار أو من الليل ، فإنّ الظاهر أنّ الشكّ من جهة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فالقولان مختلفان مفهوما والنسبة بينهما موردا هو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بأنّ مآل الشكّ في الغاية إلى الشكّ في المانع بعد إحراز المقتضي للمستصحب بتقريب أنّ الغاية توجب رفع الحكم وتمنع عن ثبوته كما هو الشأن في جميع الموانع ، ومرجع الشكّ في المانع إلى الشكّ في الغاية نظرا إلى أنّ المانع غاية لثبوت المعلول </w:t>
      </w:r>
      <w:r>
        <w:rPr>
          <w:rStyle w:val="FootnoteAnchor"/>
          <w:rtl w:val="true"/>
        </w:rPr>
        <w:footnoteReference w:id="836"/>
      </w:r>
      <w:r>
        <w:rPr>
          <w:rFonts w:ascii="Amiri" w:hAnsi="Amiri" w:eastAsia="Amiri" w:cs="Amiri"/>
          <w:color w:val="111111"/>
          <w:sz w:val="28"/>
          <w:sz w:val="28"/>
          <w:szCs w:val="28"/>
          <w:rtl w:val="true"/>
          <w:lang w:bidi="ar-SA"/>
        </w:rPr>
        <w:t>ونهاية لوجوده ، فالقولان متلازمان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بمكان من الضعف والسقوط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الشكّ في الغاية لا يساوق وجود المقتضي دائما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يحتمل أن تكون </w:t>
      </w:r>
      <w:r>
        <w:rPr>
          <w:rStyle w:val="FootnoteAnchor"/>
          <w:rtl w:val="true"/>
        </w:rPr>
        <w:footnoteReference w:id="837"/>
      </w:r>
      <w:r>
        <w:rPr>
          <w:rFonts w:ascii="Amiri" w:hAnsi="Amiri" w:eastAsia="Amiri" w:cs="Amiri"/>
          <w:color w:val="111111"/>
          <w:sz w:val="28"/>
          <w:sz w:val="28"/>
          <w:szCs w:val="28"/>
          <w:rtl w:val="true"/>
          <w:lang w:bidi="ar-SA"/>
        </w:rPr>
        <w:t xml:space="preserve">الغاية المذكورة في كلام الشارع كاشفة عن انتفاء المقتضي عند وجودها ، فوجود </w:t>
      </w:r>
      <w:r>
        <w:rPr>
          <w:rStyle w:val="FootnoteAnchor"/>
          <w:rtl w:val="true"/>
        </w:rPr>
        <w:footnoteReference w:id="838"/>
      </w:r>
      <w:r>
        <w:rPr>
          <w:rFonts w:ascii="Amiri" w:hAnsi="Amiri" w:eastAsia="Amiri" w:cs="Amiri"/>
          <w:color w:val="111111"/>
          <w:sz w:val="28"/>
          <w:sz w:val="28"/>
          <w:szCs w:val="28"/>
          <w:rtl w:val="true"/>
          <w:lang w:bidi="ar-SA"/>
        </w:rPr>
        <w:t>الليل في المثال يحتمل ظاهرا أن يكون كاشفا عن انتفاء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المحقّق المذكور أنّ المدار على الغاية المأخوذة غاية في كلام الشارع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وَاشْرَبُوا حَتَّى يَتَبَيَّنَ لَكُمُ الْخَيْطُ الْأَبْيَضُ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لا كلّ ما يمكن رجوعه إليها وإن لم يكن مأخوذة </w:t>
      </w:r>
      <w:r>
        <w:rPr>
          <w:rStyle w:val="FootnoteAnchor"/>
          <w:rtl w:val="true"/>
        </w:rPr>
        <w:footnoteReference w:id="840"/>
      </w:r>
      <w:r>
        <w:rPr>
          <w:rFonts w:ascii="Amiri" w:hAnsi="Amiri" w:eastAsia="Amiri" w:cs="Amiri"/>
          <w:color w:val="111111"/>
          <w:sz w:val="28"/>
          <w:sz w:val="28"/>
          <w:szCs w:val="28"/>
          <w:rtl w:val="true"/>
          <w:lang w:bidi="ar-SA"/>
        </w:rPr>
        <w:t xml:space="preserve">في كلام الشارع كما أشرنا إلى ذلك في السؤال الذي أورده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الشكّ في المزيل؟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ذلك أنّه ما أجاد فيما استجاد مشعرا بذلك تواردهما على مطلب واحد ، مع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ما أجاد في تخصيصها إلخ ، ليس بجيّد ؛ إذ لا يستقيم ذلك إلاّ على </w:t>
      </w:r>
    </w:p>
    <w:p>
      <w:pPr>
        <w:pStyle w:val="BookText"/>
        <w:rPr/>
      </w:pPr>
      <w:r>
        <w:rPr>
          <w:rFonts w:ascii="Amiri" w:hAnsi="Amiri" w:eastAsia="Amiri" w:cs="Amiri"/>
          <w:color w:val="111111"/>
          <w:sz w:val="28"/>
          <w:sz w:val="28"/>
          <w:szCs w:val="28"/>
          <w:rtl w:val="true"/>
          <w:lang w:bidi="ar-SA"/>
        </w:rPr>
        <w:t>تقدير أن يكون مذهب المحقّق اختصاص حجّية الاستصحاب بما إذا كان الشكّ في المزيل والرافع مع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مناط الاستصحاب عنده على وجود الخطاب ، سواء كان المقتضى موجودا أو لا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لا يخفى أنّ الزاعم المذكور إنّما أخذ في عنوان ما ذهب إليه استمرار الحكم لو لا الرافع ، وقضيّة ذلك عدم حجّية الاستصحاب في الموقّتات ، فلو شكّ في أثناء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إمساك اليوم عليه لا يقول </w:t>
      </w:r>
      <w:r>
        <w:rPr>
          <w:rStyle w:val="FootnoteAnchor"/>
          <w:rtl w:val="true"/>
        </w:rPr>
        <w:footnoteReference w:id="842"/>
      </w:r>
      <w:r>
        <w:rPr>
          <w:rFonts w:ascii="Amiri" w:hAnsi="Amiri" w:eastAsia="Amiri" w:cs="Amiri"/>
          <w:color w:val="111111"/>
          <w:sz w:val="28"/>
          <w:sz w:val="28"/>
          <w:szCs w:val="28"/>
          <w:rtl w:val="true"/>
          <w:lang w:bidi="ar-SA"/>
        </w:rPr>
        <w:t>بالاستصحاب مع أنّ ما يظهر منه عند الاستدلال هو اعتبار الاستصحاب فيما إذا شكّ في المانع ، وعدمه فيما إذا شكّ في المقتضي ، من غير أخذ الاستمرار في كلامه ، إلاّ أنّ مقصوده ظاهر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ما استدلّ به على مرامه هو استحالة إرادة معنى النقض حقيقة ؛ لانتفائه بين اليقين والشكّ ، لعدم </w:t>
      </w:r>
      <w:r>
        <w:rPr>
          <w:rStyle w:val="FootnoteAnchor"/>
          <w:rtl w:val="true"/>
        </w:rPr>
        <w:footnoteReference w:id="843"/>
      </w:r>
      <w:r>
        <w:rPr>
          <w:rFonts w:ascii="Amiri" w:hAnsi="Amiri" w:eastAsia="Amiri" w:cs="Amiri"/>
          <w:color w:val="111111"/>
          <w:sz w:val="28"/>
          <w:sz w:val="28"/>
          <w:szCs w:val="28"/>
          <w:rtl w:val="true"/>
          <w:lang w:bidi="ar-SA"/>
        </w:rPr>
        <w:t xml:space="preserve">إمكان اجتماعهما ، وصدقه حقيقة موقوف على الاجتماع والتصادم ، فلا بدّ من المصير إلى معنى أقرب إلى المعنى الحقيقي ، ولا خفاء </w:t>
      </w:r>
      <w:r>
        <w:rPr>
          <w:rStyle w:val="FootnoteAnchor"/>
          <w:rtl w:val="true"/>
        </w:rPr>
        <w:footnoteReference w:id="844"/>
      </w:r>
      <w:r>
        <w:rPr>
          <w:rFonts w:ascii="Amiri" w:hAnsi="Amiri" w:eastAsia="Amiri" w:cs="Amiri"/>
          <w:color w:val="111111"/>
          <w:sz w:val="28"/>
          <w:sz w:val="28"/>
          <w:szCs w:val="28"/>
          <w:rtl w:val="true"/>
          <w:lang w:bidi="ar-SA"/>
        </w:rPr>
        <w:t>أنّ مع وجود المقتضي للبقاء صدق النقض أولى منه مع عدمه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هو أنّ الأقربية الاعتبارية مسلّمة ، ولكنّها غير مجدية بعد عدم مساعدة العرف عليها ، والأقربية العرفية ممنوع ، بل الأقرب عرفا هو القول بأنّ المراد هو الأخذ بالأحكام التي تخالف حكم المتيقّن ، فإنّه إذا اختلف حكم الشيء في حالتي الشكّ واليقين يصدق أنّه نقض للسابق ، فالنقض تارة يلاحظ بالنسبة إلى المستصحب ، وأخرى بالنسبة إلى العمل ، مع أنّه يكفي في صدق النقض بالنسبة إلى المستصحب إمكان استمرارها كما في حقّ الشفعة والخيار ، مضافا إلى بعض القرائن المذكورة في الإيراد على المحقّق ، فإنّه يصلح </w:t>
      </w:r>
      <w:r>
        <w:rPr>
          <w:rStyle w:val="FootnoteAnchor"/>
          <w:rtl w:val="true"/>
        </w:rPr>
        <w:footnoteReference w:id="845"/>
      </w:r>
      <w:r>
        <w:rPr>
          <w:rFonts w:ascii="Amiri" w:hAnsi="Amiri" w:eastAsia="Amiri" w:cs="Amiri"/>
          <w:color w:val="111111"/>
          <w:sz w:val="28"/>
          <w:sz w:val="28"/>
          <w:szCs w:val="28"/>
          <w:rtl w:val="true"/>
          <w:lang w:bidi="ar-SA"/>
        </w:rPr>
        <w:t xml:space="preserve">لدفع القولين ، كقوله </w:t>
      </w:r>
      <w:r>
        <w:rPr>
          <w:rStyle w:val="FootnoteAnchor"/>
          <w:rtl w:val="true"/>
        </w:rPr>
        <w:footnoteReference w:id="846"/>
      </w:r>
      <w:r>
        <w:rPr>
          <w:rFonts w:ascii="Amiri" w:hAnsi="Amiri" w:eastAsia="Amiri" w:cs="Amiri"/>
          <w:color w:val="111111"/>
          <w:sz w:val="28"/>
          <w:sz w:val="28"/>
          <w:szCs w:val="28"/>
          <w:rtl w:val="true"/>
          <w:lang w:bidi="ar-SA"/>
        </w:rPr>
        <w:t xml:space="preserve">عليه‌السلام في رواية زرارة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 بل يبنى على اليقين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ويتمّ عليه كما مرّ ذلك مفصّلا ، ويختصّ بدفع القول هذا قوله عليه‌السلام في مكاتبة القاساني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 صم للرؤية وأفطر للرؤية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فإنّ تفريع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 المزبورة من عدم دخول الشكّ في اليقين لا يتمّ إلاّ على حجّية الاستصحاب في الشكّ من حيث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 المراد بهما إمّا استصحاب جواز الإفطار الثابت في شعبان واستصحاب وجوب الصوم الثابت في رمضان على أن يكون الاستصحاب وجوديا حكميا كما هو الظاهر ، وإمّا المراد استصحاب عدم وجوب الصوم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الإفطار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الاستصحاب عدميا حكميا ، وإمّا المراد استصحاب نفس شعبان من الأوّل ورمضان من الثاني على أن يكون الاستصحاب موضوعيا ، وعلى التقادير لا يتمّ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جواز الإفطار ووجوب الصوم ممّا لم يثبت الاستمرار فيهما ما لم يثبت المزيل ، بل التحقيق إنّهما حكمان موقّتان لا يجري فيهما الاستصحاب على ما هو المصرّح به </w:t>
      </w:r>
      <w:r>
        <w:rPr>
          <w:rStyle w:val="FootnoteAnchor"/>
          <w:rtl w:val="true"/>
        </w:rPr>
        <w:footnoteReference w:id="849"/>
      </w:r>
      <w:r>
        <w:rPr>
          <w:rFonts w:ascii="Amiri" w:hAnsi="Amiri" w:eastAsia="Amiri" w:cs="Amiri"/>
          <w:color w:val="111111"/>
          <w:sz w:val="28"/>
          <w:sz w:val="28"/>
          <w:szCs w:val="28"/>
          <w:rtl w:val="true"/>
          <w:lang w:bidi="ar-SA"/>
        </w:rPr>
        <w:t>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الاستصحاب العدمي في المقام منتزع من الاستصحاب الوجودي ، فلا يعقل تخلّفه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فالتفريع المذكور لا يتمّ إلاّ على استصحاب القوم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المذكور غير حاصر ؛ لاحتمال أن يكون المراد استصحابا آخر ينطبق على موارد استصحاب المفصّل ، وهو أن يكون المراد بالأوّل </w:t>
      </w:r>
    </w:p>
    <w:p>
      <w:pPr>
        <w:pStyle w:val="BookText"/>
        <w:rPr/>
      </w:pPr>
      <w:r>
        <w:rPr>
          <w:rFonts w:ascii="Amiri" w:hAnsi="Amiri" w:eastAsia="Amiri" w:cs="Amiri"/>
          <w:color w:val="111111"/>
          <w:sz w:val="28"/>
          <w:sz w:val="28"/>
          <w:szCs w:val="28"/>
          <w:rtl w:val="true"/>
          <w:lang w:bidi="ar-SA"/>
        </w:rPr>
        <w:t xml:space="preserve">استصحاب عدم دخول رمضان وعدم انقضاء شعبان ، ومن الثاني استصحاب عدم دخول شوّال وعدم انقضاء رمضان </w:t>
      </w:r>
      <w:r>
        <w:rPr>
          <w:rStyle w:val="FootnoteAnchor"/>
          <w:rtl w:val="true"/>
        </w:rPr>
        <w:footnoteReference w:id="850"/>
      </w:r>
      <w:r>
        <w:rPr>
          <w:rFonts w:ascii="Amiri" w:hAnsi="Amiri" w:eastAsia="Amiri" w:cs="Amiri"/>
          <w:color w:val="111111"/>
          <w:sz w:val="28"/>
          <w:sz w:val="28"/>
          <w:szCs w:val="28"/>
          <w:rtl w:val="true"/>
          <w:lang w:bidi="ar-SA"/>
        </w:rPr>
        <w:t>على أن يكون الاستصحاب من الاستصحابات الموضوعية العدمية ، فإنّ الأعدام من الأمور المقرّرة الثابتة إلى ثبوت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الصوم ممّا لا يترتّب على عدم دخول شوّال أو عدم انقضاء رمضان ، كما أنّ جواز الإفطار ممّا لا يترتّب على عدم دخول رمضان أو عدم انقضاء شعبان ، بل الأوّل مترتب على دخول </w:t>
      </w:r>
      <w:r>
        <w:rPr>
          <w:rStyle w:val="FootnoteAnchor"/>
          <w:rtl w:val="true"/>
        </w:rPr>
        <w:footnoteReference w:id="851"/>
      </w:r>
      <w:r>
        <w:rPr>
          <w:rFonts w:ascii="Amiri" w:hAnsi="Amiri" w:eastAsia="Amiri" w:cs="Amiri"/>
          <w:color w:val="111111"/>
          <w:sz w:val="28"/>
          <w:sz w:val="28"/>
          <w:szCs w:val="28"/>
          <w:rtl w:val="true"/>
          <w:lang w:bidi="ar-SA"/>
        </w:rPr>
        <w:t xml:space="preserve">رمضان والثاني على شعبان كما يظهر من 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فالأمور العدمية ليست مقرّرة ثابتة إلى ثبوت المزيل ؛ لأنّ ذات العدم لا يقضي </w:t>
      </w:r>
      <w:r>
        <w:rPr>
          <w:rStyle w:val="FootnoteAnchor"/>
          <w:rtl w:val="true"/>
        </w:rPr>
        <w:footnoteReference w:id="853"/>
      </w:r>
      <w:r>
        <w:rPr>
          <w:rFonts w:ascii="Amiri" w:hAnsi="Amiri" w:eastAsia="Amiri" w:cs="Amiri"/>
          <w:color w:val="111111"/>
          <w:sz w:val="28"/>
          <w:sz w:val="28"/>
          <w:szCs w:val="28"/>
          <w:rtl w:val="true"/>
          <w:lang w:bidi="ar-SA"/>
        </w:rPr>
        <w:t xml:space="preserve">بذلك ، أمّا على القول بعدم احتياجه إلى العلّة فالأمر واضح ، وأمّا على القول باحتياجه كالوجود إلى العلّة فلأنّ العلّة هو انتفاء علّة الوجود فبحصولها ترتفع علّة العدم ، فذهاب العدم بواسطة انتفاء استعداده والمقتضي له لا لوجود </w:t>
      </w:r>
      <w:r>
        <w:rPr>
          <w:rStyle w:val="FootnoteAnchor"/>
          <w:rtl w:val="true"/>
        </w:rPr>
        <w:footnoteReference w:id="854"/>
      </w:r>
      <w:r>
        <w:rPr>
          <w:rFonts w:ascii="Amiri" w:hAnsi="Amiri" w:eastAsia="Amiri" w:cs="Amiri"/>
          <w:color w:val="111111"/>
          <w:sz w:val="28"/>
          <w:sz w:val="28"/>
          <w:szCs w:val="28"/>
          <w:rtl w:val="true"/>
          <w:lang w:bidi="ar-SA"/>
        </w:rPr>
        <w:t>المانع ، ولذلك لا يحكم بأنّ وجود المال بعد فقده لا يعدّ ناقضا لعدمه ، وكذا سائر الموجودات المسبوقة بالأعدام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العدم ممّا يستمرّ لو لا عروض ما يقضي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ذلك غير كاف في المقام ، فإنّ الدعوى في قوّة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شيء لو فرض بقاء علّته التامّة فهو باق والوجود والعدم في ذلك متساويان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صرّح بجريان الاستصحاب في الأمور العدمية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تصريحه بذلك لا يوجب عدم توجّه الإيراد عليه بما ذكرنا ؛ لأنّ الكلام فيما يقتضيه التحقيق على مذهبه لا فيما صرّح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كان ، فهذه الرواية حجّة صريحة عليه في جريان الاستصحاب في غير ما ذهب إليه ، ولا تنهض قرينة لدفع ما ذكره المحقّق الخوانساري ، لكون الجواز مغيّا بغاية وكذا الوجوب كما هو ظاهر لا سترة </w:t>
      </w:r>
      <w:r>
        <w:rPr>
          <w:rStyle w:val="FootnoteAnchor"/>
          <w:rtl w:val="true"/>
        </w:rPr>
        <w:footnoteReference w:id="855"/>
      </w:r>
      <w:r>
        <w:rPr>
          <w:rFonts w:ascii="Amiri" w:hAnsi="Amiri" w:eastAsia="Amiri" w:cs="Amiri"/>
          <w:color w:val="111111"/>
          <w:sz w:val="28"/>
          <w:sz w:val="28"/>
          <w:szCs w:val="28"/>
          <w:rtl w:val="true"/>
          <w:lang w:bidi="ar-SA"/>
        </w:rPr>
        <w:t xml:space="preserve">فيه ، وبناء على ما حقّقنا من أنّ انتفاء الأعدام بواسطة انتفاء المقتضي يمكن القول بأنّ رواية زرارة المرويّة في التهذيب </w:t>
      </w:r>
      <w:r>
        <w:rPr>
          <w:rStyle w:val="FootnoteAnchor"/>
          <w:rtl w:val="true"/>
        </w:rPr>
        <w:footnoteReference w:id="856"/>
      </w:r>
      <w:r>
        <w:rPr>
          <w:rFonts w:ascii="Amiri" w:hAnsi="Amiri" w:eastAsia="Amiri" w:cs="Amiri"/>
          <w:color w:val="111111"/>
          <w:sz w:val="28"/>
          <w:sz w:val="28"/>
          <w:szCs w:val="28"/>
          <w:rtl w:val="true"/>
          <w:lang w:bidi="ar-SA"/>
        </w:rPr>
        <w:t xml:space="preserve">قرينة على مذهب المشهور ، فإنّ الطهارة من الأمور العدمية فإنّها عدم القذارة كما لعلّه يشعر بذلك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لِيُذْهِبَ عَنْكُمُ الرِّجْسَ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وكذلك الرواية الواردة في باب السهو </w:t>
      </w:r>
      <w:r>
        <w:rPr>
          <w:rStyle w:val="FootnoteAnchor"/>
          <w:rtl w:val="true"/>
        </w:rPr>
        <w:footnoteReference w:id="858"/>
      </w:r>
      <w:r>
        <w:rPr>
          <w:rFonts w:ascii="Amiri" w:hAnsi="Amiri" w:eastAsia="Amiri" w:cs="Amiri"/>
          <w:color w:val="111111"/>
          <w:sz w:val="28"/>
          <w:sz w:val="28"/>
          <w:szCs w:val="28"/>
          <w:rtl w:val="true"/>
          <w:lang w:bidi="ar-SA"/>
        </w:rPr>
        <w:t xml:space="preserve">، فإنّ استصحاب عدم الزيادة يصير </w:t>
      </w:r>
      <w:r>
        <w:rPr>
          <w:rStyle w:val="FootnoteAnchor"/>
          <w:rtl w:val="true"/>
        </w:rPr>
        <w:footnoteReference w:id="859"/>
      </w:r>
      <w:r>
        <w:rPr>
          <w:rFonts w:ascii="Amiri" w:hAnsi="Amiri" w:eastAsia="Amiri" w:cs="Amiri"/>
          <w:color w:val="111111"/>
          <w:sz w:val="28"/>
          <w:sz w:val="28"/>
          <w:szCs w:val="28"/>
          <w:rtl w:val="true"/>
          <w:lang w:bidi="ar-SA"/>
        </w:rPr>
        <w:t>قرينة على استصحاب القوم كما لا يخفى بملاحظة هذا التفصيل أيضا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 بإمعان النظر في المقام وكثرة </w:t>
      </w:r>
      <w:r>
        <w:rPr>
          <w:rStyle w:val="FootnoteAnchor"/>
          <w:rtl w:val="true"/>
        </w:rPr>
        <w:footnoteReference w:id="860"/>
      </w:r>
      <w:r>
        <w:rPr>
          <w:rFonts w:ascii="Amiri" w:hAnsi="Amiri" w:eastAsia="Amiri" w:cs="Amiri"/>
          <w:color w:val="111111"/>
          <w:sz w:val="28"/>
          <w:sz w:val="28"/>
          <w:szCs w:val="28"/>
          <w:rtl w:val="true"/>
          <w:lang w:bidi="ar-SA"/>
        </w:rPr>
        <w:t xml:space="preserve">التأمّل فيه ، فلعلّه يتّضح </w:t>
      </w:r>
      <w:r>
        <w:rPr>
          <w:rStyle w:val="FootnoteAnchor"/>
          <w:rtl w:val="true"/>
        </w:rPr>
        <w:footnoteReference w:id="861"/>
      </w:r>
      <w:r>
        <w:rPr>
          <w:rFonts w:ascii="Amiri" w:hAnsi="Amiri" w:eastAsia="Amiri" w:cs="Amiri"/>
          <w:color w:val="111111"/>
          <w:sz w:val="28"/>
          <w:sz w:val="28"/>
          <w:szCs w:val="28"/>
          <w:rtl w:val="true"/>
          <w:lang w:bidi="ar-SA"/>
        </w:rPr>
        <w:t xml:space="preserve">لك من ذلك وجوه </w:t>
      </w:r>
      <w:r>
        <w:rPr>
          <w:rStyle w:val="FootnoteAnchor"/>
          <w:rtl w:val="true"/>
        </w:rPr>
        <w:footnoteReference w:id="862"/>
      </w:r>
      <w:r>
        <w:rPr>
          <w:rFonts w:ascii="Amiri" w:hAnsi="Amiri" w:eastAsia="Amiri" w:cs="Amiri"/>
          <w:color w:val="111111"/>
          <w:sz w:val="28"/>
          <w:sz w:val="28"/>
          <w:szCs w:val="28"/>
          <w:rtl w:val="true"/>
          <w:lang w:bidi="ar-SA"/>
        </w:rPr>
        <w:t xml:space="preserve">أخر يمكن تأييد مذهب القوم بها </w:t>
      </w:r>
      <w:r>
        <w:rPr>
          <w:rStyle w:val="FootnoteAnchor"/>
          <w:rtl w:val="true"/>
        </w:rPr>
        <w:footnoteReference w:id="863"/>
      </w:r>
      <w:r>
        <w:rPr>
          <w:rFonts w:ascii="Amiri" w:hAnsi="Amiri" w:eastAsia="Amiri" w:cs="Amiri"/>
          <w:color w:val="111111"/>
          <w:sz w:val="28"/>
          <w:sz w:val="28"/>
          <w:szCs w:val="28"/>
          <w:rtl w:val="true"/>
          <w:lang w:bidi="ar-SA"/>
        </w:rPr>
        <w:t xml:space="preserve">، فكن على بصيرة من ذلك ، واللّه الموفّق وهو الهادي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6284_171141"/>
      <w:bookmarkStart w:id="111" w:name="pg16284_171141"/>
      <w:bookmarkEnd w:id="111"/>
    </w:p>
    <w:p>
      <w:pPr>
        <w:pStyle w:val="Heading3"/>
        <w:numPr>
          <w:ilvl w:val="2"/>
          <w:numId w:val="1"/>
        </w:numPr>
        <w:rPr/>
      </w:pPr>
      <w:bookmarkStart w:id="112" w:name="pg16284_171141"/>
      <w:bookmarkStart w:id="113" w:name="__RefHeading___Toc5012094_1280447820"/>
      <w:bookmarkStart w:id="114" w:name="_Toc36"/>
      <w:bookmarkEnd w:id="112"/>
      <w:bookmarkEnd w:id="113"/>
      <w:r>
        <w:rPr>
          <w:rtl w:val="true"/>
        </w:rPr>
        <w:t xml:space="preserve">هداية استطرادية </w:t>
      </w:r>
      <w:r>
        <w:rPr>
          <w:rtl w:val="true"/>
        </w:rPr>
        <w:t xml:space="preserve">[ </w:t>
      </w:r>
      <w:r>
        <w:rPr>
          <w:rtl w:val="true"/>
        </w:rPr>
        <w:t xml:space="preserve">في الأحكام الوضعية </w:t>
      </w:r>
      <w:r>
        <w:rPr>
          <w:rtl w:val="true"/>
        </w:rPr>
        <w:t>]</w:t>
      </w:r>
      <w:bookmarkEnd w:id="114"/>
    </w:p>
    <w:p>
      <w:pPr>
        <w:pStyle w:val="Heading4"/>
        <w:numPr>
          <w:ilvl w:val="3"/>
          <w:numId w:val="1"/>
        </w:numPr>
        <w:rPr/>
      </w:pPr>
      <w:bookmarkStart w:id="115" w:name="__RefHeading___Toc5012096_1280447820"/>
      <w:bookmarkStart w:id="116" w:name="_Toc37"/>
      <w:bookmarkEnd w:id="115"/>
      <w:r>
        <w:rPr>
          <w:rtl w:val="true"/>
        </w:rPr>
        <w:t>اشارة</w:t>
      </w:r>
      <w:bookmarkEnd w:id="11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فيما تقدّم تقسيم الحكم إلى الوضعي والتكليفي في كلام المحقّق الخوانساري ورجوع الأوّل إلى الثاني ، حيث أفاد أنّ الأحكام الوضعية عند التحقيق ترجع </w:t>
      </w:r>
      <w:r>
        <w:rPr>
          <w:rStyle w:val="FootnoteAnchor"/>
          <w:rtl w:val="true"/>
        </w:rPr>
        <w:footnoteReference w:id="865"/>
      </w:r>
      <w:r>
        <w:rPr>
          <w:rFonts w:ascii="Amiri" w:hAnsi="Amiri" w:eastAsia="Amiri" w:cs="Amiri"/>
          <w:color w:val="111111"/>
          <w:sz w:val="28"/>
          <w:sz w:val="28"/>
          <w:szCs w:val="28"/>
          <w:rtl w:val="true"/>
          <w:lang w:bidi="ar-SA"/>
        </w:rPr>
        <w:t xml:space="preserve">إلى الأحكام التكليفية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بعض من تأخر عنه </w:t>
      </w:r>
      <w:r>
        <w:rPr>
          <w:rStyle w:val="FootnoteAnchor"/>
          <w:rtl w:val="true"/>
        </w:rPr>
        <w:footnoteReference w:id="867"/>
      </w:r>
      <w:r>
        <w:rPr>
          <w:rFonts w:ascii="Amiri" w:hAnsi="Amiri" w:eastAsia="Amiri" w:cs="Amiri"/>
          <w:color w:val="111111"/>
          <w:sz w:val="28"/>
          <w:sz w:val="28"/>
          <w:szCs w:val="28"/>
          <w:rtl w:val="true"/>
          <w:lang w:bidi="ar-SA"/>
        </w:rPr>
        <w:t xml:space="preserve">بأنّه ليس بشيء ، فإنّ كون الشيء سببا لآخر أو شطرا أو شرطا أو مانعا والصحّة والبطلان وغيرها ، متعلّقات الخطابات والأدلّة ، وأحكام صدرت من الشارع ، ولها عوارض وخواصّ ، وممّا يهتمّ به </w:t>
      </w:r>
      <w:r>
        <w:rPr>
          <w:rStyle w:val="FootnoteAnchor"/>
          <w:rtl w:val="true"/>
        </w:rPr>
        <w:footnoteReference w:id="868"/>
      </w:r>
      <w:r>
        <w:rPr>
          <w:rFonts w:ascii="Amiri" w:hAnsi="Amiri" w:eastAsia="Amiri" w:cs="Amiri"/>
          <w:color w:val="111111"/>
          <w:sz w:val="28"/>
          <w:sz w:val="28"/>
          <w:szCs w:val="28"/>
          <w:rtl w:val="true"/>
          <w:lang w:bidi="ar-SA"/>
        </w:rPr>
        <w:t xml:space="preserve">، وكلّ حكم مغاير للخمسة المعروفة لا وجه لإرجاعه </w:t>
      </w:r>
      <w:r>
        <w:rPr>
          <w:rStyle w:val="FootnoteAnchor"/>
          <w:rtl w:val="true"/>
        </w:rPr>
        <w:footnoteReference w:id="869"/>
      </w:r>
      <w:r>
        <w:rPr>
          <w:rFonts w:ascii="Amiri" w:hAnsi="Amiri" w:eastAsia="Amiri" w:cs="Amiri"/>
          <w:color w:val="111111"/>
          <w:sz w:val="28"/>
          <w:sz w:val="28"/>
          <w:szCs w:val="28"/>
          <w:rtl w:val="true"/>
          <w:lang w:bidi="ar-SA"/>
        </w:rPr>
        <w:t xml:space="preserve">إليها بالتكلّف ؛ لاختلافهما </w:t>
      </w:r>
      <w:r>
        <w:rPr>
          <w:rStyle w:val="FootnoteAnchor"/>
          <w:rtl w:val="true"/>
        </w:rPr>
        <w:footnoteReference w:id="870"/>
      </w:r>
      <w:r>
        <w:rPr>
          <w:rFonts w:ascii="Amiri" w:hAnsi="Amiri" w:eastAsia="Amiri" w:cs="Amiri"/>
          <w:color w:val="111111"/>
          <w:sz w:val="28"/>
          <w:sz w:val="28"/>
          <w:szCs w:val="28"/>
          <w:rtl w:val="true"/>
          <w:lang w:bidi="ar-SA"/>
        </w:rPr>
        <w:t>مفادا وشرطا ودليلا ومحلاّ ، مع أنّه لو صحّ لزم انحصار الأحكام في الثلاثة ؛ لرجوع الحرمة والوجوب إلى حكم واحد كالندب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اختلاف الوضعي والتكليفي في كثير من المقامات ضروري كحرمة شرب الخمر ومانعيتها من الصلاة </w:t>
      </w:r>
      <w:r>
        <w:rPr>
          <w:rStyle w:val="FootnoteAnchor"/>
          <w:rtl w:val="true"/>
        </w:rPr>
        <w:footnoteReference w:id="871"/>
      </w:r>
      <w:r>
        <w:rPr>
          <w:rFonts w:ascii="Amiri" w:hAnsi="Amiri" w:eastAsia="Amiri" w:cs="Amiri"/>
          <w:color w:val="111111"/>
          <w:sz w:val="28"/>
          <w:sz w:val="28"/>
          <w:szCs w:val="28"/>
          <w:rtl w:val="true"/>
          <w:lang w:bidi="ar-SA"/>
        </w:rPr>
        <w:t xml:space="preserve">، فإنّ أحدهما مباين </w:t>
      </w:r>
      <w:r>
        <w:rPr>
          <w:rStyle w:val="FootnoteAnchor"/>
          <w:rtl w:val="true"/>
        </w:rPr>
        <w:footnoteReference w:id="872"/>
      </w:r>
      <w:r>
        <w:rPr>
          <w:rFonts w:ascii="Amiri" w:hAnsi="Amiri" w:eastAsia="Amiri" w:cs="Amiri"/>
          <w:color w:val="111111"/>
          <w:sz w:val="28"/>
          <w:sz w:val="28"/>
          <w:szCs w:val="28"/>
          <w:rtl w:val="true"/>
          <w:lang w:bidi="ar-SA"/>
        </w:rPr>
        <w:t xml:space="preserve">للآخر منفكّ عنه كوجوب الطهارة </w:t>
      </w:r>
    </w:p>
    <w:p>
      <w:pPr>
        <w:pStyle w:val="BookText"/>
        <w:rPr/>
      </w:pPr>
      <w:r>
        <w:rPr>
          <w:rFonts w:ascii="Amiri" w:hAnsi="Amiri" w:eastAsia="Amiri" w:cs="Amiri"/>
          <w:color w:val="111111"/>
          <w:sz w:val="28"/>
          <w:sz w:val="28"/>
          <w:szCs w:val="28"/>
          <w:rtl w:val="true"/>
          <w:lang w:bidi="ar-SA"/>
        </w:rPr>
        <w:t xml:space="preserve">وشرطيتها للصلاة ، فإنّ شرطيتها تجتمع </w:t>
      </w:r>
      <w:r>
        <w:rPr>
          <w:rStyle w:val="FootnoteAnchor"/>
          <w:rtl w:val="true"/>
        </w:rPr>
        <w:footnoteReference w:id="873"/>
      </w:r>
      <w:r>
        <w:rPr>
          <w:rFonts w:ascii="Amiri" w:hAnsi="Amiri" w:eastAsia="Amiri" w:cs="Amiri"/>
          <w:color w:val="111111"/>
          <w:sz w:val="28"/>
          <w:sz w:val="28"/>
          <w:szCs w:val="28"/>
          <w:rtl w:val="true"/>
          <w:lang w:bidi="ar-SA"/>
        </w:rPr>
        <w:t xml:space="preserve">مع الوجوب والندب ، وكذا اختلاف لوازمهما كجريان لزوم التكليف بما لا يطاق في الحكم التكليفي وعدمه في الوضعيات التعليقية ، وأيضا في الخطابات التكليفية لا بدّ من العلم والشعور والقدرة ، وفي الوضعي ما </w:t>
      </w:r>
      <w:r>
        <w:rPr>
          <w:rStyle w:val="FootnoteAnchor"/>
          <w:rtl w:val="true"/>
        </w:rPr>
        <w:footnoteReference w:id="874"/>
      </w:r>
      <w:r>
        <w:rPr>
          <w:rFonts w:ascii="Amiri" w:hAnsi="Amiri" w:eastAsia="Amiri" w:cs="Amiri"/>
          <w:color w:val="111111"/>
          <w:sz w:val="28"/>
          <w:sz w:val="28"/>
          <w:szCs w:val="28"/>
          <w:rtl w:val="true"/>
          <w:lang w:bidi="ar-SA"/>
        </w:rPr>
        <w:t xml:space="preserve">لا يشترط فيه </w:t>
      </w:r>
      <w:r>
        <w:rPr>
          <w:rStyle w:val="FootnoteAnchor"/>
          <w:rtl w:val="true"/>
        </w:rPr>
        <w:footnoteReference w:id="875"/>
      </w:r>
      <w:r>
        <w:rPr>
          <w:rFonts w:ascii="Amiri" w:hAnsi="Amiri" w:eastAsia="Amiri" w:cs="Amiri"/>
          <w:color w:val="111111"/>
          <w:sz w:val="28"/>
          <w:sz w:val="28"/>
          <w:szCs w:val="28"/>
          <w:rtl w:val="true"/>
          <w:lang w:bidi="ar-SA"/>
        </w:rPr>
        <w:t xml:space="preserve">ذلك ، كما إذا مات قريب الإنسان وهو لا يشعر به ، فإنّ التركة تنتقل إليه ، وإن كان فيها من ينعتق عليه عتق ، وكذا يجب الضمان بإتلاف النائم وما في حكمه </w:t>
      </w:r>
      <w:r>
        <w:rPr>
          <w:rStyle w:val="FootnoteAnchor"/>
          <w:rtl w:val="true"/>
        </w:rPr>
        <w:footnoteReference w:id="8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مع خروجه عن المبحث يقتضي بسطا في الكلام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العلاّمة رحمه‌اللّه في التهذيب </w:t>
      </w:r>
      <w:r>
        <w:rPr>
          <w:rStyle w:val="FootnoteAnchor"/>
          <w:rtl w:val="true"/>
        </w:rPr>
        <w:footnoteReference w:id="877"/>
      </w:r>
      <w:r>
        <w:rPr>
          <w:rFonts w:ascii="Amiri" w:hAnsi="Amiri" w:eastAsia="Amiri" w:cs="Amiri"/>
          <w:color w:val="111111"/>
          <w:sz w:val="28"/>
          <w:sz w:val="28"/>
          <w:szCs w:val="28"/>
          <w:rtl w:val="true"/>
          <w:lang w:bidi="ar-SA"/>
        </w:rPr>
        <w:t xml:space="preserve">والعضدي </w:t>
      </w:r>
      <w:r>
        <w:rPr>
          <w:rStyle w:val="FootnoteAnchor"/>
          <w:rtl w:val="true"/>
        </w:rPr>
        <w:footnoteReference w:id="878"/>
      </w:r>
      <w:r>
        <w:rPr>
          <w:rFonts w:ascii="Amiri" w:hAnsi="Amiri" w:eastAsia="Amiri" w:cs="Amiri"/>
          <w:color w:val="111111"/>
          <w:sz w:val="28"/>
          <w:sz w:val="28"/>
          <w:szCs w:val="28"/>
          <w:rtl w:val="true"/>
          <w:lang w:bidi="ar-SA"/>
        </w:rPr>
        <w:t xml:space="preserve">والآمدي في الإحكام </w:t>
      </w:r>
      <w:r>
        <w:rPr>
          <w:rStyle w:val="FootnoteAnchor"/>
          <w:rtl w:val="true"/>
        </w:rPr>
        <w:footnoteReference w:id="879"/>
      </w:r>
      <w:r>
        <w:rPr>
          <w:rFonts w:ascii="Amiri" w:hAnsi="Amiri" w:eastAsia="Amiri" w:cs="Amiri"/>
          <w:color w:val="111111"/>
          <w:sz w:val="28"/>
          <w:sz w:val="28"/>
          <w:szCs w:val="28"/>
          <w:rtl w:val="true"/>
          <w:lang w:bidi="ar-SA"/>
        </w:rPr>
        <w:t xml:space="preserve">وجماعة من الفريقين إلى ثبوت الأحكام الوضعية ، بل وعليه المشهور على ما </w:t>
      </w:r>
      <w:r>
        <w:rPr>
          <w:rStyle w:val="FootnoteAnchor"/>
          <w:rtl w:val="true"/>
        </w:rPr>
        <w:footnoteReference w:id="880"/>
      </w:r>
      <w:r>
        <w:rPr>
          <w:rFonts w:ascii="Amiri" w:hAnsi="Amiri" w:eastAsia="Amiri" w:cs="Amiri"/>
          <w:color w:val="111111"/>
          <w:sz w:val="28"/>
          <w:sz w:val="28"/>
          <w:szCs w:val="28"/>
          <w:rtl w:val="true"/>
          <w:lang w:bidi="ar-SA"/>
        </w:rPr>
        <w:t xml:space="preserve">نبّه عليه المورد المذكور ،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ثبوتها ، بل هي أمور تابعة للأحكام التكليفية ، بل في شرح الفاضل على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w:t>
      </w:r>
      <w:r>
        <w:rPr>
          <w:rStyle w:val="FootnoteAnchor"/>
          <w:rtl w:val="true"/>
        </w:rPr>
        <w:footnoteReference w:id="881"/>
      </w:r>
      <w:r>
        <w:rPr>
          <w:rFonts w:ascii="Amiri" w:hAnsi="Amiri" w:eastAsia="Amiri" w:cs="Amiri"/>
          <w:color w:val="111111"/>
          <w:sz w:val="28"/>
          <w:sz w:val="28"/>
          <w:szCs w:val="28"/>
          <w:rtl w:val="true"/>
          <w:lang w:bidi="ar-SA"/>
        </w:rPr>
        <w:t xml:space="preserve">، وصرّح السيّد الشارح في بحث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استقرّ رأي المحقّقين على أنّ الخطاب الوضعي مرجعه إلى الخطاب الشرعي </w:t>
      </w:r>
      <w:r>
        <w:rPr>
          <w:rStyle w:val="FootnoteAnchor"/>
          <w:rtl w:val="true"/>
        </w:rPr>
        <w:footnoteReference w:id="882"/>
      </w:r>
      <w:r>
        <w:rPr>
          <w:rFonts w:ascii="Amiri" w:hAnsi="Amiri" w:eastAsia="Amiri" w:cs="Amiri"/>
          <w:color w:val="111111"/>
          <w:sz w:val="28"/>
          <w:sz w:val="28"/>
          <w:szCs w:val="28"/>
          <w:rtl w:val="true"/>
          <w:lang w:bidi="ar-SA"/>
        </w:rPr>
        <w:t xml:space="preserve">، بل وذلك هو ظاهر من عرّف الحكم الشرعي بالخطاب المتعلّق بأفعال المكلّفين اقتضاء وتخييرا من دون تعرّض للحكم الوضعي ، ثمّ إنّ المثبتين بين من حصرها في </w:t>
      </w:r>
    </w:p>
    <w:p>
      <w:pPr>
        <w:pStyle w:val="BookText"/>
        <w:rPr/>
      </w:pP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والشرطية والمانعية كالعضدي </w:t>
      </w:r>
      <w:r>
        <w:rPr>
          <w:rStyle w:val="FootnoteAnchor"/>
          <w:rtl w:val="true"/>
        </w:rPr>
        <w:footnoteReference w:id="883"/>
      </w:r>
      <w:r>
        <w:rPr>
          <w:rFonts w:ascii="Amiri" w:hAnsi="Amiri" w:eastAsia="Amiri" w:cs="Amiri"/>
          <w:color w:val="111111"/>
          <w:sz w:val="28"/>
          <w:sz w:val="28"/>
          <w:szCs w:val="28"/>
          <w:rtl w:val="true"/>
          <w:lang w:bidi="ar-SA"/>
        </w:rPr>
        <w:t xml:space="preserve">تبعا للحاجبي </w:t>
      </w:r>
      <w:r>
        <w:rPr>
          <w:rStyle w:val="FootnoteAnchor"/>
          <w:rtl w:val="true"/>
        </w:rPr>
        <w:footnoteReference w:id="884"/>
      </w:r>
      <w:r>
        <w:rPr>
          <w:rFonts w:ascii="Amiri" w:hAnsi="Amiri" w:eastAsia="Amiri" w:cs="Amiri"/>
          <w:color w:val="111111"/>
          <w:sz w:val="28"/>
          <w:sz w:val="28"/>
          <w:szCs w:val="28"/>
          <w:rtl w:val="true"/>
          <w:lang w:bidi="ar-SA"/>
        </w:rPr>
        <w:t xml:space="preserve">، وبين من زاد عليها الصحّة والفساد ، وبين من زاد عليها الرخصة والعزيمة </w:t>
      </w:r>
      <w:r>
        <w:rPr>
          <w:rStyle w:val="FootnoteAnchor"/>
          <w:rtl w:val="true"/>
        </w:rPr>
        <w:footnoteReference w:id="885"/>
      </w:r>
      <w:r>
        <w:rPr>
          <w:rFonts w:ascii="Amiri" w:hAnsi="Amiri" w:eastAsia="Amiri" w:cs="Amiri"/>
          <w:color w:val="111111"/>
          <w:sz w:val="28"/>
          <w:sz w:val="28"/>
          <w:szCs w:val="28"/>
          <w:rtl w:val="true"/>
          <w:lang w:bidi="ar-SA"/>
        </w:rPr>
        <w:t xml:space="preserve">وبين من زاد عليها العلامة والعلّة كثاني الشهيدين </w:t>
      </w:r>
      <w:r>
        <w:rPr>
          <w:rStyle w:val="FootnoteAnchor"/>
          <w:rtl w:val="true"/>
        </w:rPr>
        <w:footnoteReference w:id="886"/>
      </w:r>
      <w:r>
        <w:rPr>
          <w:rFonts w:ascii="Amiri" w:hAnsi="Amiri" w:eastAsia="Amiri" w:cs="Amiri"/>
          <w:color w:val="111111"/>
          <w:sz w:val="28"/>
          <w:sz w:val="28"/>
          <w:szCs w:val="28"/>
          <w:rtl w:val="true"/>
          <w:lang w:bidi="ar-SA"/>
        </w:rPr>
        <w:t xml:space="preserve">، إلاّ أنّه احتمل رجوع </w:t>
      </w:r>
      <w:r>
        <w:rPr>
          <w:rStyle w:val="FootnoteAnchor"/>
          <w:rtl w:val="true"/>
        </w:rPr>
        <w:footnoteReference w:id="887"/>
      </w:r>
      <w:r>
        <w:rPr>
          <w:rFonts w:ascii="Amiri" w:hAnsi="Amiri" w:eastAsia="Amiri" w:cs="Amiri"/>
          <w:color w:val="111111"/>
          <w:sz w:val="28"/>
          <w:sz w:val="28"/>
          <w:szCs w:val="28"/>
          <w:rtl w:val="true"/>
          <w:lang w:bidi="ar-SA"/>
        </w:rPr>
        <w:t>العلّة إلى السبب وكذا العلامة ، أو إلى الشرط ، وبين من لا يرى فيها حصرا ، ولعلّ مراده كثرتها لا عدم انحصارها ؛ إذ لا يعقل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تحرير محلّ الخلاف أوّلا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ثبوت أمور هي محمولات في القضايا الشرعية كالطهارة والنجاسة والزوجية والرقّية والكفر والإيمان والملكية ونحوها ممّا لا يحصى كثرة ، فإنّ إنكار تلك الأمور في الشرعيات </w:t>
      </w:r>
      <w:r>
        <w:rPr>
          <w:rStyle w:val="FootnoteAnchor"/>
          <w:rtl w:val="true"/>
        </w:rPr>
        <w:footnoteReference w:id="888"/>
      </w:r>
      <w:r>
        <w:rPr>
          <w:rFonts w:ascii="Amiri" w:hAnsi="Amiri" w:eastAsia="Amiri" w:cs="Amiri"/>
          <w:color w:val="111111"/>
          <w:sz w:val="28"/>
          <w:sz w:val="28"/>
          <w:szCs w:val="28"/>
          <w:rtl w:val="true"/>
          <w:lang w:bidi="ar-SA"/>
        </w:rPr>
        <w:t xml:space="preserve">في مرتبة إنكار القضايا الأوّلية في العقليات ؛ إذ وجود الأسباب الشرعية وموانعها كشرائطها ضروري وفي غاية الكثرة ، فإنّه </w:t>
      </w:r>
      <w:r>
        <w:rPr>
          <w:rStyle w:val="FootnoteAnchor"/>
          <w:rtl w:val="true"/>
        </w:rPr>
        <w:footnoteReference w:id="889"/>
      </w:r>
      <w:r>
        <w:rPr>
          <w:rFonts w:ascii="Amiri" w:hAnsi="Amiri" w:eastAsia="Amiri" w:cs="Amiri"/>
          <w:color w:val="111111"/>
          <w:sz w:val="28"/>
          <w:sz w:val="28"/>
          <w:szCs w:val="28"/>
          <w:rtl w:val="true"/>
          <w:lang w:bidi="ar-SA"/>
        </w:rPr>
        <w:t xml:space="preserve">ربّما يعسر الإحاطة بشرائط ماهيّة واحدة وموانعها كالصلاة مثلا ، كما أنّه لا ريب في فساد دعوى أنّ مفاهيم هذه الأوصاف عين مفاهيم الأحكام التكليفية ، فإنّ القول باتّحاد مفهوم وجوب الصلاة لمفهوم سببية الدلوك ساقط جدّا ، فلا يكاد يعقل لذلك وجه ، وإنّما يتأتّى المناقشة اللفظية في تسمية هذه الأوصاف أحكاما إنشائية ؛ ضرورة حصولها في محالّها من غير تعلّق إنشاء بها كما في اتّصاف الطالب بالطالبية ، والمطلوب بالمطلوبية ، فإنّ إنشاء نفس الطلب يكفي في </w:t>
      </w:r>
    </w:p>
    <w:p>
      <w:pPr>
        <w:pStyle w:val="BookText"/>
        <w:rPr/>
      </w:pPr>
      <w:r>
        <w:rPr>
          <w:rFonts w:ascii="IRNazanin" w:hAnsi="IRNazanin" w:eastAsia="IRNazanin"/>
          <w:color w:val="111111"/>
          <w:sz w:val="28"/>
          <w:sz w:val="28"/>
          <w:szCs w:val="28"/>
          <w:rtl w:val="true"/>
          <w:lang w:bidi="fa-IR"/>
        </w:rPr>
        <w:t xml:space="preserve">انتزاع هذه الأوصاف عن </w:t>
      </w:r>
      <w:r>
        <w:rPr>
          <w:rStyle w:val="FootnoteAnchor"/>
          <w:rtl w:val="true"/>
        </w:rPr>
        <w:footnoteReference w:id="890"/>
      </w:r>
      <w:r>
        <w:rPr>
          <w:rFonts w:ascii="Amiri" w:hAnsi="Amiri" w:eastAsia="Amiri" w:cs="Amiri"/>
          <w:color w:val="111111"/>
          <w:sz w:val="28"/>
          <w:sz w:val="28"/>
          <w:szCs w:val="28"/>
          <w:rtl w:val="true"/>
          <w:lang w:bidi="ar-SA"/>
        </w:rPr>
        <w:t>محالّها ، ولا ريب أيضا في أنّ للشارع بيان هذه الأمور المحمولة على الموضوعات ككشفه عن مانعية الحدث للصلاة ، وجزئية السورة لها ، وإيراث العصيان استحقاق العقاب ، وتضعيف البدن بتكثير الحمّام ، وإضرار الميتة للبدن ، وسببية الدلوك للصلاة ، والطلاق للتحريم ، والنكاح للتحليل ، وشرب الخلّ لشدّ العقل ، ونحوها ممّا لا حدّ فيها ولا حصر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وأمثال هذه البيانات في الكتاب والسنّة وجودها معلوم والمنكر مكابر ، فالحاكم بيننا وبينه بعد حكومة الإنصاف هو الرجوع إلى الأدلّة الشرعية ، ولا شبهة في أنّ هذه الأمور منسوبة إليه تعالى على نحو انتساب سلسلة الممكنات إليه ، وإنّما الكلام في أنّها من الأمور المتأصّلة التي يتعلّق بها الجعل والإبداع والإنشاء كما في الأحكام الخمسة التكليفية أو </w:t>
      </w:r>
      <w:r>
        <w:rPr>
          <w:rStyle w:val="FootnoteAnchor"/>
          <w:rtl w:val="true"/>
        </w:rPr>
        <w:footnoteReference w:id="891"/>
      </w:r>
      <w:r>
        <w:rPr>
          <w:rFonts w:ascii="Amiri" w:hAnsi="Amiri" w:eastAsia="Amiri" w:cs="Amiri"/>
          <w:color w:val="111111"/>
          <w:sz w:val="28"/>
          <w:sz w:val="28"/>
          <w:szCs w:val="28"/>
          <w:rtl w:val="true"/>
          <w:lang w:bidi="ar-SA"/>
        </w:rPr>
        <w:t>يكفي في تحقّقها وإيجادها إبداع ملزوماتها من الأحكام التكليفية وإنشائها ، فتسمية هذه الأوصاف أحكاما على الثاني مجازية باعتبار أنّ ما ينتزع منها أحكام ؛ إذ الحكم الشرعي عبارة عن جعله وإنشائه والمفروض عدم تحقّق الإنشاء والجعل فيها ، نعم يصحّ إطلاق الحكم عليها حقيقة باعتبار معناه التصديقي أو بملاحظة أنّها نسب خبرية كما لا يخفى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فالمثبت للحكم الوضعي يدّعي أنّ تلك الأمور متعلّقات للجعل بالأصالة بمعنى أنّها أمور إنشائية ، والنافي ينفيه بادّعاء كفاية إبداع الأحكام التكليفية عن إبداعها ، كما هو المقرّر عند أهل المعقول من أنّ الماهيات متعلّقات للجعل الإيجادي والتكويني أصالة ، ولوازمها مجعولات بالتبع ، فالمجعول بالذات هو الأربعة وإن استتبع جعل الزوجية أيضا ، فإنّ هذا هو الذي ينبغي أن يكون محلاّ للخلاف ، فإنكار هذه الأمور رأسا أو ادّعاء </w:t>
      </w:r>
      <w:r>
        <w:rPr>
          <w:rStyle w:val="FootnoteAnchor"/>
          <w:rtl w:val="true"/>
        </w:rPr>
        <w:footnoteReference w:id="892"/>
      </w:r>
      <w:r>
        <w:rPr>
          <w:rFonts w:ascii="Amiri" w:hAnsi="Amiri" w:eastAsia="Amiri" w:cs="Amiri"/>
          <w:color w:val="111111"/>
          <w:sz w:val="28"/>
          <w:sz w:val="28"/>
          <w:szCs w:val="28"/>
          <w:rtl w:val="true"/>
          <w:lang w:bidi="ar-SA"/>
        </w:rPr>
        <w:t xml:space="preserve">اتّحادها للأحكام التكليفية ممّا لا ينبغي أن يذهب إليه </w:t>
      </w:r>
      <w:r>
        <w:rPr>
          <w:rStyle w:val="FootnoteAnchor"/>
          <w:rtl w:val="true"/>
        </w:rPr>
        <w:footnoteReference w:id="893"/>
      </w:r>
      <w:r>
        <w:rPr>
          <w:rFonts w:ascii="IRNazanin" w:hAnsi="IRNazanin" w:eastAsia="IRNazanin"/>
          <w:color w:val="111111"/>
          <w:sz w:val="28"/>
          <w:sz w:val="28"/>
          <w:szCs w:val="28"/>
          <w:rtl w:val="true"/>
          <w:lang w:bidi="fa-IR"/>
        </w:rPr>
        <w:t xml:space="preserve">الوهم ، </w:t>
      </w:r>
    </w:p>
    <w:p>
      <w:pPr>
        <w:pStyle w:val="BookText"/>
        <w:rPr/>
      </w:pPr>
      <w:r>
        <w:rPr>
          <w:rFonts w:ascii="Amiri" w:hAnsi="Amiri" w:eastAsia="Amiri" w:cs="Amiri"/>
          <w:color w:val="111111"/>
          <w:sz w:val="28"/>
          <w:sz w:val="28"/>
          <w:szCs w:val="28"/>
          <w:rtl w:val="true"/>
          <w:lang w:bidi="ar-SA"/>
        </w:rPr>
        <w:t>ومن هنا ينقدح لك القول برجوع النزاع بين الفريقين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 فلنا على ما صرنا إليه من النفي وجهان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الجعل ؛ لعدم الحاجة إليها بعد كفاية جعل الأحكام التكليفية عنها اللازم جعلها من باب اللطف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بيان الكفاية فهو أنّه لا شكّ ولا شبهة في أنّ الأحكام الخمسة التكليفية مجعولات للشارع ، فإنّه اللطف الذي يجب عليه تعالى ، على أنّه </w:t>
      </w:r>
      <w:r>
        <w:rPr>
          <w:rStyle w:val="FootnoteAnchor"/>
          <w:rtl w:val="true"/>
        </w:rPr>
        <w:footnoteReference w:id="895"/>
      </w:r>
      <w:r>
        <w:rPr>
          <w:rFonts w:ascii="Amiri" w:hAnsi="Amiri" w:eastAsia="Amiri" w:cs="Amiri"/>
          <w:color w:val="111111"/>
          <w:sz w:val="28"/>
          <w:sz w:val="28"/>
          <w:szCs w:val="28"/>
          <w:rtl w:val="true"/>
          <w:lang w:bidi="ar-SA"/>
        </w:rPr>
        <w:t xml:space="preserve">الإيجاب لا يعقل بدون الجعل والإنشاء كالتحريم وأخواتهما ، فإذا صدر الطلب من الطالب فلا ريب في احتياجه إلى متعلّق ؛ ضرورة استحالة الطلب بدون </w:t>
      </w:r>
      <w:r>
        <w:rPr>
          <w:rStyle w:val="FootnoteAnchor"/>
          <w:rtl w:val="true"/>
        </w:rPr>
        <w:footnoteReference w:id="896"/>
      </w:r>
      <w:r>
        <w:rPr>
          <w:rFonts w:ascii="Amiri" w:hAnsi="Amiri" w:eastAsia="Amiri" w:cs="Amiri"/>
          <w:color w:val="111111"/>
          <w:sz w:val="28"/>
          <w:sz w:val="28"/>
          <w:szCs w:val="28"/>
          <w:rtl w:val="true"/>
          <w:lang w:bidi="ar-SA"/>
        </w:rPr>
        <w:t>المطلوب ، فهو إمّا أن يكون مركّبا من جزءين فصاعدا ، أو بسيطا ، وعلى التقديرين إمّا أن يكون ذلك المطلوب مقيّدا بقيد من الأمور التي ينبغي أن تلاحظ في المطلوب ، وجوديا كان أو عدميا كما إذا طلب الإتيان بالماء البارد أو الصافي ، أو يكون مطلقا من غير ملاحظة شيء فيه ، وعلى التقادير فإمّا أن يكون الطلب معلّقا على حصول أمر من وقت أو حال كالأمر بالصلاة عند الزوال ودلوك الشمس ، وإمّا أن يكون مطلقا غير معلّق على حصول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هذه الأقسام لا حاجة إلى جعل شيء </w:t>
      </w:r>
      <w:r>
        <w:rPr>
          <w:rStyle w:val="FootnoteAnchor"/>
          <w:rtl w:val="true"/>
        </w:rPr>
        <w:footnoteReference w:id="897"/>
      </w:r>
      <w:r>
        <w:rPr>
          <w:rFonts w:ascii="Amiri" w:hAnsi="Amiri" w:eastAsia="Amiri" w:cs="Amiri"/>
          <w:color w:val="111111"/>
          <w:sz w:val="28"/>
          <w:sz w:val="28"/>
          <w:szCs w:val="28"/>
          <w:rtl w:val="true"/>
          <w:lang w:bidi="ar-SA"/>
        </w:rPr>
        <w:t xml:space="preserve">من الأحكام الوضعية التي تستفاد من هذه الخطابات ، فإنّ بعد ما فرضنا أنّ الطلب تعلّق بإيجاد المكلّف الصلاة عند زوال الشمس مواجها للقبلة في حالة الطهارة ، فلا حاجة إلى إنشاء سببية الزوال </w:t>
      </w:r>
      <w:r>
        <w:rPr>
          <w:rStyle w:val="FootnoteAnchor"/>
          <w:rtl w:val="true"/>
        </w:rPr>
        <w:footnoteReference w:id="898"/>
      </w:r>
      <w:r>
        <w:rPr>
          <w:rFonts w:ascii="Amiri" w:hAnsi="Amiri" w:eastAsia="Amiri" w:cs="Amiri"/>
          <w:color w:val="111111"/>
          <w:sz w:val="28"/>
          <w:sz w:val="28"/>
          <w:szCs w:val="28"/>
          <w:rtl w:val="true"/>
          <w:lang w:bidi="ar-SA"/>
        </w:rPr>
        <w:t xml:space="preserve">وجعله سببا للصلاة ، كما لا حاجة إلى جعل شرطية الطهارة والقبلة ، كما لا حاجة إلى جعل مطابقتها للأمر وعدم مطابقتها له </w:t>
      </w:r>
      <w:r>
        <w:rPr>
          <w:rStyle w:val="FootnoteAnchor"/>
          <w:rtl w:val="true"/>
        </w:rPr>
        <w:footnoteReference w:id="899"/>
      </w:r>
      <w:r>
        <w:rPr>
          <w:rFonts w:ascii="Amiri" w:hAnsi="Amiri" w:eastAsia="Amiri" w:cs="Amiri"/>
          <w:color w:val="111111"/>
          <w:sz w:val="28"/>
          <w:sz w:val="28"/>
          <w:szCs w:val="28"/>
          <w:rtl w:val="true"/>
          <w:lang w:bidi="ar-SA"/>
        </w:rPr>
        <w:t xml:space="preserve">على تقدير الإتيان بها على ما هي عليها من الأجزاء والشرائط أو الإخلال بها بوجه من الوجوه ، فإنّ هذه الأمور اعتبارات عقلية ينتزعها العقل بعد </w:t>
      </w:r>
    </w:p>
    <w:p>
      <w:pPr>
        <w:pStyle w:val="BookText"/>
        <w:rPr/>
      </w:pPr>
      <w:r>
        <w:rPr>
          <w:rFonts w:ascii="Amiri" w:hAnsi="Amiri" w:eastAsia="Amiri" w:cs="Amiri"/>
          <w:color w:val="111111"/>
          <w:sz w:val="28"/>
          <w:sz w:val="28"/>
          <w:szCs w:val="28"/>
          <w:rtl w:val="true"/>
          <w:lang w:bidi="ar-SA"/>
        </w:rPr>
        <w:t xml:space="preserve">كون المطلوب واقعا على وجه من الوجوه ، فينتزع الجزئية عند تعلّق الطلب بمركّب كما ينتزع الكلّية أيضا ، ولذلك لم يذهب وهم إلى أنّ كلّية الكلّ </w:t>
      </w:r>
      <w:r>
        <w:rPr>
          <w:rStyle w:val="FootnoteAnchor"/>
          <w:rtl w:val="true"/>
        </w:rPr>
        <w:footnoteReference w:id="900"/>
      </w:r>
      <w:r>
        <w:rPr>
          <w:rFonts w:ascii="Amiri" w:hAnsi="Amiri" w:eastAsia="Amiri" w:cs="Amiri"/>
          <w:color w:val="111111"/>
          <w:sz w:val="28"/>
          <w:sz w:val="28"/>
          <w:szCs w:val="28"/>
          <w:rtl w:val="true"/>
          <w:lang w:bidi="ar-SA"/>
        </w:rPr>
        <w:t xml:space="preserve">أمر جعلي إنشائي لكفاية تعلّق الطلب بمركّب عنه ، وينتزع الشرطية على تقدير تعلّق الطلب بأمر ملحوظ فيه وجود شيء كالطهارة في الصلاة والبرودة في الماء ، والمانعية على تقدير تعلّقه بأمر ملحوظ فيه عدم شيء كالحدث في الصلاة والتراب في الماء مثلا ، والسببية على تقدير تعلّقه بأمر معلّق على شيء كالصلاة المعلّقة على الوقت مثلا ، والصحة فيما إذا وقع الفعل المأمور به على وجهه ، والفساد إذا لم يقع عليه ، فلو قال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جعله الحكم التكليفي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جعلت الوقت سببا أو الطهارة شرطا أو الحدث مانعا ، كان ذلك لغوا صرفا ويجب تنزيه الشارع الحكيم عنه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إنّما يتمّ بعد فرض صدور الأحكام التكليفية ، ومن أين لك إثبات هذا المعنى في جميع موارد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كان جعل السببية مقدّما على جعل إيجاب الصلاة في الوقت ، فيكون جعل تلك الأحكام مغنيا </w:t>
      </w:r>
      <w:r>
        <w:rPr>
          <w:rStyle w:val="FootnoteAnchor"/>
          <w:rtl w:val="true"/>
        </w:rPr>
        <w:footnoteReference w:id="901"/>
      </w:r>
      <w:r>
        <w:rPr>
          <w:rFonts w:ascii="Amiri" w:hAnsi="Amiri" w:eastAsia="Amiri" w:cs="Amiri"/>
          <w:color w:val="111111"/>
          <w:sz w:val="28"/>
          <w:sz w:val="28"/>
          <w:szCs w:val="28"/>
          <w:rtl w:val="true"/>
          <w:lang w:bidi="ar-SA"/>
        </w:rPr>
        <w:t>عن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902"/>
      </w:r>
      <w:r>
        <w:rPr>
          <w:rFonts w:ascii="Amiri" w:hAnsi="Amiri" w:eastAsia="Amiri" w:cs="Amiri"/>
          <w:color w:val="111111"/>
          <w:sz w:val="28"/>
          <w:sz w:val="28"/>
          <w:szCs w:val="28"/>
          <w:rtl w:val="true"/>
          <w:lang w:bidi="ar-SA"/>
        </w:rPr>
        <w:t xml:space="preserve">سببية الدلوك للصلاة لا يراد بها سببية لذات الصلاة ، فلا بدّ أن يكون المراد لوجوبها </w:t>
      </w:r>
      <w:r>
        <w:rPr>
          <w:rStyle w:val="FootnoteAnchor"/>
          <w:rtl w:val="true"/>
        </w:rPr>
        <w:footnoteReference w:id="903"/>
      </w:r>
      <w:r>
        <w:rPr>
          <w:rFonts w:ascii="Amiri" w:hAnsi="Amiri" w:eastAsia="Amiri" w:cs="Amiri"/>
          <w:color w:val="111111"/>
          <w:sz w:val="28"/>
          <w:sz w:val="28"/>
          <w:szCs w:val="28"/>
          <w:rtl w:val="true"/>
          <w:lang w:bidi="ar-SA"/>
        </w:rPr>
        <w:t xml:space="preserve">، ولا يعقل </w:t>
      </w:r>
      <w:r>
        <w:rPr>
          <w:rStyle w:val="FootnoteAnchor"/>
          <w:rtl w:val="true"/>
        </w:rPr>
        <w:footnoteReference w:id="904"/>
      </w:r>
      <w:r>
        <w:rPr>
          <w:rFonts w:ascii="Amiri" w:hAnsi="Amiri" w:eastAsia="Amiri" w:cs="Amiri"/>
          <w:color w:val="111111"/>
          <w:sz w:val="28"/>
          <w:sz w:val="28"/>
          <w:szCs w:val="28"/>
          <w:rtl w:val="true"/>
          <w:lang w:bidi="ar-SA"/>
        </w:rPr>
        <w:t>وجوب الصلاة بدون الطلب ، فيرجع جعل السببية إلى جعل الطلب والوجوب الذي هو حكم تكليفي ، فالمتأصّل في مقام الجعل هو الطلب دون الحكم الوضعي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الشرعية صريحة في كون الأحكام الوضعية متعلّقة للجعل ، </w:t>
      </w:r>
    </w:p>
    <w:p>
      <w:pPr>
        <w:pStyle w:val="BookText"/>
        <w:rPr/>
      </w:pPr>
      <w:r>
        <w:rPr>
          <w:rFonts w:ascii="Amiri" w:hAnsi="Amiri" w:eastAsia="Amiri" w:cs="Amiri"/>
          <w:color w:val="111111"/>
          <w:sz w:val="28"/>
          <w:sz w:val="28"/>
          <w:szCs w:val="28"/>
          <w:rtl w:val="true"/>
          <w:lang w:bidi="ar-SA"/>
        </w:rPr>
        <w:t xml:space="preserve">فكيف يتأتّى إنكار جعل الوضعيات؟ فمن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لمن لم يبت </w:t>
      </w:r>
      <w:r>
        <w:rPr>
          <w:rStyle w:val="FootnoteAnchor"/>
          <w:rtl w:val="true"/>
        </w:rPr>
        <w:footnoteReference w:id="906"/>
      </w:r>
      <w:r>
        <w:rPr>
          <w:rFonts w:ascii="Amiri" w:hAnsi="Amiri" w:eastAsia="Amiri" w:cs="Amiri"/>
          <w:color w:val="111111"/>
          <w:sz w:val="28"/>
          <w:sz w:val="28"/>
          <w:szCs w:val="28"/>
          <w:rtl w:val="true"/>
          <w:lang w:bidi="ar-SA"/>
        </w:rPr>
        <w:t xml:space="preserve">الصيام من الليل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إلى غير ذلك من الأحكام التي لا حصر فيها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أنّ الشارع إنّما حكم في تلك الأدلّة والقضايا بثبوت تلك المحمولات لموضوعاتها ، وقد عرفت أنّ الحكم بهذا المعنى ليس من المتنازع فيه ، فهذه المحمولات لا تخلو </w:t>
      </w:r>
      <w:r>
        <w:rPr>
          <w:rStyle w:val="FootnoteAnchor"/>
          <w:rtl w:val="true"/>
        </w:rPr>
        <w:footnoteReference w:id="912"/>
      </w:r>
      <w:r>
        <w:rPr>
          <w:rFonts w:ascii="Amiri" w:hAnsi="Amiri" w:eastAsia="Amiri" w:cs="Amiri"/>
          <w:color w:val="111111"/>
          <w:sz w:val="28"/>
          <w:sz w:val="28"/>
          <w:szCs w:val="28"/>
          <w:rtl w:val="true"/>
          <w:lang w:bidi="ar-SA"/>
        </w:rPr>
        <w:t xml:space="preserve">من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اعتبارات عقلية منتزعة من محالّها من الخطابات التكليفية ، وإمّا أن تكون </w:t>
      </w:r>
      <w:r>
        <w:rPr>
          <w:rStyle w:val="FootnoteAnchor"/>
          <w:rtl w:val="true"/>
        </w:rPr>
        <w:footnoteReference w:id="913"/>
      </w:r>
      <w:r>
        <w:rPr>
          <w:rFonts w:ascii="Amiri" w:hAnsi="Amiri" w:eastAsia="Amiri" w:cs="Amiri"/>
          <w:color w:val="111111"/>
          <w:sz w:val="28"/>
          <w:sz w:val="28"/>
          <w:szCs w:val="28"/>
          <w:rtl w:val="true"/>
          <w:lang w:bidi="ar-SA"/>
        </w:rPr>
        <w:t>أمورا واقعية ثابتة في حدود ذواتها مع قطع النظر عن تعلّق جعل إنشائي على نحو الجعل في التكليفيات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يكون الخطاب المتعلّق بالوضعيات خبرا لا إنشاء كما هو ظاهر الأدلّة المذكورة ولا داعي لصرفها عن ظاهرها ، وذلك بخلاف الأخبار الواردة في مقام جعل الحكم التكليفي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مثلا ، 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فإنّه لا مناص من الحمل </w:t>
      </w:r>
      <w:r>
        <w:rPr>
          <w:rStyle w:val="FootnoteAnchor"/>
          <w:rtl w:val="true"/>
        </w:rPr>
        <w:footnoteReference w:id="916"/>
      </w:r>
      <w:r>
        <w:rPr>
          <w:rFonts w:ascii="Amiri" w:hAnsi="Amiri" w:eastAsia="Amiri" w:cs="Amiri"/>
          <w:color w:val="111111"/>
          <w:sz w:val="28"/>
          <w:sz w:val="28"/>
          <w:szCs w:val="28"/>
          <w:rtl w:val="true"/>
          <w:lang w:bidi="ar-SA"/>
        </w:rPr>
        <w:t xml:space="preserve">المذكور فيها ؛ لما عرفت </w:t>
      </w:r>
    </w:p>
    <w:p>
      <w:pPr>
        <w:pStyle w:val="BookText"/>
        <w:rPr/>
      </w:pPr>
      <w:r>
        <w:rPr>
          <w:rFonts w:ascii="Amiri" w:hAnsi="Amiri" w:eastAsia="Amiri" w:cs="Amiri"/>
          <w:color w:val="111111"/>
          <w:sz w:val="28"/>
          <w:sz w:val="28"/>
          <w:szCs w:val="28"/>
          <w:rtl w:val="true"/>
          <w:lang w:bidi="ar-SA"/>
        </w:rPr>
        <w:t>من عدم معقولية التكليف اللازم إلاّ بالطلب ، فلا بدّ من أن يكون هذه الخطابات في معرض إنشاء الطلب ، أو إخبارا عن إنشاء سابق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والشرطية والجزئية والحجّية والمانعية والصحّة والفساد والرخصة والعزيمة والعلّة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السببية فالوقتية منها عبارة عن إيجاب شيء وطلبه في وقت ، والمعنوية منها عبارة عن طلب شيء معلّقا على شيء آخر كالكفّارة عند الظهار والتحريم عند الإسكار ، ولا يرتاب في أنّ بعد إنشاء الطلب المعلّق على شيء فليس من شأن الشارع إنشاء سببية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الشرطية والجزئية فالأمر فيهما ظاهر ممّا مرّ ؛ إذ الجزئية كالكلّية ، والشرطية كالمشروطية ، لأنّهما متضايفان وتجويز الجعل في أحدهما يوجب تجويزه في الآخر ، وفساد ذلك في الآخر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الحجّية فلا نعني بها إلاّ كون الشيء بحيث يجب العمل به ، ومعناه هو وجوب الأخذ به والاتّكال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الصحّة والفساد ففي العبادات عبارتان عن مطابقة المأمور به للأمر ، وعدمها ، ولا ريب في كونهما أمرين عقليين منتزعين عن وقوع الفعل على ما هي عليه من الأمور المعتبرة فيه ، وعدمه ، ولذلك أنكرهما العضدي تبعا للحاجبي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المعاملات فمرجعهما إلى كون المعاملة واقعة على وجهها </w:t>
      </w:r>
      <w:r>
        <w:rPr>
          <w:rStyle w:val="FootnoteAnchor"/>
          <w:rtl w:val="true"/>
        </w:rPr>
        <w:footnoteReference w:id="918"/>
      </w:r>
      <w:r>
        <w:rPr>
          <w:rFonts w:ascii="Amiri" w:hAnsi="Amiri" w:eastAsia="Amiri" w:cs="Amiri"/>
          <w:color w:val="111111"/>
          <w:sz w:val="28"/>
          <w:sz w:val="28"/>
          <w:szCs w:val="28"/>
          <w:rtl w:val="true"/>
          <w:lang w:bidi="ar-SA"/>
        </w:rPr>
        <w:t xml:space="preserve">، فيترتّب عليها أثرها </w:t>
      </w:r>
      <w:r>
        <w:rPr>
          <w:rStyle w:val="FootnoteAnchor"/>
          <w:rtl w:val="true"/>
        </w:rPr>
        <w:footnoteReference w:id="919"/>
      </w:r>
      <w:r>
        <w:rPr>
          <w:rFonts w:ascii="Amiri" w:hAnsi="Amiri" w:eastAsia="Amiri" w:cs="Amiri"/>
          <w:color w:val="111111"/>
          <w:sz w:val="28"/>
          <w:sz w:val="28"/>
          <w:szCs w:val="28"/>
          <w:rtl w:val="true"/>
          <w:lang w:bidi="ar-SA"/>
        </w:rPr>
        <w:t xml:space="preserve">المقصود منها وعدمه ، والعجب ممّن أطلق القول بجعلهما في المعاملات بعد اعتقاد الجعل في السببية ، ويكفيك في الحكم بعدم جعل السببية في المعاملات ملاحظة الأسباب العقلية كالشمس للإشراق والنار للإحراق ، فهل لأحد حسبان أنّ سببية </w:t>
      </w:r>
    </w:p>
    <w:p>
      <w:pPr>
        <w:pStyle w:val="BookText"/>
        <w:rPr/>
      </w:pPr>
      <w:r>
        <w:rPr>
          <w:rFonts w:ascii="Amiri" w:hAnsi="Amiri" w:eastAsia="Amiri" w:cs="Amiri"/>
          <w:color w:val="111111"/>
          <w:sz w:val="28"/>
          <w:sz w:val="28"/>
          <w:szCs w:val="28"/>
          <w:rtl w:val="true"/>
          <w:lang w:bidi="ar-SA"/>
        </w:rPr>
        <w:t>الشمس للإشراق مجعولة ؛ إذ ليست من مقولة الأفعال ، بل هي أمر قائم بالشمس كسببية الدلوك للصلاة أيضا؟</w:t>
      </w:r>
    </w:p>
    <w:p>
      <w:pPr>
        <w:pStyle w:val="BookText"/>
        <w:rPr/>
      </w:pPr>
      <w:r>
        <w:rPr>
          <w:rFonts w:ascii="Amiri" w:hAnsi="Amiri" w:eastAsia="Amiri" w:cs="Amiri"/>
          <w:color w:val="111111"/>
          <w:sz w:val="28"/>
          <w:sz w:val="28"/>
          <w:szCs w:val="28"/>
          <w:rtl w:val="true"/>
          <w:lang w:bidi="ar-SA"/>
        </w:rPr>
        <w:t xml:space="preserve">وأمّا الرخصة والعزيمة فخروجهما عن </w:t>
      </w:r>
      <w:r>
        <w:rPr>
          <w:rStyle w:val="FootnoteAnchor"/>
          <w:rtl w:val="true"/>
        </w:rPr>
        <w:footnoteReference w:id="920"/>
      </w:r>
      <w:r>
        <w:rPr>
          <w:rFonts w:ascii="Amiri" w:hAnsi="Amiri" w:eastAsia="Amiri" w:cs="Amiri"/>
          <w:color w:val="111111"/>
          <w:sz w:val="28"/>
          <w:sz w:val="28"/>
          <w:szCs w:val="28"/>
          <w:rtl w:val="true"/>
          <w:lang w:bidi="ar-SA"/>
        </w:rPr>
        <w:t>أحكام الوضع ظاهر لا حاجة إلى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العلّة والعلامة فقد عرفت </w:t>
      </w:r>
      <w:r>
        <w:rPr>
          <w:rStyle w:val="FootnoteAnchor"/>
          <w:rtl w:val="true"/>
        </w:rPr>
        <w:footnoteReference w:id="921"/>
      </w:r>
      <w:r>
        <w:rPr>
          <w:rFonts w:ascii="Amiri" w:hAnsi="Amiri" w:eastAsia="Amiri" w:cs="Amiri"/>
          <w:color w:val="111111"/>
          <w:sz w:val="28"/>
          <w:sz w:val="28"/>
          <w:szCs w:val="28"/>
          <w:rtl w:val="true"/>
          <w:lang w:bidi="ar-SA"/>
        </w:rPr>
        <w:t>في كلام الشهيد رجوعهما إلى السبب أو إلى الشرط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والملكية والحرّية والرقّية والطهارة والنجاسة والكفر والإيمان والحدث والجنابة والضمان إلى غير ذلك من المحمولات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الأمور أيضا لا تخلو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Style w:val="FootnoteAnchor"/>
          <w:rtl w:val="true"/>
        </w:rPr>
        <w:footnoteReference w:id="922"/>
      </w:r>
      <w:r>
        <w:rPr>
          <w:rFonts w:ascii="Amiri" w:hAnsi="Amiri" w:eastAsia="Amiri" w:cs="Amiri"/>
          <w:color w:val="111111"/>
          <w:sz w:val="28"/>
          <w:sz w:val="28"/>
          <w:szCs w:val="28"/>
          <w:rtl w:val="true"/>
          <w:lang w:bidi="ar-SA"/>
        </w:rPr>
        <w:t xml:space="preserve">من الأمور الواقعية المعلومة عند العرف مفهوما ومصداقا كالزوجية والملكية ، فليس للشارع فيها تصرّف إلاّ ببيان بعض المصاديق التي نحن بمعزل عن إدراكها لغيبتها عن نظرنا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Style w:val="FootnoteAnchor"/>
          <w:rtl w:val="true"/>
        </w:rPr>
        <w:footnoteReference w:id="923"/>
      </w:r>
      <w:r>
        <w:rPr>
          <w:rFonts w:ascii="Amiri" w:hAnsi="Amiri" w:eastAsia="Amiri" w:cs="Amiri"/>
          <w:color w:val="111111"/>
          <w:sz w:val="28"/>
          <w:sz w:val="28"/>
          <w:szCs w:val="28"/>
          <w:rtl w:val="true"/>
          <w:lang w:bidi="ar-SA"/>
        </w:rPr>
        <w:t xml:space="preserve">من الأمور التي لا نجدها في عقولنا مفهوما ومصداقا كالجنابة والحدث ، وعلى التقديرين ليست هي </w:t>
      </w:r>
      <w:r>
        <w:rPr>
          <w:rStyle w:val="FootnoteAnchor"/>
          <w:rtl w:val="true"/>
        </w:rPr>
        <w:footnoteReference w:id="924"/>
      </w:r>
      <w:r>
        <w:rPr>
          <w:rFonts w:ascii="Amiri" w:hAnsi="Amiri" w:eastAsia="Amiri" w:cs="Amiri"/>
          <w:color w:val="111111"/>
          <w:sz w:val="28"/>
          <w:sz w:val="28"/>
          <w:szCs w:val="28"/>
          <w:rtl w:val="true"/>
          <w:lang w:bidi="ar-SA"/>
        </w:rPr>
        <w:t xml:space="preserve">من الأمور المجعولة للشارع على </w:t>
      </w:r>
      <w:r>
        <w:rPr>
          <w:rStyle w:val="FootnoteAnchor"/>
          <w:rtl w:val="true"/>
        </w:rPr>
        <w:footnoteReference w:id="925"/>
      </w:r>
      <w:r>
        <w:rPr>
          <w:rFonts w:ascii="Amiri" w:hAnsi="Amiri" w:eastAsia="Amiri" w:cs="Amiri"/>
          <w:color w:val="111111"/>
          <w:sz w:val="28"/>
          <w:sz w:val="28"/>
          <w:szCs w:val="28"/>
          <w:rtl w:val="true"/>
          <w:lang w:bidi="ar-SA"/>
        </w:rPr>
        <w:t>نحو الجعل في التكليفيات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أمور واقعية ثابتة عند العرف ، وغاية ما يمكن القول به هو أنّ بعض الأفراد المعمولة عند العرف في تلك المفاهيم ممّا ليست من أفراد تلك المفاهيم في نظر الشارع ، وبعض الأفراد التي نحن معزولون عنها أفراد لها ، كبيع </w:t>
      </w:r>
      <w:r>
        <w:rPr>
          <w:rStyle w:val="FootnoteAnchor"/>
          <w:rtl w:val="true"/>
        </w:rPr>
        <w:footnoteReference w:id="926"/>
      </w:r>
      <w:r>
        <w:rPr>
          <w:rFonts w:ascii="Amiri" w:hAnsi="Amiri" w:eastAsia="Amiri" w:cs="Amiri"/>
          <w:color w:val="111111"/>
          <w:sz w:val="28"/>
          <w:sz w:val="28"/>
          <w:szCs w:val="28"/>
          <w:rtl w:val="true"/>
          <w:lang w:bidi="ar-SA"/>
        </w:rPr>
        <w:t xml:space="preserve">المعاطاة المفيد للملك عندهم مع عدم اعتداد الشارع به في الشرع على القول بذلك ؛ إذ لا يعقل من الملكية إلاّ تعلّق خاصّ بين المالك والمملوك ، وليس المفهوم منها إلاّ حقيقة واحدة فإنّها من المشتركات المعنوية ، ولا يحتمل أن يكون الملكية مشتركة بين الملكية </w:t>
      </w:r>
    </w:p>
    <w:p>
      <w:pPr>
        <w:pStyle w:val="BookText"/>
        <w:rPr/>
      </w:pPr>
      <w:r>
        <w:rPr>
          <w:rFonts w:ascii="Amiri" w:hAnsi="Amiri" w:eastAsia="Amiri" w:cs="Amiri"/>
          <w:color w:val="111111"/>
          <w:sz w:val="28"/>
          <w:sz w:val="28"/>
          <w:szCs w:val="28"/>
          <w:rtl w:val="true"/>
          <w:lang w:bidi="ar-SA"/>
        </w:rPr>
        <w:t xml:space="preserve">الشرعية والعرفية اشتراكا لفظيا ، فإذا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لا بدّ أن يكون إخبارا بحصول الملك لا إنشاء لحصوله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قياسه الزوجية والرقّية والحرّية والضمان ونحوها ، ومنه أيضا الطهارة والنجاسة بناء على تفسيرهما بالقذارة والنظافة ، فإنّ الظاهر الشرعي فيه نظافة لا يصل إليه عقولنا كالقذارة الشرعية ، فهي إذن أمور واقعية قد </w:t>
      </w:r>
      <w:r>
        <w:rPr>
          <w:rStyle w:val="FootnoteAnchor"/>
          <w:rtl w:val="true"/>
        </w:rPr>
        <w:footnoteReference w:id="928"/>
      </w:r>
      <w:r>
        <w:rPr>
          <w:rFonts w:ascii="Amiri" w:hAnsi="Amiri" w:eastAsia="Amiri" w:cs="Amiri"/>
          <w:color w:val="111111"/>
          <w:sz w:val="28"/>
          <w:sz w:val="28"/>
          <w:szCs w:val="28"/>
          <w:rtl w:val="true"/>
          <w:lang w:bidi="ar-SA"/>
        </w:rPr>
        <w:t>كشف الشارع عن وجودها في الواقع ، ولا دخل للجعل فيها إلاّ باعتبار أنّه تعالى خالق كلّ شيء وهو جاعل الظلمات والنور ، فاستناد هذه الأشياء إليه تعالى كاستناد سلسلة الممكنات إليه تعالى بأجمعها على وجه لا يعزب عنه ذرّة لا في السماء ولا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أيضا اعتبارات واقعية قد كشف الحكيم المطّلع على الواقع عنها ، فإنّ الحدث هي حالة واقعية حادثة بعد حصول أسبابها من شأنها عدم جواز الدخول معها في العبادة المشروطة بعدمه ، وكذا الجنابة فإنّها أيضا أمر واقعي ، غاية الأمر أنّ العرف لقصور نظرهم عن إدراك ما هو ثابت في الواقع لا يلتفتون إليها ، ولذلك بيّنها </w:t>
      </w:r>
      <w:r>
        <w:rPr>
          <w:rStyle w:val="FootnoteAnchor"/>
          <w:rtl w:val="true"/>
        </w:rPr>
        <w:footnoteReference w:id="929"/>
      </w:r>
      <w:r>
        <w:rPr>
          <w:rFonts w:ascii="Amiri" w:hAnsi="Amiri" w:eastAsia="Amiri" w:cs="Amiri"/>
          <w:color w:val="111111"/>
          <w:sz w:val="28"/>
          <w:sz w:val="28"/>
          <w:szCs w:val="28"/>
          <w:rtl w:val="true"/>
          <w:lang w:bidi="ar-SA"/>
        </w:rPr>
        <w:t xml:space="preserve">الشارع الحكيم بمفهومها ومصداقها وما يترتّب عليها من أحكامها ، وذلك لا يقضي </w:t>
      </w:r>
      <w:r>
        <w:rPr>
          <w:rStyle w:val="FootnoteAnchor"/>
          <w:rtl w:val="true"/>
        </w:rPr>
        <w:footnoteReference w:id="930"/>
      </w:r>
      <w:r>
        <w:rPr>
          <w:rFonts w:ascii="Amiri" w:hAnsi="Amiri" w:eastAsia="Amiri" w:cs="Amiri"/>
          <w:color w:val="111111"/>
          <w:sz w:val="28"/>
          <w:sz w:val="28"/>
          <w:szCs w:val="28"/>
          <w:rtl w:val="true"/>
          <w:lang w:bidi="ar-SA"/>
        </w:rPr>
        <w:t>بجعل منه فيها ، فإنّ الجنابة صفة للمكلّف فكيف يعقل أن يكون بجعل الشارع وإنشائه تكليفا وإن كان من منشآت الشارع تكوينا؟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في الطهارة والنجاسة من كونهما حقيقتين من الحقائق العرفية </w:t>
      </w:r>
      <w:r>
        <w:rPr>
          <w:rStyle w:val="FootnoteAnchor"/>
          <w:rtl w:val="true"/>
        </w:rPr>
        <w:footnoteReference w:id="931"/>
      </w:r>
      <w:r>
        <w:rPr>
          <w:rFonts w:ascii="Amiri" w:hAnsi="Amiri" w:eastAsia="Amiri" w:cs="Amiri"/>
          <w:color w:val="111111"/>
          <w:sz w:val="28"/>
          <w:sz w:val="28"/>
          <w:szCs w:val="28"/>
          <w:rtl w:val="true"/>
          <w:lang w:bidi="ar-SA"/>
        </w:rPr>
        <w:t xml:space="preserve">هو المطابق لبعض ظواهر الأدلّة كما استوفيناها في محالّها ، ويكفي في ذلك شاهدا ملاحظة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فَاجْتَنِبُوهُ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حيث إنّ الأمر بالاجتناب بعد إحراز كونه رجسا ، فهو متفرّع عليه ، وهو </w:t>
      </w:r>
    </w:p>
    <w:p>
      <w:pPr>
        <w:pStyle w:val="BookText"/>
        <w:rPr/>
      </w:pPr>
      <w:r>
        <w:rPr>
          <w:rFonts w:ascii="Amiri" w:hAnsi="Amiri" w:eastAsia="Amiri" w:cs="Amiri"/>
          <w:color w:val="111111"/>
          <w:sz w:val="28"/>
          <w:sz w:val="28"/>
          <w:szCs w:val="28"/>
          <w:rtl w:val="true"/>
          <w:lang w:bidi="ar-SA"/>
        </w:rPr>
        <w:t>الذي يوافقه قواعد العدلية من تبعية الأحكام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الشهيد في القواعد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النجاسة صفة انتزاعية من الأمر بوجوب الاجتناب عن العين التي ننتزع </w:t>
      </w:r>
      <w:r>
        <w:rPr>
          <w:rStyle w:val="FootnoteAnchor"/>
          <w:rtl w:val="true"/>
        </w:rPr>
        <w:footnoteReference w:id="934"/>
      </w:r>
      <w:r>
        <w:rPr>
          <w:rFonts w:ascii="Amiri" w:hAnsi="Amiri" w:eastAsia="Amiri" w:cs="Amiri"/>
          <w:color w:val="111111"/>
          <w:sz w:val="28"/>
          <w:sz w:val="28"/>
          <w:szCs w:val="28"/>
          <w:rtl w:val="true"/>
          <w:lang w:bidi="ar-SA"/>
        </w:rPr>
        <w:t xml:space="preserve">منه تلك الصفة بعد الأمر ، فجعلها عبارة عن </w:t>
      </w:r>
      <w:r>
        <w:rPr>
          <w:rStyle w:val="FootnoteAnchor"/>
          <w:rtl w:val="true"/>
        </w:rPr>
        <w:footnoteReference w:id="935"/>
      </w:r>
      <w:r>
        <w:rPr>
          <w:rFonts w:ascii="Amiri" w:hAnsi="Amiri" w:eastAsia="Amiri" w:cs="Amiri"/>
          <w:color w:val="111111"/>
          <w:sz w:val="28"/>
          <w:sz w:val="28"/>
          <w:szCs w:val="28"/>
          <w:rtl w:val="true"/>
          <w:lang w:bidi="ar-SA"/>
        </w:rPr>
        <w:t>إيجاب الشارع الاجتناب عن الشيء للاستقذار أو الاستنفار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من الأوّل هو القذارة في البول ، ومن الثاني هو النفرة في الكفّار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فالأمر أظهر ، ولك أن تقول بجريان هذا الكلام في مثل الملكية والزوجية ؛ لرجوع الأوّل إلى إباحة التصرّف في الأموال ، والثاني في الفروج ، فكون الشيء بحيث يجوز فيه التصرّف المالي عبارة عن الملكية ، وعلى هذا القياس يقال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الطلب وإنشاءه على وجه التعليق بوقت أو التقييد بوجود شيء أو عدمه جعل للسببية أو الشرطية أو المانعية ، وكذا جعل المطلوب مركّبا جعل للجزئية ، فلا وجه لإنكار جعل هذه الأمور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تعليق الطلب فليس إلاّ إنشاء للطلب المعلّق لا إنشاء للسببية كما هو ظاهر ، وإنّما يصحّ بعد ذلك انتزاع السببية لإيراث الطلب الكذائي استعدادا للمحلّ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تقييده بأمر وجودي أو عدمي فليس تعلّق الطلب بالشيء مع تصوّره ببعض أوصافه وأحواله ، وليس يلزم من التصوّر المذكور جعل ولا إنشاء ، بل إذا لحق المتصوّر المذكور طلب وحكم من الأحكام التكليفة يستأهل لأن ينتزع منه الأمور المذكورة ، ومن هنا تعرف ضعف المقالة المتداولة بينهم من أنّ الصلاة من المخترعات الشرعية ؛ إذ لا اختراع هنالك </w:t>
      </w:r>
      <w:r>
        <w:rPr>
          <w:rStyle w:val="FootnoteAnchor"/>
          <w:rtl w:val="true"/>
        </w:rPr>
        <w:footnoteReference w:id="936"/>
      </w:r>
      <w:r>
        <w:rPr>
          <w:rFonts w:ascii="Amiri" w:hAnsi="Amiri" w:eastAsia="Amiri" w:cs="Amiri"/>
          <w:color w:val="111111"/>
          <w:sz w:val="28"/>
          <w:sz w:val="28"/>
          <w:szCs w:val="28"/>
          <w:rtl w:val="true"/>
          <w:lang w:bidi="ar-SA"/>
        </w:rPr>
        <w:t>ولا إبداع إلاّ لمجرّد الطلب المتعلّق بعدّة أمور متناسبة في الواقع لا نعلمها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الثاني من الوجهين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الأمور التي يتوهّم كونها أحكاما وضعية من الخمسة المعروفة أو مع زيادة العلّة والعلامة والرخصة والعزيمة ، غير قابلة للجعل بالأصالة ؛ لأنّها من الأمور المنجعلة بذواتها بعد تعلّق الجعل الأصيل </w:t>
      </w:r>
      <w:r>
        <w:rPr>
          <w:rStyle w:val="FootnoteAnchor"/>
          <w:rtl w:val="true"/>
        </w:rPr>
        <w:footnoteReference w:id="938"/>
      </w:r>
      <w:r>
        <w:rPr>
          <w:rFonts w:ascii="Amiri" w:hAnsi="Amiri" w:eastAsia="Amiri" w:cs="Amiri"/>
          <w:color w:val="111111"/>
          <w:sz w:val="28"/>
          <w:sz w:val="28"/>
          <w:szCs w:val="28"/>
          <w:rtl w:val="true"/>
          <w:lang w:bidi="ar-SA"/>
        </w:rPr>
        <w:t>بمحالّها ، فتعلّق الجعل بها ثانيا تحصيل للحاصل واستحالته ضرورية 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فيما تقدّم أنّ كلّ واحد من هذه الأمور اعتبار عقلي منتزع عن أمر جعلي شرعي بحسب اختلاف مراتب المجعول الشرعي التابع لاختلاف المصالح الداعية إلى الجعل </w:t>
      </w:r>
      <w:r>
        <w:rPr>
          <w:rStyle w:val="FootnoteAnchor"/>
          <w:rtl w:val="true"/>
        </w:rPr>
        <w:footnoteReference w:id="939"/>
      </w:r>
      <w:r>
        <w:rPr>
          <w:rFonts w:ascii="Amiri" w:hAnsi="Amiri" w:eastAsia="Amiri" w:cs="Amiri"/>
          <w:color w:val="111111"/>
          <w:sz w:val="28"/>
          <w:sz w:val="28"/>
          <w:szCs w:val="28"/>
          <w:rtl w:val="true"/>
          <w:lang w:bidi="ar-SA"/>
        </w:rPr>
        <w:t xml:space="preserve">والطلب على وجه خاصّ وجهة مخصوصة ، فقد تقضي </w:t>
      </w:r>
      <w:r>
        <w:rPr>
          <w:rStyle w:val="FootnoteAnchor"/>
          <w:rtl w:val="true"/>
        </w:rPr>
        <w:footnoteReference w:id="940"/>
      </w:r>
      <w:r>
        <w:rPr>
          <w:rFonts w:ascii="Amiri" w:hAnsi="Amiri" w:eastAsia="Amiri" w:cs="Amiri"/>
          <w:color w:val="111111"/>
          <w:sz w:val="28"/>
          <w:sz w:val="28"/>
          <w:szCs w:val="28"/>
          <w:rtl w:val="true"/>
          <w:lang w:bidi="ar-SA"/>
        </w:rPr>
        <w:t xml:space="preserve">المصلحة باعتبار زمان أو مكان أو آلة مخصوصة أو فاعل خاصّ على حالتي الاجتماع مع الغير أو الافتراق ، مقدّما أو مؤخّرا ، مرتّبا أو غير مرتّب ، إلى غير ذلك من وجوه اختلافات </w:t>
      </w:r>
      <w:r>
        <w:rPr>
          <w:rStyle w:val="FootnoteAnchor"/>
          <w:rtl w:val="true"/>
        </w:rPr>
        <w:footnoteReference w:id="941"/>
      </w:r>
      <w:r>
        <w:rPr>
          <w:rFonts w:ascii="Amiri" w:hAnsi="Amiri" w:eastAsia="Amiri" w:cs="Amiri"/>
          <w:color w:val="111111"/>
          <w:sz w:val="28"/>
          <w:sz w:val="28"/>
          <w:szCs w:val="28"/>
          <w:rtl w:val="true"/>
          <w:lang w:bidi="ar-SA"/>
        </w:rPr>
        <w:t xml:space="preserve">الكيفيات المكتنفة بالأفعال التي هي موارد للطلب ومحالّ للجعل التكليفي ، فبحسب اختلاف هذه </w:t>
      </w:r>
      <w:r>
        <w:rPr>
          <w:rStyle w:val="FootnoteAnchor"/>
          <w:rtl w:val="true"/>
        </w:rPr>
        <w:footnoteReference w:id="942"/>
      </w:r>
      <w:r>
        <w:rPr>
          <w:rFonts w:ascii="Amiri" w:hAnsi="Amiri" w:eastAsia="Amiri" w:cs="Amiri"/>
          <w:color w:val="111111"/>
          <w:sz w:val="28"/>
          <w:sz w:val="28"/>
          <w:szCs w:val="28"/>
          <w:rtl w:val="true"/>
          <w:lang w:bidi="ar-SA"/>
        </w:rPr>
        <w:t xml:space="preserve">الكيفيات ينتزع العقل هذه الأوصاف ، وهذا أمر في غاية الظهور ، والعجب من بعض الأجلّة </w:t>
      </w:r>
      <w:r>
        <w:rPr>
          <w:rStyle w:val="FootnoteAnchor"/>
          <w:rtl w:val="true"/>
        </w:rPr>
        <w:footnoteReference w:id="943"/>
      </w:r>
      <w:r>
        <w:rPr>
          <w:rFonts w:ascii="Amiri" w:hAnsi="Amiri" w:eastAsia="Amiri" w:cs="Amiri"/>
          <w:color w:val="111111"/>
          <w:sz w:val="28"/>
          <w:sz w:val="28"/>
          <w:szCs w:val="28"/>
          <w:rtl w:val="true"/>
          <w:lang w:bidi="ar-SA"/>
        </w:rPr>
        <w:t>حيث إنّه قد بالغ في ذلك مبلغه مع وضوحه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لا حاجة إلى بيانه وتوضيحه ، مضافا إلى أنّ الجعل لا بدّ من قيامه بالجاعل ؛ لأنّه من الأمور الصادرة عنه ، فهو من قبيل أفاعيله كالضرب للضارب والقتل للقاتل ، ولا ريب في قيام هذه الأوصاف بغير الجاعل ؛ لقيام السببية بالدلوك والجزئية بالسورة والشرطية بالطهارة والمانعية بالحدث ، فكيف يمكن أن يكون هذه الأمور مجعولة؟ وذلك يصحّ في التكليفيات فإنّ الإباحة فعل المبيح ، وتعلّق الأحكام التكليفية بالغير كتعلّق الوجوب بالصلاة أو الحرمة بالخمر غير مضرّ فيما نحن بصدده ؛ لأنّ الإيجاب عند التحقيق عين الوجوب ذاتا وإن تغايرا </w:t>
      </w:r>
      <w:r>
        <w:rPr>
          <w:rStyle w:val="FootnoteAnchor"/>
          <w:rtl w:val="true"/>
        </w:rPr>
        <w:footnoteReference w:id="944"/>
      </w:r>
      <w:r>
        <w:rPr>
          <w:rFonts w:ascii="IRNazanin" w:hAnsi="IRNazanin" w:eastAsia="IRNazanin"/>
          <w:color w:val="111111"/>
          <w:sz w:val="28"/>
          <w:sz w:val="28"/>
          <w:szCs w:val="28"/>
          <w:rtl w:val="true"/>
          <w:lang w:bidi="fa-IR"/>
        </w:rPr>
        <w:t xml:space="preserve">اعتبارا </w:t>
      </w:r>
    </w:p>
    <w:p>
      <w:pPr>
        <w:pStyle w:val="BookText"/>
        <w:rPr/>
      </w:pPr>
      <w:r>
        <w:rPr>
          <w:rFonts w:ascii="Amiri" w:hAnsi="Amiri" w:eastAsia="Amiri" w:cs="Amiri"/>
          <w:color w:val="111111"/>
          <w:sz w:val="28"/>
          <w:sz w:val="28"/>
          <w:szCs w:val="28"/>
          <w:rtl w:val="true"/>
          <w:lang w:bidi="ar-SA"/>
        </w:rPr>
        <w:t xml:space="preserve">بمعنى أنّ الموجود في الخارج ليس إلاّ شيئا واحدا </w:t>
      </w:r>
      <w:r>
        <w:rPr>
          <w:rStyle w:val="FootnoteAnchor"/>
          <w:rtl w:val="true"/>
        </w:rPr>
        <w:footnoteReference w:id="945"/>
      </w:r>
      <w:r>
        <w:rPr>
          <w:rFonts w:ascii="Amiri" w:hAnsi="Amiri" w:eastAsia="Amiri" w:cs="Amiri"/>
          <w:color w:val="111111"/>
          <w:sz w:val="28"/>
          <w:sz w:val="28"/>
          <w:szCs w:val="28"/>
          <w:rtl w:val="true"/>
          <w:lang w:bidi="ar-SA"/>
        </w:rPr>
        <w:t>يسمّى إيجابا بملاحظة صدوره عن الفاعل ووجوبا باعتبار تعلّقه بالقابل ، فالوجوب هو الطلب ذاتا لا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التسبّب كالإيجاب متّحد مع السببية ، فهو قائم بالجاعل ، وقيام السببية بالغير غير مضرّ كما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التسبّب بيان كون الشيء متّصفا بالصفة المذكورة فذلك أمر مسلّم ولا ضير فيه ؛ لأنّ البيان ولو كان في هذه الأمور غير خارج عن وظيفة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إحداث السببية وإبداعها وإيجادها ، فهو أمر غير معقول إلاّ برجوعه إلى حكم تكليفي ، وعند ذلك فحصول السببية قهري فلا يحتاج إلى أن يصير موردا للجعل بالأصالة ، نعم يصحّ استناد الجعل إلى هذه الأمور مجازا ؛ لكونها مجعولات بالتبع ، كما في إسناد الجعل </w:t>
      </w:r>
      <w:r>
        <w:rPr>
          <w:rStyle w:val="FootnoteAnchor"/>
          <w:rtl w:val="true"/>
        </w:rPr>
        <w:footnoteReference w:id="946"/>
      </w:r>
      <w:r>
        <w:rPr>
          <w:rFonts w:ascii="Amiri" w:hAnsi="Amiri" w:eastAsia="Amiri" w:cs="Amiri"/>
          <w:color w:val="111111"/>
          <w:sz w:val="28"/>
          <w:sz w:val="28"/>
          <w:szCs w:val="28"/>
          <w:rtl w:val="true"/>
          <w:lang w:bidi="ar-SA"/>
        </w:rPr>
        <w:t xml:space="preserve">التكويني إلى لوازم الماهيات المجعولة جعلا تكوينيا أصالة على القول بذلك ، فإسناد الجعل إلى الحرارة اللازمة لماهيّة النار في الخارج ، أو إلى الزوجية اللازمة للأربعة ، وإن كان صحيحا باعتبار أنّها مجعولة بواسطة تعلّق الجعل بملزومها إلاّ أنّه إسناد مجازي كما هو ظاهر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أورده بعض الأعيان من المعاصرين </w:t>
      </w:r>
      <w:r>
        <w:rPr>
          <w:rStyle w:val="FootnoteAnchor"/>
          <w:rtl w:val="true"/>
        </w:rPr>
        <w:footnoteReference w:id="949"/>
      </w:r>
      <w:r>
        <w:rPr>
          <w:rFonts w:ascii="Amiri" w:hAnsi="Amiri" w:eastAsia="Amiri" w:cs="Amiri"/>
          <w:color w:val="111111"/>
          <w:sz w:val="28"/>
          <w:sz w:val="28"/>
          <w:szCs w:val="28"/>
          <w:rtl w:val="true"/>
          <w:lang w:bidi="ar-SA"/>
        </w:rPr>
        <w:t xml:space="preserve">على المحقّق الخوانساري فيما أورده من التحقيق من رجوع الأحكام الوضعية إلى التكليفية كما نقلناه في أوّل الهداية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أورده من لزوم انحصار الأحكام في الثلاثة ، ففساده ظاهر ؛ لأنّ المناط ليس على مجرّد إمكان رجوع البعض إلى آخر ، بل المناط عدم الحاجة إلى الجعل وامتناعه ، فإن أراد الامتناع كما هو المناط في التحقيق المذكور فسقوطه في غاية </w:t>
      </w:r>
      <w:bookmarkStart w:id="117" w:name="pg16284_171154"/>
    </w:p>
    <w:p>
      <w:pPr>
        <w:pStyle w:val="BookText"/>
        <w:rPr/>
      </w:pPr>
      <w:bookmarkEnd w:id="117"/>
      <w:r>
        <w:rPr>
          <w:rFonts w:ascii="Amiri" w:hAnsi="Amiri" w:eastAsia="Amiri" w:cs="Amiri"/>
          <w:color w:val="111111"/>
          <w:sz w:val="28"/>
          <w:sz w:val="28"/>
          <w:szCs w:val="28"/>
          <w:rtl w:val="true"/>
          <w:lang w:bidi="ar-SA"/>
        </w:rPr>
        <w:t>الظهور ، وإن أراد مجرّد الرجوع فليس من محلّ الكلام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من قيام الضرورة باختلاف حرمة الخمر ومانعيته للصلاة ، فهو في غاية الجودة إلاّ أنّه لا يجديه شيئا ؛ لما عرفت من أنّ دعوى الاتّحاد بين المفهومين محال </w:t>
      </w:r>
      <w:r>
        <w:rPr>
          <w:rStyle w:val="FootnoteAnchor"/>
          <w:rtl w:val="true"/>
        </w:rPr>
        <w:footnoteReference w:id="950"/>
      </w:r>
      <w:r>
        <w:rPr>
          <w:rFonts w:ascii="Amiri" w:hAnsi="Amiri" w:eastAsia="Amiri" w:cs="Amiri"/>
          <w:color w:val="111111"/>
          <w:sz w:val="28"/>
          <w:sz w:val="28"/>
          <w:szCs w:val="28"/>
          <w:rtl w:val="true"/>
          <w:lang w:bidi="ar-SA"/>
        </w:rPr>
        <w:t>بالضرورة ، ولكن أحدهما يمكن أن يكون منتزعا من الآخر من غير أن يكون مجعولا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جريان التكليف بما لا يطاق في الوضعي دون التكليفي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تنجيز </w:t>
      </w:r>
      <w:r>
        <w:rPr>
          <w:rStyle w:val="FootnoteAnchor"/>
          <w:rtl w:val="true"/>
        </w:rPr>
        <w:footnoteReference w:id="951"/>
      </w:r>
      <w:r>
        <w:rPr>
          <w:rFonts w:ascii="Amiri" w:hAnsi="Amiri" w:eastAsia="Amiri" w:cs="Amiri"/>
          <w:color w:val="111111"/>
          <w:sz w:val="28"/>
          <w:sz w:val="28"/>
          <w:szCs w:val="28"/>
          <w:rtl w:val="true"/>
          <w:lang w:bidi="ar-SA"/>
        </w:rPr>
        <w:t>الوضعي ، ومع ذلك فالتكليفي التعليقي يجري فيه التكليف بما لا يطاق كما عليه إطباق أهل التخطئة كما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من تخلّف الوضعي عن التكليفي في بعض الأحيان كضمان الصبيّ وجنايته فإنّه ليس في حقّه حكم تكليفي حتّى يقال بصحّة انتزاعه منه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التكليفي الذي هو منشأ لانتزاع الوضعي لا يجب أن يكون منجّزا ، بل يكفي في انتزاعه منه وجوده ولو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انتفاءه في حقّ الصبيّ مطلقا ولو كان </w:t>
      </w:r>
      <w:r>
        <w:rPr>
          <w:rStyle w:val="FootnoteAnchor"/>
          <w:rtl w:val="true"/>
        </w:rPr>
        <w:footnoteReference w:id="952"/>
      </w:r>
      <w:r>
        <w:rPr>
          <w:rFonts w:ascii="Amiri" w:hAnsi="Amiri" w:eastAsia="Amiri" w:cs="Amiri"/>
          <w:color w:val="111111"/>
          <w:sz w:val="28"/>
          <w:sz w:val="28"/>
          <w:szCs w:val="28"/>
          <w:rtl w:val="true"/>
          <w:lang w:bidi="ar-SA"/>
        </w:rPr>
        <w:t xml:space="preserve">معلّقا ببلوغه أيضا ، فهو ظاهر الفساد ، وإن أراد انتفاءه </w:t>
      </w:r>
      <w:r>
        <w:rPr>
          <w:rStyle w:val="FootnoteAnchor"/>
          <w:rtl w:val="true"/>
        </w:rPr>
        <w:footnoteReference w:id="953"/>
      </w:r>
      <w:r>
        <w:rPr>
          <w:rFonts w:ascii="Amiri" w:hAnsi="Amiri" w:eastAsia="Amiri" w:cs="Amiri"/>
          <w:color w:val="111111"/>
          <w:sz w:val="28"/>
          <w:sz w:val="28"/>
          <w:szCs w:val="28"/>
          <w:rtl w:val="true"/>
          <w:lang w:bidi="ar-SA"/>
        </w:rPr>
        <w:t>منجّزا فهو مسلّم ، ولكنّه لا يجديه شيئا ، مع إمكان القول بالخطاب الفعلي لوليّه أيضا ، فتدبّر في الغاية وتأمّل في النهاية تهتدي إلى الحقّ</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5012098_1280447820"/>
      <w:bookmarkStart w:id="119" w:name="_Toc38"/>
      <w:bookmarkEnd w:id="118"/>
      <w:r>
        <w:rPr>
          <w:rtl w:val="true"/>
        </w:rPr>
        <w:t>تنبيه</w:t>
      </w:r>
      <w:bookmarkEnd w:id="11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ظهور ثمرة الخلاف بين القولين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الأصل عند الشكّ في الشرطية والجزئية على القول بالثبوت دون القول بالنفي ، فإنّه على القول بكونها مجعولات متأصّلة مستقلّة يصحّ القول بجريان أصالة عدم الجزئية والشرطية ، وهي </w:t>
      </w:r>
    </w:p>
    <w:p>
      <w:pPr>
        <w:pStyle w:val="BookText"/>
        <w:rPr/>
      </w:pPr>
      <w:r>
        <w:rPr>
          <w:rFonts w:ascii="Amiri" w:hAnsi="Amiri" w:eastAsia="Amiri" w:cs="Amiri"/>
          <w:color w:val="111111"/>
          <w:sz w:val="28"/>
          <w:sz w:val="28"/>
          <w:szCs w:val="28"/>
          <w:rtl w:val="true"/>
          <w:lang w:bidi="ar-SA"/>
        </w:rPr>
        <w:t>واردة على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بأنّها أمور انتزاعية فلا وجه لإجراء الأصل المذكور فيها ؛ إذ لا يختلف الجعل على تقدير الجزئية وعدم الجزئية </w:t>
      </w:r>
      <w:r>
        <w:rPr>
          <w:rStyle w:val="FootnoteAnchor"/>
          <w:rtl w:val="true"/>
        </w:rPr>
        <w:footnoteReference w:id="954"/>
      </w:r>
      <w:r>
        <w:rPr>
          <w:rFonts w:ascii="Amiri" w:hAnsi="Amiri" w:eastAsia="Amiri" w:cs="Amiri"/>
          <w:color w:val="111111"/>
          <w:sz w:val="28"/>
          <w:sz w:val="28"/>
          <w:szCs w:val="28"/>
          <w:rtl w:val="true"/>
          <w:lang w:bidi="ar-SA"/>
        </w:rPr>
        <w:t>، لأنّ المجعول أمر واحد ، غاية الأمر اختلاف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يجري الأصل في تعلّق نظر الطالب إلى المشكوك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بالنسبة إلى شرط الواجب وجزئه ، وأمّا إذا شكّ في شرط الوجوب كاشتراط وجوب الحجّ بقدر الكفاية بعد الرجوع ، فيمكن أن يكون النزاع المذكور أيضا مثمرا ؛ لأصالة عدم الجعل ، وأمّا بناء على القول به </w:t>
      </w:r>
      <w:r>
        <w:rPr>
          <w:rStyle w:val="FootnoteAnchor"/>
          <w:rtl w:val="true"/>
        </w:rPr>
        <w:footnoteReference w:id="955"/>
      </w:r>
      <w:r>
        <w:rPr>
          <w:rFonts w:ascii="Amiri" w:hAnsi="Amiri" w:eastAsia="Amiri" w:cs="Amiri"/>
          <w:color w:val="111111"/>
          <w:sz w:val="28"/>
          <w:sz w:val="28"/>
          <w:szCs w:val="28"/>
          <w:rtl w:val="true"/>
          <w:lang w:bidi="ar-SA"/>
        </w:rPr>
        <w:t>فلا بدّ من الرجوع إلى البراءة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المجتهد عمّا ذهب إليه سابقا ، كما إذا رأى جواز العقد على الباكرة </w:t>
      </w:r>
      <w:r>
        <w:rPr>
          <w:rStyle w:val="FootnoteAnchor"/>
          <w:rtl w:val="true"/>
        </w:rPr>
        <w:footnoteReference w:id="956"/>
      </w:r>
      <w:r>
        <w:rPr>
          <w:rFonts w:ascii="Amiri" w:hAnsi="Amiri" w:eastAsia="Amiri" w:cs="Amiri"/>
          <w:color w:val="111111"/>
          <w:sz w:val="28"/>
          <w:sz w:val="28"/>
          <w:szCs w:val="28"/>
          <w:rtl w:val="true"/>
          <w:lang w:bidi="ar-SA"/>
        </w:rPr>
        <w:t>بدون إذن وليّها ، ثمّ رجع واعتقد عدم الجواز ، أو اعتقد جواز العقد بالفارسية ، ثمّ اعتقد خلافه بعد إيقاع العقد في الموردين منه ، فعلى القول بأنّ الزوجية والملكية من الأمور المتأصّلة المجعولة للشارع فيمكن القول بأنّ الرجوع لا يؤثّر فسادا في العقود السابقة كما لا يؤثّر عزل الوكيل في فساد ما عمله حال الوكالة ، فإنّ التأثير في السابق حين ثبوت الوصف حاصل ولا وجه لانتفائه ، بل لا يعقل انتفاؤه بعد وقوعه ، وعلى القول بكونها أمورا انتزاعية من الخطاب التكليفي فثبوتها موقوف على ثبوت الخطاب ، وثبوت الخطاب دائر مدار الرأي الفعلي ، فجواز التصرّف في المال ينتفي بانتفاء الخطاب كما هو ظاهر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يستفاد من الكلام المنقول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الثمرة في جريان التكليف بما لا يطاق في الحكم الوضعي وعدم جريانه في الحكم التكليفي واشتراط العلم والقدرة في التكليفي دون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ضعفه ممّا مرّ على وجه لا يحتاج إلى </w:t>
      </w:r>
    </w:p>
    <w:p>
      <w:pPr>
        <w:pStyle w:val="BookText"/>
        <w:rPr/>
      </w:pPr>
      <w:r>
        <w:rPr>
          <w:rFonts w:ascii="Amiri" w:hAnsi="Amiri" w:eastAsia="Amiri" w:cs="Amiri"/>
          <w:color w:val="111111"/>
          <w:sz w:val="28"/>
          <w:sz w:val="28"/>
          <w:szCs w:val="28"/>
          <w:rtl w:val="true"/>
          <w:lang w:bidi="ar-SA"/>
        </w:rPr>
        <w:t xml:space="preserve">تضعيفه ، وقد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القول بإنكار الوضعيات إنكار شرطية الستر للصلاة بالنسبة إلى الغافل ، وليس بشيء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توضيح الحال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المنكرين للأحكام الوضعية والقائلين بأنّها أمور انتزاعية ، لا يجب عندنا أن يكون محلّ انتزاع هذه الأمور خطابا فعليا متعلّقا بالمكلّف في الحال حتّى يصحّ القول بتحقّق الثمرة في الأمور المذكورة ، بل يكفي عندنا في الانتزاع وجود الخطاب التعليقي ، فالضمان في الصبيّ ليس منتزعا من الخطاب الفعلي ، بل من الخطاب التعليقي بمعنى أنّه لو بلغ يجب عليه كذا ، وهذا الخطاب ينتزع منه الضمان ، وكذا شرطية الستر تنتزع من الخطاب المتوجّه إلى المصلّي على تقدير الالتفات وعدم الغفلة ، مضافا إلى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957"/>
      </w:r>
      <w:r>
        <w:rPr>
          <w:rFonts w:ascii="Amiri" w:hAnsi="Amiri" w:eastAsia="Amiri" w:cs="Amiri"/>
          <w:color w:val="111111"/>
          <w:sz w:val="28"/>
          <w:sz w:val="28"/>
          <w:szCs w:val="28"/>
          <w:rtl w:val="true"/>
          <w:lang w:bidi="ar-SA"/>
        </w:rPr>
        <w:t xml:space="preserve">المراد من نفي الوجوب بالنسبة إلى الغافل إن كان نفي الوجوب الواقعي ففساده ظاهر ؛ لثبوت الأحكام الواقعية على تقدير الغفلة أيضا ولذلك لا يحتاج إلى إيجاد خطاب آخر ، وإن كان المراد نفي الوجوب الظاهري فمسلّم إلاّ أنّ الشرطية أيضا منفيّة في مرحلة الظاهر ؛ ضرورة عدم تعلّق الشرطية مع فرض انتفاء الخطاب المفيد لها </w:t>
      </w:r>
      <w:r>
        <w:rPr>
          <w:rStyle w:val="FootnoteAnchor"/>
          <w:rtl w:val="true"/>
        </w:rPr>
        <w:footnoteReference w:id="958"/>
      </w:r>
      <w:r>
        <w:rPr>
          <w:rFonts w:ascii="Amiri" w:hAnsi="Amiri" w:eastAsia="Amiri" w:cs="Amiri"/>
          <w:color w:val="111111"/>
          <w:sz w:val="28"/>
          <w:sz w:val="28"/>
          <w:szCs w:val="28"/>
          <w:rtl w:val="true"/>
          <w:lang w:bidi="ar-SA"/>
        </w:rPr>
        <w:t xml:space="preserve">، فتدبّر يظهر لك الحال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bookmarkStart w:id="120" w:name="pg16284_171157"/>
    </w:p>
    <w:p>
      <w:pPr>
        <w:pStyle w:val="Heading3"/>
        <w:numPr>
          <w:ilvl w:val="2"/>
          <w:numId w:val="1"/>
        </w:numPr>
        <w:rPr/>
      </w:pPr>
      <w:bookmarkStart w:id="121" w:name="__RefHeading___Toc5012100_1280447820"/>
      <w:bookmarkStart w:id="122" w:name="_Toc39"/>
      <w:bookmarkEnd w:id="120"/>
      <w:bookmarkEnd w:id="121"/>
      <w:r>
        <w:rPr>
          <w:rtl w:val="true"/>
        </w:rPr>
        <w:t xml:space="preserve">هداية </w:t>
      </w:r>
      <w:r>
        <w:rPr>
          <w:rtl w:val="true"/>
        </w:rPr>
        <w:t xml:space="preserve">[ </w:t>
      </w:r>
      <w:r>
        <w:rPr>
          <w:rtl w:val="true"/>
        </w:rPr>
        <w:t xml:space="preserve">في اعتبار الاستصحاب عند الشكّ في عروض القادح </w:t>
      </w:r>
      <w:r>
        <w:rPr>
          <w:rtl w:val="true"/>
        </w:rPr>
        <w:t>]</w:t>
      </w:r>
      <w:bookmarkEnd w:id="122"/>
    </w:p>
    <w:p>
      <w:pPr>
        <w:pStyle w:val="BookText"/>
        <w:rPr/>
      </w:pPr>
      <w:r>
        <w:rPr>
          <w:rFonts w:ascii="IRNazanin" w:hAnsi="IRNazanin" w:eastAsia="IRNazanin"/>
          <w:color w:val="111111"/>
          <w:sz w:val="28"/>
          <w:sz w:val="28"/>
          <w:szCs w:val="28"/>
          <w:rtl w:val="true"/>
          <w:lang w:bidi="fa-IR"/>
        </w:rPr>
        <w:t xml:space="preserve">ذهب </w:t>
      </w:r>
      <w:r>
        <w:rPr>
          <w:rStyle w:val="FootnoteAnchor"/>
          <w:rtl w:val="true"/>
        </w:rPr>
        <w:footnoteReference w:id="960"/>
      </w:r>
      <w:r>
        <w:rPr>
          <w:rFonts w:ascii="Amiri" w:hAnsi="Amiri" w:eastAsia="Amiri" w:cs="Amiri"/>
          <w:color w:val="111111"/>
          <w:sz w:val="28"/>
          <w:sz w:val="28"/>
          <w:szCs w:val="28"/>
          <w:rtl w:val="true"/>
          <w:lang w:bidi="ar-SA"/>
        </w:rPr>
        <w:t xml:space="preserve">المحقّق السبزواري </w:t>
      </w:r>
      <w:r>
        <w:rPr>
          <w:rStyle w:val="FootnoteAnchor"/>
          <w:rtl w:val="true"/>
        </w:rPr>
        <w:footnoteReference w:id="961"/>
      </w:r>
      <w:r>
        <w:rPr>
          <w:rFonts w:ascii="Amiri" w:hAnsi="Amiri" w:eastAsia="Amiri" w:cs="Amiri"/>
          <w:color w:val="111111"/>
          <w:sz w:val="28"/>
          <w:sz w:val="28"/>
          <w:szCs w:val="28"/>
          <w:rtl w:val="true"/>
          <w:lang w:bidi="ar-SA"/>
        </w:rPr>
        <w:t>إلى اعتبار الاستصحاب عند الشكّ في عروض القادح دون غيره من الأقسام المذكورة مستندا في ذلك إلى عدم صدق الروايات في غيره حيث إنّ المنهيّ عنه فيها نقض اليقين بالشكّ ، ولا يصدق ذلك إلاّ فيه ؛ إذ النقض عند الشكّ في قدح العارض أو فردية شيء له إنّما يستند إلى وجود ما يحتمل مانعيته لا إلى الشكّ نظرا إلى ما هو المقرّر عندهم عادة من استناد المعلول إلى علّته التامّة أو الجزء الأخير منها ، وهو في غيره ليس شكّا ؛ لتقدّم الشكّ في غيره وتأخّره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السيّد في شرح الوافية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الشكّ وإن كان مقدّما في الشكّ </w:t>
      </w:r>
      <w:r>
        <w:rPr>
          <w:rStyle w:val="FootnoteAnchor"/>
          <w:rtl w:val="true"/>
        </w:rPr>
        <w:footnoteReference w:id="962"/>
      </w:r>
      <w:r>
        <w:rPr>
          <w:rFonts w:ascii="Amiri" w:hAnsi="Amiri" w:eastAsia="Amiri" w:cs="Amiri"/>
          <w:color w:val="111111"/>
          <w:sz w:val="28"/>
          <w:sz w:val="28"/>
          <w:szCs w:val="28"/>
          <w:rtl w:val="true"/>
          <w:lang w:bidi="ar-SA"/>
        </w:rPr>
        <w:t>في المانعية نوعا إلاّ أنّ النقض غير مستند إليه في استصحاب القوم ، بل إنّما يستند إلى الشكّ الشخصي المؤخّر عن وجود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هذا بخصوصه كان موجودا قبل ولم تحصل حالة ثانوية للمكلّف عند حدوث المذي ، كيف وهو من الأفراد التي حكم عليها بذلك؟</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هذا المقال وتوضيح هذا الإجمال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 المحقّق المفصّل هو أنّ الشكّ في استصحاب القوم إنّما يقارن اليقين السابق ، بل ربّما يكون مقدّما عليه ؛ </w:t>
      </w:r>
    </w:p>
    <w:p>
      <w:pPr>
        <w:pStyle w:val="BookText"/>
        <w:rPr/>
      </w:pPr>
      <w:r>
        <w:rPr>
          <w:rFonts w:ascii="Amiri" w:hAnsi="Amiri" w:eastAsia="Amiri" w:cs="Amiri"/>
          <w:color w:val="111111"/>
          <w:sz w:val="28"/>
          <w:sz w:val="28"/>
          <w:szCs w:val="28"/>
          <w:rtl w:val="true"/>
          <w:lang w:bidi="ar-SA"/>
        </w:rPr>
        <w:t xml:space="preserve">إذ الشكّ في انتقاض الطهارة بخروج المذي حاصل حين اليقين بالطهارة أيضا ، فتحصل </w:t>
      </w:r>
      <w:r>
        <w:rPr>
          <w:rStyle w:val="FootnoteAnchor"/>
          <w:rtl w:val="true"/>
        </w:rPr>
        <w:footnoteReference w:id="963"/>
      </w:r>
      <w:r>
        <w:rPr>
          <w:rFonts w:ascii="Amiri" w:hAnsi="Amiri" w:eastAsia="Amiri" w:cs="Amiri"/>
          <w:color w:val="111111"/>
          <w:sz w:val="28"/>
          <w:sz w:val="28"/>
          <w:szCs w:val="28"/>
          <w:rtl w:val="true"/>
          <w:lang w:bidi="ar-SA"/>
        </w:rPr>
        <w:t xml:space="preserve">عند المكلّف قضيّة كلّية واقعية قائلة بأنّ كلّ فرد من أفراد المذي مشكوك الناقضية مثلا ، ولا شكّ أنّها قضيّة </w:t>
      </w:r>
      <w:r>
        <w:rPr>
          <w:rStyle w:val="FootnoteAnchor"/>
          <w:rtl w:val="true"/>
        </w:rPr>
        <w:footnoteReference w:id="964"/>
      </w:r>
      <w:r>
        <w:rPr>
          <w:rFonts w:ascii="Amiri" w:hAnsi="Amiri" w:eastAsia="Amiri" w:cs="Amiri"/>
          <w:color w:val="111111"/>
          <w:sz w:val="28"/>
          <w:sz w:val="28"/>
          <w:szCs w:val="28"/>
          <w:rtl w:val="true"/>
          <w:lang w:bidi="ar-SA"/>
        </w:rPr>
        <w:t xml:space="preserve">حقيقية لا خارجية ، فيعمّ الحكم الأفراد المحقّقة والمقدّرة ، فكما أنّ الحيوانية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جميع أفراد الموضوع على وجه يحكم بحيوانية زيد بعد وجوده بتلك الحيوانية التي حكمنا بها على الإنسان لا بحيوانية غيرها ، فكذلك الشكّ الحاصل في ناقضية المذي الخاصّ إنّما هو بعينه هو الشكّ المحمول على المذي في القضيّة المفروضة ، وإنّما حصل في المقام متعلّق هذا الشكّ على وجه التفصيل </w:t>
      </w:r>
      <w:r>
        <w:rPr>
          <w:rStyle w:val="FootnoteAnchor"/>
          <w:rtl w:val="true"/>
        </w:rPr>
        <w:footnoteReference w:id="965"/>
      </w:r>
      <w:r>
        <w:rPr>
          <w:rFonts w:ascii="IRNazanin" w:hAnsi="IRNazanin" w:eastAsia="IRNazanin"/>
          <w:color w:val="111111"/>
          <w:sz w:val="28"/>
          <w:sz w:val="28"/>
          <w:szCs w:val="28"/>
          <w:rtl w:val="true"/>
          <w:lang w:bidi="fa-IR"/>
        </w:rPr>
        <w:t xml:space="preserve">عن </w:t>
      </w:r>
      <w:r>
        <w:rPr>
          <w:rStyle w:val="FootnoteAnchor"/>
          <w:rtl w:val="true"/>
        </w:rPr>
        <w:footnoteReference w:id="966"/>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فرض علمنا بقيام زيد في الغد قبل حضوره فعنده لا يحصل لنا حالة إدراكية عدا ما كان لنا قبل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 ما احتاله </w:t>
      </w:r>
      <w:r>
        <w:rPr>
          <w:rStyle w:val="FootnoteAnchor"/>
          <w:rtl w:val="true"/>
        </w:rPr>
        <w:footnoteReference w:id="967"/>
      </w:r>
      <w:r>
        <w:rPr>
          <w:rFonts w:ascii="Amiri" w:hAnsi="Amiri" w:eastAsia="Amiri" w:cs="Amiri"/>
          <w:color w:val="111111"/>
          <w:sz w:val="28"/>
          <w:sz w:val="28"/>
          <w:szCs w:val="28"/>
          <w:rtl w:val="true"/>
          <w:lang w:bidi="ar-SA"/>
        </w:rPr>
        <w:t xml:space="preserve">بعض الأجلّة </w:t>
      </w:r>
      <w:r>
        <w:rPr>
          <w:rStyle w:val="FootnoteAnchor"/>
          <w:rtl w:val="true"/>
        </w:rPr>
        <w:footnoteReference w:id="968"/>
      </w:r>
      <w:r>
        <w:rPr>
          <w:rFonts w:ascii="Amiri" w:hAnsi="Amiri" w:eastAsia="Amiri" w:cs="Amiri"/>
          <w:color w:val="111111"/>
          <w:sz w:val="28"/>
          <w:sz w:val="28"/>
          <w:szCs w:val="28"/>
          <w:rtl w:val="true"/>
          <w:lang w:bidi="ar-SA"/>
        </w:rPr>
        <w:t>في الجواب المذكور تبعا لغيره من تقدّم الشكّ التقديري دون الفعلي ، ممّا لا يجديه ، وهل هذا إلاّ كرّ على ما فرّ؟ لما عرفت من عدم حدوث حالة ثانوية بعد خروج المذي ، فتدبّر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نقض اليقين إنّما هو بالشكّ في تمام الموارد المفروضة ، ولا يجوز عند العقل نقض اليقين بغير الشكّ أو اليقين بخلافه ؛ إذ لا ارتباط بين اليقين بوجود الطهارة ووجود المذي حتّى يمكن انتقاضه بوجود المذي ، فإنّه حالة نفسانية ولا دخل للامور الخارجية فيه إلاّ إعدادها لانتقاض اليقين بالشكّ ؛ إذ نقض اليقين ليس إلاّ رفعه ، ورفعه إمّا بيقين مثله على خلافه أو لعدم العلم به والتردّد ، فلا نقض في جميع الصور المفروضة إلاّ بالشكّ ، ولهذا ترى الانحصار في قول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ينقضه بيقين مثله </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إذ لا يسبق وهم إلى انتقاض اليقين بيقين غيره على </w:t>
      </w:r>
    </w:p>
    <w:p>
      <w:pPr>
        <w:pStyle w:val="BookText"/>
        <w:rPr/>
      </w:pPr>
      <w:r>
        <w:rPr>
          <w:rFonts w:ascii="Amiri" w:hAnsi="Amiri" w:eastAsia="Amiri" w:cs="Amiri"/>
          <w:color w:val="111111"/>
          <w:sz w:val="28"/>
          <w:sz w:val="28"/>
          <w:szCs w:val="28"/>
          <w:rtl w:val="true"/>
          <w:lang w:bidi="ar-SA"/>
        </w:rPr>
        <w:t>شيء آخر غير مباين للمتيقّن أوّلا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ذلك فنقول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المعيار في استصحابه على ما يستفاد من كلامه هو تأخّر زمان الشكّ عن زمان اليقين على وجه يستند الانتقاض إليه ، ومن الظاهر تخلّفه عن مطلوبه ؛ إذ النسبة بين الدليل والمدّعى هو العموم من وجه ؛ لأخصّية المدّعى عن الدليل فيما إذا حدث الشكّ باعتبار أمر خارجي عند الشكّ في قدح العارض كما إذا رأينا رطوبة مشتبهة بين كونها ماء أو بولا مثلا ، بل وإذا كان الشكّ في الحكم الكلّي أيضا كما إذا احتملنا مانعية حادث لم يكن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Style w:val="FootnoteAnchor"/>
          <w:rtl w:val="true"/>
        </w:rPr>
        <w:footnoteReference w:id="970"/>
      </w:r>
      <w:r>
        <w:rPr>
          <w:rFonts w:ascii="IRNazanin" w:hAnsi="IRNazanin" w:eastAsia="IRNazanin"/>
          <w:color w:val="111111"/>
          <w:sz w:val="28"/>
          <w:sz w:val="28"/>
          <w:szCs w:val="28"/>
          <w:rtl w:val="true"/>
          <w:lang w:bidi="fa-IR"/>
        </w:rPr>
        <w:t xml:space="preserve">بحسب </w:t>
      </w:r>
      <w:r>
        <w:rPr>
          <w:rStyle w:val="FootnoteAnchor"/>
          <w:rtl w:val="true"/>
        </w:rPr>
        <w:footnoteReference w:id="971"/>
      </w:r>
      <w:r>
        <w:rPr>
          <w:rFonts w:ascii="Amiri" w:hAnsi="Amiri" w:eastAsia="Amiri" w:cs="Amiri"/>
          <w:color w:val="111111"/>
          <w:sz w:val="28"/>
          <w:sz w:val="28"/>
          <w:szCs w:val="28"/>
          <w:rtl w:val="true"/>
          <w:lang w:bidi="ar-SA"/>
        </w:rPr>
        <w:t xml:space="preserve">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كالمذي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حدوثه في اليوم ، أو فيما إذا فرض عدم الالتفات إليه بوجه على تقدير وجوده أيضا ، وأخصّية الدليل عن المدّعى فيما لو كان الشكّ متقدّما أو مقارنا لزمان اليقين عند الشكّ في طروّ العارض ، كما إذا حدث الشكّ بخروج البول في الغد عند اليقين بالطهارة في اليوم ، فعند حضور الغد يشكّ في بقاء الطهارة بواسطة الشكّ في طروّ المانع ، فيستصحب الطهارة السابقة مع تقدّم الشكّ على زمان اليقين أو تقارنه له ، وذلك ظاهر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يتمسّك في دفع التفصيل المذكور بأنّ مورد الرواية من الأقسام التي لا يقول به فيها ، فإنّ الخفقة والخفقتين ممّا شكّ في اندراجهما تحت ما علم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ليس من موارد الاستصحاب في الرواية ، ولهذا ترى الإمام عليه‌السلام أجابه بدليل اجتهادي مبيّن للواقع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قد تنام العين ولا ينام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972"/>
      </w:r>
      <w:r>
        <w:rPr>
          <w:rFonts w:ascii="Amiri" w:hAnsi="Amiri" w:eastAsia="Amiri" w:cs="Amiri"/>
          <w:color w:val="111111"/>
          <w:sz w:val="28"/>
          <w:sz w:val="28"/>
          <w:szCs w:val="28"/>
          <w:rtl w:val="true"/>
          <w:lang w:bidi="ar-SA"/>
        </w:rPr>
        <w:t xml:space="preserve">لا يبعد دعوى ذلك بالنسبة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حرّك في جنبه شيء وهو لا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الشكّ فيه من قبيل الشكّ في اندراج فرد تحت مفهوم معلوم المانعية ، ولكن ربّما يمنع عن ذلك أيضا فيقال بأنّ الشكّ إنّما هو من الشكّ في وجود المانع ، حيث إنّ السؤال إنّما هو من </w:t>
      </w:r>
    </w:p>
    <w:p>
      <w:pPr>
        <w:pStyle w:val="BookText"/>
        <w:rPr/>
      </w:pPr>
      <w:r>
        <w:rPr>
          <w:rFonts w:ascii="Amiri" w:hAnsi="Amiri" w:eastAsia="Amiri" w:cs="Amiri"/>
          <w:color w:val="111111"/>
          <w:sz w:val="28"/>
          <w:sz w:val="28"/>
          <w:szCs w:val="28"/>
          <w:rtl w:val="true"/>
          <w:lang w:bidi="ar-SA"/>
        </w:rPr>
        <w:t>وصول تلك الحالة إلى حالة النوم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أيضا بأنّ الظاهر من الروايات عدم الاعتداد بالشكّ في حال من الحالات والأخذ بالحالة السابقة وعدم نقض اليقين إلاّ بيقين آخر ، ولا يضرّ في ذلك سبق الشكّ أو لحوقه ؛ ضرورة صدق الاعتداد بالشكّ عند التردّد في مانعية شيء موجود لو لم يؤخذ بالحالة السابقة ، وقد منع الشارع منه في الروايات المتقدّمة ، ومرجعه إلى دعوى إطلاق الأخبار أو عمومها لجميع </w:t>
      </w:r>
      <w:r>
        <w:rPr>
          <w:rStyle w:val="FootnoteAnchor"/>
          <w:rtl w:val="true"/>
        </w:rPr>
        <w:footnoteReference w:id="973"/>
      </w:r>
      <w:r>
        <w:rPr>
          <w:rFonts w:ascii="Amiri" w:hAnsi="Amiri" w:eastAsia="Amiri" w:cs="Amiri"/>
          <w:color w:val="111111"/>
          <w:sz w:val="28"/>
          <w:sz w:val="28"/>
          <w:szCs w:val="28"/>
          <w:rtl w:val="true"/>
          <w:lang w:bidi="ar-SA"/>
        </w:rPr>
        <w:t>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 إلاّ أنّ المعتمد في الجواب هو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ينسب إلى المفصّل المذكور </w:t>
      </w:r>
      <w:r>
        <w:rPr>
          <w:rStyle w:val="FootnoteAnchor"/>
          <w:rtl w:val="true"/>
        </w:rPr>
        <w:footnoteReference w:id="974"/>
      </w:r>
      <w:r>
        <w:rPr>
          <w:rFonts w:ascii="Amiri" w:hAnsi="Amiri" w:eastAsia="Amiri" w:cs="Amiri"/>
          <w:color w:val="111111"/>
          <w:sz w:val="28"/>
          <w:sz w:val="28"/>
          <w:szCs w:val="28"/>
          <w:rtl w:val="true"/>
          <w:lang w:bidi="ar-SA"/>
        </w:rPr>
        <w:t xml:space="preserve">التفصيل بين الأحكام والموضوعات أيضا فقال بالعدم في الثاني وبه في الأوّل ، ولم يظهر لنا أنّ التفصيل المتقدّم إنّما هو بعد إخراج الموضوعات كما يظهر من المحقّق الخوانساري في الحاشية المنقولة فيما تقدّم </w:t>
      </w:r>
      <w:r>
        <w:rPr>
          <w:rStyle w:val="FootnoteAnchor"/>
          <w:rtl w:val="true"/>
        </w:rPr>
        <w:footnoteReference w:id="975"/>
      </w:r>
      <w:r>
        <w:rPr>
          <w:rFonts w:ascii="Amiri" w:hAnsi="Amiri" w:eastAsia="Amiri" w:cs="Amiri"/>
          <w:color w:val="111111"/>
          <w:sz w:val="28"/>
          <w:sz w:val="28"/>
          <w:szCs w:val="28"/>
          <w:rtl w:val="true"/>
          <w:lang w:bidi="ar-SA"/>
        </w:rPr>
        <w:t>؛ إذ لا دخل لأحد التفصيلين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يتوهّم تعاكس هذا التفصيل </w:t>
      </w:r>
      <w:r>
        <w:rPr>
          <w:rStyle w:val="FootnoteAnchor"/>
          <w:rtl w:val="true"/>
        </w:rPr>
        <w:footnoteReference w:id="976"/>
      </w:r>
      <w:r>
        <w:rPr>
          <w:rFonts w:ascii="Amiri" w:hAnsi="Amiri" w:eastAsia="Amiri" w:cs="Amiri"/>
          <w:color w:val="111111"/>
          <w:sz w:val="28"/>
          <w:sz w:val="28"/>
          <w:szCs w:val="28"/>
          <w:rtl w:val="true"/>
          <w:lang w:bidi="ar-SA"/>
        </w:rPr>
        <w:t xml:space="preserve">لما ذهب إليه الأخباريون ، وليس بإطلاقه على ما ينبغي ؛ إذ يحتمل أن يراد بالموضوعات في مقابل الأحكام وجريان الاستصحاب فيها دونها أن يكون </w:t>
      </w:r>
      <w:r>
        <w:rPr>
          <w:rStyle w:val="FootnoteAnchor"/>
          <w:rtl w:val="true"/>
        </w:rPr>
        <w:footnoteReference w:id="977"/>
      </w:r>
      <w:r>
        <w:rPr>
          <w:rFonts w:ascii="Amiri" w:hAnsi="Amiri" w:eastAsia="Amiri" w:cs="Amiri"/>
          <w:color w:val="111111"/>
          <w:sz w:val="28"/>
          <w:sz w:val="28"/>
          <w:szCs w:val="28"/>
          <w:rtl w:val="true"/>
          <w:lang w:bidi="ar-SA"/>
        </w:rPr>
        <w:t>المستصحب هو الموضوع الخارجي كحياة زيد أو عدالة عمرو ، ونحوها كما هو الظاهر بملاحظة سياق العبارة المنقولة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بها الأحكام الجزئية الشرعية التي منشأ الشبهة فيها هي الشبهة في الأمور الخارجية كالطهارة المتعلّقة بثوب خاصّ باعتبار الشكّ في نجاسة البلل الواقع فيه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ثاني الاحتمالين يصير القولان متعاكسين ، وعلى الأوّل فلا عكس له في </w:t>
      </w:r>
    </w:p>
    <w:p>
      <w:pPr>
        <w:pStyle w:val="BookText"/>
        <w:rPr/>
      </w:pPr>
      <w:r>
        <w:rPr>
          <w:rFonts w:ascii="Amiri" w:hAnsi="Amiri" w:eastAsia="Amiri" w:cs="Amiri"/>
          <w:color w:val="111111"/>
          <w:sz w:val="28"/>
          <w:sz w:val="28"/>
          <w:szCs w:val="28"/>
          <w:rtl w:val="true"/>
          <w:lang w:bidi="ar-SA"/>
        </w:rPr>
        <w:t>الأقوال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مستند القول المذكور هو عدم شمول أخبار الباب لها بواسطة أنّ بيانها ليس من وظيفة الشارع ، فإن أراد بها الأحكام الجزئية قبالا للأخبارية ، فمحجوج بموارد الروايات المتقدّمة فإنّها بأجمعها واردة في مقام بيان تلك الأحكام ، وإن كنت في ريب منها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بها نفس الأمور الخارجية كما استظهرناه ، فالجواب عنه تارة بالنقض بالأحكام الجزئية التي وردت الروايات في بيانها ، فإنّ الشارع ليس من وظيفته بيان نجاسة الثوب الخاصّ الذي يشكّ </w:t>
      </w:r>
      <w:r>
        <w:rPr>
          <w:rStyle w:val="FootnoteAnchor"/>
          <w:rtl w:val="true"/>
        </w:rPr>
        <w:footnoteReference w:id="978"/>
      </w:r>
      <w:r>
        <w:rPr>
          <w:rFonts w:ascii="Amiri" w:hAnsi="Amiri" w:eastAsia="Amiri" w:cs="Amiri"/>
          <w:color w:val="111111"/>
          <w:sz w:val="28"/>
          <w:sz w:val="28"/>
          <w:szCs w:val="28"/>
          <w:rtl w:val="true"/>
          <w:lang w:bidi="ar-SA"/>
        </w:rPr>
        <w:t>فيها بواسطة الاشتباه فيما لاقاه ، كما أنّه ليس من وظيفته بيان بقاء الرطوبة إلى غاية كذائية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بالحلّ وهو أنّ للموضوع الخارجي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نفسه من غير تعرّض بشيء من أحكامه ، كأن يبيّن أنّ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أو </w:t>
      </w:r>
      <w:r>
        <w:rPr>
          <w:rStyle w:val="FootnoteAnchor"/>
          <w:rtl w:val="true"/>
        </w:rPr>
        <w:footnoteReference w:id="979"/>
      </w:r>
      <w:r>
        <w:rPr>
          <w:rFonts w:ascii="Amiri" w:hAnsi="Amiri" w:eastAsia="Amiri" w:cs="Amiri"/>
          <w:color w:val="111111"/>
          <w:sz w:val="28"/>
          <w:sz w:val="28"/>
          <w:szCs w:val="28"/>
          <w:rtl w:val="true"/>
          <w:lang w:bidi="ar-SA"/>
        </w:rPr>
        <w:t xml:space="preserve">أنّ البلل الواقع في الثوب الفلاني ماء أو غير ذلك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حكمه إمّا واقعا إذا كان الموضوع للحكم هو نفس الموضوع من غير ملاحظة الجهل ، وإمّا ظاهرا فيما إذا كان الموضوع مشتبه </w:t>
      </w:r>
      <w:r>
        <w:rPr>
          <w:rStyle w:val="FootnoteAnchor"/>
          <w:rtl w:val="true"/>
        </w:rPr>
        <w:footnoteReference w:id="980"/>
      </w:r>
      <w:r>
        <w:rPr>
          <w:rFonts w:ascii="Amiri" w:hAnsi="Amiri" w:eastAsia="Amiri" w:cs="Amiri"/>
          <w:color w:val="111111"/>
          <w:sz w:val="28"/>
          <w:sz w:val="28"/>
          <w:szCs w:val="28"/>
          <w:rtl w:val="true"/>
          <w:lang w:bidi="ar-SA"/>
        </w:rPr>
        <w:t xml:space="preserve">الحكم مثلا ، وما دارت عليه الألسن من أنّ شأن الشارع ليس بيان الموضوعات إنّما هو بالنسبة إلى الجهة الأولى لا الثانية ، فإنّها في الحقيقة راجعة إلى حكم كلّي في قضيّة كلّية تندرج الموضوعات الجزئية الخاصّة في موضوعها ، فإنّ الشارع قد بيّن بعموم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الموضوع المشتبه ، وليس هذا من بيان الموضوع في شيء ؛ إذ كما أنّه لا يسبق وهم إلى أنّ بيان حكم كلّي الخمر </w:t>
      </w:r>
      <w:r>
        <w:rPr>
          <w:rStyle w:val="FootnoteAnchor"/>
          <w:rtl w:val="true"/>
        </w:rPr>
        <w:footnoteReference w:id="981"/>
      </w:r>
      <w:r>
        <w:rPr>
          <w:rFonts w:ascii="Amiri" w:hAnsi="Amiri" w:eastAsia="Amiri" w:cs="Amiri"/>
          <w:color w:val="111111"/>
          <w:sz w:val="28"/>
          <w:sz w:val="28"/>
          <w:szCs w:val="28"/>
          <w:rtl w:val="true"/>
          <w:lang w:bidi="ar-SA"/>
        </w:rPr>
        <w:t xml:space="preserve">بيان للموضوع ، فكذلك لا ينبغي أن يرتاب في أنّ القول بلزوم الأخذ بالحالة السابقة وترتيب آثارها على المشكوك عند الشكّ ، كما هو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للموضوع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فالتفصيل المذكور في غاية السقوط ، ألا ترى أنّ الشارع قد جعل للموضوع المشتبه أمورا أخر غير الاستصحاب كاليد والسوق والبيّنة ونحوها ، وليس أمثال ذلك من بيان الموضوع في شيء ، بل إنّما هو حكم كلّي متعلّق بموضوع كلّي منطبق على جزئياته كالنجاسة للخمر الحقيقي ، فلا فرق بين القضيّة الحاكمة بنجاسة الخمر والقائلة بحلّية ما يوجد في سوق المسلم عند الاشتباه ، سوى الاشتباه كما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أخبار الاستصحاب مجعولية المستصحب في مرحلة الظاهر ، كما إذا شكّ في فورية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 المشتري بالغبن أو العيب أو في وجوب شيء بعد ثبوته في الحالة السابقة ، فإنّ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الشارع قد جعل في مرحلة الظاهر وجوبا ظاهريا عند الشكّ في البقاء وعدمه كما جعل حكما واقعيا قبل الشكّ ، ولا ريب أنّ الجعل الظاهري ممّا لا يتعقّل في الموضوعات الخارجية دون الأحكام ، فإنّها أمور واقعية لا مدخل لجعل الشارع فيها ، بخلاف الأحكام ؛ إذ ليس لها واقع إلاّ طلب الشارع على اختلاف الموارد ، فتارة إيجابا ، وأخرى استحبابا ، ومرّة تحريما ، ونوبة تنزيها ، كما لا يخفى ، فيمكن الجعل فيها كما هو مفاد الأدلّة ، فينحصر مورد الأخبار المذكورة في الأحكام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آنفا </w:t>
      </w:r>
      <w:r>
        <w:rPr>
          <w:rStyle w:val="FootnoteAnchor"/>
          <w:rtl w:val="true"/>
        </w:rPr>
        <w:footnoteReference w:id="982"/>
      </w:r>
      <w:r>
        <w:rPr>
          <w:rFonts w:ascii="Amiri" w:hAnsi="Amiri" w:eastAsia="Amiri" w:cs="Amiri"/>
          <w:color w:val="111111"/>
          <w:sz w:val="28"/>
          <w:sz w:val="28"/>
          <w:szCs w:val="28"/>
          <w:rtl w:val="true"/>
          <w:lang w:bidi="ar-SA"/>
        </w:rPr>
        <w:t xml:space="preserve">أنّ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الأخذ بالحالة السابقة وإجراء الأحكام المترتّبة على المتيقّن عليه عند الشكّ ، وليس للجعل فيه عين ولا أثر ، ووجوب الأخذ بالأحكام في الموضوعات معناه ترتيب آثارها عليها ، ففيما إذا شكّ في حياة زيد بعد العلم بها لا بدّ من الحكم بحرمة زوجته </w:t>
      </w:r>
      <w:r>
        <w:rPr>
          <w:rStyle w:val="FootnoteAnchor"/>
          <w:rtl w:val="true"/>
        </w:rPr>
        <w:footnoteReference w:id="983"/>
      </w:r>
      <w:r>
        <w:rPr>
          <w:rFonts w:ascii="Amiri" w:hAnsi="Amiri" w:eastAsia="Amiri" w:cs="Amiri"/>
          <w:color w:val="111111"/>
          <w:sz w:val="28"/>
          <w:sz w:val="28"/>
          <w:szCs w:val="28"/>
          <w:rtl w:val="true"/>
          <w:lang w:bidi="ar-SA"/>
        </w:rPr>
        <w:t xml:space="preserve">على غيره ووجوب إنفاقه لها ونحو ذلك ، وفي الأحكام أيضا معناه هو وجوب الإتيان </w:t>
      </w:r>
    </w:p>
    <w:p>
      <w:pPr>
        <w:pStyle w:val="BookText"/>
        <w:rPr/>
      </w:pPr>
      <w:r>
        <w:rPr>
          <w:rFonts w:ascii="Amiri" w:hAnsi="Amiri" w:eastAsia="Amiri" w:cs="Amiri"/>
          <w:color w:val="111111"/>
          <w:sz w:val="28"/>
          <w:sz w:val="28"/>
          <w:szCs w:val="28"/>
          <w:rtl w:val="true"/>
          <w:lang w:bidi="ar-SA"/>
        </w:rPr>
        <w:t xml:space="preserve">بالصلاة عند الشكّ فيه وجواز فسخ المشتري عند الشكّ في بقاء الخيار ، ولا يختلف في ذلك شيء من الحكم والموضوع عدا ما لا مدخل </w:t>
      </w:r>
      <w:r>
        <w:rPr>
          <w:rStyle w:val="FootnoteAnchor"/>
          <w:rtl w:val="true"/>
        </w:rPr>
        <w:footnoteReference w:id="984"/>
      </w:r>
      <w:r>
        <w:rPr>
          <w:rFonts w:ascii="Amiri" w:hAnsi="Amiri" w:eastAsia="Amiri" w:cs="Amiri"/>
          <w:color w:val="111111"/>
          <w:sz w:val="28"/>
          <w:sz w:val="28"/>
          <w:szCs w:val="28"/>
          <w:rtl w:val="true"/>
          <w:lang w:bidi="ar-SA"/>
        </w:rPr>
        <w:t xml:space="preserve">للرواية فيه وهو قبول الوجوب المستصحب للجعل </w:t>
      </w:r>
      <w:r>
        <w:rPr>
          <w:rStyle w:val="FootnoteAnchor"/>
          <w:rtl w:val="true"/>
        </w:rPr>
        <w:footnoteReference w:id="985"/>
      </w:r>
      <w:r>
        <w:rPr>
          <w:rFonts w:ascii="Amiri" w:hAnsi="Amiri" w:eastAsia="Amiri" w:cs="Amiri"/>
          <w:color w:val="111111"/>
          <w:sz w:val="28"/>
          <w:sz w:val="28"/>
          <w:szCs w:val="28"/>
          <w:rtl w:val="true"/>
          <w:lang w:bidi="ar-SA"/>
        </w:rPr>
        <w:t xml:space="preserve">وإمكانه فيه وعدم قبول الموضوع الخارجي لذلك ؛ إذ لا تنافي في قول القائل </w:t>
      </w:r>
      <w:r>
        <w:rPr>
          <w:rStyle w:val="FootnoteAnchor"/>
          <w:rtl w:val="true"/>
        </w:rPr>
        <w:footnoteReference w:id="986"/>
      </w:r>
      <w:r>
        <w:rPr>
          <w:rFonts w:ascii="Amiri" w:hAnsi="Amiri" w:eastAsia="Amiri" w:cs="Amiri"/>
          <w:color w:val="111111"/>
          <w:sz w:val="28"/>
          <w:sz w:val="28"/>
          <w:szCs w:val="28"/>
          <w:rtl w:val="true"/>
          <w:lang w:bidi="ar-SA"/>
        </w:rPr>
        <w:t xml:space="preserve">عند استصحاب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وجوب ظاهري ، مع ظهوره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الظاهرية أو الوجود الظاهري كما لا يخفى ، ومن المعلوم أنّ هذا ممّا لا يقضي </w:t>
      </w:r>
      <w:r>
        <w:rPr>
          <w:rStyle w:val="FootnoteAnchor"/>
          <w:rtl w:val="true"/>
        </w:rPr>
        <w:footnoteReference w:id="987"/>
      </w:r>
      <w:r>
        <w:rPr>
          <w:rFonts w:ascii="Amiri" w:hAnsi="Amiri" w:eastAsia="Amiri" w:cs="Amiri"/>
          <w:color w:val="111111"/>
          <w:sz w:val="28"/>
          <w:sz w:val="28"/>
          <w:szCs w:val="28"/>
          <w:rtl w:val="true"/>
          <w:lang w:bidi="ar-SA"/>
        </w:rPr>
        <w:t>بانحصار مورد الأخبار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معنى حجّية الاستصحاب في الموضوعات هو الأخذ بأحكامها ، فيرجع النزاع في حجّية الاستصحاب فيها لغوا ؛ لإمكان استصحاب نفس تلك الأحكام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هناك أمور غير موجودة حالة اليقين بوجود الموضوع وأحكام غير محمولة عليه فعلا ، كما إذا كان معلّقا بوجود شيء ، أو حضور زمان كوجوب الفطرة المشروط </w:t>
      </w:r>
      <w:r>
        <w:rPr>
          <w:rStyle w:val="FootnoteAnchor"/>
          <w:rtl w:val="true"/>
        </w:rPr>
        <w:footnoteReference w:id="988"/>
      </w:r>
      <w:r>
        <w:rPr>
          <w:rFonts w:ascii="Amiri" w:hAnsi="Amiri" w:eastAsia="Amiri" w:cs="Amiri"/>
          <w:color w:val="111111"/>
          <w:sz w:val="28"/>
          <w:sz w:val="28"/>
          <w:szCs w:val="28"/>
          <w:rtl w:val="true"/>
          <w:lang w:bidi="ar-SA"/>
        </w:rPr>
        <w:t xml:space="preserve">بحضور زمان العيد ، ونحو ذلك ، فعند الشكّ في وجود زيد وقت حضور زمان العيد لا يمكن استصحاب وجوب الفطرة ؛ لعدم وجودها قبل ، فلا يعود النزاع </w:t>
      </w:r>
      <w:r>
        <w:rPr>
          <w:rStyle w:val="FootnoteAnchor"/>
          <w:rtl w:val="true"/>
        </w:rPr>
        <w:footnoteReference w:id="989"/>
      </w:r>
      <w:r>
        <w:rPr>
          <w:rFonts w:ascii="IRNazanin" w:hAnsi="IRNazanin" w:eastAsia="IRNazanin"/>
          <w:color w:val="111111"/>
          <w:sz w:val="28"/>
          <w:sz w:val="28"/>
          <w:szCs w:val="28"/>
          <w:rtl w:val="true"/>
          <w:lang w:bidi="fa-IR"/>
        </w:rPr>
        <w:t>عبثا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الاستصحاب في مثل ذلك </w:t>
      </w:r>
      <w:r>
        <w:rPr>
          <w:rStyle w:val="FootnoteAnchor"/>
          <w:rtl w:val="true"/>
        </w:rPr>
        <w:footnoteReference w:id="990"/>
      </w:r>
      <w:r>
        <w:rPr>
          <w:rFonts w:ascii="Amiri" w:hAnsi="Amiri" w:eastAsia="Amiri" w:cs="Amiri"/>
          <w:color w:val="111111"/>
          <w:sz w:val="28"/>
          <w:sz w:val="28"/>
          <w:szCs w:val="28"/>
          <w:rtl w:val="true"/>
          <w:lang w:bidi="ar-SA"/>
        </w:rPr>
        <w:t xml:space="preserve">وجودها تقديرا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الفطرة كانت بحيث لو حضر زمان العيد واجبة ، ونشكّ في وجوبها بعد ، فيستصحب ذلك الوجوب التقديري ، وبعد فرض تحقّق التقدير فلا بدّ من الأخذ بوجوبها كما في غيرها من موارد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قضيّة انتزاعية وليست من الأحكام الشرعية ، فهي ملحقة بالموضوعات التي لا حاجة إلى استصحابها على زعم الخصم كما لا يخفى ، مضافا إلى أنّ في الاستصحاب </w:t>
      </w:r>
      <w:r>
        <w:rPr>
          <w:rStyle w:val="FootnoteAnchor"/>
          <w:rtl w:val="true"/>
        </w:rPr>
        <w:footnoteReference w:id="991"/>
      </w:r>
      <w:r>
        <w:rPr>
          <w:rFonts w:ascii="Amiri" w:hAnsi="Amiri" w:eastAsia="Amiri" w:cs="Amiri"/>
          <w:color w:val="111111"/>
          <w:sz w:val="28"/>
          <w:sz w:val="28"/>
          <w:szCs w:val="28"/>
          <w:rtl w:val="true"/>
          <w:lang w:bidi="ar-SA"/>
        </w:rPr>
        <w:t xml:space="preserve">التقديري كلاما ستعرفه </w:t>
      </w:r>
      <w:r>
        <w:rPr>
          <w:rStyle w:val="FootnoteAnchor"/>
          <w:rtl w:val="true"/>
        </w:rPr>
        <w:footnoteReference w:id="992"/>
      </w:r>
      <w:r>
        <w:rPr>
          <w:rFonts w:ascii="Amiri" w:hAnsi="Amiri" w:eastAsia="Amiri" w:cs="Amiri"/>
          <w:color w:val="111111"/>
          <w:sz w:val="28"/>
          <w:sz w:val="28"/>
          <w:szCs w:val="28"/>
          <w:rtl w:val="true"/>
          <w:lang w:bidi="ar-SA"/>
        </w:rPr>
        <w:t xml:space="preserve">إن شاء اللّه </w:t>
      </w:r>
      <w:r>
        <w:rPr>
          <w:rStyle w:val="FootnoteAnchor"/>
          <w:rtl w:val="true"/>
        </w:rPr>
        <w:footnoteReference w:id="993"/>
      </w:r>
      <w:r>
        <w:rPr>
          <w:rFonts w:ascii="Amiri" w:hAnsi="Amiri" w:eastAsia="Amiri" w:cs="Amiri"/>
          <w:color w:val="111111"/>
          <w:sz w:val="28"/>
          <w:sz w:val="28"/>
          <w:szCs w:val="28"/>
          <w:rtl w:val="true"/>
          <w:lang w:bidi="ar-SA"/>
        </w:rPr>
        <w:t xml:space="preserve">، مع إمكان فرض </w:t>
      </w:r>
      <w:r>
        <w:rPr>
          <w:rStyle w:val="FootnoteAnchor"/>
          <w:rtl w:val="true"/>
        </w:rPr>
        <w:footnoteReference w:id="994"/>
      </w:r>
      <w:r>
        <w:rPr>
          <w:rFonts w:ascii="Amiri" w:hAnsi="Amiri" w:eastAsia="Amiri" w:cs="Amiri"/>
          <w:color w:val="111111"/>
          <w:sz w:val="28"/>
          <w:sz w:val="28"/>
          <w:szCs w:val="28"/>
          <w:rtl w:val="true"/>
          <w:lang w:bidi="ar-SA"/>
        </w:rPr>
        <w:t xml:space="preserve">المثال على وجه لا يجري فيه الاستصحاب التعليقي </w:t>
      </w:r>
      <w:r>
        <w:rPr>
          <w:rStyle w:val="FootnoteAnchor"/>
          <w:rtl w:val="true"/>
        </w:rPr>
        <w:footnoteReference w:id="995"/>
      </w:r>
      <w:r>
        <w:rPr>
          <w:rFonts w:ascii="Amiri" w:hAnsi="Amiri" w:eastAsia="Amiri" w:cs="Amiri"/>
          <w:color w:val="111111"/>
          <w:sz w:val="28"/>
          <w:sz w:val="28"/>
          <w:szCs w:val="28"/>
          <w:rtl w:val="true"/>
          <w:lang w:bidi="ar-SA"/>
        </w:rPr>
        <w:t>كعدم التزكية المترتّب عليه النجاسة ، فافهم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في الآثار والأحكام من دون استصحاب الموضوع ممّا لا يعقل بعد الشكّ في وجوده ؛ إذ الموضوع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تحقيقه </w:t>
      </w:r>
      <w:r>
        <w:rPr>
          <w:rStyle w:val="FootnoteAnchor"/>
          <w:rtl w:val="true"/>
        </w:rPr>
        <w:footnoteReference w:id="996"/>
      </w:r>
      <w:r>
        <w:rPr>
          <w:rFonts w:ascii="Amiri" w:hAnsi="Amiri" w:eastAsia="Amiri" w:cs="Amiri"/>
          <w:color w:val="111111"/>
          <w:sz w:val="28"/>
          <w:sz w:val="28"/>
          <w:szCs w:val="28"/>
          <w:rtl w:val="true"/>
          <w:lang w:bidi="ar-SA"/>
        </w:rPr>
        <w:t xml:space="preserve">إن شاء اللّه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العلم بوجوده والمفروض في المقام كونه مشكوكا ، واستصحابه يغني عن استصحاب الأحكام ؛ إذ معناه ترتيب تلك الأحكام ، بل لا يعقل ؛ لانتفاء الشكّ فيه ، وفرض العدم كما في صورة تعدّد الأدلّة ممّا لا يجدي في المقام ، لتحقّق مورد الاستصحاب عند تعدّد الأدلّة بعد فرض العدم وارتفاعه بعد فرض عدم الاستصحاب في المقام كما لا يخفى</w:t>
      </w:r>
      <w:r>
        <w:rPr>
          <w:rFonts w:eastAsia="Amiri" w:cs="Amiri" w:ascii="Amiri" w:hAnsi="Amiri"/>
          <w:color w:val="111111"/>
          <w:sz w:val="28"/>
          <w:szCs w:val="28"/>
          <w:rtl w:val="true"/>
          <w:lang w:bidi="ar-SA"/>
        </w:rPr>
        <w:t xml:space="preserve">. </w:t>
      </w:r>
      <w:bookmarkStart w:id="123" w:name="pg16284_171165"/>
    </w:p>
    <w:p>
      <w:pPr>
        <w:pStyle w:val="Heading3"/>
        <w:numPr>
          <w:ilvl w:val="2"/>
          <w:numId w:val="1"/>
        </w:numPr>
        <w:rPr/>
      </w:pPr>
      <w:bookmarkStart w:id="124" w:name="__RefHeading___Toc5012102_1280447820"/>
      <w:bookmarkStart w:id="125" w:name="_Toc40"/>
      <w:bookmarkEnd w:id="123"/>
      <w:bookmarkEnd w:id="124"/>
      <w:r>
        <w:rPr>
          <w:rtl w:val="true"/>
        </w:rPr>
        <w:t xml:space="preserve">هداية </w:t>
      </w:r>
      <w:r>
        <w:rPr>
          <w:rtl w:val="true"/>
        </w:rPr>
        <w:t xml:space="preserve">[ </w:t>
      </w:r>
      <w:r>
        <w:rPr>
          <w:rtl w:val="true"/>
        </w:rPr>
        <w:t xml:space="preserve">في التفصيل بين الأحكام الكلّية والأحكام الجزئية </w:t>
      </w:r>
      <w:r>
        <w:rPr>
          <w:rtl w:val="true"/>
        </w:rPr>
        <w:t>]</w:t>
      </w:r>
      <w:bookmarkEnd w:id="125"/>
    </w:p>
    <w:p>
      <w:pPr>
        <w:pStyle w:val="BookText"/>
        <w:rPr/>
      </w:pPr>
      <w:r>
        <w:rPr>
          <w:rFonts w:ascii="Amiri" w:hAnsi="Amiri" w:eastAsia="Amiri" w:cs="Amiri"/>
          <w:color w:val="111111"/>
          <w:sz w:val="28"/>
          <w:sz w:val="28"/>
          <w:szCs w:val="28"/>
          <w:rtl w:val="true"/>
          <w:lang w:bidi="ar-SA"/>
        </w:rPr>
        <w:t xml:space="preserve">قد ينسب إلى الأخباريين التفصيل بين الأحكام الكلّية الشرعية والأحكام الجزئية التي منشأ الاشتباه فيها الموضوعات الخارجية ونفس تلك الأمور ، فقالوا بالحجّية في الأخيرين ، وبعدمها في الأوّل ، فكما أنّ أرباب التفصيل المتقدّم قد أفرطوا فهؤلاء قد فرّطوا كما لا يخفى ، وقد مرّ </w:t>
      </w:r>
      <w:r>
        <w:rPr>
          <w:rStyle w:val="FootnoteAnchor"/>
          <w:rtl w:val="true"/>
        </w:rPr>
        <w:footnoteReference w:id="998"/>
      </w:r>
      <w:r>
        <w:rPr>
          <w:rFonts w:ascii="Amiri" w:hAnsi="Amiri" w:eastAsia="Amiri" w:cs="Amiri"/>
          <w:color w:val="111111"/>
          <w:sz w:val="28"/>
          <w:sz w:val="28"/>
          <w:szCs w:val="28"/>
          <w:rtl w:val="true"/>
          <w:lang w:bidi="ar-SA"/>
        </w:rPr>
        <w:t xml:space="preserve">التنبيه على عدم التعاكس بين التفصيلين كما زعمه المحقّق القمي رحمه‌اللّه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هذا التفصيل منهم مبنيّ على أصلهم من أنّ المرجع في الأحكام الكلّية الشرعية عند الجهل والشكّ إلى الاحتياط ، بخلاف الموضوعات كما في أصالة البراءة على ما مرّ تفصيل الكلام فيها ، فلا عبرة بالحالة السابقة ولو كان موافقا للاحتياط فكيف بما إذا كان مخالفة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تعرّضوا للجواب عن أخبار الاستصحاب تارة بالمعارضة لأخبار الاحتياط ، وأخرى بعدم شمولها للأحكام الكلّية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 بيان الثاني طريقان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الجليل البارع </w:t>
      </w:r>
      <w:r>
        <w:rPr>
          <w:rStyle w:val="FootnoteAnchor"/>
          <w:rtl w:val="true"/>
        </w:rPr>
        <w:footnoteReference w:id="1002"/>
      </w:r>
      <w:r>
        <w:rPr>
          <w:rFonts w:ascii="Amiri" w:hAnsi="Amiri" w:eastAsia="Amiri" w:cs="Amiri"/>
          <w:color w:val="111111"/>
          <w:sz w:val="28"/>
          <w:sz w:val="28"/>
          <w:szCs w:val="28"/>
          <w:rtl w:val="true"/>
          <w:lang w:bidi="ar-SA"/>
        </w:rPr>
        <w:t xml:space="preserve">رئيس جهابذة </w:t>
      </w:r>
      <w:r>
        <w:rPr>
          <w:rStyle w:val="FootnoteAnchor"/>
          <w:rtl w:val="true"/>
        </w:rPr>
        <w:footnoteReference w:id="1003"/>
      </w:r>
      <w:r>
        <w:rPr>
          <w:rFonts w:ascii="Amiri" w:hAnsi="Amiri" w:eastAsia="Amiri" w:cs="Amiri"/>
          <w:color w:val="111111"/>
          <w:sz w:val="28"/>
          <w:sz w:val="28"/>
          <w:szCs w:val="28"/>
          <w:rtl w:val="true"/>
          <w:lang w:bidi="ar-SA"/>
        </w:rPr>
        <w:t xml:space="preserve">الأخبارية في محكيّ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الطوسية ، قال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المصنّف </w:t>
      </w:r>
      <w:r>
        <w:rPr>
          <w:rStyle w:val="FootnoteAnchor"/>
          <w:rtl w:val="true"/>
        </w:rPr>
        <w:footnoteReference w:id="10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 اليقين بالشكّ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يدلّ على حجّية الأصل بمعنى الاستصحاب لا بمعنى أصالة </w:t>
      </w:r>
      <w:r>
        <w:rPr>
          <w:rStyle w:val="FootnoteAnchor"/>
          <w:rtl w:val="true"/>
        </w:rPr>
        <w:footnoteReference w:id="1006"/>
      </w:r>
      <w:r>
        <w:rPr>
          <w:rFonts w:ascii="Amiri" w:hAnsi="Amiri" w:eastAsia="Amiri" w:cs="Amiri"/>
          <w:color w:val="111111"/>
          <w:sz w:val="28"/>
          <w:sz w:val="28"/>
          <w:szCs w:val="28"/>
          <w:rtl w:val="true"/>
          <w:lang w:bidi="ar-SA"/>
        </w:rPr>
        <w:t xml:space="preserve">الإباحة ، ولا دلالة له على الاستصحاب في الحكم الشرعي ، بل هو مخصوص باستصحاب الحالة السابقة التي ليست من نفس الأحكام الشرعية ، سواء كانت مخالفة للأصل أم موافقة له </w:t>
      </w:r>
      <w:r>
        <w:rPr>
          <w:rStyle w:val="FootnoteAnchor"/>
          <w:rtl w:val="true"/>
        </w:rPr>
        <w:footnoteReference w:id="1007"/>
      </w:r>
      <w:r>
        <w:rPr>
          <w:rFonts w:ascii="Amiri" w:hAnsi="Amiri" w:eastAsia="Amiri" w:cs="Amiri"/>
          <w:color w:val="111111"/>
          <w:sz w:val="28"/>
          <w:sz w:val="28"/>
          <w:szCs w:val="28"/>
          <w:rtl w:val="true"/>
          <w:lang w:bidi="ar-SA"/>
        </w:rPr>
        <w:t xml:space="preserve">، مثلا إذا تيقّن الإنسان أنّه توضّأ ثمّ شكّ في أنّه أحدث وبالعكس ، أو تيقّن دخول الليل ثمّ شكّ في طلوع الصبح </w:t>
      </w:r>
      <w:r>
        <w:rPr>
          <w:rStyle w:val="FootnoteAnchor"/>
          <w:rtl w:val="true"/>
        </w:rPr>
        <w:footnoteReference w:id="1008"/>
      </w:r>
      <w:r>
        <w:rPr>
          <w:rFonts w:ascii="Amiri" w:hAnsi="Amiri" w:eastAsia="Amiri" w:cs="Amiri"/>
          <w:color w:val="111111"/>
          <w:sz w:val="28"/>
          <w:sz w:val="28"/>
          <w:szCs w:val="28"/>
          <w:rtl w:val="true"/>
          <w:lang w:bidi="ar-SA"/>
        </w:rPr>
        <w:t xml:space="preserve">وبالعكس ، أو تيقّن وقوع العقد ثمّ شكّ في التلفّظ بالطلاق ، أو تيقّن في وقوع الطلاق ثمّ شكّ في الرجعة أو في تجديد العقد ، أو تيقّن طهارة ثوبه ثمّ شكّ في ملاقاة البول له ، أو نحو ذلك ممّا ليس من نفس الأحكام الشرعية وإن ترتّب عليه بعضها ، فإنّ هذه الأشياء لا تحتاج </w:t>
      </w:r>
      <w:r>
        <w:rPr>
          <w:rStyle w:val="FootnoteAnchor"/>
          <w:rtl w:val="true"/>
        </w:rPr>
        <w:footnoteReference w:id="1009"/>
      </w:r>
      <w:r>
        <w:rPr>
          <w:rFonts w:ascii="Amiri" w:hAnsi="Amiri" w:eastAsia="Amiri" w:cs="Amiri"/>
          <w:color w:val="111111"/>
          <w:sz w:val="28"/>
          <w:sz w:val="28"/>
          <w:szCs w:val="28"/>
          <w:rtl w:val="true"/>
          <w:lang w:bidi="ar-SA"/>
        </w:rPr>
        <w:t xml:space="preserve">إلى نصّ ، وإلاّ لزم التكليف بما لا يطاق </w:t>
      </w:r>
      <w:r>
        <w:rPr>
          <w:rStyle w:val="FootnoteAnchor"/>
          <w:rtl w:val="true"/>
        </w:rPr>
        <w:footnoteReference w:id="1010"/>
      </w:r>
      <w:r>
        <w:rPr>
          <w:rFonts w:ascii="Amiri" w:hAnsi="Amiri" w:eastAsia="Amiri" w:cs="Amiri"/>
          <w:color w:val="111111"/>
          <w:sz w:val="28"/>
          <w:sz w:val="28"/>
          <w:szCs w:val="28"/>
          <w:rtl w:val="true"/>
          <w:lang w:bidi="ar-SA"/>
        </w:rPr>
        <w:t xml:space="preserve">؛ لأنّ المكلّف لا يمكنه الرجوع في هذه الأشياء إلى المعصوم ، وإذا رجع إليه فإنّه لا يعلم الغيب كلّه ، وهل يتصوّر عاقل أن يقول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لما أحدثت بعد وضوئي ، وهل خرج منّي منيّ </w:t>
      </w:r>
      <w:r>
        <w:rPr>
          <w:rStyle w:val="FootnoteAnchor"/>
          <w:rtl w:val="true"/>
        </w:rPr>
        <w:footnoteReference w:id="1011"/>
      </w:r>
      <w:r>
        <w:rPr>
          <w:rFonts w:ascii="Amiri" w:hAnsi="Amiri" w:eastAsia="Amiri" w:cs="Amiri"/>
          <w:color w:val="111111"/>
          <w:sz w:val="28"/>
          <w:sz w:val="28"/>
          <w:szCs w:val="28"/>
          <w:rtl w:val="true"/>
          <w:lang w:bidi="ar-SA"/>
        </w:rPr>
        <w:t xml:space="preserve">بعد الغسل؟ وهل طلّقت زوجتي أم لا؟ ولمّا اقتضت الحكمة لرفع </w:t>
      </w:r>
      <w:r>
        <w:rPr>
          <w:rStyle w:val="FootnoteAnchor"/>
          <w:rtl w:val="true"/>
        </w:rPr>
        <w:footnoteReference w:id="1012"/>
      </w:r>
      <w:r>
        <w:rPr>
          <w:rFonts w:ascii="Amiri" w:hAnsi="Amiri" w:eastAsia="Amiri" w:cs="Amiri"/>
          <w:color w:val="111111"/>
          <w:sz w:val="28"/>
          <w:sz w:val="28"/>
          <w:szCs w:val="28"/>
          <w:rtl w:val="true"/>
          <w:lang w:bidi="ar-SA"/>
        </w:rPr>
        <w:t xml:space="preserve">الحرج والمشقّة أن ينصّ الشارع على العمل في هذه الأشياء التي ليست من الأحكام الشرعية بقواعد كلّية من أصل واستصحاب ونحوهما على تفصيل يستفاد من النصّ المذكور في محلّه ، حكم العامّة بمساواة الأحكام الشرعية الإلهية لتلك الأمور الدنيّة </w:t>
      </w:r>
      <w:r>
        <w:rPr>
          <w:rStyle w:val="FootnoteAnchor"/>
          <w:rtl w:val="true"/>
        </w:rPr>
        <w:footnoteReference w:id="1013"/>
      </w:r>
      <w:r>
        <w:rPr>
          <w:rFonts w:ascii="Amiri" w:hAnsi="Amiri" w:eastAsia="Amiri" w:cs="Amiri"/>
          <w:color w:val="111111"/>
          <w:sz w:val="28"/>
          <w:sz w:val="28"/>
          <w:szCs w:val="28"/>
          <w:rtl w:val="true"/>
          <w:lang w:bidi="ar-SA"/>
        </w:rPr>
        <w:t>الدنيوية ، بناء على أصلهم من حجّية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وغفل عن الفرق بين الأمرين بعض المتأخّرين من الخاصّة مع أنّ النصوص بالفرق بين المقامين كثيرة ، وإلاّ لزم تكليف ما لا يطاق ، أو رفع التكاليف كلّها أو أكثرها والاستغناء عن النبيّ صلى‌اللّه‌عليه‌وآله والإمام عليه‌السلام بالأصل والاستصحاب كما صرّح به بعض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المعاصر أن يجيب </w:t>
      </w:r>
      <w:r>
        <w:rPr>
          <w:rStyle w:val="FootnoteAnchor"/>
          <w:rtl w:val="true"/>
        </w:rPr>
        <w:footnoteReference w:id="1014"/>
      </w:r>
      <w:r>
        <w:rPr>
          <w:rFonts w:ascii="Amiri" w:hAnsi="Amiri" w:eastAsia="Amiri" w:cs="Amiri"/>
          <w:color w:val="111111"/>
          <w:sz w:val="28"/>
          <w:sz w:val="28"/>
          <w:szCs w:val="28"/>
          <w:rtl w:val="true"/>
          <w:lang w:bidi="ar-SA"/>
        </w:rPr>
        <w:t>بما ورد من وجوب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015"/>
      </w:r>
      <w:r>
        <w:rPr>
          <w:rFonts w:ascii="Amiri" w:hAnsi="Amiri" w:eastAsia="Amiri" w:cs="Amiri"/>
          <w:color w:val="111111"/>
          <w:sz w:val="28"/>
          <w:sz w:val="28"/>
          <w:szCs w:val="28"/>
          <w:rtl w:val="true"/>
          <w:lang w:bidi="ar-SA"/>
        </w:rPr>
        <w:t>المراد بالعلم الظنّ الحاصل من الدليل الشرعي كالأصل والاستصحاب ، ولا يجب بعد ذلك الرجوع إلى المعصوم عليه‌السلام عندهم ، ولأنّهم يدّعون أنّه لا يحصل من الأخبار غير الظنّ حتّى مع المشافهة ؛ لأنّ دلالة الألفاظ ظنّية كما زعموا ، فيلزم من وجوب الرجوع بعد حصول الظنّ الشرعي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الاختصاص هنا بما ليس من نفس الأحكام الشرعية أنّ هذا الحديث إنّما ورد في نواقض الوضوء إذا حصل الشكّ في غلبة النوم على السمع وعدمه ، وفي الشكّ بين عدد الركعات الصادرة عن المصلّي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ذلك ويوضحه أنّهم عليهم‌السلام قالوا </w:t>
      </w:r>
      <w:r>
        <w:rPr>
          <w:rStyle w:val="FootnoteAnchor"/>
          <w:rtl w:val="true"/>
        </w:rPr>
        <w:footnoteReference w:id="10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أبدا بالشكّ ، وإنّما تنقضه بيقين آخر </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فإذا لم يحصل للمكلّف يقين بتجدّد حالة أخرى يمكنه الاستدلال بهذا الحديث ، وإذا حصل له اليقين بتجدّد حالة أخرى كخروج المذي عن المتوضّئ ووجود الماء عند المصلّي بتيمّم </w:t>
      </w:r>
      <w:r>
        <w:rPr>
          <w:rStyle w:val="FootnoteAnchor"/>
          <w:rtl w:val="true"/>
        </w:rPr>
        <w:footnoteReference w:id="1018"/>
      </w:r>
      <w:r>
        <w:rPr>
          <w:rFonts w:ascii="Amiri" w:hAnsi="Amiri" w:eastAsia="Amiri" w:cs="Amiri"/>
          <w:color w:val="111111"/>
          <w:sz w:val="28"/>
          <w:sz w:val="28"/>
          <w:szCs w:val="28"/>
          <w:rtl w:val="true"/>
          <w:lang w:bidi="ar-SA"/>
        </w:rPr>
        <w:t xml:space="preserve">، وحصل عنده شكّ </w:t>
      </w:r>
      <w:r>
        <w:rPr>
          <w:rStyle w:val="FootnoteAnchor"/>
          <w:rtl w:val="true"/>
        </w:rPr>
        <w:footnoteReference w:id="1019"/>
      </w:r>
      <w:r>
        <w:rPr>
          <w:rFonts w:ascii="Amiri" w:hAnsi="Amiri" w:eastAsia="Amiri" w:cs="Amiri"/>
          <w:color w:val="111111"/>
          <w:sz w:val="28"/>
          <w:sz w:val="28"/>
          <w:szCs w:val="28"/>
          <w:rtl w:val="true"/>
          <w:lang w:bidi="ar-SA"/>
        </w:rPr>
        <w:t xml:space="preserve">في حكمهما </w:t>
      </w:r>
      <w:r>
        <w:rPr>
          <w:rStyle w:val="FootnoteAnchor"/>
          <w:rtl w:val="true"/>
        </w:rPr>
        <w:footnoteReference w:id="1020"/>
      </w:r>
      <w:r>
        <w:rPr>
          <w:rFonts w:ascii="Amiri" w:hAnsi="Amiri" w:eastAsia="Amiri" w:cs="Amiri"/>
          <w:color w:val="111111"/>
          <w:sz w:val="28"/>
          <w:sz w:val="28"/>
          <w:szCs w:val="28"/>
          <w:rtl w:val="true"/>
          <w:lang w:bidi="ar-SA"/>
        </w:rPr>
        <w:t xml:space="preserve">الشرعي ، وهو الذي ينصرف إليه إطلاق الاستصحاب عندهم ، فلا يمكنه الاستدلال بهذا الحديث ؛ لأنّه قد نقض اليقين السابق بيقين وشكّ لا بشكّ منفرد ، ولم يقل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وباليقين والشكّ وإنّما تنقضه بيقينين آخرين </w:t>
      </w:r>
      <w:r>
        <w:rPr>
          <w:rStyle w:val="FootnoteAnchor"/>
          <w:rtl w:val="true"/>
        </w:rPr>
        <w:footnoteReference w:id="1021"/>
      </w:r>
      <w:r>
        <w:rPr>
          <w:rFonts w:ascii="Amiri" w:hAnsi="Amiri" w:eastAsia="Amiri" w:cs="Amiri"/>
          <w:color w:val="111111"/>
          <w:sz w:val="28"/>
          <w:sz w:val="28"/>
          <w:szCs w:val="28"/>
          <w:rtl w:val="true"/>
          <w:lang w:bidi="ar-SA"/>
        </w:rPr>
        <w:t xml:space="preserve">، فلا يكون ذلك دليلا على </w:t>
      </w:r>
    </w:p>
    <w:p>
      <w:pPr>
        <w:pStyle w:val="BookText"/>
        <w:rPr/>
      </w:pPr>
      <w:r>
        <w:rPr>
          <w:rFonts w:ascii="Amiri" w:hAnsi="Amiri" w:eastAsia="Amiri" w:cs="Amiri"/>
          <w:color w:val="111111"/>
          <w:sz w:val="28"/>
          <w:sz w:val="28"/>
          <w:szCs w:val="28"/>
          <w:rtl w:val="true"/>
          <w:lang w:bidi="ar-SA"/>
        </w:rPr>
        <w:t xml:space="preserve">الاستصحاب ، على أنّه إنّما يدلّ على أنّ الشكّ لا ينقض إلاّ باليقين ، فلا دلالة له على عدم نقض الشكّ بالظنّ ، ولا الظنّ بالشكّ ، ولا اليقين بالظنّ ، ولا الظنّ بالظنّ ، ولا اليقين باليقين والشكّ ، أو به وبالظنّ ، وهم يستدلّون في جميع تلك الصور بالاستصحاب ، فلا دلالة للحديث على حجّيته مطلقا ، على أنّ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كونها للعهد الذكري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كنت على يقين من وضوئك ولا تنقض اليقين أبدا بالشكّ </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فلا دلالة له </w:t>
      </w:r>
      <w:r>
        <w:rPr>
          <w:rStyle w:val="FootnoteAnchor"/>
          <w:rtl w:val="true"/>
        </w:rPr>
        <w:footnoteReference w:id="1023"/>
      </w:r>
      <w:r>
        <w:rPr>
          <w:rFonts w:ascii="Amiri" w:hAnsi="Amiri" w:eastAsia="Amiri" w:cs="Amiri"/>
          <w:color w:val="111111"/>
          <w:sz w:val="28"/>
          <w:sz w:val="28"/>
          <w:szCs w:val="28"/>
          <w:rtl w:val="true"/>
          <w:lang w:bidi="ar-SA"/>
        </w:rPr>
        <w:t xml:space="preserve">على غير الصورة المفروضة التي هي موضوع </w:t>
      </w:r>
      <w:r>
        <w:rPr>
          <w:rStyle w:val="FootnoteAnchor"/>
          <w:rtl w:val="true"/>
        </w:rPr>
        <w:footnoteReference w:id="1024"/>
      </w:r>
      <w:r>
        <w:rPr>
          <w:rFonts w:ascii="Amiri" w:hAnsi="Amiri" w:eastAsia="Amiri" w:cs="Amiri"/>
          <w:color w:val="111111"/>
          <w:sz w:val="28"/>
          <w:sz w:val="28"/>
          <w:szCs w:val="28"/>
          <w:rtl w:val="true"/>
          <w:lang w:bidi="ar-SA"/>
        </w:rPr>
        <w:t xml:space="preserve">الحديث ، وهي ليست من الأحكام </w:t>
      </w:r>
      <w:r>
        <w:rPr>
          <w:rStyle w:val="FootnoteAnchor"/>
          <w:rtl w:val="true"/>
        </w:rPr>
        <w:footnoteReference w:id="1025"/>
      </w:r>
      <w:r>
        <w:rPr>
          <w:rFonts w:ascii="Amiri" w:hAnsi="Amiri" w:eastAsia="Amiri" w:cs="Amiri"/>
          <w:color w:val="111111"/>
          <w:sz w:val="28"/>
          <w:sz w:val="28"/>
          <w:szCs w:val="28"/>
          <w:rtl w:val="true"/>
          <w:lang w:bidi="ar-SA"/>
        </w:rPr>
        <w:t xml:space="preserve">الشرعية ، والقياس باطل ، والاستدلال بالفرد على الطبيعة غير معقول خصوصا في الأصول هذا </w:t>
      </w:r>
      <w:r>
        <w:rPr>
          <w:rStyle w:val="FootnoteAnchor"/>
          <w:rtl w:val="true"/>
        </w:rPr>
        <w:footnoteReference w:id="102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عمّا أفاده ذلك الشيخ الجليل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ويوضحه ،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يستفاد عمّا أسلفنا ذكره في الهداية السبزوارية ، ونقول في المقام توضيحا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النجاسة المشتبهة باعتبار حدوث أمر خارجي أو الطهارة المشكوكة بواسطة ملاقاة رطوبة مشتبهة ، ممّا لا ينبغي الاستصحاب فيها ؛ لانتقاض اليقين بالشكّ في البقاء و </w:t>
      </w:r>
      <w:r>
        <w:rPr>
          <w:rStyle w:val="FootnoteAnchor"/>
          <w:rtl w:val="true"/>
        </w:rPr>
        <w:footnoteReference w:id="1028"/>
      </w:r>
      <w:r>
        <w:rPr>
          <w:rFonts w:ascii="Amiri" w:hAnsi="Amiri" w:eastAsia="Amiri" w:cs="Amiri"/>
          <w:color w:val="111111"/>
          <w:sz w:val="28"/>
          <w:sz w:val="28"/>
          <w:szCs w:val="28"/>
          <w:rtl w:val="true"/>
          <w:lang w:bidi="ar-SA"/>
        </w:rPr>
        <w:t>اليقين بحدوث الأمر الخارجي على ما زعمه ، مع أنّ صدر الكلام المنقول منه ينادي بخلافه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النقض في الشبهة الموضوعية عند الشكّ في مانعية العارض ليس إلاّ بيقين وشكّ ، فما هو الجواب عنه هو الجواب عن غيره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النقض لا يحصل إلاّ بالشكّ أو باليقين على الخلاف ؛ لأنّ المكلّف بعد العلم بوجوب شيء عليه إمّا أن يأتي به ، أو لا يأتي به ، لا كلام على الأوّل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w:t>
      </w:r>
      <w:r>
        <w:rPr>
          <w:rStyle w:val="FootnoteAnchor"/>
          <w:rtl w:val="true"/>
        </w:rPr>
        <w:footnoteReference w:id="1029"/>
      </w:r>
      <w:r>
        <w:rPr>
          <w:rFonts w:ascii="Amiri" w:hAnsi="Amiri" w:eastAsia="Amiri" w:cs="Amiri"/>
          <w:color w:val="111111"/>
          <w:sz w:val="28"/>
          <w:sz w:val="28"/>
          <w:szCs w:val="28"/>
          <w:rtl w:val="true"/>
          <w:lang w:bidi="ar-SA"/>
        </w:rPr>
        <w:t xml:space="preserve">أن يتركه عصيانا ، أو يعلم بخلافه ، أو يشكّ فيه ، فاليقين لا يتصوّر </w:t>
      </w:r>
    </w:p>
    <w:p>
      <w:pPr>
        <w:pStyle w:val="BookText"/>
        <w:rPr/>
      </w:pPr>
      <w:r>
        <w:rPr>
          <w:rFonts w:ascii="Amiri" w:hAnsi="Amiri" w:eastAsia="Amiri" w:cs="Amiri"/>
          <w:color w:val="111111"/>
          <w:sz w:val="28"/>
          <w:sz w:val="28"/>
          <w:szCs w:val="28"/>
          <w:rtl w:val="true"/>
          <w:lang w:bidi="ar-SA"/>
        </w:rPr>
        <w:t>انتقاضه إلاّ بالشكّ أو اليقين على الخلاف ، والإمام عليه‌السلام إنّما منع عن عدم ترتيب الآثار عند نقض اليقين بالشكّ ، وحكم بوجوب الإتيان فيما لو كان المعلوم سابقا واجبا ، ولا مدخلية لليقين بوجود شيء آخر للنقض على ما هو غير خفيّ على أوائل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المحقّق القمي رحمه‌اللّه </w:t>
      </w:r>
      <w:r>
        <w:rPr>
          <w:rStyle w:val="FootnoteAnchor"/>
          <w:rtl w:val="true"/>
        </w:rPr>
        <w:footnoteReference w:id="1030"/>
      </w:r>
      <w:r>
        <w:rPr>
          <w:rFonts w:ascii="Amiri" w:hAnsi="Amiri" w:eastAsia="Amiri" w:cs="Amiri"/>
          <w:color w:val="111111"/>
          <w:sz w:val="28"/>
          <w:sz w:val="28"/>
          <w:szCs w:val="28"/>
          <w:rtl w:val="true"/>
          <w:lang w:bidi="ar-SA"/>
        </w:rPr>
        <w:t xml:space="preserve">حيث أورد على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المتبادر من الخبر أنّ موضع الشكّ واليقين وموردهما شيء واحد ، فاليقين بوجود المذي لم يرد على اليقين بالطهارة ، بل هما أمران متغايران </w:t>
      </w:r>
      <w:r>
        <w:rPr>
          <w:rStyle w:val="FootnoteAnchor"/>
          <w:rtl w:val="true"/>
        </w:rPr>
        <w:footnoteReference w:id="10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ولعمري إنّ وضوح فساد هذه التوهمات ممّا يغني عن إطالة الكلام في إبطالها ، ولهذا لم يفد أستادنا المرتضى في الجواب عنها عدا ما ذكر ، إلاّ أنّ الأنسب أن نذكر </w:t>
      </w:r>
      <w:r>
        <w:rPr>
          <w:rStyle w:val="FootnoteAnchor"/>
          <w:rtl w:val="true"/>
        </w:rPr>
        <w:footnoteReference w:id="1032"/>
      </w:r>
      <w:r>
        <w:rPr>
          <w:rFonts w:ascii="Amiri" w:hAnsi="Amiri" w:eastAsia="Amiri" w:cs="Amiri"/>
          <w:color w:val="111111"/>
          <w:sz w:val="28"/>
          <w:sz w:val="28"/>
          <w:szCs w:val="28"/>
          <w:rtl w:val="true"/>
          <w:lang w:bidi="ar-SA"/>
        </w:rPr>
        <w:t xml:space="preserve">بعض ما يرد في ضمن إفادات هذا الشيخ الجليل ، ولو لا أنّ المذكور من إفاداته على ما أودعه </w:t>
      </w:r>
      <w:r>
        <w:rPr>
          <w:rStyle w:val="FootnoteAnchor"/>
          <w:rtl w:val="true"/>
        </w:rPr>
        <w:footnoteReference w:id="1033"/>
      </w:r>
      <w:r>
        <w:rPr>
          <w:rFonts w:ascii="Amiri" w:hAnsi="Amiri" w:eastAsia="Amiri" w:cs="Amiri"/>
          <w:color w:val="111111"/>
          <w:sz w:val="28"/>
          <w:sz w:val="28"/>
          <w:szCs w:val="28"/>
          <w:rtl w:val="true"/>
          <w:lang w:bidi="ar-SA"/>
        </w:rPr>
        <w:t xml:space="preserve">لكان ترك التعرّض له </w:t>
      </w:r>
      <w:r>
        <w:rPr>
          <w:rStyle w:val="FootnoteAnchor"/>
          <w:rtl w:val="true"/>
        </w:rPr>
        <w:footnoteReference w:id="1034"/>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الأحكام والموضوعات في مثل هذه الأخبار العامّة المسوقة لبيان المشتبهات ممّا لا يصغى إليه ، وليت شعري هل يتصوّر عاقل فرقا بين 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سعة ما لم تعلم وجوب شيء ، كما في الشبهة الوجوبية التي أجمعت الأمّة على البراءة فيها خلا ما يظهر من بعض متعصّبي الأخبارية </w:t>
      </w:r>
      <w:r>
        <w:rPr>
          <w:rStyle w:val="FootnoteAnchor"/>
          <w:rtl w:val="true"/>
        </w:rPr>
        <w:footnoteReference w:id="1035"/>
      </w:r>
      <w:r>
        <w:rPr>
          <w:rFonts w:ascii="Amiri" w:hAnsi="Amiri" w:eastAsia="Amiri" w:cs="Amiri"/>
          <w:color w:val="111111"/>
          <w:sz w:val="28"/>
          <w:sz w:val="28"/>
          <w:szCs w:val="28"/>
          <w:rtl w:val="true"/>
          <w:lang w:bidi="ar-SA"/>
        </w:rPr>
        <w:t xml:space="preserve">، وبين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يعمل فيما علم وجوبه سابقا بالأحكام السابقة مثلا وعامله معاملة المعلوم؟ فلو أنّ مثل هذا القول يوجب القول بالاستغناء عن النبيّ صلى‌اللّه‌عليه‌وآله والإمام عليه‌السلام فهؤلاء أوّل من يقول به ، فإنّ مقام الشبهة ممّا لا بدّ من العمل فيه بأصل </w:t>
      </w:r>
      <w:r>
        <w:rPr>
          <w:rStyle w:val="FootnoteAnchor"/>
          <w:rtl w:val="true"/>
        </w:rPr>
        <w:footnoteReference w:id="1036"/>
      </w:r>
      <w:r>
        <w:rPr>
          <w:rFonts w:ascii="Amiri" w:hAnsi="Amiri" w:eastAsia="Amiri" w:cs="Amiri"/>
          <w:color w:val="111111"/>
          <w:sz w:val="28"/>
          <w:sz w:val="28"/>
          <w:szCs w:val="28"/>
          <w:rtl w:val="true"/>
          <w:lang w:bidi="ar-SA"/>
        </w:rPr>
        <w:t xml:space="preserve">، والأصل عندهم هو الاحتياط ، وعند غيرهم يختلف موارده بحسب اختلاف الأدلّة ، وكيف </w:t>
      </w:r>
    </w:p>
    <w:p>
      <w:pPr>
        <w:pStyle w:val="BookText"/>
        <w:rPr/>
      </w:pPr>
      <w:r>
        <w:rPr>
          <w:rFonts w:ascii="Amiri" w:hAnsi="Amiri" w:eastAsia="Amiri" w:cs="Amiri"/>
          <w:color w:val="111111"/>
          <w:sz w:val="28"/>
          <w:sz w:val="28"/>
          <w:szCs w:val="28"/>
          <w:rtl w:val="true"/>
          <w:lang w:bidi="ar-SA"/>
        </w:rPr>
        <w:t xml:space="preserve">يحتمل هذا القول في حقّ المفيد مع أنّه من أجلاّء القوم؟ وكيف يوجب الاستغناء في عين الاحتياج لما هو مأخوذ منهم عليهم‌السلام كما لا يخفى؟ مع أنّ ما ذكره في صدر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يعلم الغيب كلّه ، فيه ما لا يخفى وإن لم نقل بإحاطة علمهم عليهم‌السلام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فرض حصول الظنّ من الأصل والاستصحاب في جميع موارده والقول باعتباره من هذه الجهة ، فلا نسلّم لزوم تحصيل الحاصل فيما لو راجع إلى الحجّة وإن قلنا بظنّية الخطابات الشفاهية </w:t>
      </w:r>
      <w:r>
        <w:rPr>
          <w:rStyle w:val="FootnoteAnchor"/>
          <w:rtl w:val="true"/>
        </w:rPr>
        <w:footnoteReference w:id="1037"/>
      </w:r>
      <w:r>
        <w:rPr>
          <w:rFonts w:ascii="Amiri" w:hAnsi="Amiri" w:eastAsia="Amiri" w:cs="Amiri"/>
          <w:color w:val="111111"/>
          <w:sz w:val="28"/>
          <w:sz w:val="28"/>
          <w:szCs w:val="28"/>
          <w:rtl w:val="true"/>
          <w:lang w:bidi="ar-SA"/>
        </w:rPr>
        <w:t xml:space="preserve">؛ إذ لم نجد قائلا بمكافأة الظنون المستفادة من الأصول للأدلّة الاجتهادية فكيف عن قول المعصوم وقد ادّعي الإجماع على ذلك؟ فالقول بذلك إنّما هو من خرافات العامّة وأصحابنا رضوان اللّه عليهم </w:t>
      </w:r>
      <w:r>
        <w:rPr>
          <w:rStyle w:val="FootnoteAnchor"/>
          <w:rtl w:val="true"/>
        </w:rPr>
        <w:footnoteReference w:id="1038"/>
      </w:r>
      <w:r>
        <w:rPr>
          <w:rFonts w:ascii="Amiri" w:hAnsi="Amiri" w:eastAsia="Amiri" w:cs="Amiri"/>
          <w:color w:val="111111"/>
          <w:sz w:val="28"/>
          <w:sz w:val="28"/>
          <w:szCs w:val="28"/>
          <w:rtl w:val="true"/>
          <w:lang w:bidi="ar-SA"/>
        </w:rPr>
        <w:t xml:space="preserve">أجلّ </w:t>
      </w:r>
      <w:r>
        <w:rPr>
          <w:rStyle w:val="FootnoteAnchor"/>
          <w:rtl w:val="true"/>
        </w:rPr>
        <w:footnoteReference w:id="1039"/>
      </w:r>
      <w:r>
        <w:rPr>
          <w:rFonts w:ascii="IRNazanin" w:hAnsi="IRNazanin" w:eastAsia="IRNazanin"/>
          <w:color w:val="111111"/>
          <w:sz w:val="28"/>
          <w:sz w:val="28"/>
          <w:szCs w:val="28"/>
          <w:rtl w:val="true"/>
          <w:lang w:bidi="fa-IR"/>
        </w:rPr>
        <w:t xml:space="preserve">شأنا وأعظم قدرا من </w:t>
      </w:r>
      <w:r>
        <w:rPr>
          <w:rStyle w:val="FootnoteAnchor"/>
          <w:rtl w:val="true"/>
        </w:rPr>
        <w:footnoteReference w:id="1040"/>
      </w:r>
      <w:r>
        <w:rPr>
          <w:rFonts w:ascii="Amiri" w:hAnsi="Amiri" w:eastAsia="Amiri" w:cs="Amiri"/>
          <w:color w:val="111111"/>
          <w:sz w:val="28"/>
          <w:sz w:val="28"/>
          <w:szCs w:val="28"/>
          <w:rtl w:val="true"/>
          <w:lang w:bidi="ar-SA"/>
        </w:rPr>
        <w:t>ذلك ، مع أنّ المقدّمات المذكورة بأجمعها ممنوعة عند التحقيق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من زعمهم ظنّية الدلالة اللفظية ، فليس بأبعد من دعوى قطعية أسناد الأخبار </w:t>
      </w:r>
      <w:r>
        <w:rPr>
          <w:rStyle w:val="FootnoteAnchor"/>
          <w:rtl w:val="true"/>
        </w:rPr>
        <w:footnoteReference w:id="1041"/>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المقرّر في مقامه عدم تخصيص العامّ بالمورد ؛ ضرورة عدم مدخليته في ذلك قطعا ، وبعد ما فرض من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للتخصيص ، على أنّ السائل إنّما سأل عن حكم الموضوع المشتبه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العلاوة ممّا لا يستقيم بوجه ؛ إذ بعد القول بحجّية الظنّ بواسطة دليل شرعي فالنقض بالظنّ إنّما هو نقض باليقين ، وذلك ظاهر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حديث العهد فقد مرّ الكلام فيه فيما تقدّم بما لا مزيد عليه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زعمه أمينهم ، قال في الفوائد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في الوافية بعد </w:t>
      </w:r>
    </w:p>
    <w:p>
      <w:pPr>
        <w:pStyle w:val="BookText"/>
        <w:rPr/>
      </w:pPr>
      <w:r>
        <w:rPr>
          <w:rFonts w:ascii="Amiri" w:hAnsi="Amiri" w:eastAsia="Amiri" w:cs="Amiri"/>
          <w:color w:val="111111"/>
          <w:sz w:val="28"/>
          <w:sz w:val="28"/>
          <w:szCs w:val="28"/>
          <w:rtl w:val="true"/>
          <w:lang w:bidi="ar-SA"/>
        </w:rPr>
        <w:t xml:space="preserve">إيراد الأخبار </w:t>
      </w:r>
      <w:r>
        <w:rPr>
          <w:rStyle w:val="FootnoteAnchor"/>
          <w:rtl w:val="true"/>
        </w:rPr>
        <w:footnoteReference w:id="1043"/>
      </w:r>
      <w:r>
        <w:rPr>
          <w:rFonts w:ascii="Amiri" w:hAnsi="Amiri" w:eastAsia="Amiri" w:cs="Amiri"/>
          <w:color w:val="111111"/>
          <w:sz w:val="28"/>
          <w:sz w:val="28"/>
          <w:szCs w:val="28"/>
          <w:rtl w:val="true"/>
          <w:lang w:bidi="ar-SA"/>
        </w:rPr>
        <w:t xml:space="preserve">الدالّة على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تقتضي جواز العمل بالاستصحاب في أحكام اللّه كما ذهب إليه المفيد والعلاّمة من أصحابنا والشافعية قاطبة ، وتقتضي بطلان قول أكثر علمائنا والحنفية بعدم جواز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عجز عن جوابها </w:t>
      </w:r>
      <w:r>
        <w:rPr>
          <w:rStyle w:val="FootnoteAnchor"/>
          <w:rtl w:val="true"/>
        </w:rPr>
        <w:footnoteReference w:id="1044"/>
      </w:r>
      <w:r>
        <w:rPr>
          <w:rFonts w:ascii="Amiri" w:hAnsi="Amiri" w:eastAsia="Amiri" w:cs="Amiri"/>
          <w:color w:val="111111"/>
          <w:sz w:val="28"/>
          <w:sz w:val="28"/>
          <w:szCs w:val="28"/>
          <w:rtl w:val="true"/>
          <w:lang w:bidi="ar-SA"/>
        </w:rPr>
        <w:t xml:space="preserve">كثير من فحول الأصوليين والفقهاء ، وقد أجبنا عنها في الفوائد المدنية تارة بما ملخّصه أنّ صور الاستصحاب المختلف فيها عند النظر الدقيق والتحقيق راجعة إلى أنّه إذا ثبت حكم بخطاب شرعي في موضوع في حال من حالاته نجريه في ذلك الموضوع عند زوال الحالة القديمة وحدوث نقيضها فيه ، ومن المعلوم أنّه إذا تبدّل قيد موضوع المسألة بنقيض ذلك القيد اختلف موضوع المسألتين ، فالذي سمّوه استصحابا راجع في الحقيقة </w:t>
      </w:r>
      <w:r>
        <w:rPr>
          <w:rStyle w:val="FootnoteAnchor"/>
          <w:rtl w:val="true"/>
        </w:rPr>
        <w:footnoteReference w:id="1045"/>
      </w:r>
      <w:r>
        <w:rPr>
          <w:rFonts w:ascii="IRNazanin" w:hAnsi="IRNazanin" w:eastAsia="IRNazanin"/>
          <w:color w:val="111111"/>
          <w:sz w:val="28"/>
          <w:sz w:val="28"/>
          <w:szCs w:val="28"/>
          <w:rtl w:val="true"/>
          <w:lang w:bidi="fa-IR"/>
        </w:rPr>
        <w:t xml:space="preserve">إلى استواء </w:t>
      </w:r>
      <w:r>
        <w:rPr>
          <w:rStyle w:val="FootnoteAnchor"/>
          <w:rtl w:val="true"/>
        </w:rPr>
        <w:footnoteReference w:id="1046"/>
      </w:r>
      <w:r>
        <w:rPr>
          <w:rFonts w:ascii="Amiri" w:hAnsi="Amiri" w:eastAsia="Amiri" w:cs="Amiri"/>
          <w:color w:val="111111"/>
          <w:sz w:val="28"/>
          <w:sz w:val="28"/>
          <w:szCs w:val="28"/>
          <w:rtl w:val="true"/>
          <w:lang w:bidi="ar-SA"/>
        </w:rPr>
        <w:t xml:space="preserve">حكم موضوع </w:t>
      </w:r>
      <w:r>
        <w:rPr>
          <w:rStyle w:val="FootnoteAnchor"/>
          <w:rtl w:val="true"/>
        </w:rPr>
        <w:footnoteReference w:id="1047"/>
      </w:r>
      <w:r>
        <w:rPr>
          <w:rFonts w:ascii="Amiri" w:hAnsi="Amiri" w:eastAsia="Amiri" w:cs="Amiri"/>
          <w:color w:val="111111"/>
          <w:sz w:val="28"/>
          <w:sz w:val="28"/>
          <w:szCs w:val="28"/>
          <w:rtl w:val="true"/>
          <w:lang w:bidi="ar-SA"/>
        </w:rPr>
        <w:t xml:space="preserve">إلى موضوع آخر يتّحد معه بالذات </w:t>
      </w:r>
      <w:r>
        <w:rPr>
          <w:rStyle w:val="FootnoteAnchor"/>
          <w:rtl w:val="true"/>
        </w:rPr>
        <w:footnoteReference w:id="1048"/>
      </w:r>
      <w:r>
        <w:rPr>
          <w:rFonts w:ascii="Amiri" w:hAnsi="Amiri" w:eastAsia="Amiri" w:cs="Amiri"/>
          <w:color w:val="111111"/>
          <w:sz w:val="28"/>
          <w:sz w:val="28"/>
          <w:szCs w:val="28"/>
          <w:rtl w:val="true"/>
          <w:lang w:bidi="ar-SA"/>
        </w:rPr>
        <w:t>ويغايره بالقيد والصفات ، ومن المعلوم عند الحكيم أنّ هذا المعنى غير معتبر شرعا وأنّ القاعدة الشريفة المذكورة غير شاملة 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بأنّ استصحاب الحكم الشرعي ، وكذا الأصل ، أي الحالة التي إذا خلّي الشيء ونفسه كان عليها ، إنّما يعمل بهما ما لم يظهر مخرج عنهما ، وقد ظهر فى محالّ النزاع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تواتر الأخبار منهم عليهم‌السلام بأنّ كلّ ما يحتاج إليه الأمّة إلى يوم القيامة ورد فيه خطاب وحكم حتّى أرش الخدش ، وكثير ممّا ورد مخزون عند أهل الذكر عليهم‌السلام ، وأنّه </w:t>
      </w:r>
      <w:r>
        <w:rPr>
          <w:rStyle w:val="FootnoteAnchor"/>
          <w:rtl w:val="true"/>
        </w:rPr>
        <w:footnoteReference w:id="1049"/>
      </w:r>
      <w:r>
        <w:rPr>
          <w:rFonts w:ascii="Amiri" w:hAnsi="Amiri" w:eastAsia="Amiri" w:cs="Amiri"/>
          <w:color w:val="111111"/>
          <w:sz w:val="28"/>
          <w:sz w:val="28"/>
          <w:szCs w:val="28"/>
          <w:rtl w:val="true"/>
          <w:lang w:bidi="ar-SA"/>
        </w:rPr>
        <w:t xml:space="preserve">ورد في محالّ النزاع أحكام لا نعلمها بعينها ، وتواترت الأخبار عنهم بحصر المسائل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 وبيّن غيّه أي مقطوع به لا ريب فيه ، وما ليس هذا ولا ذاك ، وبوجوب التوقّف في الثالث </w:t>
      </w:r>
      <w:r>
        <w:rPr>
          <w:rStyle w:val="FootnoteAnchor"/>
          <w:rtl w:val="true"/>
        </w:rPr>
        <w:footnoteReference w:id="1050"/>
      </w:r>
      <w:r>
        <w:rPr>
          <w:rFonts w:ascii="Amiri" w:hAnsi="Amiri" w:eastAsia="Amiri" w:cs="Amiri"/>
          <w:color w:val="111111"/>
          <w:sz w:val="28"/>
          <w:sz w:val="28"/>
          <w:szCs w:val="28"/>
          <w:rtl w:val="true"/>
          <w:lang w:bidi="ar-SA"/>
        </w:rPr>
        <w:t>، انتهى كلامه بألفاظه المحكيّة في الوافية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ومحصّل ما ذكره في الوجه الأوّل مع توضيح منّي هو أنّه لا شكّ في أنّ القيود المعتبرة في القضيّة المعلومة المتيقّنة من زمان أو مكان أو شرط أو حال أو إضافة أو وصف ونحو ذلك ، ممّا يجب أن تكون </w:t>
      </w:r>
      <w:r>
        <w:rPr>
          <w:rStyle w:val="FootnoteAnchor"/>
          <w:rtl w:val="true"/>
        </w:rPr>
        <w:footnoteReference w:id="1051"/>
      </w:r>
      <w:r>
        <w:rPr>
          <w:rFonts w:ascii="Amiri" w:hAnsi="Amiri" w:eastAsia="Amiri" w:cs="Amiri"/>
          <w:color w:val="111111"/>
          <w:sz w:val="28"/>
          <w:sz w:val="28"/>
          <w:szCs w:val="28"/>
          <w:rtl w:val="true"/>
          <w:lang w:bidi="ar-SA"/>
        </w:rPr>
        <w:t xml:space="preserve">باقية حال الشكّ في تلك القضيّة على وجه يصدق عليها أنّها قضيّة متيقّنة </w:t>
      </w:r>
      <w:r>
        <w:rPr>
          <w:rStyle w:val="FootnoteAnchor"/>
          <w:rtl w:val="true"/>
        </w:rPr>
        <w:footnoteReference w:id="1052"/>
      </w:r>
      <w:r>
        <w:rPr>
          <w:rFonts w:ascii="Amiri" w:hAnsi="Amiri" w:eastAsia="Amiri" w:cs="Amiri"/>
          <w:color w:val="111111"/>
          <w:sz w:val="28"/>
          <w:sz w:val="28"/>
          <w:szCs w:val="28"/>
          <w:rtl w:val="true"/>
          <w:lang w:bidi="ar-SA"/>
        </w:rPr>
        <w:t>فشكّ فيها حتّى يكون موردا للأخبار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تبدّلت القيود المأخوذة فيها بعد الأصل المقرّر عند العدلية من تبعية الأحكام للمصالح والمفاسد واختلافها بالوجوه والاعتبار ، فيحتمل أن لا يكون المصلحة المقتضية للحكم الأوّل باقية ، فالقضيّة المشكوكة بعد انتفاء قيد أو ازدياد حالة تصير واقعة أخرى مباينة للواقعة الأولى ، وإلحاق الأخيرة بها عند الشكّ ليس إلاّ من القياس الباطل ، والاستصحاب في الأحكام الكلّية الإلهية إنّما هو من هذا القبيل بخلافه في الموضوعات فإنّ الشكّ في بقاء الطهارة بعد الشكّ في حدوث البول وعروضه إنّما هو على وجه لا يختلف موضوع الحكم في القضيّة المتيقّنة الأولى ؛ لعدم تبدّل قيد من قيوده أو حال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Style w:val="FootnoteAnchor"/>
          <w:rtl w:val="true"/>
        </w:rPr>
        <w:footnoteReference w:id="1053"/>
      </w:r>
      <w:r>
        <w:rPr>
          <w:rFonts w:ascii="Amiri" w:hAnsi="Amiri" w:eastAsia="Amiri" w:cs="Amiri"/>
          <w:color w:val="111111"/>
          <w:sz w:val="28"/>
          <w:sz w:val="28"/>
          <w:szCs w:val="28"/>
          <w:rtl w:val="true"/>
          <w:lang w:bidi="ar-SA"/>
        </w:rPr>
        <w:t>الجواب عنه ، فتارة بالنقض بالاستصحاب في الموضوعات فيما إذا كان الشكّ في رافعية العارض ، كما إذا شكّ في الطهارة بعد حدوث رطوبة مشتبهة ، فإنّ الموضوع في القضيّة المتيقّنة قد ارتفع قيد من قيوده باعتبار حدوث تلك الرطوبة مع أنّه يقول به ، أقول بل بمطلق الموضوعات ؛ إذ لا يعقل وجود الشكّ وارتفاع اليقين إلاّ بواسطة حدوث حالة أو ارتفاع شيء يحتمل اعتباره في الموضوع أو في الحكم ولو على وجه يكون اليقين حاصلا في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المعتبرة في القضيّة لا تختلف </w:t>
      </w:r>
      <w:r>
        <w:rPr>
          <w:rStyle w:val="FootnoteAnchor"/>
          <w:rtl w:val="true"/>
        </w:rPr>
        <w:footnoteReference w:id="1054"/>
      </w:r>
      <w:r>
        <w:rPr>
          <w:rFonts w:ascii="Amiri" w:hAnsi="Amiri" w:eastAsia="Amiri" w:cs="Amiri"/>
          <w:color w:val="111111"/>
          <w:sz w:val="28"/>
          <w:sz w:val="28"/>
          <w:szCs w:val="28"/>
          <w:rtl w:val="true"/>
          <w:lang w:bidi="ar-SA"/>
        </w:rPr>
        <w:t>علما وشكّا إلاّ باعتبار اختلاف شيء معتبر في تلك النسبة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هناك شيء معه يحصل اليقين على وجه لا مدخل له في </w:t>
      </w:r>
    </w:p>
    <w:p>
      <w:pPr>
        <w:pStyle w:val="BookText"/>
        <w:rPr/>
      </w:pPr>
      <w:r>
        <w:rPr>
          <w:rFonts w:ascii="Amiri" w:hAnsi="Amiri" w:eastAsia="Amiri" w:cs="Amiri"/>
          <w:color w:val="111111"/>
          <w:sz w:val="28"/>
          <w:sz w:val="28"/>
          <w:szCs w:val="28"/>
          <w:rtl w:val="true"/>
          <w:lang w:bidi="ar-SA"/>
        </w:rPr>
        <w:t>حصوله إلاّ حصوله في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ارتفاعه لا يبقى </w:t>
      </w:r>
      <w:r>
        <w:rPr>
          <w:rStyle w:val="FootnoteAnchor"/>
          <w:rtl w:val="true"/>
        </w:rPr>
        <w:footnoteReference w:id="1055"/>
      </w:r>
      <w:r>
        <w:rPr>
          <w:rFonts w:ascii="Amiri" w:hAnsi="Amiri" w:eastAsia="Amiri" w:cs="Amiri"/>
          <w:color w:val="111111"/>
          <w:sz w:val="28"/>
          <w:sz w:val="28"/>
          <w:szCs w:val="28"/>
          <w:rtl w:val="true"/>
          <w:lang w:bidi="ar-SA"/>
        </w:rPr>
        <w:t>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رام إلى أنّ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زيد ووجود الطهارة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يعقل فيه اختلاف الموضوع بواسطة اختلاف القيود ؛ لعدم اختلاف الوجود الشخصي ، وعدم تقدّره </w:t>
      </w:r>
      <w:r>
        <w:rPr>
          <w:rStyle w:val="FootnoteAnchor"/>
          <w:rtl w:val="true"/>
        </w:rPr>
        <w:footnoteReference w:id="1056"/>
      </w:r>
      <w:r>
        <w:rPr>
          <w:rFonts w:ascii="Amiri" w:hAnsi="Amiri" w:eastAsia="Amiri" w:cs="Amiri"/>
          <w:color w:val="111111"/>
          <w:sz w:val="28"/>
          <w:sz w:val="28"/>
          <w:szCs w:val="28"/>
          <w:rtl w:val="true"/>
          <w:lang w:bidi="ar-SA"/>
        </w:rPr>
        <w:t xml:space="preserve">، لامتناع قبوله له ، بخلاف الأحكام الشرعية فإنّها من مقولة الطلب واختلافه باختلاف القيود والحالات ممّا لا تدانيه </w:t>
      </w:r>
      <w:r>
        <w:rPr>
          <w:rStyle w:val="FootnoteAnchor"/>
          <w:rtl w:val="true"/>
        </w:rPr>
        <w:footnoteReference w:id="1057"/>
      </w:r>
      <w:r>
        <w:rPr>
          <w:rFonts w:ascii="Amiri" w:hAnsi="Amiri" w:eastAsia="Amiri" w:cs="Amiri"/>
          <w:color w:val="111111"/>
          <w:sz w:val="28"/>
          <w:sz w:val="28"/>
          <w:szCs w:val="28"/>
          <w:rtl w:val="true"/>
          <w:lang w:bidi="ar-SA"/>
        </w:rPr>
        <w:t>ريبة ، فيجوز الاختلاف في الأحكام دون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في الذبّ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058"/>
      </w:r>
      <w:r>
        <w:rPr>
          <w:rFonts w:ascii="Amiri" w:hAnsi="Amiri" w:eastAsia="Amiri" w:cs="Amiri"/>
          <w:color w:val="111111"/>
          <w:sz w:val="28"/>
          <w:sz w:val="28"/>
          <w:szCs w:val="28"/>
          <w:rtl w:val="true"/>
          <w:lang w:bidi="ar-SA"/>
        </w:rPr>
        <w:t xml:space="preserve">الأحكام الجزئية الشرعية ممّا يختلف </w:t>
      </w:r>
      <w:r>
        <w:rPr>
          <w:rStyle w:val="FootnoteAnchor"/>
          <w:rtl w:val="true"/>
        </w:rPr>
        <w:footnoteReference w:id="1059"/>
      </w:r>
      <w:r>
        <w:rPr>
          <w:rFonts w:ascii="Amiri" w:hAnsi="Amiri" w:eastAsia="Amiri" w:cs="Amiri"/>
          <w:color w:val="111111"/>
          <w:sz w:val="28"/>
          <w:sz w:val="28"/>
          <w:szCs w:val="28"/>
          <w:rtl w:val="true"/>
          <w:lang w:bidi="ar-SA"/>
        </w:rPr>
        <w:t xml:space="preserve">أيضا ؛ لكونها أمورا جعلية قابلة للاختلاف </w:t>
      </w:r>
      <w:r>
        <w:rPr>
          <w:rStyle w:val="FootnoteAnchor"/>
          <w:rtl w:val="true"/>
        </w:rPr>
        <w:footnoteReference w:id="1060"/>
      </w:r>
      <w:r>
        <w:rPr>
          <w:rFonts w:ascii="IRNazanin" w:hAnsi="IRNazanin" w:eastAsia="IRNazanin"/>
          <w:color w:val="111111"/>
          <w:sz w:val="28"/>
          <w:sz w:val="28"/>
          <w:szCs w:val="28"/>
          <w:rtl w:val="true"/>
          <w:lang w:bidi="fa-IR"/>
        </w:rPr>
        <w:t>مع أنّه لا مانع من استصحابها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وإن كان لا يختلف باختلاف القيود وليس من الأمور المتقدّرة إلاّ أنّ له مراتب شتّى مختلفة باعتبار اختلافات الماهيات المختلفة باختلاف الاستعدادات المختلفة باختلاف الأمور المكتنفة بالماهيّات واللواحق العارضة لها والقيود المعتبرة فيها ، فوجود زيد بعد اكتناف حالة غير موجودة بالماهيّة المعروضة له يحتمل اختلافه كالأحكام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كلام الفاضل المذكور انحصار الشكّ في الموضوعات في الشكّ في الرافع ، وهذا ليس على ما ينبغي ؛ لإمكان الشكّ في الرافعية والشكّ في المقتضي كما عرفت ومع ذلك لا مفرّ من اختلاف موضوع المسألة بحدوث نقيض القيد المعتبر فيه كما لا يخفى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بالحلّ ويتمّ الكلام فيه في مقامين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رافعية العارض ، ولا بدّ من تمهيد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أنّه قد يكون للمعلول بعد وجوده بوجود </w:t>
      </w:r>
      <w:r>
        <w:rPr>
          <w:rStyle w:val="FootnoteAnchor"/>
          <w:rtl w:val="true"/>
        </w:rPr>
        <w:footnoteReference w:id="1061"/>
      </w:r>
      <w:r>
        <w:rPr>
          <w:rFonts w:ascii="Amiri" w:hAnsi="Amiri" w:eastAsia="Amiri" w:cs="Amiri"/>
          <w:color w:val="111111"/>
          <w:sz w:val="28"/>
          <w:sz w:val="28"/>
          <w:szCs w:val="28"/>
          <w:rtl w:val="true"/>
          <w:lang w:bidi="ar-SA"/>
        </w:rPr>
        <w:t xml:space="preserve">علّته التامّة شيء يزيله يعبّر عنه بالرافع كالبول للطهارة وكالطلاق للزوجية ، ولا شكّ في أنّ عدم الرافع ليس معتبرا في وجود المعلول كعدم المانع ، بل الرافع لا يتحقّق إلاّ بعد الوجود فكيف يعتبر عدمه فيه؟ فهو إذا علّة لرفع المحمول عن الموضوع وليس معتبرا في الموضوع ، فلو شكّ في أنّ الشيء الفلاني رافع أو لا يشكّ في استمرار الحكم معه من دون احتمال تغيّر </w:t>
      </w:r>
      <w:r>
        <w:rPr>
          <w:rStyle w:val="FootnoteAnchor"/>
          <w:rtl w:val="true"/>
        </w:rPr>
        <w:footnoteReference w:id="1062"/>
      </w:r>
      <w:r>
        <w:rPr>
          <w:rFonts w:ascii="Amiri" w:hAnsi="Amiri" w:eastAsia="Amiri" w:cs="Amiri"/>
          <w:color w:val="111111"/>
          <w:sz w:val="28"/>
          <w:sz w:val="28"/>
          <w:szCs w:val="28"/>
          <w:rtl w:val="true"/>
          <w:lang w:bidi="ar-SA"/>
        </w:rPr>
        <w:t>الموضوع ؛ إذ باختلاف العلّة واحتمال حدوثه أو نفيه لا يختلف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 قد تقرّر هذه </w:t>
      </w:r>
      <w:r>
        <w:rPr>
          <w:rStyle w:val="FootnoteAnchor"/>
          <w:rtl w:val="true"/>
        </w:rPr>
        <w:footnoteReference w:id="1063"/>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المكلّف بعد خروج المذي في أنّه متطهّر أم لا بعد العلم بالطهارة ، فلا بدّ من القول بالاستصحاب ، والموضوع غير مختلف ؛ لما قرّر في التمهيد من أنّ الطهارة السابقة ممّا لا مدخل لعدم الرافع فيه ولا يكون ذلك من </w:t>
      </w:r>
      <w:r>
        <w:rPr>
          <w:rStyle w:val="FootnoteAnchor"/>
          <w:rtl w:val="true"/>
        </w:rPr>
        <w:footnoteReference w:id="1064"/>
      </w:r>
      <w:r>
        <w:rPr>
          <w:rFonts w:ascii="Amiri" w:hAnsi="Amiri" w:eastAsia="Amiri" w:cs="Amiri"/>
          <w:color w:val="111111"/>
          <w:sz w:val="28"/>
          <w:sz w:val="28"/>
          <w:szCs w:val="28"/>
          <w:rtl w:val="true"/>
          <w:lang w:bidi="ar-SA"/>
        </w:rPr>
        <w:t>قيوده ولواحقه ، والظاهر أنّ هذا المعنى ممّا يسلمه الخصم أيضا وزعم أنّ الشبهة الموضوعية من هذا القبيل ، ولولاه لما صحّ الحكم في الشبهة الموضوعية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الرافع وإن لم يكن عدمه </w:t>
      </w:r>
      <w:r>
        <w:rPr>
          <w:rStyle w:val="FootnoteAnchor"/>
          <w:rtl w:val="true"/>
        </w:rPr>
        <w:footnoteReference w:id="1065"/>
      </w:r>
      <w:r>
        <w:rPr>
          <w:rFonts w:ascii="Amiri" w:hAnsi="Amiri" w:eastAsia="Amiri" w:cs="Amiri"/>
          <w:color w:val="111111"/>
          <w:sz w:val="28"/>
          <w:sz w:val="28"/>
          <w:szCs w:val="28"/>
          <w:rtl w:val="true"/>
          <w:lang w:bidi="ar-SA"/>
        </w:rPr>
        <w:t>معتبرا في وجود المعلول في الآن الأوّل إلاّ أنّ عدمه معتبر في البقاء في الآن الثاني ، فيختلف موضوع المسألة باحتمال الرافعية كما في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المانع لمّا كان مأخوذا في وجود الحكم المعلول فعند احتمال حدوثه يختلف الموضوع ؛ لأنّ المعلوم هو الحكم عند عدم ما يحتمل مانعيته ، والحكم بعد هذه الملاحظة ومقيّدا بهذه الجهة يخالف الحكم بدونها ، والرافع عدمه وإن لم يكن معتبرا في أصل الوجود ولكنّه معتبر في البقاء ، فيختلف موضوع الحكم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المستصحب هو الوجود لا البقاء ، وإنّما الاستصحاب </w:t>
      </w:r>
      <w:r>
        <w:rPr>
          <w:rStyle w:val="FootnoteAnchor"/>
          <w:rtl w:val="true"/>
        </w:rPr>
        <w:footnoteReference w:id="1066"/>
      </w:r>
      <w:r>
        <w:rPr>
          <w:rFonts w:ascii="Amiri" w:hAnsi="Amiri" w:eastAsia="Amiri" w:cs="Amiri"/>
          <w:color w:val="111111"/>
          <w:sz w:val="28"/>
          <w:sz w:val="28"/>
          <w:szCs w:val="28"/>
          <w:rtl w:val="true"/>
          <w:lang w:bidi="ar-SA"/>
        </w:rPr>
        <w:t xml:space="preserve">يؤثّر في البقاء ، </w:t>
      </w:r>
    </w:p>
    <w:p>
      <w:pPr>
        <w:pStyle w:val="BookText"/>
        <w:rPr/>
      </w:pPr>
      <w:r>
        <w:rPr>
          <w:rFonts w:ascii="Amiri" w:hAnsi="Amiri" w:eastAsia="Amiri" w:cs="Amiri"/>
          <w:color w:val="111111"/>
          <w:sz w:val="28"/>
          <w:sz w:val="28"/>
          <w:szCs w:val="28"/>
          <w:rtl w:val="true"/>
          <w:lang w:bidi="ar-SA"/>
        </w:rPr>
        <w:t xml:space="preserve">فبالاستصحاب يحكم بالبقاء ، والموضوع هو نفس الوجود ، مثلا الطهارة السابقة عند حدوث المذي مستصحبة وبالاستصحاب باقية ، والموضوع هو وجود الطهارة ، ولا مدخل فيه لعدم </w:t>
      </w:r>
      <w:r>
        <w:rPr>
          <w:rStyle w:val="FootnoteAnchor"/>
          <w:rtl w:val="true"/>
        </w:rPr>
        <w:footnoteReference w:id="1067"/>
      </w:r>
      <w:r>
        <w:rPr>
          <w:rFonts w:ascii="Amiri" w:hAnsi="Amiri" w:eastAsia="Amiri" w:cs="Amiri"/>
          <w:color w:val="111111"/>
          <w:sz w:val="28"/>
          <w:sz w:val="28"/>
          <w:szCs w:val="28"/>
          <w:rtl w:val="true"/>
          <w:lang w:bidi="ar-SA"/>
        </w:rPr>
        <w:t>الرافع ، ويوضحه ملاحظة حال الطلاق بالنسبة إلى النكاح فيما إذا شكّ في وقوعه بلفظ غيره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فإنّ الزوجية السابقة ممّا لا يؤثّر فيها عدم الطلاق وإن كان يؤثر في البقاء ، والاستصحاب بعد عدم تغيّر </w:t>
      </w:r>
      <w:r>
        <w:rPr>
          <w:rStyle w:val="FootnoteAnchor"/>
          <w:rtl w:val="true"/>
        </w:rPr>
        <w:footnoteReference w:id="1068"/>
      </w:r>
      <w:r>
        <w:rPr>
          <w:rFonts w:ascii="Amiri" w:hAnsi="Amiri" w:eastAsia="Amiri" w:cs="Amiri"/>
          <w:color w:val="111111"/>
          <w:sz w:val="28"/>
          <w:sz w:val="28"/>
          <w:szCs w:val="28"/>
          <w:rtl w:val="true"/>
          <w:lang w:bidi="ar-SA"/>
        </w:rPr>
        <w:t xml:space="preserve">الموضوع وعدم اختلاف القضيّة المشكوكة والقضيّة المعلومة ، ممّا يقضي </w:t>
      </w:r>
      <w:r>
        <w:rPr>
          <w:rStyle w:val="FootnoteAnchor"/>
          <w:rtl w:val="true"/>
        </w:rPr>
        <w:footnoteReference w:id="1069"/>
      </w:r>
      <w:r>
        <w:rPr>
          <w:rFonts w:ascii="Amiri" w:hAnsi="Amiri" w:eastAsia="Amiri" w:cs="Amiri"/>
          <w:color w:val="111111"/>
          <w:sz w:val="28"/>
          <w:sz w:val="28"/>
          <w:szCs w:val="28"/>
          <w:rtl w:val="true"/>
          <w:lang w:bidi="ar-SA"/>
        </w:rPr>
        <w:t>بالبقاء ، والبقاء ليس موضوعا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المقام إلاّ أنّه لا يخلو عن شيء ، فتأمّل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الشكّ في المقتضي ، والمانع ممّا له مدخل في وجود الحكم المعلول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في الخاتمة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إحراز الموضوع في الاستصحاب ، وهذا الشرط بإجماله ممّا لا خلاف فيه ولا ريب يعتريه وإن كان قد يخالف بعضهم في بعض مقاماته ، فلا يصحّ الاستصحاب إذا تبدّل الموضوع بموضوع آخر ، بل والمحمول أيضا ، أو جزء منهما ، أو قيد منهما ، فلا بدّ أن لا يكون القضيّة المشكوكة مخالفة للقضيّة المتيقّنة سوى ما هو المفروض من اليقين في إحداهما والشكّ في الأخرى ، بل لو احتملنا تبدّل الموضوع أو ما يعتبر فيه من حال أو وصف أو شرط ، لا يحكم بالاستصحاب فيه أيضا ، إلاّ أنّه لا بدّ أن يعلم أنّ </w:t>
      </w:r>
      <w:r>
        <w:rPr>
          <w:rStyle w:val="FootnoteAnchor"/>
          <w:rtl w:val="true"/>
        </w:rPr>
        <w:footnoteReference w:id="1071"/>
      </w:r>
      <w:r>
        <w:rPr>
          <w:rFonts w:ascii="Amiri" w:hAnsi="Amiri" w:eastAsia="Amiri" w:cs="Amiri"/>
          <w:color w:val="111111"/>
          <w:sz w:val="28"/>
          <w:sz w:val="28"/>
          <w:szCs w:val="28"/>
          <w:rtl w:val="true"/>
          <w:lang w:bidi="ar-SA"/>
        </w:rPr>
        <w:t xml:space="preserve">المعيار في تميّزه أيّ شيء هو؟ فقد يقال بأنّ التحقيق هو التدقيق في أمره ، فعلى هذا فالأمر كما أفاده الأمين ، وقد يقال بأنّ المعيار في التميّز هو العرف ، فكلّ قضيّة يكون متّحدة مع </w:t>
      </w:r>
    </w:p>
    <w:p>
      <w:pPr>
        <w:pStyle w:val="BookText"/>
        <w:rPr/>
      </w:pPr>
      <w:r>
        <w:rPr>
          <w:rFonts w:ascii="Amiri" w:hAnsi="Amiri" w:eastAsia="Amiri" w:cs="Amiri"/>
          <w:color w:val="111111"/>
          <w:sz w:val="28"/>
          <w:sz w:val="28"/>
          <w:szCs w:val="28"/>
          <w:rtl w:val="true"/>
          <w:lang w:bidi="ar-SA"/>
        </w:rPr>
        <w:t xml:space="preserve">القضيّة الأخرى عرفا وإن كان قيد من قيود موضوعه مرفوعا ، فالموضوع باق والقضيّة متّحدة ويجري فيها الاستصحاب ، فمن جملة ما لا يعتني العرف بشأنه في اختلاف الموضوع هو الزمان ؛ لأنّ المفهوم عندهم في القضيّة القائلة بأنّ زيدا كان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الرابطة الزمانية ظرفا لوقوع النسبة فيها لا قيدا للموضوع أو المحمول والمظروف من حيث هو مظروف ومأخوذ </w:t>
      </w:r>
      <w:r>
        <w:rPr>
          <w:rStyle w:val="FootnoteAnchor"/>
          <w:rtl w:val="true"/>
        </w:rPr>
        <w:footnoteReference w:id="1072"/>
      </w:r>
      <w:r>
        <w:rPr>
          <w:rFonts w:ascii="Amiri" w:hAnsi="Amiri" w:eastAsia="Amiri" w:cs="Amiri"/>
          <w:color w:val="111111"/>
          <w:sz w:val="28"/>
          <w:sz w:val="28"/>
          <w:szCs w:val="28"/>
          <w:rtl w:val="true"/>
          <w:lang w:bidi="ar-SA"/>
        </w:rPr>
        <w:t>بهذه الملاحظة وإن كان يختلف باختلاف الظرف عند النظر الدقيق ، إلاّ أنّ أهل العرف يتسامحون فيه أيضا ويحكمون بالاتّحاد ، فالقضيّة المعلومة ممّا لا مخالفة لها عرفا للمشكوكة منها ، فيكون من مجاري الاستصحاب ، وإن كان الزمان مختلفا فيهما ، وكذا كلّ ما يعبّر عندهم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لو احتملنا اختلاف الموضوع وتبدّله لا نحكم بجريان الاستصحاب إلاّ أنّ الكلام معهم يرجع </w:t>
      </w:r>
      <w:r>
        <w:rPr>
          <w:rStyle w:val="FootnoteAnchor"/>
          <w:rtl w:val="true"/>
        </w:rPr>
        <w:footnoteReference w:id="1073"/>
      </w:r>
      <w:r>
        <w:rPr>
          <w:rFonts w:ascii="Amiri" w:hAnsi="Amiri" w:eastAsia="Amiri" w:cs="Amiri"/>
          <w:color w:val="111111"/>
          <w:sz w:val="28"/>
          <w:sz w:val="28"/>
          <w:szCs w:val="28"/>
          <w:rtl w:val="true"/>
          <w:lang w:bidi="ar-SA"/>
        </w:rPr>
        <w:t xml:space="preserve">إلى الصغرى ، مثلا لو استفدنا جواز تقليد المجتهد العادل الحيّ من دليل شرعي فبعد انتفاء قيد من قيوده كالحياة أو العدالة واحتمال اعتباره في الموضوع لا نحكم بجواز التقليد للاستصحاب على ما هو ظاهر ، بخلاف ما لم نحتمل ذلك وإن انتفى القيد ولو بواسطة الرجوع إلى دليل الحكم على وجه تطمئنّ </w:t>
      </w:r>
      <w:r>
        <w:rPr>
          <w:rStyle w:val="FootnoteAnchor"/>
          <w:rtl w:val="true"/>
        </w:rPr>
        <w:footnoteReference w:id="1074"/>
      </w:r>
      <w:r>
        <w:rPr>
          <w:rFonts w:ascii="IRNazanin" w:hAnsi="IRNazanin" w:eastAsia="IRNazanin"/>
          <w:color w:val="111111"/>
          <w:sz w:val="28"/>
          <w:sz w:val="28"/>
          <w:szCs w:val="28"/>
          <w:rtl w:val="true"/>
          <w:lang w:bidi="fa-IR"/>
        </w:rPr>
        <w:t xml:space="preserve">النفس </w:t>
      </w:r>
      <w:r>
        <w:rPr>
          <w:rStyle w:val="FootnoteAnchor"/>
          <w:rtl w:val="true"/>
        </w:rPr>
        <w:footnoteReference w:id="1075"/>
      </w:r>
      <w:r>
        <w:rPr>
          <w:rFonts w:ascii="Amiri" w:hAnsi="Amiri" w:eastAsia="Amiri" w:cs="Amiri"/>
          <w:color w:val="111111"/>
          <w:sz w:val="28"/>
          <w:sz w:val="28"/>
          <w:szCs w:val="28"/>
          <w:rtl w:val="true"/>
          <w:lang w:bidi="ar-SA"/>
        </w:rPr>
        <w:t xml:space="preserve">بأنّ الموضوع هو الذات المجرّدة ، وربّما يختلف التعبير في ذلك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تغيّر حكمه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الأوّل هو كون الماء المقيّد بالتغيّر موضوعا للحكم فلو زال القيد لا مجال للاستصحاب فيه ، ومن الثاني كون </w:t>
      </w:r>
      <w:r>
        <w:rPr>
          <w:rStyle w:val="FootnoteAnchor"/>
          <w:rtl w:val="true"/>
        </w:rPr>
        <w:footnoteReference w:id="1076"/>
      </w:r>
      <w:r>
        <w:rPr>
          <w:rFonts w:ascii="IRNazanin" w:hAnsi="IRNazanin" w:eastAsia="IRNazanin"/>
          <w:color w:val="111111"/>
          <w:sz w:val="28"/>
          <w:sz w:val="28"/>
          <w:szCs w:val="28"/>
          <w:rtl w:val="true"/>
          <w:lang w:bidi="fa-IR"/>
        </w:rPr>
        <w:t>الماء نفسه موضوعا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انحصار صور الاستصحاب بتمامها فيما زعمه باطلة يكذّبها الوجدان فضلا عن البرهان ، وسيجيء لذلك زيادة تحقيق </w:t>
      </w:r>
      <w:r>
        <w:rPr>
          <w:rStyle w:val="FootnoteAnchor"/>
          <w:rtl w:val="true"/>
        </w:rPr>
        <w:footnoteReference w:id="1077"/>
      </w:r>
      <w:r>
        <w:rPr>
          <w:rFonts w:ascii="Amiri" w:hAnsi="Amiri" w:eastAsia="Amiri" w:cs="Amiri"/>
          <w:color w:val="111111"/>
          <w:sz w:val="28"/>
          <w:sz w:val="28"/>
          <w:szCs w:val="28"/>
          <w:rtl w:val="true"/>
          <w:lang w:bidi="ar-SA"/>
        </w:rPr>
        <w:t xml:space="preserve">في الخاتمة </w:t>
      </w:r>
      <w:r>
        <w:rPr>
          <w:rStyle w:val="FootnoteAnchor"/>
          <w:rtl w:val="true"/>
        </w:rPr>
        <w:footnoteReference w:id="1078"/>
      </w:r>
      <w:r>
        <w:rPr>
          <w:rFonts w:ascii="Amiri" w:hAnsi="Amiri" w:eastAsia="Amiri" w:cs="Amiri"/>
          <w:color w:val="111111"/>
          <w:sz w:val="28"/>
          <w:sz w:val="28"/>
          <w:szCs w:val="28"/>
          <w:rtl w:val="true"/>
          <w:lang w:bidi="ar-SA"/>
        </w:rPr>
        <w:t xml:space="preserve">إن شاء اللّه </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الجواب عن أخبار الاستصحاب بعدم </w:t>
      </w:r>
      <w:r>
        <w:rPr>
          <w:rStyle w:val="FootnoteAnchor"/>
          <w:rtl w:val="true"/>
        </w:rPr>
        <w:footnoteReference w:id="1079"/>
      </w:r>
      <w:r>
        <w:rPr>
          <w:rFonts w:ascii="IRNazanin" w:hAnsi="IRNazanin" w:eastAsia="IRNazanin"/>
          <w:color w:val="111111"/>
          <w:sz w:val="28"/>
          <w:sz w:val="28"/>
          <w:szCs w:val="28"/>
          <w:rtl w:val="true"/>
          <w:lang w:bidi="fa-IR"/>
        </w:rPr>
        <w:t>الشمول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الجواب عمّا أفاده الأمين أخيرا بالمعارضة ، بل و </w:t>
      </w:r>
      <w:r>
        <w:rPr>
          <w:rStyle w:val="FootnoteAnchor"/>
          <w:rtl w:val="true"/>
        </w:rPr>
        <w:footnoteReference w:id="1080"/>
      </w:r>
      <w:r>
        <w:rPr>
          <w:rFonts w:ascii="Amiri" w:hAnsi="Amiri" w:eastAsia="Amiri" w:cs="Amiri"/>
          <w:color w:val="111111"/>
          <w:sz w:val="28"/>
          <w:sz w:val="28"/>
          <w:szCs w:val="28"/>
          <w:rtl w:val="true"/>
          <w:lang w:bidi="ar-SA"/>
        </w:rPr>
        <w:t xml:space="preserve">حصر المسائل في ثلاثة ، فبأنّ الأخبار المذكورة على ما </w:t>
      </w:r>
      <w:r>
        <w:rPr>
          <w:rStyle w:val="FootnoteAnchor"/>
          <w:rtl w:val="true"/>
        </w:rPr>
        <w:footnoteReference w:id="1081"/>
      </w:r>
      <w:r>
        <w:rPr>
          <w:rFonts w:ascii="Amiri" w:hAnsi="Amiri" w:eastAsia="Amiri" w:cs="Amiri"/>
          <w:color w:val="111111"/>
          <w:sz w:val="28"/>
          <w:sz w:val="28"/>
          <w:szCs w:val="28"/>
          <w:rtl w:val="true"/>
          <w:lang w:bidi="ar-SA"/>
        </w:rPr>
        <w:t xml:space="preserve">هو واضح لمن تدبّر سياقها حاكمة على أخبار الاحتياط على تقدير دلالتها على لزوم التوقّف حكومة الأدلّة الاجتهادية الخاصّة على الأصول العملية ؛ لارتفاع موضوعها بالاستصحاب ، إذ بعد وجوب الأخذ بالحالة السابقة ولزوم ترتيب الآثار المتقدّمة على المتيقّن حال الشكّ بواسطة الأخبار الآمرة به ، فلا يبقى شكّ و </w:t>
      </w:r>
      <w:r>
        <w:rPr>
          <w:rStyle w:val="FootnoteAnchor"/>
          <w:rtl w:val="true"/>
        </w:rPr>
        <w:footnoteReference w:id="1082"/>
      </w:r>
      <w:r>
        <w:rPr>
          <w:rFonts w:ascii="Amiri" w:hAnsi="Amiri" w:eastAsia="Amiri" w:cs="Amiri"/>
          <w:color w:val="111111"/>
          <w:sz w:val="28"/>
          <w:sz w:val="28"/>
          <w:szCs w:val="28"/>
          <w:rtl w:val="true"/>
          <w:lang w:bidi="ar-SA"/>
        </w:rPr>
        <w:t xml:space="preserve">شبهة في موارد الاستصحاب حتّى يكون موردا للاحتياط ويكون من بيّن الرشد ؛ لأنّ لموضوع الشكّ في الشريعة أحكاما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يجب العمل بالبراءة ، وأخرى بالاحتياط ، وأخرى بالاستصحاب ، ومرّة بالتخيير ، على حسب اختلاف مواردها ، وفيما يكون مجرى الاستصحاب لا يجري فيه غيره من الأصول ، لعدم تحقّق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في دفعه بالنقض بالموضوعات ؛ إذ لو لا حكومة الأدلّة الدالّة على الاستصحاب لما جاز العمل به فيها أيضا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يدفع بأنّ العمل بها في تلك الموارد وفاقي فلا يرد نقضا ، ولكنّ الإنصاف أنّها دعوى دون إثباتها خرط القتاد ؛ لظهور العموم فيها بحسب اللفظ ، ومن الغريب أنّ المعصوم عليه‌السلام إنّما قدّم الاستصحاب على الاحتياط اللازم اتّفاقا ، ومنه يظهر وجه الورود في غير المورد أيضا ، فتدبّر</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6284_171179"/>
      <w:bookmarkStart w:id="127" w:name="pg16284_171179"/>
      <w:bookmarkEnd w:id="127"/>
    </w:p>
    <w:p>
      <w:pPr>
        <w:pStyle w:val="Heading3"/>
        <w:numPr>
          <w:ilvl w:val="2"/>
          <w:numId w:val="1"/>
        </w:numPr>
        <w:rPr/>
      </w:pPr>
      <w:bookmarkStart w:id="128" w:name="pg16284_171179"/>
      <w:bookmarkStart w:id="129" w:name="__RefHeading___Toc5012104_1280447820"/>
      <w:bookmarkStart w:id="130" w:name="_Toc41"/>
      <w:bookmarkEnd w:id="128"/>
      <w:bookmarkEnd w:id="129"/>
      <w:r>
        <w:rPr>
          <w:rtl w:val="true"/>
        </w:rPr>
        <w:t xml:space="preserve">هداية </w:t>
      </w:r>
      <w:r>
        <w:rPr>
          <w:rtl w:val="true"/>
        </w:rPr>
        <w:t xml:space="preserve">[ </w:t>
      </w:r>
      <w:r>
        <w:rPr>
          <w:rtl w:val="true"/>
        </w:rPr>
        <w:t xml:space="preserve">في التفصيل بين كون دليل المستصحب الإجماع أو النصّ </w:t>
      </w:r>
      <w:r>
        <w:rPr>
          <w:rtl w:val="true"/>
        </w:rPr>
        <w:t>]</w:t>
      </w:r>
      <w:bookmarkEnd w:id="130"/>
    </w:p>
    <w:p>
      <w:pPr>
        <w:pStyle w:val="BookText"/>
        <w:rPr/>
      </w:pPr>
      <w:r>
        <w:rPr>
          <w:rFonts w:ascii="Amiri" w:hAnsi="Amiri" w:eastAsia="Amiri" w:cs="Amiri"/>
          <w:color w:val="111111"/>
          <w:sz w:val="28"/>
          <w:sz w:val="28"/>
          <w:szCs w:val="28"/>
          <w:rtl w:val="true"/>
          <w:lang w:bidi="ar-SA"/>
        </w:rPr>
        <w:t xml:space="preserve">الدليل الدالّ على الحكم الثابت في الزمن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لفظيا أو لا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اللفظ بعمومه وإطلاقه شاملا للزمان الثاني الذي وقع الشكّ في ثبوت الحكم فيه أو لا ،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استصحاب الحكم ؛ لكفاية اللفظ عنه ، نعم قد يتوقّف صحّة الاستدلال باللفظ على </w:t>
      </w:r>
      <w:r>
        <w:rPr>
          <w:rStyle w:val="FootnoteAnchor"/>
          <w:rtl w:val="true"/>
        </w:rPr>
        <w:footnoteReference w:id="1083"/>
      </w:r>
      <w:r>
        <w:rPr>
          <w:rFonts w:ascii="Amiri" w:hAnsi="Amiri" w:eastAsia="Amiri" w:cs="Amiri"/>
          <w:color w:val="111111"/>
          <w:sz w:val="28"/>
          <w:sz w:val="28"/>
          <w:szCs w:val="28"/>
          <w:rtl w:val="true"/>
          <w:lang w:bidi="ar-SA"/>
        </w:rPr>
        <w:t xml:space="preserve">الاستصحاب لكنّه لا مدخل له للحكم المدلول بالدليل اللفظي ، كأصالة عدم التخصيص واستصحاب عدم التقييد </w:t>
      </w:r>
      <w:r>
        <w:rPr>
          <w:rStyle w:val="FootnoteAnchor"/>
          <w:rtl w:val="true"/>
        </w:rPr>
        <w:footnoteReference w:id="1084"/>
      </w:r>
      <w:r>
        <w:rPr>
          <w:rFonts w:ascii="Amiri" w:hAnsi="Amiri" w:eastAsia="Amiri" w:cs="Amiri"/>
          <w:color w:val="111111"/>
          <w:sz w:val="28"/>
          <w:sz w:val="28"/>
          <w:szCs w:val="28"/>
          <w:rtl w:val="true"/>
          <w:lang w:bidi="ar-SA"/>
        </w:rPr>
        <w:t xml:space="preserve">ونحوهما ، فإنّ الاستناد بالعامّ في </w:t>
      </w:r>
      <w:r>
        <w:rPr>
          <w:rStyle w:val="FootnoteAnchor"/>
          <w:rtl w:val="true"/>
        </w:rPr>
        <w:footnoteReference w:id="1085"/>
      </w:r>
      <w:r>
        <w:rPr>
          <w:rFonts w:ascii="Amiri" w:hAnsi="Amiri" w:eastAsia="Amiri" w:cs="Amiri"/>
          <w:color w:val="111111"/>
          <w:sz w:val="28"/>
          <w:sz w:val="28"/>
          <w:szCs w:val="28"/>
          <w:rtl w:val="true"/>
          <w:lang w:bidi="ar-SA"/>
        </w:rPr>
        <w:t>جريان الحكم السابق عند احتمال التخصيص لا يتمّ بدون ذلك ، وقد يصير الحكم في الزمان الثاني مظنون الإرادة من نفس اللفظ مع قطع النظر عن إعمال الأصول المعهودة ، فلا حاجة إليها في الاستدلال أيضا ، ويعبّر عن هذا الاستصحاب في لسان القوم باستصحاب حال الدليل ، والظاهر أنّ تسمية هذا القسم بالاستصحاب إنّما هو باعتبار استصحاب عدم التخصيص ، وإلاّ فلا يخلو عن مسامحة ؛ لانتفاء شروط تعقّل الاستصحاب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اللفظ محتمل الدلالة في الزمان الثاني بحيث لا نعلم </w:t>
      </w:r>
      <w:r>
        <w:rPr>
          <w:rStyle w:val="FootnoteAnchor"/>
          <w:rtl w:val="true"/>
        </w:rPr>
        <w:footnoteReference w:id="1086"/>
      </w:r>
      <w:r>
        <w:rPr>
          <w:rFonts w:ascii="Amiri" w:hAnsi="Amiri" w:eastAsia="Amiri" w:cs="Amiri"/>
          <w:color w:val="111111"/>
          <w:sz w:val="28"/>
          <w:sz w:val="28"/>
          <w:szCs w:val="28"/>
          <w:rtl w:val="true"/>
          <w:lang w:bidi="ar-SA"/>
        </w:rPr>
        <w:t xml:space="preserve">المراد منه في حالة الشكّ ، فيحتمل أن يكون مرادا من اللفظ ويحتمل أن لا يكون ، وإمّا أن لا يكون </w:t>
      </w:r>
    </w:p>
    <w:p>
      <w:pPr>
        <w:pStyle w:val="BookText"/>
        <w:rPr/>
      </w:pPr>
      <w:r>
        <w:rPr>
          <w:rFonts w:ascii="Amiri" w:hAnsi="Amiri" w:eastAsia="Amiri" w:cs="Amiri"/>
          <w:color w:val="111111"/>
          <w:sz w:val="28"/>
          <w:sz w:val="28"/>
          <w:szCs w:val="28"/>
          <w:rtl w:val="true"/>
          <w:lang w:bidi="ar-SA"/>
        </w:rPr>
        <w:t>كذلك بحيث نعلم بعدم إرادة الحكم في الزمان الثاني من اللفظ ، ففي هذين القسمين لو أريد إثبات الحكم في الزمان الثاني يحتاج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فمحلّ الاستصحاب فيما لو كان الدليل لفظيا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الدليل مجملا كالقسم الثاني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الدليل ساكتا عن حال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الدليل هو العقل ، وإمّا أن يكون هو الإجماع ، لا كلام في المقام على الأوّل ؛ لما سبق تحقيق الكلام فيه فيما تقدّم ، وأمّا على الثاني فالإجماع على طريقة العامّة لو تحقّق في مورد فحكمه حكم اللفظ فيما لو كان ساكتا إذا لم يكن حال الشكّ أيضا إجماعيا ، إذ هو حينئذ دليل بنفسه فإمّا أن يكون موجودا في الحالين ، أو مختصّ بالزمان الأوّل ، فعلى الأوّل لا وجه للاستصحاب ، وعلى الثاني فهو محلّ الاستصحاب أيضا ؛ لسكوت الإجماع عن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طريقة المتقدّمين من أصحابنا فحكمه حكم اللفظ بعينه ، لأنّ المفروض كشفه عن قول المعصوم ولفظه ، وهو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طريقة الحدس فهو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العموم بمعنى حصول القطع برضاء المعصوم في الحكم الفلاني في الحالتين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السكوت ، فعلى الأوّل لا استصحاب ، وعلى الثاني فهو محلّ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الدليل على وجه يعلم منه نفي الحكم في الزمان الثاني ، وهذا كما يتصوّر في الأدلّة اللفظية كذلك يتصوّر في الإجماع أيضا على الوجوه المختلفة من الطرق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الدليل اللفظي مردّدا بين الأقسام المذكورة فحكمه حكم الساكت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أقسام اللفظ خمسة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دالّ على الحكم في الزمان الثاني ، أو ناف له ، أو مجمل ، أو ساكت ، أو مردّد ، لا استصحاب </w:t>
      </w:r>
      <w:r>
        <w:rPr>
          <w:rStyle w:val="FootnoteAnchor"/>
          <w:rtl w:val="true"/>
        </w:rPr>
        <w:footnoteReference w:id="1087"/>
      </w:r>
      <w:r>
        <w:rPr>
          <w:rFonts w:ascii="Amiri" w:hAnsi="Amiri" w:eastAsia="Amiri" w:cs="Amiri"/>
          <w:color w:val="111111"/>
          <w:sz w:val="28"/>
          <w:sz w:val="28"/>
          <w:szCs w:val="28"/>
          <w:rtl w:val="true"/>
          <w:lang w:bidi="ar-SA"/>
        </w:rPr>
        <w:t>على الأوّلين ، ومحلّه على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وأقسام </w:t>
      </w:r>
    </w:p>
    <w:p>
      <w:pPr>
        <w:pStyle w:val="BookText"/>
        <w:rPr/>
      </w:pPr>
      <w:r>
        <w:rPr>
          <w:rFonts w:ascii="Amiri" w:hAnsi="Amiri" w:eastAsia="Amiri" w:cs="Amiri"/>
          <w:color w:val="111111"/>
          <w:sz w:val="28"/>
          <w:sz w:val="28"/>
          <w:szCs w:val="28"/>
          <w:rtl w:val="true"/>
          <w:lang w:bidi="ar-SA"/>
        </w:rPr>
        <w:t xml:space="preserve">الإجماع على طريقة العامّة ثلاثة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دالّ أو ساكت أو ناف ، إذ لا إجمال ولا ترديد فيه كما لا يخفى ، فلا استصحاب على الأوّل والأخير بخلاف الثاني ، وأقسامه على الطريقة كأقسام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Style w:val="FootnoteAnchor"/>
          <w:rtl w:val="true"/>
        </w:rPr>
        <w:footnoteReference w:id="1088"/>
      </w:r>
      <w:r>
        <w:rPr>
          <w:rFonts w:ascii="Amiri" w:hAnsi="Amiri" w:eastAsia="Amiri" w:cs="Amiri"/>
          <w:color w:val="111111"/>
          <w:sz w:val="28"/>
          <w:sz w:val="28"/>
          <w:szCs w:val="28"/>
          <w:rtl w:val="true"/>
          <w:lang w:bidi="ar-SA"/>
        </w:rPr>
        <w:t xml:space="preserve">طريقة المتأخّرين والحدس فله أقسام ثلاثة ؛ إذ لا إجمال ولا ترديد فيه ، يجري الاستصحاب في قسم منها دون القسمين الأخيرين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جميع ما تقدّم توضيحه أنّ مجرّد قابلية الحكم للبقاء في الحالة الثانية يكفي في الاستصحاب ولا مدخل للدليل فيه ، ولا يتفاوت الحال في ذلك ، سواء كان هو الإجماع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ينسب إلى الغزالي التفصيل بين ما إذا كان الإجماع دليل ثبوت المستصحب فلا يجري فيه الاستصحاب ، وبين ما إذا كان الدليل نصّا فيجري فيه الاستصحاب ، واستند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منافاة الإجماع للخلاف ، فلا يمكن استصحاب حال الإجماع عند الشكّ بخلاف النصّ لإمكان الخلاف مع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جملة منهم تارة بالنقض بالنصّ فيما لو كان ساكتا أو مجملا ؛ لعدم دلالته في </w:t>
      </w:r>
      <w:r>
        <w:rPr>
          <w:rStyle w:val="FootnoteAnchor"/>
          <w:rtl w:val="true"/>
        </w:rPr>
        <w:footnoteReference w:id="1090"/>
      </w:r>
      <w:r>
        <w:rPr>
          <w:rFonts w:ascii="Amiri" w:hAnsi="Amiri" w:eastAsia="Amiri" w:cs="Amiri"/>
          <w:color w:val="111111"/>
          <w:sz w:val="28"/>
          <w:sz w:val="28"/>
          <w:szCs w:val="28"/>
          <w:rtl w:val="true"/>
          <w:lang w:bidi="ar-SA"/>
        </w:rPr>
        <w:t>محلّ الخلاف والشكّ ، وأخرى بالحلّ بأنّ الاستصحاب هو الدليل في الزمان الثاني نظرا إلى الأدلّة المعهودة على اختلاف المشارب لا الإجماع ، فمنافاته للخلاف ممّا لا ضير فيه فيما هو المقصود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المنقولة من الغزالي ممّا لا دلالة فيها على التفصيل المذكور بوجه وهي هذه على ما حكاها في النهاية على ما في شرح الوافية للسيّد في المتيمّم إذا وجد الماء في الأثناء و </w:t>
      </w:r>
      <w:r>
        <w:rPr>
          <w:rStyle w:val="FootnoteAnchor"/>
          <w:rtl w:val="true"/>
        </w:rPr>
        <w:footnoteReference w:id="1091"/>
      </w:r>
      <w:r>
        <w:rPr>
          <w:rFonts w:ascii="Amiri" w:hAnsi="Amiri" w:eastAsia="Amiri" w:cs="Amiri"/>
          <w:color w:val="111111"/>
          <w:sz w:val="28"/>
          <w:sz w:val="28"/>
          <w:szCs w:val="28"/>
          <w:rtl w:val="true"/>
          <w:lang w:bidi="ar-SA"/>
        </w:rPr>
        <w:t xml:space="preserve">في المتطهّر إذا خرج منه </w:t>
      </w:r>
      <w:r>
        <w:rPr>
          <w:rStyle w:val="FootnoteAnchor"/>
          <w:rtl w:val="true"/>
        </w:rPr>
        <w:footnoteReference w:id="1092"/>
      </w:r>
      <w:r>
        <w:rPr>
          <w:rFonts w:ascii="Amiri" w:hAnsi="Amiri" w:eastAsia="Amiri" w:cs="Amiri"/>
          <w:color w:val="111111"/>
          <w:sz w:val="28"/>
          <w:sz w:val="28"/>
          <w:szCs w:val="28"/>
          <w:rtl w:val="true"/>
          <w:lang w:bidi="ar-SA"/>
        </w:rPr>
        <w:t xml:space="preserve">شيء من غير السبيلين بعد ما استند الشافعي للمضيّ </w:t>
      </w:r>
      <w:r>
        <w:rPr>
          <w:rStyle w:val="FootnoteAnchor"/>
          <w:rtl w:val="true"/>
        </w:rPr>
        <w:footnoteReference w:id="1093"/>
      </w:r>
      <w:r>
        <w:rPr>
          <w:rFonts w:ascii="IRNazanin" w:hAnsi="IRNazanin" w:eastAsia="IRNazanin"/>
          <w:color w:val="111111"/>
          <w:sz w:val="28"/>
          <w:sz w:val="28"/>
          <w:szCs w:val="28"/>
          <w:rtl w:val="true"/>
          <w:lang w:bidi="fa-IR"/>
        </w:rPr>
        <w:t xml:space="preserve">والبقاء إلى الاستصحاب </w:t>
      </w:r>
      <w:r>
        <w:rPr>
          <w:rStyle w:val="FootnoteAnchor"/>
          <w:rtl w:val="true"/>
        </w:rPr>
        <w:footnoteReference w:id="10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إن أقرّ بأنّه لم يقم دليلا </w:t>
      </w:r>
    </w:p>
    <w:p>
      <w:pPr>
        <w:pStyle w:val="BookText"/>
        <w:rPr/>
      </w:pPr>
      <w:r>
        <w:rPr>
          <w:rFonts w:ascii="Amiri" w:hAnsi="Amiri" w:eastAsia="Amiri" w:cs="Amiri"/>
          <w:color w:val="111111"/>
          <w:sz w:val="28"/>
          <w:sz w:val="28"/>
          <w:szCs w:val="28"/>
          <w:rtl w:val="true"/>
          <w:lang w:bidi="ar-SA"/>
        </w:rPr>
        <w:t xml:space="preserve">في المسألة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ناف ولا دليل على النافي ، فسيأتي بيان وجوب الدليل على النافي ، وإن ظنّ إقامة دليل فقد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يستدام الحكم الذي دلّ الدليل على دوامه ، وهو إن كان لفظ الشارع فلا بدّ من بيانه ، فلعلّه يدلّ على دوامها </w:t>
      </w:r>
      <w:r>
        <w:rPr>
          <w:rStyle w:val="FootnoteAnchor"/>
          <w:rtl w:val="true"/>
        </w:rPr>
        <w:footnoteReference w:id="1095"/>
      </w:r>
      <w:r>
        <w:rPr>
          <w:rFonts w:ascii="IRNazanin" w:hAnsi="IRNazanin" w:eastAsia="IRNazanin"/>
          <w:color w:val="111111"/>
          <w:sz w:val="28"/>
          <w:sz w:val="28"/>
          <w:szCs w:val="28"/>
          <w:rtl w:val="true"/>
          <w:lang w:bidi="fa-IR"/>
        </w:rPr>
        <w:t xml:space="preserve">عند عدم الخروج </w:t>
      </w:r>
      <w:r>
        <w:rPr>
          <w:rStyle w:val="FootnoteAnchor"/>
          <w:rtl w:val="true"/>
        </w:rPr>
        <w:footnoteReference w:id="1096"/>
      </w:r>
      <w:r>
        <w:rPr>
          <w:rFonts w:ascii="Amiri" w:hAnsi="Amiri" w:eastAsia="Amiri" w:cs="Amiri"/>
          <w:color w:val="111111"/>
          <w:sz w:val="28"/>
          <w:sz w:val="28"/>
          <w:szCs w:val="28"/>
          <w:rtl w:val="true"/>
          <w:lang w:bidi="ar-SA"/>
        </w:rPr>
        <w:t>لا عند وجوده ، وإن دلّ بعمومه على دوامها عند العدم والوجود معا كان ذلك تمسّكا بالعموم ، فيجب إظهار دليل التخصيص ، وإن كان بإجماع والإجماع إنّما انعقد على دوام الصلاة عند العدم دون الوجود ، ولو كان الإجماع شاملا حال الوجود كان المخالف له خارقا للإجماع ، كما أنّ المخالف في انقطاع الصلاة عند هبوب الرياح وطلوع الشمس خارق للإجماع ؛ لأنّ الإجماع لم ينعقد مشروطا بعدم الهبوب وانعقد مشروطا بعدم الخروج وعدم الماء ، فإذا وجد فلا إجماع ، فيجب أن يقاس حال الوجود على حال العدم بعلّة جامعة ، فإمّا أن يستصحب الإجماع عند انتفاء الجامع فهو محال ، وهذا كما أنّ العقل دلّ على البراءة الأصلية بشرط عدم دليل السمع فلا يبقى له دلالة مع وجود دليل السمع ، فكذا هنا انعقد الإجماع بشرط العدم ، فانتفى الإجماع عند الوجود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دقيقة وهو أنّ كلّ دليل يضادّه نفس الخلاف فلا يمكن استصحابه مع الخلاف ، والإجماع يضادّه نفس الخلاف ؛ إذ لا إجماع مع الخلاف ، بخلاف العموم والنصّ ودليل العقل فإنّ الخلاف لا يضادّه ، فإنّ المخالف مقرّ بأنّ العموم بصيغته يتناول محلّ الخلاف ، فإنّ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صيام على من لم يبت الصيام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شامل بصيغته صوم رمضان مع خلاف الخصم فيه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شمول الصيغة لكنّي أخصّه بدليل ، فعليه الدليل ، وهنا المخالف لا يسلّم شمول الإجماع محلّ الخلاف ؛ لاستحالة الإجماع مع الخلاف ولا يستحيل شمول الصيغة مع الدليل ، فهذه دقيقة يجب التنبّه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يخرم الخلاف فكيف يرتفع بالخلاف </w:t>
      </w:r>
      <w:r>
        <w:rPr>
          <w:rStyle w:val="FootnoteAnchor"/>
          <w:rtl w:val="true"/>
        </w:rPr>
        <w:footnoteReference w:id="1098"/>
      </w:r>
      <w:r>
        <w:rPr>
          <w:rFonts w:ascii="Amiri" w:hAnsi="Amiri" w:eastAsia="Amiri" w:cs="Amiri"/>
          <w:color w:val="111111"/>
          <w:sz w:val="28"/>
          <w:sz w:val="28"/>
          <w:szCs w:val="28"/>
          <w:rtl w:val="true"/>
          <w:lang w:bidi="ar-SA"/>
        </w:rPr>
        <w:t>؟ أجاب بأنّ هذا الخلاف غير مخرم بالإجماع وإن لم تكن المخالفة خارقة للإجماع ؛ لأنّ الإجماع إنّما انعقد على حالة العدم لا على حالة الوجود ، فمن ألحق الوجود بالعدم فعليه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صحّة الشروع دالّ على الدوام إلى أن يقوم دليل على الانقطاع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الدليل الإجماع ؛ لأنّه مشروط بالعدم فلا يكون دليلا عند العدم فإن كان نصّا فيه </w:t>
      </w:r>
      <w:r>
        <w:rPr>
          <w:rStyle w:val="FootnoteAnchor"/>
          <w:rtl w:val="true"/>
        </w:rPr>
        <w:footnoteReference w:id="1099"/>
      </w:r>
      <w:r>
        <w:rPr>
          <w:rFonts w:ascii="Amiri" w:hAnsi="Amiri" w:eastAsia="Amiri" w:cs="Amiri"/>
          <w:color w:val="111111"/>
          <w:sz w:val="28"/>
          <w:sz w:val="28"/>
          <w:szCs w:val="28"/>
          <w:rtl w:val="true"/>
          <w:lang w:bidi="ar-SA"/>
        </w:rPr>
        <w:t xml:space="preserve">لننظر هل يتناول حال الوجود أم لا؟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تنكرون </w:t>
      </w:r>
      <w:r>
        <w:rPr>
          <w:rStyle w:val="FootnoteAnchor"/>
          <w:rtl w:val="true"/>
        </w:rPr>
        <w:footnoteReference w:id="1100"/>
      </w:r>
      <w:r>
        <w:rPr>
          <w:rFonts w:ascii="Amiri" w:hAnsi="Amiri" w:eastAsia="Amiri" w:cs="Amiri"/>
          <w:color w:val="111111"/>
          <w:sz w:val="28"/>
          <w:sz w:val="28"/>
          <w:szCs w:val="28"/>
          <w:rtl w:val="true"/>
          <w:lang w:bidi="ar-SA"/>
        </w:rPr>
        <w:t xml:space="preserve">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أنّ ما ثبت دام إلى وجود قاطع فلا يحتاج الدوام إلى دليل في نفسه ، بل الثبوت هو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ثبت موت </w:t>
      </w:r>
      <w:r>
        <w:rPr>
          <w:rStyle w:val="FootnoteAnchor"/>
          <w:rtl w:val="true"/>
        </w:rPr>
        <w:footnoteReference w:id="1101"/>
      </w:r>
      <w:r>
        <w:rPr>
          <w:rFonts w:ascii="Amiri" w:hAnsi="Amiri" w:eastAsia="Amiri" w:cs="Amiri"/>
          <w:color w:val="111111"/>
          <w:sz w:val="28"/>
          <w:sz w:val="28"/>
          <w:szCs w:val="28"/>
          <w:rtl w:val="true"/>
          <w:lang w:bidi="ar-SA"/>
        </w:rPr>
        <w:t xml:space="preserve">زيد أو بناء دار كان دوامه بنفسه لا بسبب </w:t>
      </w:r>
      <w:r>
        <w:rPr>
          <w:rStyle w:val="FootnoteAnchor"/>
          <w:rtl w:val="true"/>
        </w:rPr>
        <w:footnoteReference w:id="1102"/>
      </w:r>
      <w:r>
        <w:rPr>
          <w:rFonts w:ascii="Amiri" w:hAnsi="Amiri" w:eastAsia="Amiri" w:cs="Amiri"/>
          <w:color w:val="111111"/>
          <w:sz w:val="28"/>
          <w:sz w:val="28"/>
          <w:szCs w:val="28"/>
          <w:rtl w:val="true"/>
          <w:lang w:bidi="ar-SA"/>
        </w:rPr>
        <w:t xml:space="preserve">؟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باطل ، فإنّ كلّ ما ثبت جاز دوامه وعدمه ، فلا بدّ لدوامه من سبب ودليل سوى دليل الثبوت ، ولو لا دليل العادة على أنّ الميّت لا يحيى والدار لا تنهدم بعد البناء إلاّ بهادم أو بطول زمان ، لما عرفنا دوامه بمجرّد موته ، كما لو أخبر عن قعود الأمير وأكله ودخوله الدار ولم تدلّ العادة على دوام هذه الأمور ، فإنّا لا نقضي بدوامها ، فكذا خبر الشارع عن دوام الصلاة مع عدم الماء ليس خبرا عن دوامها مع وجوده ، فيفتقر دوامها إلى دليل آخر </w:t>
      </w:r>
      <w:r>
        <w:rPr>
          <w:rStyle w:val="FootnoteAnchor"/>
          <w:rtl w:val="true"/>
        </w:rPr>
        <w:footnoteReference w:id="1103"/>
      </w:r>
      <w:r>
        <w:rPr>
          <w:rFonts w:ascii="IRNazanin" w:hAnsi="IRNazanin" w:eastAsia="IRNazanin"/>
          <w:color w:val="111111"/>
          <w:sz w:val="28"/>
          <w:sz w:val="28"/>
          <w:szCs w:val="28"/>
          <w:rtl w:val="true"/>
          <w:lang w:bidi="fa-IR"/>
        </w:rPr>
        <w:t xml:space="preserve">، انتهت </w:t>
      </w:r>
      <w:r>
        <w:rPr>
          <w:rStyle w:val="FootnoteAnchor"/>
          <w:rtl w:val="true"/>
        </w:rPr>
        <w:footnoteReference w:id="1104"/>
      </w:r>
      <w:r>
        <w:rPr>
          <w:rFonts w:ascii="Amiri" w:hAnsi="Amiri" w:eastAsia="Amiri" w:cs="Amiri"/>
          <w:color w:val="111111"/>
          <w:sz w:val="28"/>
          <w:sz w:val="28"/>
          <w:szCs w:val="28"/>
          <w:rtl w:val="true"/>
          <w:lang w:bidi="ar-SA"/>
        </w:rPr>
        <w:t>عبارته المحكيّة في شرح الوافية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الظاهر عدم دلالتها على التفصيل المذكور ، بل المستفاد منها نفي الاستصحاب رأسا ، كما يستفاد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الاعتراض في آخر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وهم باطل ، ومنشأ الاشتباه هو وقوع كلامه في ردّ القائل بالاستصحاب فيمن وجد الماء في الأثناء ، وظنّي أنّه لم يكن ملتفتا إلى الاستصحاب بالمعنى المصطلح </w:t>
      </w:r>
    </w:p>
    <w:p>
      <w:pPr>
        <w:pStyle w:val="BookText"/>
        <w:rPr/>
      </w:pPr>
      <w:r>
        <w:rPr>
          <w:rFonts w:ascii="Amiri" w:hAnsi="Amiri" w:eastAsia="Amiri" w:cs="Amiri"/>
          <w:color w:val="111111"/>
          <w:sz w:val="28"/>
          <w:sz w:val="28"/>
          <w:szCs w:val="28"/>
          <w:rtl w:val="true"/>
          <w:lang w:bidi="ar-SA"/>
        </w:rPr>
        <w:t xml:space="preserve">أصلا ، كما يظهر من حمل كلام المستصحب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المعروف من عدم حاجة النافي إلى الدليل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دعوى الدوام ، نعم قد </w:t>
      </w:r>
      <w:r>
        <w:rPr>
          <w:rStyle w:val="FootnoteAnchor"/>
          <w:rtl w:val="true"/>
        </w:rPr>
        <w:footnoteReference w:id="1105"/>
      </w:r>
      <w:r>
        <w:rPr>
          <w:rFonts w:ascii="Amiri" w:hAnsi="Amiri" w:eastAsia="Amiri" w:cs="Amiri"/>
          <w:color w:val="111111"/>
          <w:sz w:val="28"/>
          <w:sz w:val="28"/>
          <w:szCs w:val="28"/>
          <w:rtl w:val="true"/>
          <w:lang w:bidi="ar-SA"/>
        </w:rPr>
        <w:t xml:space="preserve">استشعر بذلك أخيرا فأورده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ينكرون على من يقول؟ والعجب منهم أنّهم كيف استنبطوا من هذه العبارة هذا التفصيل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الدقيقة التي تخيّلها دقيقة فمن المعلوم عدم مدخليتها في ذلك ، نعم هو تفصيل في الدليل بمعنى أنّ الأدلّة حالها مختلف </w:t>
      </w:r>
      <w:r>
        <w:rPr>
          <w:rStyle w:val="FootnoteAnchor"/>
          <w:rtl w:val="true"/>
        </w:rPr>
        <w:footnoteReference w:id="1106"/>
      </w:r>
      <w:r>
        <w:rPr>
          <w:rFonts w:ascii="Amiri" w:hAnsi="Amiri" w:eastAsia="Amiri" w:cs="Amiri"/>
          <w:color w:val="111111"/>
          <w:sz w:val="28"/>
          <w:sz w:val="28"/>
          <w:szCs w:val="28"/>
          <w:rtl w:val="true"/>
          <w:lang w:bidi="ar-SA"/>
        </w:rPr>
        <w:t>في إمكان البقاء ، فالإجماع على معتقدهم ينافي الخلاف فلا يمكن بقاؤه في حال الخلاف ، وذلك بخلاف العموم أو دليل العقل ؛ إذ ذلك لا ينافي الخلاف فيتحقّق في مورد الخلاف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أنّه مفصّل مثل ما فصّل المحقّق نظرا إلى كلامه أوّلا ، وليس على ما ينبغي ؛ لمنافاة سابقه ولاحقه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أنّه يفصّل بين الإجماع وغيره من الأدلّة في استصحاب حال الدليل وعدّه من المفصّلين من حيث كون استصحاب الدليل من أقسام الاستصحاب ، وليس في محلّه أيضا ؛ لردّ استصحاب حال </w:t>
      </w:r>
      <w:r>
        <w:rPr>
          <w:rStyle w:val="FootnoteAnchor"/>
          <w:rtl w:val="true"/>
        </w:rPr>
        <w:footnoteReference w:id="1107"/>
      </w:r>
      <w:r>
        <w:rPr>
          <w:rFonts w:ascii="Amiri" w:hAnsi="Amiri" w:eastAsia="Amiri" w:cs="Amiri"/>
          <w:color w:val="111111"/>
          <w:sz w:val="28"/>
          <w:sz w:val="28"/>
          <w:szCs w:val="28"/>
          <w:rtl w:val="true"/>
          <w:lang w:bidi="ar-SA"/>
        </w:rPr>
        <w:t xml:space="preserve">الدليل بأنّه </w:t>
      </w:r>
      <w:r>
        <w:rPr>
          <w:rStyle w:val="FootnoteAnchor"/>
          <w:rtl w:val="true"/>
        </w:rPr>
        <w:footnoteReference w:id="1108"/>
      </w:r>
      <w:r>
        <w:rPr>
          <w:rFonts w:ascii="Amiri" w:hAnsi="Amiri" w:eastAsia="Amiri" w:cs="Amiri"/>
          <w:color w:val="111111"/>
          <w:sz w:val="28"/>
          <w:sz w:val="28"/>
          <w:szCs w:val="28"/>
          <w:rtl w:val="true"/>
          <w:lang w:bidi="ar-SA"/>
        </w:rPr>
        <w:t xml:space="preserve">إنّما يتصوّر في العامّ أو في المطلق دون سائر الألفاظ المجملة أو الساكتة </w:t>
      </w:r>
      <w:r>
        <w:rPr>
          <w:rStyle w:val="FootnoteAnchor"/>
          <w:rtl w:val="true"/>
        </w:rPr>
        <w:footnoteReference w:id="1109"/>
      </w:r>
      <w:r>
        <w:rPr>
          <w:rFonts w:ascii="Amiri" w:hAnsi="Amiri" w:eastAsia="Amiri" w:cs="Amiri"/>
          <w:color w:val="111111"/>
          <w:sz w:val="28"/>
          <w:sz w:val="28"/>
          <w:szCs w:val="28"/>
          <w:rtl w:val="true"/>
          <w:lang w:bidi="ar-SA"/>
        </w:rPr>
        <w:t xml:space="preserve">أو المردّدة أو العقل ، وصريح كلامه في بيان الدقيقة هو الفرق بين الألفاظ والعقل وبين الإجماع ولا مدخل له في الاستصحاب أصلا ، على أنّ استصحاب حال الدليل ليس من الاستصحاب حقيقة إلاّ بواسطة الاستصحاب في عدم التخصيص والتقييد كما مرّ فيما تقدّم ، فكيف </w:t>
      </w:r>
      <w:r>
        <w:rPr>
          <w:rStyle w:val="FootnoteAnchor"/>
          <w:rtl w:val="true"/>
        </w:rPr>
        <w:footnoteReference w:id="1110"/>
      </w:r>
      <w:r>
        <w:rPr>
          <w:rFonts w:ascii="Amiri" w:hAnsi="Amiri" w:eastAsia="Amiri" w:cs="Amiri"/>
          <w:color w:val="111111"/>
          <w:sz w:val="28"/>
          <w:sz w:val="28"/>
          <w:szCs w:val="28"/>
          <w:rtl w:val="true"/>
          <w:lang w:bidi="ar-SA"/>
        </w:rPr>
        <w:t xml:space="preserve">كان فجريان الاستصحاب في موارده موقوف على احتمال بقاء المستصحب في محلّ الشكّ وإمكانه من غير مدخلية للدليل فيه ، ولا فرق في ذلك </w:t>
      </w:r>
      <w:r>
        <w:rPr>
          <w:rStyle w:val="FootnoteAnchor"/>
          <w:rtl w:val="true"/>
        </w:rPr>
        <w:footnoteReference w:id="1111"/>
      </w:r>
      <w:r>
        <w:rPr>
          <w:rFonts w:ascii="Amiri" w:hAnsi="Amiri" w:eastAsia="Amiri" w:cs="Amiri"/>
          <w:color w:val="111111"/>
          <w:sz w:val="28"/>
          <w:sz w:val="28"/>
          <w:szCs w:val="28"/>
          <w:rtl w:val="true"/>
          <w:lang w:bidi="ar-SA"/>
        </w:rPr>
        <w:t>بين كون الدليل لفظا أو غيره</w:t>
      </w:r>
      <w:r>
        <w:rPr>
          <w:rFonts w:eastAsia="Amiri" w:cs="Amiri" w:ascii="Amiri" w:hAnsi="Amiri"/>
          <w:color w:val="111111"/>
          <w:sz w:val="28"/>
          <w:szCs w:val="28"/>
          <w:rtl w:val="true"/>
          <w:lang w:bidi="ar-SA"/>
        </w:rPr>
        <w:t xml:space="preserve">. </w:t>
      </w:r>
      <w:bookmarkStart w:id="131" w:name="pg16284_171185"/>
    </w:p>
    <w:p>
      <w:pPr>
        <w:pStyle w:val="Heading3"/>
        <w:numPr>
          <w:ilvl w:val="2"/>
          <w:numId w:val="1"/>
        </w:numPr>
        <w:rPr/>
      </w:pPr>
      <w:bookmarkStart w:id="132" w:name="__RefHeading___Toc5012106_1280447820"/>
      <w:bookmarkStart w:id="133" w:name="_Toc42"/>
      <w:bookmarkEnd w:id="131"/>
      <w:bookmarkEnd w:id="132"/>
      <w:r>
        <w:rPr>
          <w:rtl w:val="true"/>
        </w:rPr>
        <w:t xml:space="preserve">هداية </w:t>
      </w:r>
      <w:r>
        <w:rPr>
          <w:rtl w:val="true"/>
        </w:rPr>
        <w:t xml:space="preserve">[ </w:t>
      </w:r>
      <w:r>
        <w:rPr>
          <w:rtl w:val="true"/>
        </w:rPr>
        <w:t xml:space="preserve">في جواب المحقّق القمّي عن استصحاب الكتابي وردّه </w:t>
      </w:r>
      <w:r>
        <w:rPr>
          <w:rtl w:val="true"/>
        </w:rPr>
        <w:t>]</w:t>
      </w:r>
      <w:bookmarkEnd w:id="133"/>
    </w:p>
    <w:p>
      <w:pPr>
        <w:pStyle w:val="BookText"/>
        <w:rPr/>
      </w:pPr>
      <w:r>
        <w:rPr>
          <w:rFonts w:ascii="Amiri" w:hAnsi="Amiri" w:eastAsia="Amiri" w:cs="Amiri"/>
          <w:color w:val="111111"/>
          <w:sz w:val="28"/>
          <w:sz w:val="28"/>
          <w:szCs w:val="28"/>
          <w:rtl w:val="true"/>
          <w:lang w:bidi="ar-SA"/>
        </w:rPr>
        <w:t xml:space="preserve">قد تحقّق في الهدايات </w:t>
      </w:r>
      <w:r>
        <w:rPr>
          <w:rStyle w:val="FootnoteAnchor"/>
          <w:rtl w:val="true"/>
        </w:rPr>
        <w:footnoteReference w:id="1112"/>
      </w:r>
      <w:r>
        <w:rPr>
          <w:rFonts w:ascii="Amiri" w:hAnsi="Amiri" w:eastAsia="Amiri" w:cs="Amiri"/>
          <w:color w:val="111111"/>
          <w:sz w:val="28"/>
          <w:sz w:val="28"/>
          <w:szCs w:val="28"/>
          <w:rtl w:val="true"/>
          <w:lang w:bidi="ar-SA"/>
        </w:rPr>
        <w:t xml:space="preserve">السابقة جريان الاستصحاب فيما كان </w:t>
      </w:r>
      <w:r>
        <w:rPr>
          <w:rStyle w:val="FootnoteAnchor"/>
          <w:rtl w:val="true"/>
        </w:rPr>
        <w:footnoteReference w:id="1113"/>
      </w:r>
      <w:r>
        <w:rPr>
          <w:rFonts w:ascii="Amiri" w:hAnsi="Amiri" w:eastAsia="Amiri" w:cs="Amiri"/>
          <w:color w:val="111111"/>
          <w:sz w:val="28"/>
          <w:sz w:val="28"/>
          <w:szCs w:val="28"/>
          <w:rtl w:val="true"/>
          <w:lang w:bidi="ar-SA"/>
        </w:rPr>
        <w:t xml:space="preserve">المستصحب محتملا للبقاء وقابلا له ، ولا فرق في ذلك بين كون المستصحب أمرا شخصيا معيّنا شكّ في بقائه في الزمان المتأخّر ، كما إذا شكّ في وجود زيد المعلوم وجوده سابقا ، ثمّ شكّ في بقائه في الحالة المتأخّرة ، وبين أن يكون أمرا مردّدا بين شيئين يعلم بانتفائه في زمان الشكّ على تقدير ، ويقطع بوجوده وبقائه على تقدير آخر ، كما إذا علمنا بوجود حيوان في الدار مردّد بين كونه فرسا أو غيره ممّا يعيش في عام ، و </w:t>
      </w:r>
      <w:r>
        <w:rPr>
          <w:rStyle w:val="FootnoteAnchor"/>
          <w:rtl w:val="true"/>
        </w:rPr>
        <w:footnoteReference w:id="1114"/>
      </w:r>
      <w:r>
        <w:rPr>
          <w:rFonts w:ascii="Amiri" w:hAnsi="Amiri" w:eastAsia="Amiri" w:cs="Amiri"/>
          <w:color w:val="111111"/>
          <w:sz w:val="28"/>
          <w:sz w:val="28"/>
          <w:szCs w:val="28"/>
          <w:rtl w:val="true"/>
          <w:lang w:bidi="ar-SA"/>
        </w:rPr>
        <w:t>بين كونه ممّا لا يعيش في عام كأنواع الحيوانات المخلوقة في الأرض من فئران وديدان ونحو ذلك ؛ لاحتمال بقاء الموجود المجمل وعموم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البقاء يكفي في جريان الاستصحاب فيما لو كان الشيء الواحد محتملا للبقاء ، وليس كذلك في المقام فإنّ كلّ واحد من الأمرين المردّدين لا احتمال فيهما ؛ للعلم بالوجود على تقدير ، وبالعدم على تقدير آخر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الوجود المجمل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واحد ومحتمل للبقاء ، غاية ما في الباب أنّ الاحتمال إنّما نشأ من الترديد بين الشيئين ، فالترديد في المقام إنّما هو </w:t>
      </w:r>
    </w:p>
    <w:p>
      <w:pPr>
        <w:pStyle w:val="BookText"/>
        <w:rPr/>
      </w:pPr>
      <w:r>
        <w:rPr>
          <w:rFonts w:ascii="Amiri" w:hAnsi="Amiri" w:eastAsia="Amiri" w:cs="Amiri"/>
          <w:color w:val="111111"/>
          <w:sz w:val="28"/>
          <w:sz w:val="28"/>
          <w:szCs w:val="28"/>
          <w:rtl w:val="true"/>
          <w:lang w:bidi="ar-SA"/>
        </w:rPr>
        <w:t>محقّق للاحتمال لا أنّه ينافيه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هذا فروع كثيرة ، كما إذا علم بنجاسة مردّدة بين كونها ممّا ترتفع عن محلّها بغسلة أو لا ترتفع إلاّ بغسلات ، فالنجاسة مستصحبة على المختار ، وخالف في ذلك المحقّق القمي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يتبع الموضوع وحكمه في مقدار صلوحه للامتداد ، فإن كان الموضوع جزئيا معيّنا ثبت بالاستصحاب بقاؤه إلى أقصى مدّة يمكن بقاؤه فيها ، وإن كان كلّيا كما لو علمنا بوجود حيوان في موضع وتردّدنا بين كونه من نوع ما يعيش قليلا كالذباب والنمل أو كثيرا كالإنسان والفرس ، فلا يثبت بالاستصحاب إلاّ بقاؤه في أقصى مدّة ما </w:t>
      </w:r>
      <w:r>
        <w:rPr>
          <w:rStyle w:val="FootnoteAnchor"/>
          <w:rtl w:val="true"/>
        </w:rPr>
        <w:footnoteReference w:id="1116"/>
      </w:r>
      <w:r>
        <w:rPr>
          <w:rFonts w:ascii="IRNazanin" w:hAnsi="IRNazanin" w:eastAsia="IRNazanin"/>
          <w:color w:val="111111"/>
          <w:sz w:val="28"/>
          <w:sz w:val="28"/>
          <w:szCs w:val="28"/>
          <w:rtl w:val="true"/>
          <w:lang w:bidi="fa-IR"/>
        </w:rPr>
        <w:t>هو أقلّ الأنواع بقاؤه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بنى </w:t>
      </w:r>
      <w:r>
        <w:rPr>
          <w:rStyle w:val="FootnoteAnchor"/>
          <w:rtl w:val="true"/>
        </w:rPr>
        <w:footnoteReference w:id="1117"/>
      </w:r>
      <w:r>
        <w:rPr>
          <w:rFonts w:ascii="Amiri" w:hAnsi="Amiri" w:eastAsia="Amiri" w:cs="Amiri"/>
          <w:color w:val="111111"/>
          <w:sz w:val="28"/>
          <w:sz w:val="28"/>
          <w:szCs w:val="28"/>
          <w:rtl w:val="true"/>
          <w:lang w:bidi="ar-SA"/>
        </w:rPr>
        <w:t xml:space="preserve">على ذلك في الردّ على استصحاب أهل الكتاب كاليهود والنصارى وغيرهم </w:t>
      </w:r>
      <w:r>
        <w:rPr>
          <w:rStyle w:val="FootnoteAnchor"/>
          <w:rtl w:val="true"/>
        </w:rPr>
        <w:footnoteReference w:id="1118"/>
      </w:r>
      <w:r>
        <w:rPr>
          <w:rFonts w:ascii="Amiri" w:hAnsi="Amiri" w:eastAsia="Amiri" w:cs="Amiri"/>
          <w:color w:val="111111"/>
          <w:sz w:val="28"/>
          <w:sz w:val="28"/>
          <w:szCs w:val="28"/>
          <w:rtl w:val="true"/>
          <w:lang w:bidi="ar-SA"/>
        </w:rPr>
        <w:t xml:space="preserve">لنبوّة موسى أو عيسى أو غيرهما على نبيّنا وعليهم الصلاة والسلام فذكر ما حكى له بعض سادات الأفاضل من مخاصمة جرت بينه وبين بعض علماء اليهود حيث تمسّك اليهودي باستصحاب نبوّة موسى في إثبات دينه ، فأجابه السيّد بما أجاب الإمام عليه‌السلام لجاثليق </w:t>
      </w:r>
      <w:r>
        <w:rPr>
          <w:rStyle w:val="FootnoteAnchor"/>
          <w:rtl w:val="true"/>
        </w:rPr>
        <w:footnoteReference w:id="1119"/>
      </w:r>
      <w:r>
        <w:rPr>
          <w:rFonts w:ascii="Amiri" w:hAnsi="Amiri" w:eastAsia="Amiri" w:cs="Amiri"/>
          <w:color w:val="111111"/>
          <w:sz w:val="28"/>
          <w:sz w:val="28"/>
          <w:szCs w:val="28"/>
          <w:rtl w:val="true"/>
          <w:lang w:bidi="ar-SA"/>
        </w:rPr>
        <w:t xml:space="preserve">في مجلس المأمون عليه ما عليه من أنّا </w:t>
      </w:r>
      <w:r>
        <w:rPr>
          <w:rStyle w:val="FootnoteAnchor"/>
          <w:rtl w:val="true"/>
        </w:rPr>
        <w:footnoteReference w:id="1120"/>
      </w:r>
      <w:r>
        <w:rPr>
          <w:rFonts w:ascii="Amiri" w:hAnsi="Amiri" w:eastAsia="Amiri" w:cs="Amiri"/>
          <w:color w:val="111111"/>
          <w:sz w:val="28"/>
          <w:sz w:val="28"/>
          <w:szCs w:val="28"/>
          <w:rtl w:val="true"/>
          <w:lang w:bidi="ar-SA"/>
        </w:rPr>
        <w:t xml:space="preserve">مقرّ بنبوّة موسى الذي بشّر أمّته بنبوّة </w:t>
      </w:r>
      <w:r>
        <w:rPr>
          <w:rStyle w:val="FootnoteAnchor"/>
          <w:rtl w:val="true"/>
        </w:rPr>
        <w:footnoteReference w:id="1121"/>
      </w:r>
      <w:r>
        <w:rPr>
          <w:rFonts w:ascii="Amiri" w:hAnsi="Amiri" w:eastAsia="Amiri" w:cs="Amiri"/>
          <w:color w:val="111111"/>
          <w:sz w:val="28"/>
          <w:sz w:val="28"/>
          <w:szCs w:val="28"/>
          <w:rtl w:val="true"/>
          <w:lang w:bidi="ar-SA"/>
        </w:rPr>
        <w:t xml:space="preserve">محمّد صلى‌اللّه‌عليه‌وآله وكافر بموسى لم يخبر بذلك ، فاعترضه اليهودي بأنّ موسى بن عمران الذي حاله معروف وشخصه معهود وأتى بالمعجزات النيّرات </w:t>
      </w:r>
      <w:r>
        <w:rPr>
          <w:rStyle w:val="FootnoteAnchor"/>
          <w:rtl w:val="true"/>
        </w:rPr>
        <w:footnoteReference w:id="1122"/>
      </w:r>
      <w:r>
        <w:rPr>
          <w:rFonts w:ascii="IRNazanin" w:hAnsi="IRNazanin" w:eastAsia="IRNazanin"/>
          <w:color w:val="111111"/>
          <w:sz w:val="28"/>
          <w:sz w:val="28"/>
          <w:szCs w:val="28"/>
          <w:rtl w:val="true"/>
          <w:lang w:bidi="fa-IR"/>
        </w:rPr>
        <w:t xml:space="preserve">وأنتم تعترفون بنبوّته </w:t>
      </w:r>
      <w:r>
        <w:rPr>
          <w:rStyle w:val="FootnoteAnchor"/>
          <w:rtl w:val="true"/>
        </w:rPr>
        <w:footnoteReference w:id="1123"/>
      </w:r>
      <w:r>
        <w:rPr>
          <w:rFonts w:ascii="Amiri" w:hAnsi="Amiri" w:eastAsia="Amiri" w:cs="Amiri"/>
          <w:color w:val="111111"/>
          <w:sz w:val="28"/>
          <w:sz w:val="28"/>
          <w:szCs w:val="28"/>
          <w:rtl w:val="true"/>
          <w:lang w:bidi="ar-SA"/>
        </w:rPr>
        <w:t>يستصحب دينه ، فعلى المسلمين إبطاله ، ولا يتفاوت في ذلك بين أن يقول بنبوّة محمّد صلى‌اللّه‌عليه‌وآله وأن لا يقول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موضوع الاستصحاب لا بدّ أن </w:t>
      </w:r>
    </w:p>
    <w:p>
      <w:pPr>
        <w:pStyle w:val="BookText"/>
        <w:rPr/>
      </w:pPr>
      <w:r>
        <w:rPr>
          <w:rFonts w:ascii="Amiri" w:hAnsi="Amiri" w:eastAsia="Amiri" w:cs="Amiri"/>
          <w:color w:val="111111"/>
          <w:sz w:val="28"/>
          <w:sz w:val="28"/>
          <w:szCs w:val="28"/>
          <w:rtl w:val="true"/>
          <w:lang w:bidi="ar-SA"/>
        </w:rPr>
        <w:t xml:space="preserve">يكون متعيّنا </w:t>
      </w:r>
      <w:r>
        <w:rPr>
          <w:rStyle w:val="FootnoteAnchor"/>
          <w:rtl w:val="true"/>
        </w:rPr>
        <w:footnoteReference w:id="1124"/>
      </w:r>
      <w:r>
        <w:rPr>
          <w:rFonts w:ascii="Amiri" w:hAnsi="Amiri" w:eastAsia="Amiri" w:cs="Amiri"/>
          <w:color w:val="111111"/>
          <w:sz w:val="28"/>
          <w:sz w:val="28"/>
          <w:szCs w:val="28"/>
          <w:rtl w:val="true"/>
          <w:lang w:bidi="ar-SA"/>
        </w:rPr>
        <w:t xml:space="preserve">حتّى يجري على منواله ، ولم يتعيّن هنا إلاّ النبوّة في الجملة ، وهي كلّي من حيث إنّها قابلة لأن تكون نبوّة </w:t>
      </w:r>
      <w:r>
        <w:rPr>
          <w:rStyle w:val="FootnoteAnchor"/>
          <w:rtl w:val="true"/>
        </w:rPr>
        <w:footnoteReference w:id="1125"/>
      </w:r>
      <w:r>
        <w:rPr>
          <w:rFonts w:ascii="Amiri" w:hAnsi="Amiri" w:eastAsia="Amiri" w:cs="Amiri"/>
          <w:color w:val="111111"/>
          <w:sz w:val="28"/>
          <w:sz w:val="28"/>
          <w:szCs w:val="28"/>
          <w:rtl w:val="true"/>
          <w:lang w:bidi="ar-SA"/>
        </w:rPr>
        <w:t xml:space="preserve">إلى آخر الأبد بأن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وصاحب دين إلى يوم القيامة ، أو إلى زمان </w:t>
      </w:r>
      <w:r>
        <w:rPr>
          <w:rStyle w:val="FootnoteAnchor"/>
          <w:rtl w:val="true"/>
        </w:rPr>
        <w:footnoteReference w:id="1126"/>
      </w:r>
      <w:r>
        <w:rPr>
          <w:rFonts w:ascii="Amiri" w:hAnsi="Amiri" w:eastAsia="Amiri" w:cs="Amiri"/>
          <w:color w:val="111111"/>
          <w:sz w:val="28"/>
          <w:sz w:val="28"/>
          <w:szCs w:val="28"/>
          <w:rtl w:val="true"/>
          <w:lang w:bidi="ar-SA"/>
        </w:rPr>
        <w:t xml:space="preserve">محمّد صلى‌اللّه‌عليه‌وآله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ودينك باق إلى زمان </w:t>
      </w:r>
      <w:r>
        <w:rPr>
          <w:rStyle w:val="FootnoteAnchor"/>
          <w:rtl w:val="true"/>
        </w:rPr>
        <w:footnoteReference w:id="1127"/>
      </w:r>
      <w:r>
        <w:rPr>
          <w:rFonts w:ascii="Amiri" w:hAnsi="Amiri" w:eastAsia="Amiri" w:cs="Amiri"/>
          <w:color w:val="111111"/>
          <w:sz w:val="28"/>
          <w:sz w:val="28"/>
          <w:szCs w:val="28"/>
          <w:rtl w:val="true"/>
          <w:lang w:bidi="ar-SA"/>
        </w:rPr>
        <w:t xml:space="preserve">محمّد صلى‌اللّه‌عليه‌وآله ، ولأن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بدون أحد القيدين ، فعلى الخصم أن يثبت إمّا التصريح بالامتداد إلى آخر الأبد وأنّى له بإثباته ، أو الإطلاق ، ولا سبيل إلى الأوّل مع أنّه خارج عن محلّ الفرض ، ولا إلى الثاني ؛ لأنّ الإطلاق في معنى القيد ، فلا بدّ من إثباته ، ومن الواضح أنّ مطلق النبوّة غير النبوّة المطلقة ، والذي يمكن استصحابه هو الثاني دون الأوّل ؛ إذ الكلّي لا يمكن استصحابه إلاّ بما يمكن من بقاء أقلّ أفراده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بفساد المبنى والبناء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عرفت من أنّ عموم أخبار الباب دليل على الاستصحاب في الكلّي أيضا بعد إمكان البقاء واحتماله كما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الاستصحاب مبنيّا على الأخبار فالأمر </w:t>
      </w:r>
      <w:r>
        <w:rPr>
          <w:rStyle w:val="FootnoteAnchor"/>
          <w:rtl w:val="true"/>
        </w:rPr>
        <w:footnoteReference w:id="1129"/>
      </w:r>
      <w:r>
        <w:rPr>
          <w:rFonts w:ascii="Amiri" w:hAnsi="Amiri" w:eastAsia="Amiri" w:cs="Amiri"/>
          <w:color w:val="111111"/>
          <w:sz w:val="28"/>
          <w:sz w:val="28"/>
          <w:szCs w:val="28"/>
          <w:rtl w:val="true"/>
          <w:lang w:bidi="ar-SA"/>
        </w:rPr>
        <w:t>كما ذكرت ، وأمّا لو كان مبنيّا على الظنّ فهو كما ذكره المحقّق ؛ ضرورة عدم حصول الظنّ من الاستصحاب إلاّ فيما كان مقدار استعداد البقاء معلوما ، وحيث إنّ مقدار الاستعداد في الأحكام الشرعية لا يصير معلوما إلاّ بعد المراجعة إلى الدليل الدالّ عليه ، فلهذا أحال إلى ملاحظة الدليل الدالّ على النبوّة وقال بالتفصيل المذكور ، ومن المعلوم أنّ التمسّك بالاستصحاب في قبال المسلمين في إثبات الدين ليس مبنيّا على الأخبار وإنّما هو من حيث إفادته الظنّ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يتفاوت الحال فيما ذكرناه بين أن يكون الاستصحاب من باب الظنّ ، أو </w:t>
      </w:r>
    </w:p>
    <w:p>
      <w:pPr>
        <w:pStyle w:val="BookText"/>
        <w:rPr/>
      </w:pPr>
      <w:r>
        <w:rPr>
          <w:rFonts w:ascii="Amiri" w:hAnsi="Amiri" w:eastAsia="Amiri" w:cs="Amiri"/>
          <w:color w:val="111111"/>
          <w:sz w:val="28"/>
          <w:sz w:val="28"/>
          <w:szCs w:val="28"/>
          <w:rtl w:val="true"/>
          <w:lang w:bidi="ar-SA"/>
        </w:rPr>
        <w:t>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فكما عرفت واعترفت </w:t>
      </w:r>
      <w:r>
        <w:rPr>
          <w:rStyle w:val="FootnoteAnchor"/>
          <w:rtl w:val="true"/>
        </w:rPr>
        <w:footnoteReference w:id="1130"/>
      </w:r>
      <w:r>
        <w:rPr>
          <w:rFonts w:ascii="Amiri" w:hAnsi="Amiri" w:eastAsia="Amiri" w:cs="Amiri"/>
          <w:color w:val="111111"/>
          <w:sz w:val="28"/>
          <w:sz w:val="28"/>
          <w:szCs w:val="28"/>
          <w:rtl w:val="true"/>
          <w:lang w:bidi="ar-SA"/>
        </w:rPr>
        <w:t xml:space="preserve">، وأمّا الأوّل فلأنّ مناط الظنّ لو كان هي الحالة السابقة فهي </w:t>
      </w:r>
      <w:r>
        <w:rPr>
          <w:rStyle w:val="FootnoteAnchor"/>
          <w:rtl w:val="true"/>
        </w:rPr>
        <w:footnoteReference w:id="1131"/>
      </w:r>
      <w:r>
        <w:rPr>
          <w:rFonts w:ascii="Amiri" w:hAnsi="Amiri" w:eastAsia="Amiri" w:cs="Amiri"/>
          <w:color w:val="111111"/>
          <w:sz w:val="28"/>
          <w:sz w:val="28"/>
          <w:szCs w:val="28"/>
          <w:rtl w:val="true"/>
          <w:lang w:bidi="ar-SA"/>
        </w:rPr>
        <w:t xml:space="preserve">موجودة في المقامين ، وإن كان هي الغلبة فالنوعية منها غير مفيدة ، والصنفية غير موجودة ، وإن كان لتوهّم أنّ مجرّد الاستعداد يكفي في حصول الظنّ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بوجود المعلول لا يحصل إلاّ بعد حصول الظنّ بوجود أجزاء </w:t>
      </w:r>
      <w:r>
        <w:rPr>
          <w:rStyle w:val="FootnoteAnchor"/>
          <w:rtl w:val="true"/>
        </w:rPr>
        <w:footnoteReference w:id="1132"/>
      </w:r>
      <w:r>
        <w:rPr>
          <w:rFonts w:ascii="Amiri" w:hAnsi="Amiri" w:eastAsia="Amiri" w:cs="Amiri"/>
          <w:color w:val="111111"/>
          <w:sz w:val="28"/>
          <w:sz w:val="28"/>
          <w:szCs w:val="28"/>
          <w:rtl w:val="true"/>
          <w:lang w:bidi="ar-SA"/>
        </w:rPr>
        <w:t xml:space="preserve">علّته التامّة ، فإذا كان المانع مشكوكا لا بدّ من تحصيل الظنّ بعدمه حتّى يصير المعلول مظنونا ، وإذا كان المقتضي واستعداد المعلول مشكوكا فلا بدّ من تبديل الشكّ ظنّا ، وإلاّ فلا يمكن أن يكون المعلول مظنونا ، ففيما لو قلنا بالاستصحاب من جهة الظنّ أيضا لا يتفاوت الحال فيما ذكر ، ولهذا ترى أنّ القائل به لم يفصّل بين الشكّ في المقتضي والمانع ، فإنّ معيار الظنّ هو الظنّ ببقاء العلّة في الزمن الثاني ، نعم على القول بالظنّ يجب إحراز هذه الجهة أيضا كما لا يخفى ، على أنّ التمسّك بالاستصحاب لا ينحصر في إفادته الظنّ في المقام ؛ لإمكان الاستصحاب بناء على التعبّد العقلائي كما مرّ </w:t>
      </w:r>
      <w:r>
        <w:rPr>
          <w:rStyle w:val="FootnoteAnchor"/>
          <w:rtl w:val="true"/>
        </w:rPr>
        <w:footnoteReference w:id="1133"/>
      </w:r>
      <w:r>
        <w:rPr>
          <w:rFonts w:ascii="Amiri" w:hAnsi="Amiri" w:eastAsia="Amiri" w:cs="Amiri"/>
          <w:color w:val="111111"/>
          <w:sz w:val="28"/>
          <w:sz w:val="28"/>
          <w:szCs w:val="28"/>
          <w:rtl w:val="true"/>
          <w:lang w:bidi="ar-SA"/>
        </w:rPr>
        <w:t xml:space="preserve">الإشارة إليه فيما تقدّم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فلأنّ انقسام النبوّة إلى الأقسام الثلاثة المذكورة إن كان بالنظر إلى المعنى ونفس الأمر مع قطع النظر عن اللفظ وما يعبّر به عن المقصود من العبارات وغيرها ، فممّا لا محصّل له عند التحقيق ؛ إذ الإطلاق ليس وسطا واقعيا ، فالموجود في نفس الأمر القائم بذات الجاعل هو أحد القسمين ؛ لامتناع الجهل بالمراد والمجعول من الجاعل في مقام الجعل كما هو ظاهر ، وإن كان بالنسبة إلى اللفظ والتعبير فمع الإطلاق لا يجري </w:t>
      </w:r>
      <w:r>
        <w:rPr>
          <w:rStyle w:val="FootnoteAnchor"/>
          <w:rtl w:val="true"/>
        </w:rPr>
        <w:footnoteReference w:id="1135"/>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المقام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للماهيّة عند العقل وجوها ومراتب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w:t>
      </w:r>
    </w:p>
    <w:p>
      <w:pPr>
        <w:pStyle w:val="BookText"/>
        <w:rPr/>
      </w:pPr>
      <w:r>
        <w:rPr>
          <w:rFonts w:ascii="Amiri" w:hAnsi="Amiri" w:eastAsia="Amiri" w:cs="Amiri"/>
          <w:color w:val="111111"/>
          <w:sz w:val="28"/>
          <w:sz w:val="28"/>
          <w:szCs w:val="28"/>
          <w:rtl w:val="true"/>
          <w:lang w:bidi="ar-SA"/>
        </w:rPr>
        <w:t xml:space="preserve">من حيث اعتبار شيء معها وجودا وعدما وعدم ملاحظة شيء معها ، وبهذا الاعتبار ينقسم إلى أقسامها الثلاثة من الماهيّة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المعرّاة عن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وتمايز المقسم بالالتفات إلى هذه التعرية في القسم وعدم الالتفات إليها في المقسم وإن كان هو كذلك في نفس الأمر ، والماهيّة بشرط شيء ، والماهيّة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من حيث تحقّقها في الخارج فيمتنع انفكاكها عن أحد القيود الوجودية ؛ إذ لا وجود للعامّ من حيث هو عامّ مع قطع النظر عن أحد الأفراد كما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القائم بنفس الطالب الذي هو موجود خارجي لا محالة يكون على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الوجوب ،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من حيث التعبير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عنها بلفظ يقصر </w:t>
      </w:r>
      <w:r>
        <w:rPr>
          <w:rStyle w:val="FootnoteAnchor"/>
          <w:rtl w:val="true"/>
        </w:rPr>
        <w:footnoteReference w:id="1136"/>
      </w:r>
      <w:r>
        <w:rPr>
          <w:rFonts w:ascii="Amiri" w:hAnsi="Amiri" w:eastAsia="Amiri" w:cs="Amiri"/>
          <w:color w:val="111111"/>
          <w:sz w:val="28"/>
          <w:sz w:val="28"/>
          <w:szCs w:val="28"/>
          <w:rtl w:val="true"/>
          <w:lang w:bidi="ar-SA"/>
        </w:rPr>
        <w:t xml:space="preserve">عن إفادة شيء زائد على الطبيعة المطلقة ، بل هو مقصور على إفادتها فقط ،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عنها بعبارة وافية لأحد القيود الوجودية أيضا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الأخير أو برجل أو بإنسان </w:t>
      </w:r>
      <w:r>
        <w:rPr>
          <w:rStyle w:val="FootnoteAnchor"/>
          <w:rtl w:val="true"/>
        </w:rPr>
        <w:footnoteReference w:id="1137"/>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w:t>
      </w:r>
      <w:r>
        <w:rPr>
          <w:rStyle w:val="FootnoteAnchor"/>
          <w:rtl w:val="true"/>
        </w:rPr>
        <w:footnoteReference w:id="1138"/>
      </w:r>
      <w:r>
        <w:rPr>
          <w:rFonts w:ascii="Amiri" w:hAnsi="Amiri" w:eastAsia="Amiri" w:cs="Amiri"/>
          <w:color w:val="111111"/>
          <w:sz w:val="28"/>
          <w:sz w:val="28"/>
          <w:szCs w:val="28"/>
          <w:rtl w:val="true"/>
          <w:lang w:bidi="ar-SA"/>
        </w:rPr>
        <w:t xml:space="preserve">التقسيم المذكور للنبوّة ليس بالاعتبار الأوّل حتّى يتصوّر فيه أن يكون الإطلاق وسطا بين القسمين الآخرين </w:t>
      </w:r>
      <w:r>
        <w:rPr>
          <w:rStyle w:val="FootnoteAnchor"/>
          <w:rtl w:val="true"/>
        </w:rPr>
        <w:footnoteReference w:id="1139"/>
      </w:r>
      <w:r>
        <w:rPr>
          <w:rFonts w:ascii="Amiri" w:hAnsi="Amiri" w:eastAsia="Amiri" w:cs="Amiri"/>
          <w:color w:val="111111"/>
          <w:sz w:val="28"/>
          <w:sz w:val="28"/>
          <w:szCs w:val="28"/>
          <w:rtl w:val="true"/>
          <w:lang w:bidi="ar-SA"/>
        </w:rPr>
        <w:t xml:space="preserve">؛ إذ اختلاف الأقسام في المقام باعتبار اختلاف القيود الوجودية كما هو ظاهر ، فلا بدّ أن يكون إمّا على الوجه الثاني ، وإمّا على الوجه الثالث ، وعلى التقديرين لا وجه له ، أمّا على الأوّل فلما عرفت من أنّ الإطلاق ليس وسطا واقعيا في مرحلة التحقّق </w:t>
      </w:r>
      <w:r>
        <w:rPr>
          <w:rStyle w:val="FootnoteAnchor"/>
          <w:rtl w:val="true"/>
        </w:rPr>
        <w:footnoteReference w:id="1140"/>
      </w:r>
      <w:r>
        <w:rPr>
          <w:rFonts w:ascii="IRNazanin" w:hAnsi="IRNazanin" w:eastAsia="IRNazanin"/>
          <w:color w:val="111111"/>
          <w:sz w:val="28"/>
          <w:sz w:val="28"/>
          <w:szCs w:val="28"/>
          <w:rtl w:val="true"/>
          <w:lang w:bidi="fa-IR"/>
        </w:rPr>
        <w:t xml:space="preserve">والوجود ؛ إذ الجنس ما لم </w:t>
      </w:r>
      <w:r>
        <w:rPr>
          <w:rStyle w:val="FootnoteAnchor"/>
          <w:rtl w:val="true"/>
        </w:rPr>
        <w:footnoteReference w:id="1141"/>
      </w:r>
      <w:r>
        <w:rPr>
          <w:rFonts w:ascii="Amiri" w:hAnsi="Amiri" w:eastAsia="Amiri" w:cs="Amiri"/>
          <w:color w:val="111111"/>
          <w:sz w:val="28"/>
          <w:sz w:val="28"/>
          <w:szCs w:val="28"/>
          <w:rtl w:val="true"/>
          <w:lang w:bidi="ar-SA"/>
        </w:rPr>
        <w:t xml:space="preserve">يتخصّص بفصل يمتنع وجوده ، وأمّا على الأخير فلأنّ بعد فرض إطلاق العبارة لا مجرى للاستصحاب ؛ لحكومة الإطلاق عند الشكّ ، فإنّه دليل اجتهادي به يرتفع الشكّ ، فلا </w:t>
      </w:r>
    </w:p>
    <w:p>
      <w:pPr>
        <w:pStyle w:val="BookText"/>
        <w:rPr/>
      </w:pPr>
      <w:r>
        <w:rPr>
          <w:rFonts w:ascii="Amiri" w:hAnsi="Amiri" w:eastAsia="Amiri" w:cs="Amiri"/>
          <w:color w:val="111111"/>
          <w:sz w:val="28"/>
          <w:sz w:val="28"/>
          <w:szCs w:val="28"/>
          <w:rtl w:val="true"/>
          <w:lang w:bidi="ar-SA"/>
        </w:rPr>
        <w:t>يتصوّر الاستصحاب إلاّ بعد فرض انتفائه ، والمفروض أن لا مسوّغ للاستصحاب عنده إلاّ الإطلاق وهو ينافي 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الواضح أنّ مطلق النبوّة غير النبوّة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الأمر الدائر بين الأقسام من الماهيّة المطلقة التي تتحصّل </w:t>
      </w:r>
      <w:r>
        <w:rPr>
          <w:rStyle w:val="FootnoteAnchor"/>
          <w:rtl w:val="true"/>
        </w:rPr>
        <w:footnoteReference w:id="1142"/>
      </w:r>
      <w:r>
        <w:rPr>
          <w:rFonts w:ascii="Amiri" w:hAnsi="Amiri" w:eastAsia="Amiri" w:cs="Amiri"/>
          <w:color w:val="111111"/>
          <w:sz w:val="28"/>
          <w:sz w:val="28"/>
          <w:szCs w:val="28"/>
          <w:rtl w:val="true"/>
          <w:lang w:bidi="ar-SA"/>
        </w:rPr>
        <w:t>بأحد القيود غير النبوّة التي تعبّر عنها بعبارة مطلقة ، وقد عرفت أنّ التعبير ممّا لا أثر له في الواقع ، فإنّ النبوّة المجعولة المعبّرة بالإطلاق أيضا مردّدة بين أحد القيدين في الواقع ، نعم قد يستكشف من الإطلاق الدوام الذي هو أحد القيدين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أيضا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الإطلاق في معنى القيد </w:t>
      </w:r>
      <w:r>
        <w:rPr>
          <w:rStyle w:val="FootnoteAnchor"/>
          <w:rtl w:val="true"/>
        </w:rPr>
        <w:footnoteReference w:id="1143"/>
      </w:r>
      <w:r>
        <w:rPr>
          <w:rFonts w:ascii="Amiri" w:hAnsi="Amiri" w:eastAsia="Amiri" w:cs="Amiri"/>
          <w:color w:val="111111"/>
          <w:sz w:val="28"/>
          <w:sz w:val="28"/>
          <w:szCs w:val="28"/>
          <w:rtl w:val="true"/>
          <w:lang w:bidi="ar-SA"/>
        </w:rPr>
        <w:t xml:space="preserve">فلا بدّ من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محصّل له ، سواء أخذ الإطلاق في التعبير أو في الملاحظة ؛ إذ الإطلاق هو عدم ملاحظة القيد واعتباره في المطلق ، فلا يكون في معنى القيد ، ولا حاجة إلى إثباته بدليل غير الأصل ، واستفادة الدوام الذي هو القيد معنى إنّما بواسطة عدم ذكر القيد لفظا كما لا يخفى ، على أنّ منع الاستصحاب في النبوّات </w:t>
      </w:r>
      <w:r>
        <w:rPr>
          <w:rStyle w:val="FootnoteAnchor"/>
          <w:rtl w:val="true"/>
        </w:rPr>
        <w:footnoteReference w:id="1144"/>
      </w:r>
      <w:r>
        <w:rPr>
          <w:rFonts w:ascii="Amiri" w:hAnsi="Amiri" w:eastAsia="Amiri" w:cs="Amiri"/>
          <w:color w:val="111111"/>
          <w:sz w:val="28"/>
          <w:sz w:val="28"/>
          <w:szCs w:val="28"/>
          <w:rtl w:val="true"/>
          <w:lang w:bidi="ar-SA"/>
        </w:rPr>
        <w:t xml:space="preserve">باعتبار تردّدها بين الأفراد المختلفة استعدادا يلازمه القول بمنعه في الأحكام الشرعية ، فوجوب الصلاة واقعا مردّد بين الأفراد المختلف </w:t>
      </w:r>
      <w:r>
        <w:rPr>
          <w:rStyle w:val="FootnoteAnchor"/>
          <w:rtl w:val="true"/>
        </w:rPr>
        <w:footnoteReference w:id="1145"/>
      </w:r>
      <w:r>
        <w:rPr>
          <w:rFonts w:ascii="Amiri" w:hAnsi="Amiri" w:eastAsia="Amiri" w:cs="Amiri"/>
          <w:color w:val="111111"/>
          <w:sz w:val="28"/>
          <w:sz w:val="28"/>
          <w:szCs w:val="28"/>
          <w:rtl w:val="true"/>
          <w:lang w:bidi="ar-SA"/>
        </w:rPr>
        <w:t xml:space="preserve">استعدادها ، ولا يمكن استصحابه إلاّ في أقصى مدّة يحتمل بقاء أقلّ أفراده استعدادا مع أنّه لا مانع منه عنده ، وقد تفطّن بذلك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بعد ما بيّنا لك سابقا لا أظنّك رادّا علينا الاستصحاب </w:t>
      </w:r>
      <w:r>
        <w:rPr>
          <w:rStyle w:val="FootnoteAnchor"/>
          <w:rtl w:val="true"/>
        </w:rPr>
        <w:footnoteReference w:id="1146"/>
      </w:r>
      <w:r>
        <w:rPr>
          <w:rFonts w:ascii="Amiri" w:hAnsi="Amiri" w:eastAsia="Amiri" w:cs="Amiri"/>
          <w:color w:val="111111"/>
          <w:sz w:val="28"/>
          <w:sz w:val="28"/>
          <w:szCs w:val="28"/>
          <w:rtl w:val="true"/>
          <w:lang w:bidi="ar-SA"/>
        </w:rPr>
        <w:t xml:space="preserve">في الحكم الشرعي بما ذكرنا في هذا المقام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w:t>
      </w:r>
      <w:r>
        <w:rPr>
          <w:rStyle w:val="FootnoteAnchor"/>
          <w:rtl w:val="true"/>
        </w:rPr>
        <w:footnoteReference w:id="1147"/>
      </w:r>
      <w:r>
        <w:rPr>
          <w:rFonts w:ascii="Amiri" w:hAnsi="Amiri" w:eastAsia="Amiri" w:cs="Amiri"/>
          <w:color w:val="111111"/>
          <w:sz w:val="28"/>
          <w:sz w:val="28"/>
          <w:szCs w:val="28"/>
          <w:rtl w:val="true"/>
          <w:lang w:bidi="ar-SA"/>
        </w:rPr>
        <w:t xml:space="preserve">الواردة في الشرع إنّما يسلّم جريان </w:t>
      </w:r>
    </w:p>
    <w:p>
      <w:pPr>
        <w:pStyle w:val="BookText"/>
        <w:rPr/>
      </w:pPr>
      <w:r>
        <w:rPr>
          <w:rFonts w:ascii="Amiri" w:hAnsi="Amiri" w:eastAsia="Amiri" w:cs="Amiri"/>
          <w:color w:val="111111"/>
          <w:sz w:val="28"/>
          <w:sz w:val="28"/>
          <w:szCs w:val="28"/>
          <w:rtl w:val="true"/>
          <w:lang w:bidi="ar-SA"/>
        </w:rPr>
        <w:t xml:space="preserve">الاستصحاب فيها إن ثبت كونها مطلقات </w:t>
      </w:r>
      <w:r>
        <w:rPr>
          <w:rStyle w:val="FootnoteAnchor"/>
          <w:rtl w:val="true"/>
        </w:rPr>
        <w:footnoteReference w:id="1148"/>
      </w:r>
      <w:r>
        <w:rPr>
          <w:rFonts w:ascii="Amiri" w:hAnsi="Amiri" w:eastAsia="Amiri" w:cs="Amiri"/>
          <w:color w:val="111111"/>
          <w:sz w:val="28"/>
          <w:sz w:val="28"/>
          <w:szCs w:val="28"/>
          <w:rtl w:val="true"/>
          <w:lang w:bidi="ar-SA"/>
        </w:rPr>
        <w:t xml:space="preserve">لم تكن </w:t>
      </w:r>
      <w:r>
        <w:rPr>
          <w:rStyle w:val="FootnoteAnchor"/>
          <w:rtl w:val="true"/>
        </w:rPr>
        <w:footnoteReference w:id="1149"/>
      </w:r>
      <w:r>
        <w:rPr>
          <w:rFonts w:ascii="Amiri" w:hAnsi="Amiri" w:eastAsia="Amiri" w:cs="Amiri"/>
          <w:color w:val="111111"/>
          <w:sz w:val="28"/>
          <w:sz w:val="28"/>
          <w:szCs w:val="28"/>
          <w:rtl w:val="true"/>
          <w:lang w:bidi="ar-SA"/>
        </w:rPr>
        <w:t xml:space="preserve">مقيّدة </w:t>
      </w:r>
      <w:r>
        <w:rPr>
          <w:rStyle w:val="FootnoteAnchor"/>
          <w:rtl w:val="true"/>
        </w:rPr>
        <w:footnoteReference w:id="1150"/>
      </w:r>
      <w:r>
        <w:rPr>
          <w:rFonts w:ascii="Amiri" w:hAnsi="Amiri" w:eastAsia="Amiri" w:cs="Amiri"/>
          <w:color w:val="111111"/>
          <w:sz w:val="28"/>
          <w:sz w:val="28"/>
          <w:szCs w:val="28"/>
          <w:rtl w:val="true"/>
          <w:lang w:bidi="ar-SA"/>
        </w:rPr>
        <w:t xml:space="preserve">إلى وقت خاصّ واختفى علينا أو ممتدّة إلى آخر الأبد ، والذي يجوز إجراء الاستصحاب فيه هو الأوّل ، وذلك لأنّ التتبّع والاستقراء يحكمان </w:t>
      </w:r>
      <w:r>
        <w:rPr>
          <w:rStyle w:val="FootnoteAnchor"/>
          <w:rtl w:val="true"/>
        </w:rPr>
        <w:footnoteReference w:id="1151"/>
      </w:r>
      <w:r>
        <w:rPr>
          <w:rFonts w:ascii="Amiri" w:hAnsi="Amiri" w:eastAsia="Amiri" w:cs="Amiri"/>
          <w:color w:val="111111"/>
          <w:sz w:val="28"/>
          <w:sz w:val="28"/>
          <w:szCs w:val="28"/>
          <w:rtl w:val="true"/>
          <w:lang w:bidi="ar-SA"/>
        </w:rPr>
        <w:t xml:space="preserve">بأنّ غالب الأحكام الشرعية في غير ما يثبت </w:t>
      </w:r>
      <w:r>
        <w:rPr>
          <w:rStyle w:val="FootnoteAnchor"/>
          <w:rtl w:val="true"/>
        </w:rPr>
        <w:footnoteReference w:id="1152"/>
      </w:r>
      <w:r>
        <w:rPr>
          <w:rFonts w:ascii="Amiri" w:hAnsi="Amiri" w:eastAsia="Amiri" w:cs="Amiri"/>
          <w:color w:val="111111"/>
          <w:sz w:val="28"/>
          <w:sz w:val="28"/>
          <w:szCs w:val="28"/>
          <w:rtl w:val="true"/>
          <w:lang w:bidi="ar-SA"/>
        </w:rPr>
        <w:t xml:space="preserve">له حدّ ليست بآنية ، ولا محدودة إلى حدّ معيّن ، وأنّ الشارع يكتفي </w:t>
      </w:r>
      <w:r>
        <w:rPr>
          <w:rStyle w:val="FootnoteAnchor"/>
          <w:rtl w:val="true"/>
        </w:rPr>
        <w:footnoteReference w:id="1153"/>
      </w:r>
      <w:r>
        <w:rPr>
          <w:rFonts w:ascii="Amiri" w:hAnsi="Amiri" w:eastAsia="Amiri" w:cs="Amiri"/>
          <w:color w:val="111111"/>
          <w:sz w:val="28"/>
          <w:sz w:val="28"/>
          <w:szCs w:val="28"/>
          <w:rtl w:val="true"/>
          <w:lang w:bidi="ar-SA"/>
        </w:rPr>
        <w:t xml:space="preserve">فيما ورد عنه مطلقا في استمراره ، ويظهر من الخارج أنّه أراد منه الاستمرار ، وأنّ تتبّع أكثر الموارد واستقراءها يحصّل الظنّ القويّ بأنّ مراده من تلك المطلقات هو </w:t>
      </w:r>
      <w:r>
        <w:rPr>
          <w:rStyle w:val="FootnoteAnchor"/>
          <w:rtl w:val="true"/>
        </w:rPr>
        <w:footnoteReference w:id="1154"/>
      </w:r>
      <w:r>
        <w:rPr>
          <w:rFonts w:ascii="Amiri" w:hAnsi="Amiri" w:eastAsia="Amiri" w:cs="Amiri"/>
          <w:color w:val="111111"/>
          <w:sz w:val="28"/>
          <w:sz w:val="28"/>
          <w:szCs w:val="28"/>
          <w:rtl w:val="true"/>
          <w:lang w:bidi="ar-SA"/>
        </w:rPr>
        <w:t xml:space="preserve">الاستمرار إلى أن ثبت الرافع من دليل عقلي أو نقلي </w:t>
      </w:r>
      <w:r>
        <w:rPr>
          <w:rStyle w:val="FootnoteAnchor"/>
          <w:rtl w:val="true"/>
        </w:rPr>
        <w:footnoteReference w:id="11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ومحصّل ما ذكره في الجواب هو دعوى مظنونية الاستمرار باعتبار الغلبة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المحدودة إذا شكّ في انقضاء 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خيار الحيوان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الاستصحاب مع أنّ اللازم ممّا ذكره عدم جريان الاستصحاب إلاّ في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كلامه عدم الاعتبار بالإطلاق في استفادة الدوام منه ، وإنّما يستفاد ذلك منه بواسطة الغلبة ، وفساده غير خفيّ على أحد ، بل هو أيضا معترف بهذا في غير المقام ، فإنّ التحقيق استفادة الدوام منه ولو كان المصداق الموجود منه واحدا نظير إفادة العامّ ذلك إلاّ أنّه ليس بهذه المثابة من الإفادة على ما هو ظاهر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فرض الإطلاق فلا مجرى للاستصحاب ؛ إذ هو دليل اجتهادي ، ولو لم تكن </w:t>
      </w:r>
      <w:r>
        <w:rPr>
          <w:rStyle w:val="FootnoteAnchor"/>
          <w:rtl w:val="true"/>
        </w:rPr>
        <w:footnoteReference w:id="1156"/>
      </w:r>
      <w:r>
        <w:rPr>
          <w:rFonts w:ascii="Amiri" w:hAnsi="Amiri" w:eastAsia="Amiri" w:cs="Amiri"/>
          <w:color w:val="111111"/>
          <w:sz w:val="28"/>
          <w:sz w:val="28"/>
          <w:szCs w:val="28"/>
          <w:rtl w:val="true"/>
          <w:lang w:bidi="ar-SA"/>
        </w:rPr>
        <w:t xml:space="preserve">الغلبة معتبرة فيه وبإطلاقه شامل لمورد الشكّ فكيف بما إذا كان الغالب في </w:t>
      </w:r>
    </w:p>
    <w:p>
      <w:pPr>
        <w:pStyle w:val="BookText"/>
        <w:rPr/>
      </w:pPr>
      <w:r>
        <w:rPr>
          <w:rFonts w:ascii="Amiri" w:hAnsi="Amiri" w:eastAsia="Amiri" w:cs="Amiri"/>
          <w:color w:val="111111"/>
          <w:sz w:val="28"/>
          <w:sz w:val="28"/>
          <w:szCs w:val="28"/>
          <w:rtl w:val="true"/>
          <w:lang w:bidi="ar-SA"/>
        </w:rPr>
        <w:t>المطلقات على ما هو المدّعى منه مفيدا للدوام؟</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يستصحب عدم الرافع وهو مشكوك حال وجود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 المعلوم عدم اقتصاره في موارد الاستصحاب على استصحاب عدم الرافع ، بل الحكم الشرعي المدلول لنفس الدليل أيضا يقول </w:t>
      </w:r>
      <w:r>
        <w:rPr>
          <w:rStyle w:val="FootnoteAnchor"/>
          <w:rtl w:val="true"/>
        </w:rPr>
        <w:footnoteReference w:id="1157"/>
      </w:r>
      <w:r>
        <w:rPr>
          <w:rFonts w:ascii="Amiri" w:hAnsi="Amiri" w:eastAsia="Amiri" w:cs="Amiri"/>
          <w:color w:val="111111"/>
          <w:sz w:val="28"/>
          <w:sz w:val="28"/>
          <w:szCs w:val="28"/>
          <w:rtl w:val="true"/>
          <w:lang w:bidi="ar-SA"/>
        </w:rPr>
        <w:t>بجريان الاستصحاب فيه على ما هو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أورد اعتراضا آخر على نفسه وهو دعوى الاستمرار في النبوّات أيضا باعتبار الغلبة كالأحكام الشرعية ، ففيما إذا شكّ في نبوّة نبيّ دلّ الدليل المطلق على نبوّته يحمل على الاستمرار إلحاقا بالأعمّ الأغلب كما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بأنّ الغالب في النبوّات هو التحديد ، بل إنّما الذي ثبت علينا ونسلّمه من الامتداد القابل لأن نمتدّه إلى آخر </w:t>
      </w:r>
      <w:r>
        <w:rPr>
          <w:rStyle w:val="FootnoteAnchor"/>
          <w:rtl w:val="true"/>
        </w:rPr>
        <w:footnoteReference w:id="1158"/>
      </w:r>
      <w:r>
        <w:rPr>
          <w:rFonts w:ascii="Amiri" w:hAnsi="Amiri" w:eastAsia="Amiri" w:cs="Amiri"/>
          <w:color w:val="111111"/>
          <w:sz w:val="28"/>
          <w:sz w:val="28"/>
          <w:szCs w:val="28"/>
          <w:rtl w:val="true"/>
          <w:lang w:bidi="ar-SA"/>
        </w:rPr>
        <w:t xml:space="preserve">الأبد فهو نبوّة نبيّنا </w:t>
      </w:r>
      <w:r>
        <w:rPr>
          <w:rStyle w:val="FootnoteAnchor"/>
          <w:rtl w:val="true"/>
        </w:rPr>
        <w:footnoteReference w:id="1159"/>
      </w:r>
      <w:r>
        <w:rPr>
          <w:rFonts w:ascii="Amiri" w:hAnsi="Amiri" w:eastAsia="Amiri" w:cs="Amiri"/>
          <w:color w:val="111111"/>
          <w:sz w:val="28"/>
          <w:sz w:val="28"/>
          <w:szCs w:val="28"/>
          <w:rtl w:val="true"/>
          <w:lang w:bidi="ar-SA"/>
        </w:rPr>
        <w:t xml:space="preserve">، مع أنّه لا يحتاج </w:t>
      </w:r>
      <w:r>
        <w:rPr>
          <w:rStyle w:val="FootnoteAnchor"/>
          <w:rtl w:val="true"/>
        </w:rPr>
        <w:footnoteReference w:id="1160"/>
      </w:r>
      <w:r>
        <w:rPr>
          <w:rFonts w:ascii="Amiri" w:hAnsi="Amiri" w:eastAsia="Amiri" w:cs="Amiri"/>
          <w:color w:val="111111"/>
          <w:sz w:val="28"/>
          <w:sz w:val="28"/>
          <w:szCs w:val="28"/>
          <w:rtl w:val="true"/>
          <w:lang w:bidi="ar-SA"/>
        </w:rPr>
        <w:t xml:space="preserve">في إثباته إلى التمسّك بالاستصحاب حتّى يتمسّك الخصم بأنّ </w:t>
      </w:r>
      <w:r>
        <w:rPr>
          <w:rStyle w:val="FootnoteAnchor"/>
          <w:rtl w:val="true"/>
        </w:rPr>
        <w:footnoteReference w:id="1161"/>
      </w:r>
      <w:r>
        <w:rPr>
          <w:rFonts w:ascii="Amiri" w:hAnsi="Amiri" w:eastAsia="Amiri" w:cs="Amiri"/>
          <w:color w:val="111111"/>
          <w:sz w:val="28"/>
          <w:sz w:val="28"/>
          <w:szCs w:val="28"/>
          <w:rtl w:val="true"/>
          <w:lang w:bidi="ar-SA"/>
        </w:rPr>
        <w:t xml:space="preserve">نبوّته أيضا مردّدة </w:t>
      </w:r>
      <w:r>
        <w:rPr>
          <w:rStyle w:val="FootnoteAnchor"/>
          <w:rtl w:val="true"/>
        </w:rPr>
        <w:footnoteReference w:id="1162"/>
      </w:r>
      <w:r>
        <w:rPr>
          <w:rFonts w:ascii="Amiri" w:hAnsi="Amiri" w:eastAsia="Amiri" w:cs="Amiri"/>
          <w:color w:val="111111"/>
          <w:sz w:val="28"/>
          <w:sz w:val="28"/>
          <w:szCs w:val="28"/>
          <w:rtl w:val="true"/>
          <w:lang w:bidi="ar-SA"/>
        </w:rPr>
        <w:t xml:space="preserve">بين الأمور الثلاثة ، بل نحن متمسّكون بما نقطع به من النصوص والإجماع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تمسّكنا بالاستصحاب في المدّة </w:t>
      </w:r>
      <w:r>
        <w:rPr>
          <w:rStyle w:val="FootnoteAnchor"/>
          <w:rtl w:val="true"/>
        </w:rPr>
        <w:footnoteReference w:id="1163"/>
      </w:r>
      <w:r>
        <w:rPr>
          <w:rFonts w:ascii="Amiri" w:hAnsi="Amiri" w:eastAsia="Amiri" w:cs="Amiri"/>
          <w:color w:val="111111"/>
          <w:sz w:val="28"/>
          <w:sz w:val="28"/>
          <w:szCs w:val="28"/>
          <w:rtl w:val="true"/>
          <w:lang w:bidi="ar-SA"/>
        </w:rPr>
        <w:t xml:space="preserve">لاستظهر علينا الخصم بما نبّهناه </w:t>
      </w:r>
      <w:r>
        <w:rPr>
          <w:rStyle w:val="FootnoteAnchor"/>
          <w:rtl w:val="true"/>
        </w:rPr>
        <w:footnoteReference w:id="1164"/>
      </w:r>
      <w:r>
        <w:rPr>
          <w:rFonts w:ascii="Amiri" w:hAnsi="Amiri" w:eastAsia="Amiri" w:cs="Amiri"/>
          <w:color w:val="111111"/>
          <w:sz w:val="28"/>
          <w:sz w:val="28"/>
          <w:szCs w:val="28"/>
          <w:rtl w:val="true"/>
          <w:lang w:bidi="ar-SA"/>
        </w:rPr>
        <w:t xml:space="preserve">عليه </w:t>
      </w:r>
      <w:r>
        <w:rPr>
          <w:rStyle w:val="FootnoteAnchor"/>
          <w:rtl w:val="true"/>
        </w:rPr>
        <w:footnoteReference w:id="11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بدعوى الغلبة هذه مجرّد أنّ الغالب فيها التحديد في قبال من ادّعى الغلبة فيها على الدوام من غير أن تكون تلك الغلبة مفيدة في إلحاق المشكوك بالأغلب الأعمّ ، فهو في محلّه ، إلاّ أنّ </w:t>
      </w:r>
      <w:r>
        <w:rPr>
          <w:rStyle w:val="FootnoteAnchor"/>
          <w:rtl w:val="true"/>
        </w:rPr>
        <w:footnoteReference w:id="1166"/>
      </w:r>
      <w:r>
        <w:rPr>
          <w:rFonts w:ascii="Amiri" w:hAnsi="Amiri" w:eastAsia="Amiri" w:cs="Amiri"/>
          <w:color w:val="111111"/>
          <w:sz w:val="28"/>
          <w:sz w:val="28"/>
          <w:szCs w:val="28"/>
          <w:rtl w:val="true"/>
          <w:lang w:bidi="ar-SA"/>
        </w:rPr>
        <w:t>من الواضح أنّ دعوى الغلبة إنّما هو لإلحاق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بها الإلحاق والاستنتاج </w:t>
      </w:r>
      <w:r>
        <w:rPr>
          <w:rStyle w:val="FootnoteAnchor"/>
          <w:rtl w:val="true"/>
        </w:rPr>
        <w:footnoteReference w:id="1167"/>
      </w:r>
      <w:r>
        <w:rPr>
          <w:rFonts w:ascii="Amiri" w:hAnsi="Amiri" w:eastAsia="Amiri" w:cs="Amiri"/>
          <w:color w:val="111111"/>
          <w:sz w:val="28"/>
          <w:sz w:val="28"/>
          <w:szCs w:val="28"/>
          <w:rtl w:val="true"/>
          <w:lang w:bidi="ar-SA"/>
        </w:rPr>
        <w:t xml:space="preserve">كما هو الظاهر من دعوى الغلبة في مواردها ، ففيه </w:t>
      </w:r>
    </w:p>
    <w:p>
      <w:pPr>
        <w:pStyle w:val="BookText"/>
        <w:rPr/>
      </w:pPr>
      <w:r>
        <w:rPr>
          <w:rFonts w:ascii="Amiri" w:hAnsi="Amiri" w:eastAsia="Amiri" w:cs="Amiri"/>
          <w:color w:val="111111"/>
          <w:sz w:val="28"/>
          <w:sz w:val="28"/>
          <w:szCs w:val="28"/>
          <w:rtl w:val="true"/>
          <w:lang w:bidi="ar-SA"/>
        </w:rPr>
        <w:t>أنّ الغلبة في أمثال الموارد ممّا لا فائدة فيها ؛ لأنّ الفرد المشكوك لا يصير مظنونا بملاحظة الغلبة ؛ إذ الجهة المشكوكة تخالف الجهة التي هي مورد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للنبوّة وهو اليهودي مقصوده إثبات الدوام على ما فرضه المحقّق المذكور ، فادّعى غلبة الاستمرار في الاعتراض ، فيلحق </w:t>
      </w:r>
      <w:r>
        <w:rPr>
          <w:rStyle w:val="FootnoteAnchor"/>
          <w:rtl w:val="true"/>
        </w:rPr>
        <w:footnoteReference w:id="1168"/>
      </w:r>
      <w:r>
        <w:rPr>
          <w:rFonts w:ascii="Amiri" w:hAnsi="Amiri" w:eastAsia="Amiri" w:cs="Amiri"/>
          <w:color w:val="111111"/>
          <w:sz w:val="28"/>
          <w:sz w:val="28"/>
          <w:szCs w:val="28"/>
          <w:rtl w:val="true"/>
          <w:lang w:bidi="ar-SA"/>
        </w:rPr>
        <w:t xml:space="preserve">نبوّة موسى بغيرها ، فيجري فيها الاستصحاب كما في الأحكام الشرعية ، فأجابه </w:t>
      </w:r>
      <w:r>
        <w:rPr>
          <w:rStyle w:val="FootnoteAnchor"/>
          <w:rtl w:val="true"/>
        </w:rPr>
        <w:footnoteReference w:id="1169"/>
      </w:r>
      <w:r>
        <w:rPr>
          <w:rFonts w:ascii="Amiri" w:hAnsi="Amiri" w:eastAsia="Amiri" w:cs="Amiri"/>
          <w:color w:val="111111"/>
          <w:sz w:val="28"/>
          <w:sz w:val="28"/>
          <w:szCs w:val="28"/>
          <w:rtl w:val="true"/>
          <w:lang w:bidi="ar-SA"/>
        </w:rPr>
        <w:t>المحقّق بأنّ الغلبة في النبوّات على التحديد عكس الأحكام ، فنبوّة موسى ملحقة بها ، فليس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غلبة التحديد لا تثمر في إلحاق المشكوك وهي نبوّة موسى ؛ إذ المعلوم والمسلّم عند المحقّق المذكور هو وجود فرد مستمرّ خاتم للنبوّات ، واليهود </w:t>
      </w:r>
      <w:r>
        <w:rPr>
          <w:rStyle w:val="FootnoteAnchor"/>
          <w:rtl w:val="true"/>
        </w:rPr>
        <w:footnoteReference w:id="1170"/>
      </w:r>
      <w:r>
        <w:rPr>
          <w:rFonts w:ascii="Amiri" w:hAnsi="Amiri" w:eastAsia="Amiri" w:cs="Amiri"/>
          <w:color w:val="111111"/>
          <w:sz w:val="28"/>
          <w:sz w:val="28"/>
          <w:szCs w:val="28"/>
          <w:rtl w:val="true"/>
          <w:lang w:bidi="ar-SA"/>
        </w:rPr>
        <w:t xml:space="preserve">إنّما يدّعي بأنّ النبوّة المستمرّة إنّما هي قائمة بموسى عليه‌السلام ، فإنّه الخاتم ، فالشكّ إنّما هو في أنّ موسى هل هو آخر الأنبياء وخاتمهم ، أو هو ما قبل الآخر؟ وهذه الجهة ليست </w:t>
      </w:r>
      <w:r>
        <w:rPr>
          <w:rStyle w:val="FootnoteAnchor"/>
          <w:rtl w:val="true"/>
        </w:rPr>
        <w:footnoteReference w:id="1171"/>
      </w:r>
      <w:r>
        <w:rPr>
          <w:rFonts w:ascii="Amiri" w:hAnsi="Amiri" w:eastAsia="Amiri" w:cs="Amiri"/>
          <w:color w:val="111111"/>
          <w:sz w:val="28"/>
          <w:sz w:val="28"/>
          <w:szCs w:val="28"/>
          <w:rtl w:val="true"/>
          <w:lang w:bidi="ar-SA"/>
        </w:rPr>
        <w:t xml:space="preserve">موردا للغلبة حتّى يقال بالإلحاق ، وذلك نظير ما لو علمنا بوجود رومي في أشخاص زنجية وفرضنا خروجهم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بأنّ الرومي هو آخرهم ، فلو شككنا في فرد أنّه هل هو الآخر حتّى يكون هو الرومي ، أو هو ما قبل الآخر حتّى يكون هو الزنجي؟ فلا وجه في تشخيص </w:t>
      </w:r>
      <w:r>
        <w:rPr>
          <w:rStyle w:val="FootnoteAnchor"/>
          <w:rtl w:val="true"/>
        </w:rPr>
        <w:footnoteReference w:id="1172"/>
      </w:r>
      <w:r>
        <w:rPr>
          <w:rFonts w:ascii="Amiri" w:hAnsi="Amiri" w:eastAsia="Amiri" w:cs="Amiri"/>
          <w:color w:val="111111"/>
          <w:sz w:val="28"/>
          <w:sz w:val="28"/>
          <w:szCs w:val="28"/>
          <w:rtl w:val="true"/>
          <w:lang w:bidi="ar-SA"/>
        </w:rPr>
        <w:t>الخارج بالغلبة كما لا يخفى ؛ إذ لا غلبة في هذه الجهة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اعترض على نفسه أيضا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الواردة في شريعة موسى قد تكون </w:t>
      </w:r>
      <w:r>
        <w:rPr>
          <w:rStyle w:val="FootnoteAnchor"/>
          <w:rtl w:val="true"/>
        </w:rPr>
        <w:footnoteReference w:id="1173"/>
      </w:r>
      <w:r>
        <w:rPr>
          <w:rFonts w:ascii="IRNazanin" w:hAnsi="IRNazanin" w:eastAsia="IRNazanin"/>
          <w:color w:val="111111"/>
          <w:sz w:val="28"/>
          <w:sz w:val="28"/>
          <w:szCs w:val="28"/>
          <w:rtl w:val="true"/>
          <w:lang w:bidi="fa-IR"/>
        </w:rPr>
        <w:t xml:space="preserve">مطلقات </w:t>
      </w:r>
      <w:r>
        <w:rPr>
          <w:rStyle w:val="FootnoteAnchor"/>
          <w:rtl w:val="true"/>
        </w:rPr>
        <w:footnoteReference w:id="1174"/>
      </w:r>
      <w:r>
        <w:rPr>
          <w:rFonts w:ascii="Amiri" w:hAnsi="Amiri" w:eastAsia="Amiri" w:cs="Amiri"/>
          <w:color w:val="111111"/>
          <w:sz w:val="28"/>
          <w:sz w:val="28"/>
          <w:szCs w:val="28"/>
          <w:rtl w:val="true"/>
          <w:lang w:bidi="ar-SA"/>
        </w:rPr>
        <w:t>مثل الأحكام الواردة في شريعتنا ، فيمكن استصحابها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بأنّ إطلاق الأحكام مع اقترانها ببشارة عيسى أو موسى برسول يأتي من بعده </w:t>
      </w:r>
      <w:r>
        <w:rPr>
          <w:rStyle w:val="FootnoteAnchor"/>
          <w:rtl w:val="true"/>
        </w:rPr>
        <w:footnoteReference w:id="1175"/>
      </w:r>
      <w:r>
        <w:rPr>
          <w:rFonts w:ascii="Amiri" w:hAnsi="Amiri" w:eastAsia="Amiri" w:cs="Amiri"/>
          <w:color w:val="111111"/>
          <w:sz w:val="28"/>
          <w:sz w:val="28"/>
          <w:szCs w:val="28"/>
          <w:rtl w:val="true"/>
          <w:lang w:bidi="ar-SA"/>
        </w:rPr>
        <w:t xml:space="preserve">اسمه أحمد صلى‌اللّه‌عليه‌وآله لا ينفعهم ؛ لاستلزامه قبول </w:t>
      </w:r>
      <w:r>
        <w:rPr>
          <w:rStyle w:val="FootnoteAnchor"/>
          <w:rtl w:val="true"/>
        </w:rPr>
        <w:footnoteReference w:id="1176"/>
      </w:r>
      <w:r>
        <w:rPr>
          <w:rFonts w:ascii="Amiri" w:hAnsi="Amiri" w:eastAsia="Amiri" w:cs="Amiri"/>
          <w:color w:val="111111"/>
          <w:sz w:val="28"/>
          <w:sz w:val="28"/>
          <w:szCs w:val="28"/>
          <w:rtl w:val="true"/>
          <w:lang w:bidi="ar-SA"/>
        </w:rPr>
        <w:t xml:space="preserve">رسالته صلى‌اللّه‌عليه‌وآله ، وبعد قبوله فلا معنى لاستصحاب أحكامهم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إنّما هو في مقام الإلزام </w:t>
      </w:r>
      <w:r>
        <w:rPr>
          <w:rStyle w:val="FootnoteAnchor"/>
          <w:rtl w:val="true"/>
        </w:rPr>
        <w:footnoteReference w:id="1178"/>
      </w:r>
      <w:r>
        <w:rPr>
          <w:rFonts w:ascii="Amiri" w:hAnsi="Amiri" w:eastAsia="Amiri" w:cs="Amiri"/>
          <w:color w:val="111111"/>
          <w:sz w:val="28"/>
          <w:sz w:val="28"/>
          <w:szCs w:val="28"/>
          <w:rtl w:val="true"/>
          <w:lang w:bidi="ar-SA"/>
        </w:rPr>
        <w:t>للمسلمين يقول باستصحاب الأحكام المطلقة ، وهو لا يسلّم البشارة على ما هو ظاهر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مقام الجواب عن التمسّك بالاستصحاب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المذكور أيضا من أنّ التمسّك بالاستصحاب في أمثال المقام ممّا هو من الأصول الدينية ممّا لا يجدي شيئا ؛ إذ المقصود من المطالب الاعتقادية هو نفس الاعتقاد ، ومن المعلوم عدم حصول الاعتقاد بالاستصحاب لو أريد به تحصيل الاعتقاد من إجراء الاستصحاب ؛ إذ غاية ما تكلّفه القائل به هو إفادته الظنّ ، وعدم اعتباره أيضا في المطالب الاعتقادية ممّا لا يدانيه ريبة ، ولو أريد به استصحاب نفس الاعتقاد الموجود في الزمن الأوّل ، ففساده أجلى من أن يخفى ؛ ضرورة انتفاضه وتبدّله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النبوّة محدودة وشكّ في حصول الحدّ فلا بدّ من استصحابها ، وإلاّ لاختلّ على الأمم السابقة أمور دينهم ، بل ودنياهم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استصحاب الاعتقاد بنبوّته </w:t>
      </w:r>
      <w:r>
        <w:rPr>
          <w:rStyle w:val="FootnoteAnchor"/>
          <w:rtl w:val="true"/>
        </w:rPr>
        <w:footnoteReference w:id="1179"/>
      </w:r>
      <w:r>
        <w:rPr>
          <w:rFonts w:ascii="Amiri" w:hAnsi="Amiri" w:eastAsia="Amiri" w:cs="Amiri"/>
          <w:color w:val="111111"/>
          <w:sz w:val="28"/>
          <w:sz w:val="28"/>
          <w:szCs w:val="28"/>
          <w:rtl w:val="true"/>
          <w:lang w:bidi="ar-SA"/>
        </w:rPr>
        <w:t>وإنّما يستصحبون أحكام تلك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لاستصحاب الأحكام بعد عدم العلم بالموضوع الذي يترتّب عليه الأحكام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الموضوع يكفي في ترتّب الأحكام وإن لم يكن كافيا في نفس </w:t>
      </w:r>
    </w:p>
    <w:p>
      <w:pPr>
        <w:pStyle w:val="BookText"/>
        <w:rPr/>
      </w:pPr>
      <w:r>
        <w:rPr>
          <w:rFonts w:ascii="Amiri" w:hAnsi="Amiri" w:eastAsia="Amiri" w:cs="Amiri"/>
          <w:color w:val="111111"/>
          <w:sz w:val="28"/>
          <w:sz w:val="28"/>
          <w:szCs w:val="28"/>
          <w:rtl w:val="true"/>
          <w:lang w:bidi="ar-SA"/>
        </w:rPr>
        <w:t>الاعتقاد كما هو غير خفيّ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للنبوّة إن أراد باستصحابها جعل المسلمين مدّعين لأمر هو ينفيه وزعم عدم افتقار النافي في نفيه إلى دليل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المقرّر في محلّه عدم الفرق بين النافي والمثبت في الاحتياج إلى الدليل ، فإنّ القضيّة الموجبة كما تحتاج </w:t>
      </w:r>
      <w:r>
        <w:rPr>
          <w:rStyle w:val="FootnoteAnchor"/>
          <w:rtl w:val="true"/>
        </w:rPr>
        <w:footnoteReference w:id="1180"/>
      </w:r>
      <w:r>
        <w:rPr>
          <w:rFonts w:ascii="Amiri" w:hAnsi="Amiri" w:eastAsia="Amiri" w:cs="Amiri"/>
          <w:color w:val="111111"/>
          <w:sz w:val="28"/>
          <w:sz w:val="28"/>
          <w:szCs w:val="28"/>
          <w:rtl w:val="true"/>
          <w:lang w:bidi="ar-SA"/>
        </w:rPr>
        <w:t>في إثباتها إلى قياس مفيد لتحقّق النسبة التي اشتملت القضيّة عليها ، فكذلك القضيّة السالبة محتاجة إليه ؛ إذ لا فرق في العقول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عدم الدليل دليلا واقعيا على العدم ، فلا حاجة إلى الاستدلال في النفي ، كما إذا كان وجود الشيء ملازما للعلم به فيكون من القضايا التي قياساتها معها </w:t>
      </w:r>
      <w:r>
        <w:rPr>
          <w:rStyle w:val="FootnoteAnchor"/>
          <w:rtl w:val="true"/>
        </w:rPr>
        <w:footnoteReference w:id="1181"/>
      </w:r>
      <w:r>
        <w:rPr>
          <w:rFonts w:ascii="Amiri" w:hAnsi="Amiri" w:eastAsia="Amiri" w:cs="Amiri"/>
          <w:color w:val="111111"/>
          <w:sz w:val="28"/>
          <w:sz w:val="28"/>
          <w:szCs w:val="28"/>
          <w:rtl w:val="true"/>
          <w:lang w:bidi="ar-SA"/>
        </w:rPr>
        <w:t>، وهي كما توجّه في السلبيات كذلك توجّه في الإيجابيات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المانع الذي يدّعي عدم العلم بشيء لا يطالب بدليل حيث أن لا سبيل إليه إلاّ قوله بذلك ، ولهذا ترى فيما كان إلى إثبات العلم له سبيل لا يصغى إليه ، فإخباره </w:t>
      </w:r>
      <w:r>
        <w:rPr>
          <w:rStyle w:val="FootnoteAnchor"/>
          <w:rtl w:val="true"/>
        </w:rPr>
        <w:footnoteReference w:id="1182"/>
      </w:r>
      <w:r>
        <w:rPr>
          <w:rFonts w:ascii="Amiri" w:hAnsi="Amiri" w:eastAsia="Amiri" w:cs="Amiri"/>
          <w:color w:val="111111"/>
          <w:sz w:val="28"/>
          <w:sz w:val="28"/>
          <w:szCs w:val="28"/>
          <w:rtl w:val="true"/>
          <w:lang w:bidi="ar-SA"/>
        </w:rPr>
        <w:t>حقيقة هو الدليل على عدم العلم كما لا يخفى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المستصحب استصحاب الرسالة الثانية بإقرارنا والمنع من رسالة نبيّنا صلى‌اللّه‌عليه‌وآله </w:t>
      </w:r>
      <w:r>
        <w:rPr>
          <w:rStyle w:val="FootnoteAnchor"/>
          <w:rtl w:val="true"/>
        </w:rPr>
        <w:footnoteReference w:id="1183"/>
      </w:r>
      <w:r>
        <w:rPr>
          <w:rFonts w:ascii="Amiri" w:hAnsi="Amiri" w:eastAsia="Amiri" w:cs="Amiri"/>
          <w:color w:val="111111"/>
          <w:sz w:val="28"/>
          <w:sz w:val="28"/>
          <w:szCs w:val="28"/>
          <w:rtl w:val="true"/>
          <w:lang w:bidi="ar-SA"/>
        </w:rPr>
        <w:t xml:space="preserve">فلا يحتاج في المنع إلى الدليل ويكفيه في الاستصحاب إقرار الخصم بثبوت </w:t>
      </w:r>
      <w:r>
        <w:rPr>
          <w:rStyle w:val="FootnoteAnchor"/>
          <w:rtl w:val="true"/>
        </w:rPr>
        <w:footnoteReference w:id="1184"/>
      </w:r>
      <w:r>
        <w:rPr>
          <w:rFonts w:ascii="Amiri" w:hAnsi="Amiri" w:eastAsia="Amiri" w:cs="Amiri"/>
          <w:color w:val="111111"/>
          <w:sz w:val="28"/>
          <w:sz w:val="28"/>
          <w:szCs w:val="28"/>
          <w:rtl w:val="true"/>
          <w:lang w:bidi="ar-SA"/>
        </w:rPr>
        <w:t>المستصحب في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إقرار الخصم بثبوت </w:t>
      </w:r>
      <w:r>
        <w:rPr>
          <w:rStyle w:val="FootnoteAnchor"/>
          <w:rtl w:val="true"/>
        </w:rPr>
        <w:footnoteReference w:id="1185"/>
      </w:r>
      <w:r>
        <w:rPr>
          <w:rFonts w:ascii="Amiri" w:hAnsi="Amiri" w:eastAsia="Amiri" w:cs="Amiri"/>
          <w:color w:val="111111"/>
          <w:sz w:val="28"/>
          <w:sz w:val="28"/>
          <w:szCs w:val="28"/>
          <w:rtl w:val="true"/>
          <w:lang w:bidi="ar-SA"/>
        </w:rPr>
        <w:t xml:space="preserve">النبوّة السابقة وعلمه بالمستصحب إن كان بواسطة الدليل الدالّ على نبوّة موسى أو عيسى </w:t>
      </w:r>
      <w:r>
        <w:rPr>
          <w:rStyle w:val="FootnoteAnchor"/>
          <w:rtl w:val="true"/>
        </w:rPr>
        <w:footnoteReference w:id="1186"/>
      </w:r>
      <w:r>
        <w:rPr>
          <w:rFonts w:ascii="Amiri" w:hAnsi="Amiri" w:eastAsia="Amiri" w:cs="Amiri"/>
          <w:color w:val="111111"/>
          <w:sz w:val="28"/>
          <w:sz w:val="28"/>
          <w:szCs w:val="28"/>
          <w:rtl w:val="true"/>
          <w:lang w:bidi="ar-SA"/>
        </w:rPr>
        <w:t xml:space="preserve">غير ما أخبر به محمّد صلى‌اللّه‌عليه‌وآله وأوصياؤه الأطهار من تواتر واقعي أو إجماع من سائر الملل ، فعلى الخصم أن يقرّره فهو المستدلّ حينئذ ، وإن كان بواسطة أخبار محمّد صلى‌اللّه‌عليه‌وآله ودلالة القرآن عليه كما هو كذلك الآن في حقّنا ؛ إذ لا شبهة في أنّ علمنا بنبوّة موسى أو عيسى فعلا مستند </w:t>
      </w:r>
    </w:p>
    <w:p>
      <w:pPr>
        <w:pStyle w:val="BookText"/>
        <w:rPr/>
      </w:pPr>
      <w:r>
        <w:rPr>
          <w:rFonts w:ascii="Amiri" w:hAnsi="Amiri" w:eastAsia="Amiri" w:cs="Amiri"/>
          <w:color w:val="111111"/>
          <w:sz w:val="28"/>
          <w:sz w:val="28"/>
          <w:szCs w:val="28"/>
          <w:rtl w:val="true"/>
          <w:lang w:bidi="ar-SA"/>
        </w:rPr>
        <w:t>إلى أخبار المعصومين عليهم‌السلام بذلك ، ففرض العلم بالحالة السابقة يلازم القطع بارتفاعها وانتفائها ، فلا استصحاب ؛ لارتفاع أحد أركانه وهو الشكّ اللاحق ، فإنّ العلم بنبوّة موسى أو عيسى لا يحصل من القرآن وأخبار محمّد صلى‌اللّه‌عليه‌وآله إلاّ بعد العلم بصحّة القرآن ونبوّة محمّد صلى‌اللّه‌عليه‌وآله ، والعلم بصحّة القرآن هو عين العلم بارتفاع نبوّة غير محمّد صلى‌اللّه‌عليه‌وآله كما هو ظاهر ، نعم يصحّ التمسّك بالاستصحاب فيما لو فرضنا حصول العلم من دليل آخر كالتواتر ، مثلا لو أسلم يهودي يصحّ له التمسّك بالاستصحاب على 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العلم بنبوّة عيسى من قول محمّد صلى‌اللّه‌عليه‌وآله لا يتفرّع على نبوّته ، بل هو موقوف على صدقه ولو في هذه القضيّة ، فيحتمل إثبات نبوّة عيسى وإن لم يستلزم صدق نبوّة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لنا </w:t>
      </w:r>
      <w:r>
        <w:rPr>
          <w:rStyle w:val="FootnoteAnchor"/>
          <w:rtl w:val="true"/>
        </w:rPr>
        <w:footnoteReference w:id="1187"/>
      </w:r>
      <w:r>
        <w:rPr>
          <w:rFonts w:ascii="Amiri" w:hAnsi="Amiri" w:eastAsia="Amiri" w:cs="Amiri"/>
          <w:color w:val="111111"/>
          <w:sz w:val="28"/>
          <w:sz w:val="28"/>
          <w:szCs w:val="28"/>
          <w:rtl w:val="true"/>
          <w:lang w:bidi="ar-SA"/>
        </w:rPr>
        <w:t xml:space="preserve">إلى صدق محمّد صلى‌اللّه‌عليه‌وآله في هذه القضيّة إلاّ بعلم بنبوّته </w:t>
      </w:r>
      <w:r>
        <w:rPr>
          <w:rStyle w:val="FootnoteAnchor"/>
          <w:rtl w:val="true"/>
        </w:rPr>
        <w:footnoteReference w:id="1188"/>
      </w:r>
      <w:r>
        <w:rPr>
          <w:rFonts w:ascii="Amiri" w:hAnsi="Amiri" w:eastAsia="Amiri" w:cs="Amiri"/>
          <w:color w:val="111111"/>
          <w:sz w:val="28"/>
          <w:sz w:val="28"/>
          <w:szCs w:val="28"/>
          <w:rtl w:val="true"/>
          <w:lang w:bidi="ar-SA"/>
        </w:rPr>
        <w:t xml:space="preserve">كما هو ظاهر ، والأخذ بإقراره على تقدير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جدلا وخارجا عن طريق البرهان لا يفيد لنا العلم بثبوت نبوّة عيسى في الحال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العلم بصدقه في هذه القضيّة نظرا إلى ظهور برهان نبوّة عيسى أو موسى وسطوع آثارها في زمنه على وجه لا يقبل الإنكار ، ومع ذلك فالمانع مستظهر ؛ لانقطاع عدد تواترهم بقتلهم بخت نصر </w:t>
      </w:r>
      <w:r>
        <w:rPr>
          <w:rStyle w:val="FootnoteAnchor"/>
          <w:rtl w:val="true"/>
        </w:rPr>
        <w:footnoteReference w:id="118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استصحاب نبوّة نبيّ هو وجوب التديّن بدينه لا الصفة الثابتة له في نفس الأمر ؛ إذ لا يعتبر فيها في الحالة السابقة و </w:t>
      </w:r>
      <w:r>
        <w:rPr>
          <w:rStyle w:val="FootnoteAnchor"/>
          <w:rtl w:val="true"/>
        </w:rPr>
        <w:footnoteReference w:id="1190"/>
      </w:r>
      <w:r>
        <w:rPr>
          <w:rFonts w:ascii="Amiri" w:hAnsi="Amiri" w:eastAsia="Amiri" w:cs="Amiri"/>
          <w:color w:val="111111"/>
          <w:sz w:val="28"/>
          <w:sz w:val="28"/>
          <w:szCs w:val="28"/>
          <w:rtl w:val="true"/>
          <w:lang w:bidi="ar-SA"/>
        </w:rPr>
        <w:t xml:space="preserve">اللاحقة ، إذ لا ينعزل </w:t>
      </w:r>
      <w:r>
        <w:rPr>
          <w:rStyle w:val="FootnoteAnchor"/>
          <w:rtl w:val="true"/>
        </w:rPr>
        <w:footnoteReference w:id="1191"/>
      </w:r>
      <w:r>
        <w:rPr>
          <w:rFonts w:ascii="Amiri" w:hAnsi="Amiri" w:eastAsia="Amiri" w:cs="Amiri"/>
          <w:color w:val="111111"/>
          <w:sz w:val="28"/>
          <w:sz w:val="28"/>
          <w:szCs w:val="28"/>
          <w:rtl w:val="true"/>
          <w:lang w:bidi="ar-SA"/>
        </w:rPr>
        <w:t xml:space="preserve">عن منصب النبوّة ، ولا يصير ذلك مشكوكا حتّى يستصحب ، فالمراد من استصحاب النبوّة هو وجوب اتّباعه في دينه والاعتقاد بصحّة ما جاء به من اللّه تعالى شأنه ، ولا ريب أنّ </w:t>
      </w:r>
    </w:p>
    <w:p>
      <w:pPr>
        <w:pStyle w:val="BookText"/>
        <w:rPr/>
      </w:pPr>
      <w:r>
        <w:rPr>
          <w:rFonts w:ascii="Amiri" w:hAnsi="Amiri" w:eastAsia="Amiri" w:cs="Amiri"/>
          <w:color w:val="111111"/>
          <w:sz w:val="28"/>
          <w:sz w:val="28"/>
          <w:szCs w:val="28"/>
          <w:rtl w:val="true"/>
          <w:lang w:bidi="ar-SA"/>
        </w:rPr>
        <w:t xml:space="preserve">الدين هو أمر وحداني وإن كان مركّبا عن أشياء مختلفة ، ومتى شكّ في جزء منه فالشكّ إنّما هو في أصل الدين وليس من الأمور التي يمكن أن يؤخذ منه أمر مشترك </w:t>
      </w:r>
      <w:r>
        <w:rPr>
          <w:rStyle w:val="FootnoteAnchor"/>
          <w:rtl w:val="true"/>
        </w:rPr>
        <w:footnoteReference w:id="1192"/>
      </w:r>
      <w:r>
        <w:rPr>
          <w:rFonts w:ascii="Amiri" w:hAnsi="Amiri" w:eastAsia="Amiri" w:cs="Amiri"/>
          <w:color w:val="111111"/>
          <w:sz w:val="28"/>
          <w:sz w:val="28"/>
          <w:szCs w:val="28"/>
          <w:rtl w:val="true"/>
          <w:lang w:bidi="ar-SA"/>
        </w:rPr>
        <w:t>كالصلاة بناء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الأمور المقرّرة في شريعة موسى أو عيسى على وجه يختلف تلك الشريعة بالاختلاف فيها الإقرار بنبوّة محمّد صلى‌اللّه‌عليه‌وآله ، فالخصم إن أراد إثبات المستصحب في الحالة السابقة بتسليمنا وإقرارنا فنحن مقرّون بشريعة هي عبارة عن أحكام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بشارتهم على نبيّنا ، فلا شكّ في الزمن المتأخّر ، فلا 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استصحاب شريعة ليس منها البشارة المزبورة فلا علم لنا بتلك الشريعة أوّلا ، فلا استصحاب ؛ لانتفاء أحد أركانه وهو اليقين السابق ، والعلم بأنّ شريعة عيسى أو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إنّما هي مغيّاة إلى زمن محمّد صلى‌اللّه‌عليه‌وآله إنّما هو من ضروريات مذهبهم حتّى أنّه لم يسعهم إنكار ذلك ، كما يظهر من التزام الجاثليق بعد ما أجابه أبو الحسن الرضا عليه وعلى آبائه وأبنائه آلاف التحيّة والثناء </w:t>
      </w:r>
      <w:r>
        <w:rPr>
          <w:rStyle w:val="FootnoteAnchor"/>
          <w:rtl w:val="true"/>
        </w:rPr>
        <w:footnoteReference w:id="1194"/>
      </w:r>
      <w:r>
        <w:rPr>
          <w:rFonts w:ascii="IRNazanin" w:hAnsi="IRNazanin" w:eastAsia="IRNazanin"/>
          <w:color w:val="111111"/>
          <w:sz w:val="28"/>
          <w:sz w:val="28"/>
          <w:szCs w:val="28"/>
          <w:rtl w:val="true"/>
          <w:lang w:bidi="fa-IR"/>
        </w:rPr>
        <w:t xml:space="preserve">بما عرفت ، ولعلّه </w:t>
      </w:r>
      <w:r>
        <w:rPr>
          <w:rStyle w:val="FootnoteAnchor"/>
          <w:rtl w:val="true"/>
        </w:rPr>
        <w:footnoteReference w:id="1195"/>
      </w:r>
      <w:r>
        <w:rPr>
          <w:rFonts w:ascii="Amiri" w:hAnsi="Amiri" w:eastAsia="Amiri" w:cs="Amiri"/>
          <w:color w:val="111111"/>
          <w:sz w:val="28"/>
          <w:sz w:val="28"/>
          <w:szCs w:val="28"/>
          <w:rtl w:val="true"/>
          <w:lang w:bidi="ar-SA"/>
        </w:rPr>
        <w:t xml:space="preserve">منزل على هذا الجواب وإنّما استعار عليه‌السلام عن دين موسى و </w:t>
      </w:r>
      <w:r>
        <w:rPr>
          <w:rStyle w:val="FootnoteAnchor"/>
          <w:rtl w:val="true"/>
        </w:rPr>
        <w:footnoteReference w:id="1196"/>
      </w:r>
      <w:r>
        <w:rPr>
          <w:rFonts w:ascii="Amiri" w:hAnsi="Amiri" w:eastAsia="Amiri" w:cs="Amiri"/>
          <w:color w:val="111111"/>
          <w:sz w:val="28"/>
          <w:sz w:val="28"/>
          <w:szCs w:val="28"/>
          <w:rtl w:val="true"/>
          <w:lang w:bidi="ar-SA"/>
        </w:rPr>
        <w:t xml:space="preserve">عيسى بهما نظرا إلى ما نبّهنا عليه من أنّ المراد باستصحاب النبوّة وإبقائها </w:t>
      </w:r>
      <w:r>
        <w:rPr>
          <w:rStyle w:val="FootnoteAnchor"/>
          <w:rtl w:val="true"/>
        </w:rPr>
        <w:footnoteReference w:id="1197"/>
      </w:r>
      <w:r>
        <w:rPr>
          <w:rFonts w:ascii="Amiri" w:hAnsi="Amiri" w:eastAsia="Amiri" w:cs="Amiri"/>
          <w:color w:val="111111"/>
          <w:sz w:val="28"/>
          <w:sz w:val="28"/>
          <w:szCs w:val="28"/>
          <w:rtl w:val="true"/>
          <w:lang w:bidi="ar-SA"/>
        </w:rPr>
        <w:t>هو استصحاب الشريعة كما لا يخفى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ما ذكرنا من أنّ المعلوم في تلك الشرائع هو ما قرّرنا من البشارة من الكتب السماوية والآيات القرآنية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عِيسَى ابْنُ مَرْيَمَ يا بَنِي إِسْرائِيلَ إِنِّي رَسُولُ اللّهِ إِلَيْكُمْ مُصَدِّقاً لِما بَيْنَ يَدَيَّ مِنَ التَّوْراةِ وَمُبَشِّراً بِرَسُولٍ يَأْتِي مِنْ بَعْدِي اسْمُهُ أَحْمَدُ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المستفاد منها انحصار </w:t>
      </w:r>
      <w:r>
        <w:rPr>
          <w:rStyle w:val="FootnoteAnchor"/>
          <w:rtl w:val="true"/>
        </w:rPr>
        <w:footnoteReference w:id="1199"/>
      </w:r>
      <w:r>
        <w:rPr>
          <w:rFonts w:ascii="Amiri" w:hAnsi="Amiri" w:eastAsia="Amiri" w:cs="Amiri"/>
          <w:color w:val="111111"/>
          <w:sz w:val="28"/>
          <w:sz w:val="28"/>
          <w:szCs w:val="28"/>
          <w:rtl w:val="true"/>
          <w:lang w:bidi="ar-SA"/>
        </w:rPr>
        <w:t xml:space="preserve">رسالته في التصديق بكتب اللّه والبشارة برسول </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ذات يوم كان ينظر إلى التوراة ، فقال له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آت بها بيضاء نقيّة ، واللّه لو كان موسى وعيسى لم يسعهما إلاّ اتّباعي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جدّا أنّ من الأمور الواضحة المقرّرة في سائر الملل والشرائع هو البشارة على بعثة النبيّ الأمّي ونحن عالمون بذلك ، فالمستصحب إن أراد إثبات دين مستصحب بإقرارنا فنحن نقرّ بهذا الدين ، ولا شكّ في ارتفاعه ، وإن أراد إثبات دين آخر فعليه بإثباته ، ولا علم لنا به سابقا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ما ذكرنا بوجه آخر وهو أنّا نعلم بأنّ شريعة عيسى مغيّاة بمجيء محمّد صلى‌اللّه‌عليه‌وآله ، وبعد حصول الغاية لا حاجة إلى استصحاب الحكم ؛ لأنّه معلوم بعد الغاية كقبلها ، بل العمل بما بعد الغاية محقّق للعمل بالحكم المغيّى لا أنّه مناف لها ، فنحن في الحال متديّنون بدين عيسى ولا ضير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شريعة عيسى مشتملة على أحكام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على ما ادّعيت ، فالقدر المسلّم بيننا وبينكم مستصحب ، وعليك بإثبات البشارة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w:t>
      </w:r>
      <w:r>
        <w:rPr>
          <w:rStyle w:val="FootnoteAnchor"/>
          <w:rtl w:val="true"/>
        </w:rPr>
        <w:footnoteReference w:id="1203"/>
      </w:r>
      <w:r>
        <w:rPr>
          <w:rFonts w:ascii="Amiri" w:hAnsi="Amiri" w:eastAsia="Amiri" w:cs="Amiri"/>
          <w:color w:val="111111"/>
          <w:sz w:val="28"/>
          <w:sz w:val="28"/>
          <w:szCs w:val="28"/>
          <w:rtl w:val="true"/>
          <w:lang w:bidi="ar-SA"/>
        </w:rPr>
        <w:t xml:space="preserve">أنّ الدين أمر وحداني لا يقبل التبعيض ، بل الاختلاف في جزئه يوجب الاختلاف في نفس الدين ، ألا ترى أنّ شريعتنا على صادعها آلاف التحيّة </w:t>
      </w:r>
      <w:r>
        <w:rPr>
          <w:rStyle w:val="FootnoteAnchor"/>
          <w:rtl w:val="true"/>
        </w:rPr>
        <w:footnoteReference w:id="1204"/>
      </w:r>
      <w:r>
        <w:rPr>
          <w:rFonts w:ascii="Amiri" w:hAnsi="Amiri" w:eastAsia="Amiri" w:cs="Amiri"/>
          <w:color w:val="111111"/>
          <w:sz w:val="28"/>
          <w:sz w:val="28"/>
          <w:szCs w:val="28"/>
          <w:rtl w:val="true"/>
          <w:lang w:bidi="ar-SA"/>
        </w:rPr>
        <w:t xml:space="preserve">تختلف فيما لو خالف أحد في بعض أصولها </w:t>
      </w:r>
      <w:r>
        <w:rPr>
          <w:rStyle w:val="FootnoteAnchor"/>
          <w:rtl w:val="true"/>
        </w:rPr>
        <w:footnoteReference w:id="1205"/>
      </w:r>
      <w:r>
        <w:rPr>
          <w:rFonts w:ascii="Amiri" w:hAnsi="Amiri" w:eastAsia="Amiri" w:cs="Amiri"/>
          <w:color w:val="111111"/>
          <w:sz w:val="28"/>
          <w:sz w:val="28"/>
          <w:szCs w:val="28"/>
          <w:rtl w:val="true"/>
          <w:lang w:bidi="ar-SA"/>
        </w:rPr>
        <w:t xml:space="preserve">كالتوحيد أو </w:t>
      </w:r>
      <w:r>
        <w:rPr>
          <w:rStyle w:val="FootnoteAnchor"/>
          <w:rtl w:val="true"/>
        </w:rPr>
        <w:footnoteReference w:id="1206"/>
      </w:r>
      <w:r>
        <w:rPr>
          <w:rFonts w:ascii="IRNazanin" w:hAnsi="IRNazanin" w:eastAsia="IRNazanin"/>
          <w:color w:val="111111"/>
          <w:sz w:val="28"/>
          <w:sz w:val="28"/>
          <w:szCs w:val="28"/>
          <w:rtl w:val="true"/>
          <w:lang w:bidi="fa-IR"/>
        </w:rPr>
        <w:t>المعاد أو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إنكار رسالة عيسى في الجملة ، فالقدر المشترك بين الكلّ مستصحب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بالرسالة الصفة الواقعية الثابتة لنفس النبيّ والرسول في نفس </w:t>
      </w:r>
    </w:p>
    <w:p>
      <w:pPr>
        <w:pStyle w:val="BookText"/>
        <w:rPr/>
      </w:pPr>
      <w:r>
        <w:rPr>
          <w:rFonts w:ascii="Amiri" w:hAnsi="Amiri" w:eastAsia="Amiri" w:cs="Amiri"/>
          <w:color w:val="111111"/>
          <w:sz w:val="28"/>
          <w:sz w:val="28"/>
          <w:szCs w:val="28"/>
          <w:rtl w:val="true"/>
          <w:lang w:bidi="ar-SA"/>
        </w:rPr>
        <w:t>الأمر فهي معلومة في الحال لا يطرأ إليها ريب ، وإن أراد الشريعة المعلومة إجمالا ففيه أنّه ليس من الدين أصلا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البشارة على محمّد صلى‌اللّه‌عليه‌وآله كانت من دين عيسى على الوجه المفروض وتنزّلنا في قبول التحديد ، فلا نسلّم وجود المبشّر عليه وحصول الحدّ ، فلا ضير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ندّعي تطابق الأمارات والبشارات الحاصلة في سائر الأمم للنبيّ الأمّي العربي التهامي الذي يقوّي دينه بسيف وصيّه ، فمن ضروريات تمام الملل والشرائع هو كون هذا الجزئي المخصوص المدلول عليه بالأمارات الواضحة المعلومة عندهم نبيّنا كما هو ظاهر لمن تدبّر وتدرّب في الكتب الإلهية والسفر السماوية والصحف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استصحاب النبوّة يعنى الشريعة السابقة ، وأمّا استصحاب الأحكام الفرعية الثابتة في واحد من الملل السابقة والأديان الماضية ، ففيه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نتكلّم في جريان الاستصحاب في حقّنا كما لو علمنا بثبوت حكم في زمان من الأزمنة السابقة </w:t>
      </w:r>
      <w:r>
        <w:rPr>
          <w:rStyle w:val="FootnoteAnchor"/>
          <w:rtl w:val="true"/>
        </w:rPr>
        <w:footnoteReference w:id="1207"/>
      </w:r>
      <w:r>
        <w:rPr>
          <w:rFonts w:ascii="Amiri" w:hAnsi="Amiri" w:eastAsia="Amiri" w:cs="Amiri"/>
          <w:color w:val="111111"/>
          <w:sz w:val="28"/>
          <w:sz w:val="28"/>
          <w:szCs w:val="28"/>
          <w:rtl w:val="true"/>
          <w:lang w:bidi="ar-SA"/>
        </w:rPr>
        <w:t xml:space="preserve">بطريق معتبر عندنا ، كما ثبت محبوبية ترك الازدواج في بعض الشرائع على ما يدلّ عليها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يحيى أنّه 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سَيِّداً وَحَصُوراً </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نتكلّم فيه فيما لو خاصمنا واحد من أهل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تفصيله في هداية على حدة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بجريان الاستصحاب فيها وكونه مثمرا في المقام ؛ إذ ليس المقصود فيها إلاّ العمل وهو حاصل نظير الاستصحاب في الأحكام الثابتة في شريعة نبيّنا صلى‌اللّه‌عليه‌وآله عند الشكّ في النسخ ، لكن ينبغي أن يعلم أنّ أصالة عدم النسخ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w:t>
      </w:r>
    </w:p>
    <w:p>
      <w:pPr>
        <w:pStyle w:val="BookText"/>
        <w:rPr/>
      </w:pPr>
      <w:r>
        <w:rPr>
          <w:rFonts w:ascii="Amiri" w:hAnsi="Amiri" w:eastAsia="Amiri" w:cs="Amiri"/>
          <w:color w:val="111111"/>
          <w:sz w:val="28"/>
          <w:sz w:val="28"/>
          <w:szCs w:val="28"/>
          <w:rtl w:val="true"/>
          <w:lang w:bidi="ar-SA"/>
        </w:rPr>
        <w:t xml:space="preserve">إلى استصحاب حال الدليل الثابت في الزمن الأوّل من دعوى إفادته عموما أزمانيا ، والشكّ إنّما هو في تخصيصه بزمان دون آخر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استصحاب نفس الحكم الثابت في زمان ولو </w:t>
      </w:r>
      <w:r>
        <w:rPr>
          <w:rStyle w:val="FootnoteAnchor"/>
          <w:rtl w:val="true"/>
        </w:rPr>
        <w:footnoteReference w:id="1211"/>
      </w:r>
      <w:r>
        <w:rPr>
          <w:rFonts w:ascii="Amiri" w:hAnsi="Amiri" w:eastAsia="Amiri" w:cs="Amiri"/>
          <w:color w:val="111111"/>
          <w:sz w:val="28"/>
          <w:sz w:val="28"/>
          <w:szCs w:val="28"/>
          <w:rtl w:val="true"/>
          <w:lang w:bidi="ar-SA"/>
        </w:rPr>
        <w:t>لم يكن مدلولا عليه بلفظ عامّ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ليس من استصحاب عدم النسخ وإنّما هو الثاني كما عليه المشهور ، فعلى </w:t>
      </w:r>
      <w:r>
        <w:rPr>
          <w:rStyle w:val="FootnoteAnchor"/>
          <w:rtl w:val="true"/>
        </w:rPr>
        <w:footnoteReference w:id="1212"/>
      </w:r>
      <w:r>
        <w:rPr>
          <w:rFonts w:ascii="Amiri" w:hAnsi="Amiri" w:eastAsia="Amiri" w:cs="Amiri"/>
          <w:color w:val="111111"/>
          <w:sz w:val="28"/>
          <w:sz w:val="28"/>
          <w:szCs w:val="28"/>
          <w:rtl w:val="true"/>
          <w:lang w:bidi="ar-SA"/>
        </w:rPr>
        <w:t>هذا فكما لا مانع من استصحاب الحكم الثابت في الزمن الأوّل مع حصول الشكّ في نسخه على مذاق القوم ، كذلك لا مانع منه فيما لو ثبت الحكم الفرعي في ملّة سابقة وشريعة ماضية ، ولا وجه لدفعه بالعلم الإجمالي بالنسخ في الأحكام الثابتة في سائر الأمم ؛ إذ ذلك لا يجدي في قبال دعوى اليهود والنصارى استصحاب الحكم وعدم نسخه ، نعم قد يكون مثمرا في المقام الأوّل وستعرفه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فيها ؛ لعدم العلم بالمكلّف ، فإنّ المعلوم هو ثبوت الأحكام للأشخاص الموجودين في تلك الأزمنة ، وأمّا من تأخّر منهم فلا يقين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في الأحكام الثابتة في ديننا أيضا للوجه المذكور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رام إلى التمسّك بأدلّة الاشتراك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حلاله حلال وحرامه حرام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 فهو إثبات للحكم في زمان الشكّ بدليل اجتهادي لا بالاستصحاب ، والمفروض جريانه على المشهور ، وإثبات الحكم في زمان </w:t>
      </w:r>
      <w:r>
        <w:rPr>
          <w:rStyle w:val="FootnoteAnchor"/>
          <w:rtl w:val="true"/>
        </w:rPr>
        <w:footnoteReference w:id="1214"/>
      </w:r>
      <w:r>
        <w:rPr>
          <w:rFonts w:ascii="Amiri" w:hAnsi="Amiri" w:eastAsia="Amiri" w:cs="Amiri"/>
          <w:color w:val="111111"/>
          <w:sz w:val="28"/>
          <w:sz w:val="28"/>
          <w:szCs w:val="28"/>
          <w:rtl w:val="true"/>
          <w:lang w:bidi="ar-SA"/>
        </w:rPr>
        <w:t>الشكّ بنفس الاستصحاب لا بالعموم ، على أنّه يمكن إثبات الحكم بشخص واحد للزمانين ، ويتمّ في الباقي بعدم القول بالفصل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فساد ما ذكره المحقّق القمي في دفع ما أورد </w:t>
      </w:r>
      <w:r>
        <w:rPr>
          <w:rStyle w:val="FootnoteAnchor"/>
          <w:rtl w:val="true"/>
        </w:rPr>
        <w:footnoteReference w:id="1215"/>
      </w:r>
      <w:r>
        <w:rPr>
          <w:rFonts w:ascii="Amiri" w:hAnsi="Amiri" w:eastAsia="Amiri" w:cs="Amiri"/>
          <w:color w:val="111111"/>
          <w:sz w:val="28"/>
          <w:sz w:val="28"/>
          <w:szCs w:val="28"/>
          <w:rtl w:val="true"/>
          <w:lang w:bidi="ar-SA"/>
        </w:rPr>
        <w:t xml:space="preserve">على نفسه أخيرا من </w:t>
      </w:r>
    </w:p>
    <w:p>
      <w:pPr>
        <w:pStyle w:val="BookText"/>
        <w:rPr/>
      </w:pPr>
      <w:r>
        <w:rPr>
          <w:rFonts w:ascii="Amiri" w:hAnsi="Amiri" w:eastAsia="Amiri" w:cs="Amiri"/>
          <w:color w:val="111111"/>
          <w:sz w:val="28"/>
          <w:sz w:val="28"/>
          <w:szCs w:val="28"/>
          <w:rtl w:val="true"/>
          <w:lang w:bidi="ar-SA"/>
        </w:rPr>
        <w:t xml:space="preserve">أنّه </w:t>
      </w:r>
      <w:r>
        <w:rPr>
          <w:rStyle w:val="FootnoteAnchor"/>
          <w:rtl w:val="true"/>
        </w:rPr>
        <w:footnoteReference w:id="1216"/>
      </w:r>
      <w:r>
        <w:rPr>
          <w:rFonts w:ascii="Amiri" w:hAnsi="Amiri" w:eastAsia="Amiri" w:cs="Amiri"/>
          <w:color w:val="111111"/>
          <w:sz w:val="28"/>
          <w:sz w:val="28"/>
          <w:szCs w:val="28"/>
          <w:rtl w:val="true"/>
          <w:lang w:bidi="ar-SA"/>
        </w:rPr>
        <w:t>بعد البشارة لا وجه لاستصحاب الحكم الفرعي الثابت ؛ لما عرفت من عدم التسليم إلاّ أن يكون إشارة إلى ما ذكرناه في ثالث الأجوبة والوجوه المتقدّمة كما لا يخفى ، ولعدم المنافاة بين ثبوت البشارة واستصحاب الحكم الفرعي ؛ إذ لا يصغى إلى دعوى كون الأحكام الفرعية التي كانت في تلك الشرائع مغيّاة ببعثة نبيّنا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الانتصار لهم في المقام إلاّ أنّ الوجه الثاني من الوجوه المذكورة ينهض بدفعه ؛ إذ لا سبيل لنا إلى العلم بتلك الأحكام الثابتة في تلك الشرائع إلاّ أخبار المعصومين عليهم‌السلام بها ، بل الحقّ الحقيق بالتصديق انتفاء ما يوجب العلم بها واقعا في الأحكام الفرعية إلاّ ذلك ، بخلاف أصول دينهم ؛ إذ كما عرفت فيها يمكن دعوى تواترهم في ذلك ، وتشتّت فرقهم دليل على عدم الإجماع فيهم ، ولهذا تراهم تاركين لشريعتهم أيضا ، وانتسابهم إلى الدهر في هذه الأزمنة وما ضاهاها معلوم كما لا يخفى</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6284_171203"/>
      <w:bookmarkStart w:id="135" w:name="pg16284_171203"/>
      <w:bookmarkEnd w:id="135"/>
    </w:p>
    <w:p>
      <w:pPr>
        <w:pStyle w:val="Heading3"/>
        <w:numPr>
          <w:ilvl w:val="2"/>
          <w:numId w:val="1"/>
        </w:numPr>
        <w:rPr/>
      </w:pPr>
      <w:bookmarkStart w:id="136" w:name="pg16284_171203"/>
      <w:bookmarkStart w:id="137" w:name="__RefHeading___Toc5012108_1280447820"/>
      <w:bookmarkStart w:id="138" w:name="_Toc43"/>
      <w:bookmarkEnd w:id="136"/>
      <w:bookmarkEnd w:id="137"/>
      <w:r>
        <w:rPr>
          <w:rtl w:val="true"/>
        </w:rPr>
        <w:t xml:space="preserve">هداية </w:t>
      </w:r>
      <w:r>
        <w:rPr>
          <w:rtl w:val="true"/>
        </w:rPr>
        <w:t xml:space="preserve">[ </w:t>
      </w:r>
      <w:r>
        <w:rPr>
          <w:rtl w:val="true"/>
        </w:rPr>
        <w:t xml:space="preserve">في استصحاب الأحكام العقلية </w:t>
      </w:r>
      <w:r>
        <w:rPr>
          <w:rtl w:val="true"/>
        </w:rPr>
        <w:t>]</w:t>
      </w:r>
      <w:bookmarkEnd w:id="138"/>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217"/>
      </w:r>
      <w:r>
        <w:rPr>
          <w:rFonts w:ascii="Amiri" w:hAnsi="Amiri" w:eastAsia="Amiri" w:cs="Amiri"/>
          <w:color w:val="111111"/>
          <w:sz w:val="28"/>
          <w:sz w:val="28"/>
          <w:szCs w:val="28"/>
          <w:rtl w:val="true"/>
          <w:lang w:bidi="ar-SA"/>
        </w:rPr>
        <w:t xml:space="preserve">في الهداية الغزالية انقسام الدليل إلى دالّ على الحكم في زمن الشكّ ، وناف له ، وساكت عنه ، ومجمل ، ومردّد بينها </w:t>
      </w:r>
      <w:r>
        <w:rPr>
          <w:rStyle w:val="FootnoteAnchor"/>
          <w:rtl w:val="true"/>
        </w:rPr>
        <w:footnoteReference w:id="1218"/>
      </w:r>
      <w:r>
        <w:rPr>
          <w:rFonts w:ascii="Amiri" w:hAnsi="Amiri" w:eastAsia="Amiri" w:cs="Amiri"/>
          <w:color w:val="111111"/>
          <w:sz w:val="28"/>
          <w:sz w:val="28"/>
          <w:szCs w:val="28"/>
          <w:rtl w:val="true"/>
          <w:lang w:bidi="ar-SA"/>
        </w:rPr>
        <w:t xml:space="preserve">، لو كان لفظا أو إجماعا على بعض الوجوه المقرّرة فيه ، فيجري الاستصحاب على بعض التقادير ولا يجري على بعض آخر كما مرّ الوجه </w:t>
      </w:r>
      <w:r>
        <w:rPr>
          <w:rStyle w:val="FootnoteAnchor"/>
          <w:rtl w:val="true"/>
        </w:rPr>
        <w:footnoteReference w:id="1219"/>
      </w:r>
      <w:r>
        <w:rPr>
          <w:rFonts w:ascii="Amiri" w:hAnsi="Amiri" w:eastAsia="Amiri" w:cs="Amiri"/>
          <w:color w:val="111111"/>
          <w:sz w:val="28"/>
          <w:sz w:val="28"/>
          <w:szCs w:val="28"/>
          <w:rtl w:val="true"/>
          <w:lang w:bidi="ar-SA"/>
        </w:rPr>
        <w:t>فيها ، وإلى الثلاثة الأول لو كان إجماعا على بعض آخر ، وفي حكمه الأدلّة اللبّية الأخر كالشهرة ونحوها ، ولا إشكال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دليل الحكم هو العقل فتحقيق القول في جريان الاستصحاب فيه في مقامين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الشكّ في موضوع حكم العقل ، مثلا لو حكم العقل بقبح سلوك طريق معلوم الضرر وشرب دواء معلوم المهلكية ، ثمّ شكّ في الهلاكة والضرر باعتبار سنوح سانحة ونحوها ، فهل يجري فيه الاستصحاب أو </w:t>
      </w:r>
      <w:r>
        <w:rPr>
          <w:rStyle w:val="FootnoteAnchor"/>
          <w:rtl w:val="true"/>
        </w:rPr>
        <w:footnoteReference w:id="1220"/>
      </w:r>
      <w:r>
        <w:rPr>
          <w:rFonts w:ascii="Amiri" w:hAnsi="Amiri" w:eastAsia="Amiri" w:cs="Amiri"/>
          <w:color w:val="111111"/>
          <w:sz w:val="28"/>
          <w:sz w:val="28"/>
          <w:szCs w:val="28"/>
          <w:rtl w:val="true"/>
          <w:lang w:bidi="ar-SA"/>
        </w:rPr>
        <w:t xml:space="preserve">لا؟ فيه تفصيل ؛ لأنّه إن قلنا بحجّية الاستصحاب من حيث إفادته الظنّ يجري الاستصحاب ، لأنّ استصحاب الموضوع يفيد الظنّ ببقائه ، فالصغرى محرزة بالظنّ الاستصحابي ، فمهلكية الدواء المفروض مظنون ، وتنضمّ إليها كبرى قطعية وهي المدلول عليها بحكم </w:t>
      </w:r>
    </w:p>
    <w:p>
      <w:pPr>
        <w:pStyle w:val="BookText"/>
        <w:rPr/>
      </w:pPr>
      <w:r>
        <w:rPr>
          <w:rFonts w:ascii="Amiri" w:hAnsi="Amiri" w:eastAsia="Amiri" w:cs="Amiri"/>
          <w:color w:val="111111"/>
          <w:sz w:val="28"/>
          <w:sz w:val="28"/>
          <w:szCs w:val="28"/>
          <w:rtl w:val="true"/>
          <w:lang w:bidi="ar-SA"/>
        </w:rPr>
        <w:t>العقل من حرمة ارتكاب شرب دواء مهلك وسلوك سبيل مضرّ ، فينتج حرمة الشرب والسلوك ، ولا غائلة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حكم العقل هو الموضوع المعلوم ، وبعد تبدّله ظنّا لا موضوع فلا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هو الواقع ، والعلم طريق إليه ، وباختلاف الطريق لا يختلف الواقع ، غاية الأمر كون النتيجة ظنّية ، لتبعيتها أخسّ مقدّماتها ، فإنّ العلم بثبوت الأكبر للأصغر في النتيجة تابع للعلم بثبوت الأكبر للوسط ، والظنّ به للظنّ </w:t>
      </w:r>
      <w:r>
        <w:rPr>
          <w:rStyle w:val="FootnoteAnchor"/>
          <w:rtl w:val="true"/>
        </w:rPr>
        <w:footnoteReference w:id="1221"/>
      </w:r>
      <w:r>
        <w:rPr>
          <w:rFonts w:ascii="Amiri" w:hAnsi="Amiri" w:eastAsia="Amiri" w:cs="Amiri"/>
          <w:color w:val="111111"/>
          <w:sz w:val="28"/>
          <w:sz w:val="28"/>
          <w:szCs w:val="28"/>
          <w:rtl w:val="true"/>
          <w:lang w:bidi="ar-SA"/>
        </w:rPr>
        <w:t xml:space="preserve">به ، كالشكّ فيهما ، كما هو ظاهر على من سلك سبيل </w:t>
      </w:r>
      <w:r>
        <w:rPr>
          <w:rStyle w:val="FootnoteAnchor"/>
          <w:rtl w:val="true"/>
        </w:rPr>
        <w:footnoteReference w:id="1222"/>
      </w:r>
      <w:r>
        <w:rPr>
          <w:rFonts w:ascii="Amiri" w:hAnsi="Amiri" w:eastAsia="Amiri" w:cs="Amiri"/>
          <w:color w:val="111111"/>
          <w:sz w:val="28"/>
          <w:sz w:val="28"/>
          <w:szCs w:val="28"/>
          <w:rtl w:val="true"/>
          <w:lang w:bidi="ar-SA"/>
        </w:rPr>
        <w:t xml:space="preserve">النظر ، إلاّ أنّه غير خفيّ على أحد أنّه ليس من الاستصحاب في حكم العقل ؛ إذ لا شكّ فيه عند الشكّ في بقاء موضوعه ، بل إنّما هو من تعلّقه بموضوع مظنون وإن قلنا باعتباره من حيث إفادة الأخبار ذلك ، فلا يجري فيه الاستصحاب ؛ إذ قد عرفت فيما سبق أنّ معنى استصحاب الموضوع هو الأخذ بأحكامه السابقة والحكم بترتيب آثاره المعلومة ، ولا ريب أنّ ذلك إنّما هو بالنسبة إلى الأحكام التي تترتّب </w:t>
      </w:r>
      <w:r>
        <w:rPr>
          <w:rStyle w:val="FootnoteAnchor"/>
          <w:rtl w:val="true"/>
        </w:rPr>
        <w:footnoteReference w:id="1223"/>
      </w:r>
      <w:r>
        <w:rPr>
          <w:rFonts w:ascii="Amiri" w:hAnsi="Amiri" w:eastAsia="Amiri" w:cs="Amiri"/>
          <w:color w:val="111111"/>
          <w:sz w:val="28"/>
          <w:sz w:val="28"/>
          <w:szCs w:val="28"/>
          <w:rtl w:val="true"/>
          <w:lang w:bidi="ar-SA"/>
        </w:rPr>
        <w:t xml:space="preserve">عليه شرعا ، وأمّا الأحكام العقلية والعاديّة فلا يحكم بترتّبها عليه بواسطة أنّها ليست من مجعولاته فلا يترتّب عليه ، فإذا استصحبنا الموضوع المشكوك كالمثال المفروض يحكم </w:t>
      </w:r>
      <w:r>
        <w:rPr>
          <w:rStyle w:val="FootnoteAnchor"/>
          <w:rtl w:val="true"/>
        </w:rPr>
        <w:footnoteReference w:id="1224"/>
      </w:r>
      <w:r>
        <w:rPr>
          <w:rFonts w:ascii="Amiri" w:hAnsi="Amiri" w:eastAsia="Amiri" w:cs="Amiri"/>
          <w:color w:val="111111"/>
          <w:sz w:val="28"/>
          <w:sz w:val="28"/>
          <w:szCs w:val="28"/>
          <w:rtl w:val="true"/>
          <w:lang w:bidi="ar-SA"/>
        </w:rPr>
        <w:t>بآثاره الشرعية ولا يترتّب عليه حكم العقل بحرمة ارتكابه ، نعم لمّا كان الدليل العقلي عندنا دليلا على الحكم الشرعي فيحكم بترتّب الحكم الشرعي المدلول عليه بالحكم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مترتّب على الحكم العقلي ، وحيث لا يترتّب عليه فلا وجه للحكم بترتّب ما يتفرّع عليه كما يظهر الوجه في المقام الثاني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المقامين ، فإنّ منع جريان الاستصحاب في الحكم العقلي إنّما </w:t>
      </w:r>
    </w:p>
    <w:p>
      <w:pPr>
        <w:pStyle w:val="BookText"/>
        <w:rPr/>
      </w:pPr>
      <w:r>
        <w:rPr>
          <w:rFonts w:ascii="Amiri" w:hAnsi="Amiri" w:eastAsia="Amiri" w:cs="Amiri"/>
          <w:color w:val="111111"/>
          <w:sz w:val="28"/>
          <w:sz w:val="28"/>
          <w:szCs w:val="28"/>
          <w:rtl w:val="true"/>
          <w:lang w:bidi="ar-SA"/>
        </w:rPr>
        <w:t xml:space="preserve">هو بواسطة اختلاف موضوع القضيّة المعلومة والواقعة المشكوكة ، وفي المقام بواسطة عدم كونه مجعولا للشارع ، وانتفاء الموضوع يوجب انتفاء الأصل وهو الحكم العقلي ، وعدم ترتّبه على الموضوع لا يوجب انتفاءه ، فيلازم الحكم الشرعي ، فيحكم </w:t>
      </w:r>
      <w:r>
        <w:rPr>
          <w:rStyle w:val="FootnoteAnchor"/>
          <w:rtl w:val="true"/>
        </w:rPr>
        <w:footnoteReference w:id="1225"/>
      </w:r>
      <w:r>
        <w:rPr>
          <w:rFonts w:ascii="Amiri" w:hAnsi="Amiri" w:eastAsia="Amiri" w:cs="Amiri"/>
          <w:color w:val="111111"/>
          <w:sz w:val="28"/>
          <w:sz w:val="28"/>
          <w:szCs w:val="28"/>
          <w:rtl w:val="true"/>
          <w:lang w:bidi="ar-SA"/>
        </w:rPr>
        <w:t>بترتّبه على الموضوع ، بخلاف المقام الآتي ؛ إذ بعد انتفاء الأصل والدليل لا يعقل بقاء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الشكّ في نفس الحكم العقلي كما لو فرضنا وجوب ردّ الوديعة في زمان ، ثمّ شكّ فيه بواسطة حدوث حادثة في موضوع ، فهل يحكم بالوجوب استصحابا للحالة السابقة ، أو لا وجه للقول بالاستصحاب؟ يظهر من بعض الأجلّة </w:t>
      </w:r>
      <w:r>
        <w:rPr>
          <w:rStyle w:val="FootnoteAnchor"/>
          <w:rtl w:val="true"/>
        </w:rPr>
        <w:footnoteReference w:id="1226"/>
      </w:r>
      <w:r>
        <w:rPr>
          <w:rFonts w:ascii="Amiri" w:hAnsi="Amiri" w:eastAsia="Amiri" w:cs="Amiri"/>
          <w:color w:val="111111"/>
          <w:sz w:val="28"/>
          <w:sz w:val="28"/>
          <w:szCs w:val="28"/>
          <w:rtl w:val="true"/>
          <w:lang w:bidi="ar-SA"/>
        </w:rPr>
        <w:t xml:space="preserve">في بعض التقسيمات </w:t>
      </w:r>
      <w:r>
        <w:rPr>
          <w:rStyle w:val="FootnoteAnchor"/>
          <w:rtl w:val="true"/>
        </w:rPr>
        <w:footnoteReference w:id="1227"/>
      </w:r>
      <w:r>
        <w:rPr>
          <w:rFonts w:ascii="Amiri" w:hAnsi="Amiri" w:eastAsia="Amiri" w:cs="Amiri"/>
          <w:color w:val="111111"/>
          <w:sz w:val="28"/>
          <w:sz w:val="28"/>
          <w:szCs w:val="28"/>
          <w:rtl w:val="true"/>
          <w:lang w:bidi="ar-SA"/>
        </w:rPr>
        <w:t>للاستصحاب جريانه ، والتحقيق خلافه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المقال </w:t>
      </w:r>
      <w:r>
        <w:rPr>
          <w:rStyle w:val="FootnoteAnchor"/>
          <w:rtl w:val="true"/>
        </w:rPr>
        <w:footnoteReference w:id="1228"/>
      </w:r>
      <w:r>
        <w:rPr>
          <w:rFonts w:ascii="Amiri" w:hAnsi="Amiri" w:eastAsia="Amiri" w:cs="Amiri"/>
          <w:color w:val="111111"/>
          <w:sz w:val="28"/>
          <w:sz w:val="28"/>
          <w:szCs w:val="28"/>
          <w:rtl w:val="true"/>
          <w:lang w:bidi="ar-SA"/>
        </w:rPr>
        <w:t xml:space="preserve">يحتاج إلى تمهيد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الحكم من الأعراض التي لها تعلّق بالمحكوم به والمحكوم </w:t>
      </w:r>
      <w:r>
        <w:rPr>
          <w:rStyle w:val="FootnoteAnchor"/>
          <w:rtl w:val="true"/>
        </w:rPr>
        <w:footnoteReference w:id="1229"/>
      </w:r>
      <w:r>
        <w:rPr>
          <w:rFonts w:ascii="Amiri" w:hAnsi="Amiri" w:eastAsia="Amiri" w:cs="Amiri"/>
          <w:color w:val="111111"/>
          <w:sz w:val="28"/>
          <w:sz w:val="28"/>
          <w:szCs w:val="28"/>
          <w:rtl w:val="true"/>
          <w:lang w:bidi="ar-SA"/>
        </w:rPr>
        <w:t xml:space="preserve">عليه في القضيّة المفروضة ، ومن المعلوم أيضا اختلاف المحكوم به والمحكوم عليه باختلاف القيود المأخوذة فيهما من زمان ومكان وشرط وآلة و </w:t>
      </w:r>
      <w:r>
        <w:rPr>
          <w:rStyle w:val="FootnoteAnchor"/>
          <w:rtl w:val="true"/>
        </w:rPr>
        <w:footnoteReference w:id="1230"/>
      </w:r>
      <w:r>
        <w:rPr>
          <w:rFonts w:ascii="Amiri" w:hAnsi="Amiri" w:eastAsia="Amiri" w:cs="Amiri"/>
          <w:color w:val="111111"/>
          <w:sz w:val="28"/>
          <w:sz w:val="28"/>
          <w:szCs w:val="28"/>
          <w:rtl w:val="true"/>
          <w:lang w:bidi="ar-SA"/>
        </w:rPr>
        <w:t xml:space="preserve">حالة ووصف ونحوها ، فلا محالة يختلف الحكم عند اختلاف الموضوع والمحمول المختلفين باختلاف تلك القيود والعوارض اللاحقة لهما </w:t>
      </w:r>
      <w:r>
        <w:rPr>
          <w:rStyle w:val="FootnoteAnchor"/>
          <w:rtl w:val="true"/>
        </w:rPr>
        <w:footnoteReference w:id="1231"/>
      </w:r>
      <w:r>
        <w:rPr>
          <w:rFonts w:ascii="Amiri" w:hAnsi="Amiri" w:eastAsia="Amiri" w:cs="Amiri"/>
          <w:color w:val="111111"/>
          <w:sz w:val="28"/>
          <w:sz w:val="28"/>
          <w:szCs w:val="28"/>
          <w:rtl w:val="true"/>
          <w:lang w:bidi="ar-SA"/>
        </w:rPr>
        <w:t xml:space="preserve">، فذلك الأمر الناعتي </w:t>
      </w:r>
      <w:r>
        <w:rPr>
          <w:rStyle w:val="FootnoteAnchor"/>
          <w:rtl w:val="true"/>
        </w:rPr>
        <w:footnoteReference w:id="1232"/>
      </w:r>
      <w:r>
        <w:rPr>
          <w:rFonts w:ascii="Amiri" w:hAnsi="Amiri" w:eastAsia="Amiri" w:cs="Amiri"/>
          <w:color w:val="111111"/>
          <w:sz w:val="28"/>
          <w:sz w:val="28"/>
          <w:szCs w:val="28"/>
          <w:rtl w:val="true"/>
          <w:lang w:bidi="ar-SA"/>
        </w:rPr>
        <w:t xml:space="preserve">والموجود العرضي يتغيّر بتغيّر ما هو قائم به أو متعلّق به ؛ إذ مناط تشخّصه </w:t>
      </w:r>
      <w:r>
        <w:rPr>
          <w:rStyle w:val="FootnoteAnchor"/>
          <w:rtl w:val="true"/>
        </w:rPr>
        <w:footnoteReference w:id="1233"/>
      </w:r>
      <w:r>
        <w:rPr>
          <w:rFonts w:ascii="Amiri" w:hAnsi="Amiri" w:eastAsia="Amiri" w:cs="Amiri"/>
          <w:color w:val="111111"/>
          <w:sz w:val="28"/>
          <w:sz w:val="28"/>
          <w:szCs w:val="28"/>
          <w:rtl w:val="true"/>
          <w:lang w:bidi="ar-SA"/>
        </w:rPr>
        <w:t>ومعيار وجوده هي تلك الأمور التي يختلف باختلافها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أيضا في أنّ العقل ما لم يحرز تمام ما يحتمل اعتباره في موضوع حكمه لا يحكم ؛ إذ لا يخفى على الحاكم مورد حكمه ، متى لم يعلم بمدخلية قيد أو شيء في محلّ فلا يحكم ، بل هو متوقّف في ذلك المحلّ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وإذ قد تقرّر هذا </w:t>
      </w:r>
      <w:r>
        <w:rPr>
          <w:rStyle w:val="FootnoteAnchor"/>
          <w:rtl w:val="true"/>
        </w:rPr>
        <w:footnoteReference w:id="1234"/>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لو حكم بوجوب ردّ الوديعة أو قبح الظلم وحرمته فذلك الحكم العقلي إمّا ضروري غير محتاج إلى وسط في إثبات ذلك الحكم ، أو نظري محتاج فيه إلى وسط ينتهي إلى ضروري ؛ ضرورة امتناع الخلوّ عن القسمين ، والثاني يرجع إلى الأوّل بعد الانتهاء إلى ضروري كما لا يخفى ، والشكّ في الزمان الثاني إمّا أن يكون باعتبار فقد حالة معتبرة في موضوع حكم العقل ، أو ازدياد قيد لم يكن قبل كائنا ما كان ، فمع تلك الحالة إمّا أن يكون العقل حاكما في ذلك الموضوع بالحكم الأوّل ، أو لا يكون حاكما ، فعلى الأوّل فلا وجه للاستصحاب ، وعلى الثاني فإمّا أن يعلم باختلاف الموضوع بواسطة العلم بمدخلية تلك الحالة وجودا و </w:t>
      </w:r>
      <w:r>
        <w:rPr>
          <w:rStyle w:val="FootnoteAnchor"/>
          <w:rtl w:val="true"/>
        </w:rPr>
        <w:footnoteReference w:id="1235"/>
      </w:r>
      <w:r>
        <w:rPr>
          <w:rFonts w:ascii="Amiri" w:hAnsi="Amiri" w:eastAsia="Amiri" w:cs="Amiri"/>
          <w:color w:val="111111"/>
          <w:sz w:val="28"/>
          <w:sz w:val="28"/>
          <w:szCs w:val="28"/>
          <w:rtl w:val="true"/>
          <w:lang w:bidi="ar-SA"/>
        </w:rPr>
        <w:t xml:space="preserve">عدما في حكم العقل أو لا يعلم ، فعلى الأوّل فموضوع الحكم منتف قطعا ولا بدّ في الاستصحاب من بقاء الموضوع ؛ إذ لا نقض ولا تناقض على تقدير الانتفاء ، لما هو معلوم من انتفاء التناقض بين القضيّة الموجبة ومنتفية </w:t>
      </w:r>
      <w:r>
        <w:rPr>
          <w:rStyle w:val="FootnoteAnchor"/>
          <w:rtl w:val="true"/>
        </w:rPr>
        <w:footnoteReference w:id="1236"/>
      </w:r>
      <w:r>
        <w:rPr>
          <w:rFonts w:ascii="Amiri" w:hAnsi="Amiri" w:eastAsia="Amiri" w:cs="Amiri"/>
          <w:color w:val="111111"/>
          <w:sz w:val="28"/>
          <w:sz w:val="28"/>
          <w:szCs w:val="28"/>
          <w:rtl w:val="true"/>
          <w:lang w:bidi="ar-SA"/>
        </w:rPr>
        <w:t>الموضوع بعد وضوح اعتبار التناقض في محلّ الاستصحاب في القضيّة المعلومة والمشكوكة كما هو ظاهر ، وعلى الثاني أيضا لا مجرى للاستصحاب ؛ لعدم العلم بالموضوع ولا بدّ من إحرازه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إنّما هو مسامحة مع الخصم ؛ إذ 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على موضوع معلوم من حيث إنّه القدر المعلوم في الحكم له على وجه لا يعلم اعتبار القيود المعتبرة في الموضوع في ثبوت نفس الحكم أيضا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بقاء الموضوع وعدمه غير معقول ، فدائما إمّا أن يكون الوجود معلوما فالعقل الحاكم في الأوّل موجود في الثاني أيضا فلا حاجة إلى الاستصحاب ، وإمّا أن يكون العدم معلوما فلا وجه للاستصحاب ؛ لارتفاع الموضوع ؛ </w:t>
      </w:r>
    </w:p>
    <w:p>
      <w:pPr>
        <w:pStyle w:val="BookText"/>
        <w:rPr/>
      </w:pPr>
      <w:r>
        <w:rPr>
          <w:rFonts w:ascii="Amiri" w:hAnsi="Amiri" w:eastAsia="Amiri" w:cs="Amiri"/>
          <w:color w:val="111111"/>
          <w:sz w:val="28"/>
          <w:sz w:val="28"/>
          <w:szCs w:val="28"/>
          <w:rtl w:val="true"/>
          <w:lang w:bidi="ar-SA"/>
        </w:rPr>
        <w:t xml:space="preserve">إذ لا يعقل في حكم العقل على شيء عدم علمه </w:t>
      </w:r>
      <w:r>
        <w:rPr>
          <w:rStyle w:val="FootnoteAnchor"/>
          <w:rtl w:val="true"/>
        </w:rPr>
        <w:footnoteReference w:id="1237"/>
      </w:r>
      <w:r>
        <w:rPr>
          <w:rFonts w:ascii="Amiri" w:hAnsi="Amiri" w:eastAsia="Amiri" w:cs="Amiri"/>
          <w:color w:val="111111"/>
          <w:sz w:val="28"/>
          <w:sz w:val="28"/>
          <w:szCs w:val="28"/>
          <w:rtl w:val="true"/>
          <w:lang w:bidi="ar-SA"/>
        </w:rPr>
        <w:t xml:space="preserve">بما هو معتبر فيه ، فالعقل إمّا يحكم بحرمة الظلم ووجوب ردّ الوديعة على وجه عامّ شامل لموضع </w:t>
      </w:r>
      <w:r>
        <w:rPr>
          <w:rStyle w:val="FootnoteAnchor"/>
          <w:rtl w:val="true"/>
        </w:rPr>
        <w:footnoteReference w:id="1238"/>
      </w:r>
      <w:r>
        <w:rPr>
          <w:rFonts w:ascii="Amiri" w:hAnsi="Amiri" w:eastAsia="Amiri" w:cs="Amiri"/>
          <w:color w:val="111111"/>
          <w:sz w:val="28"/>
          <w:sz w:val="28"/>
          <w:szCs w:val="28"/>
          <w:rtl w:val="true"/>
          <w:lang w:bidi="ar-SA"/>
        </w:rPr>
        <w:t xml:space="preserve">الشكّ فلا يجري فيه الاستصحاب ، وإمّا يحكم بذلك في موضوع خاصّ نعلم بعدم تلك الخصوصية في موضع </w:t>
      </w:r>
      <w:r>
        <w:rPr>
          <w:rStyle w:val="FootnoteAnchor"/>
          <w:rtl w:val="true"/>
        </w:rPr>
        <w:footnoteReference w:id="1239"/>
      </w:r>
      <w:r>
        <w:rPr>
          <w:rFonts w:ascii="Amiri" w:hAnsi="Amiri" w:eastAsia="Amiri" w:cs="Amiri"/>
          <w:color w:val="111111"/>
          <w:sz w:val="28"/>
          <w:sz w:val="28"/>
          <w:szCs w:val="28"/>
          <w:rtl w:val="true"/>
          <w:lang w:bidi="ar-SA"/>
        </w:rPr>
        <w:t>الشكّ فلا يجري فيه الاستصحاب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إنّما يتمّ فيما إذا علمنا بمستند حكم العقل في الواقعة المتيقّنة </w:t>
      </w:r>
      <w:r>
        <w:rPr>
          <w:rStyle w:val="FootnoteAnchor"/>
          <w:rtl w:val="true"/>
        </w:rPr>
        <w:footnoteReference w:id="1240"/>
      </w:r>
      <w:r>
        <w:rPr>
          <w:rFonts w:ascii="Amiri" w:hAnsi="Amiri" w:eastAsia="Amiri" w:cs="Amiri"/>
          <w:color w:val="111111"/>
          <w:sz w:val="28"/>
          <w:sz w:val="28"/>
          <w:szCs w:val="28"/>
          <w:rtl w:val="true"/>
          <w:lang w:bidi="ar-SA"/>
        </w:rPr>
        <w:t xml:space="preserve">، وقد يكون حكم العقل بواقعة وقطعه بنسبة </w:t>
      </w:r>
      <w:r>
        <w:rPr>
          <w:rStyle w:val="FootnoteAnchor"/>
          <w:rtl w:val="true"/>
        </w:rPr>
        <w:footnoteReference w:id="1241"/>
      </w:r>
      <w:r>
        <w:rPr>
          <w:rFonts w:ascii="Amiri" w:hAnsi="Amiri" w:eastAsia="Amiri" w:cs="Amiri"/>
          <w:color w:val="111111"/>
          <w:sz w:val="28"/>
          <w:sz w:val="28"/>
          <w:szCs w:val="28"/>
          <w:rtl w:val="true"/>
          <w:lang w:bidi="ar-SA"/>
        </w:rPr>
        <w:t xml:space="preserve">في قضيّة مردّدا بين أن يكون مستندا إلى عدّة أمور مختلفة يحكم به في زمان الشكّ على تقدير ولا يحكم به على آخر ، فيكون العقل في المقام مثل الإجماع ، ومثل ما إذا أدركنا شيئا بالحسّ فإنّ الموجود المحسوس إنّما علمنا به في بعض أزمنة وجوده ؛ إذ ليس يدرك بالحسّ وجوده في الأزمان المتأخّرة والمتقدّمة كما لا يخفى ، فالشكّ </w:t>
      </w:r>
      <w:r>
        <w:rPr>
          <w:rStyle w:val="FootnoteAnchor"/>
          <w:rtl w:val="true"/>
        </w:rPr>
        <w:footnoteReference w:id="1242"/>
      </w:r>
      <w:r>
        <w:rPr>
          <w:rFonts w:ascii="Amiri" w:hAnsi="Amiri" w:eastAsia="Amiri" w:cs="Amiri"/>
          <w:color w:val="111111"/>
          <w:sz w:val="28"/>
          <w:sz w:val="28"/>
          <w:szCs w:val="28"/>
          <w:rtl w:val="true"/>
          <w:lang w:bidi="ar-SA"/>
        </w:rPr>
        <w:t xml:space="preserve">يحصل في موضوع حكم العقل لا أنّه يعلم انتفاء الموضوع عند الشكّ كما في موضوع الإجماع ، وقد تقدّم في بعض الهدايات السابقة </w:t>
      </w:r>
      <w:r>
        <w:rPr>
          <w:rStyle w:val="FootnoteAnchor"/>
          <w:rtl w:val="true"/>
        </w:rPr>
        <w:footnoteReference w:id="1243"/>
      </w:r>
      <w:r>
        <w:rPr>
          <w:rFonts w:ascii="Amiri" w:hAnsi="Amiri" w:eastAsia="Amiri" w:cs="Amiri"/>
          <w:color w:val="111111"/>
          <w:sz w:val="28"/>
          <w:sz w:val="28"/>
          <w:szCs w:val="28"/>
          <w:rtl w:val="true"/>
          <w:lang w:bidi="ar-SA"/>
        </w:rPr>
        <w:t xml:space="preserve">وسيجيء في الخاتمة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يتسامح في الموضوع عرفا ، فعلى تقديره لا ضير في استصحاب حكم العقل كما في سائر الأحكام الشرعية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حصول العلم بواقعة مع قطع النظر عن قاعدة التحسين والتقبيح العقليين كما قد يحصل العلم بوقائع كثيرة في قضايا عديدة ، فالعلم بالحسن والقبح يتفرّع على هذا العلم كما في التوقيفيات والشرعيات نظرا إلى ما قرّر من تبعية الأحكام للصفات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خروج عن المتنازع فيه ؛ إذ لا ريب في أنّ ذلك مثل </w:t>
      </w:r>
    </w:p>
    <w:p>
      <w:pPr>
        <w:pStyle w:val="BookText"/>
        <w:rPr/>
      </w:pPr>
      <w:r>
        <w:rPr>
          <w:rFonts w:ascii="Amiri" w:hAnsi="Amiri" w:eastAsia="Amiri" w:cs="Amiri"/>
          <w:color w:val="111111"/>
          <w:sz w:val="28"/>
          <w:sz w:val="28"/>
          <w:szCs w:val="28"/>
          <w:rtl w:val="true"/>
          <w:lang w:bidi="ar-SA"/>
        </w:rPr>
        <w:t xml:space="preserve">الإجماع قد يجري </w:t>
      </w:r>
      <w:r>
        <w:rPr>
          <w:rStyle w:val="FootnoteAnchor"/>
          <w:rtl w:val="true"/>
        </w:rPr>
        <w:footnoteReference w:id="1246"/>
      </w:r>
      <w:r>
        <w:rPr>
          <w:rFonts w:ascii="Amiri" w:hAnsi="Amiri" w:eastAsia="Amiri" w:cs="Amiri"/>
          <w:color w:val="111111"/>
          <w:sz w:val="28"/>
          <w:sz w:val="28"/>
          <w:szCs w:val="28"/>
          <w:rtl w:val="true"/>
          <w:lang w:bidi="ar-SA"/>
        </w:rPr>
        <w:t>فيه الاستصحاب فيما لو أحرزنا الموضوع حقيقة أو عرفا ، وقد لا يجري فيما إذا لم يكن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حصول العلم وحكم العقل </w:t>
      </w:r>
      <w:r>
        <w:rPr>
          <w:rStyle w:val="FootnoteAnchor"/>
          <w:rtl w:val="true"/>
        </w:rPr>
        <w:footnoteReference w:id="1247"/>
      </w:r>
      <w:r>
        <w:rPr>
          <w:rFonts w:ascii="Amiri" w:hAnsi="Amiri" w:eastAsia="Amiri" w:cs="Amiri"/>
          <w:color w:val="111111"/>
          <w:sz w:val="28"/>
          <w:sz w:val="28"/>
          <w:szCs w:val="28"/>
          <w:rtl w:val="true"/>
          <w:lang w:bidi="ar-SA"/>
        </w:rPr>
        <w:t xml:space="preserve">بوجوب واقعة أو حرمتها من حيث الحسن والقبح كما هو المفروض في المقام ، فالعلم بالوجوب يتفرّع على العلم بالحسن والقبح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جهالة مستند حكم العقل ؛ إذ القضيّة المفروضة لا تخلو إمّا أن تكون </w:t>
      </w:r>
      <w:r>
        <w:rPr>
          <w:rStyle w:val="FootnoteAnchor"/>
          <w:rtl w:val="true"/>
        </w:rPr>
        <w:footnoteReference w:id="1248"/>
      </w:r>
      <w:r>
        <w:rPr>
          <w:rFonts w:ascii="Amiri" w:hAnsi="Amiri" w:eastAsia="Amiri" w:cs="Amiri"/>
          <w:color w:val="111111"/>
          <w:sz w:val="28"/>
          <w:sz w:val="28"/>
          <w:szCs w:val="28"/>
          <w:rtl w:val="true"/>
          <w:lang w:bidi="ar-SA"/>
        </w:rPr>
        <w:t xml:space="preserve">على وجه يكفي في الحكم بثبوت المحمول للموضوع وتحقّق النسبة تصوّر موضوعها كما في القضايا الضرورية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حرام وقبيح ، أو لا يكون على هذا الوجه ، فيحتاج في الحكم بتحقّق النسبة إلى وسط بينهما ليستفاد </w:t>
      </w:r>
      <w:r>
        <w:rPr>
          <w:rStyle w:val="FootnoteAnchor"/>
          <w:rtl w:val="true"/>
        </w:rPr>
        <w:footnoteReference w:id="1249"/>
      </w:r>
      <w:r>
        <w:rPr>
          <w:rFonts w:ascii="Amiri" w:hAnsi="Amiri" w:eastAsia="Amiri" w:cs="Amiri"/>
          <w:color w:val="111111"/>
          <w:sz w:val="28"/>
          <w:sz w:val="28"/>
          <w:szCs w:val="28"/>
          <w:rtl w:val="true"/>
          <w:lang w:bidi="ar-SA"/>
        </w:rPr>
        <w:t xml:space="preserve">منه ذلك العلم كما في القضايا النظرية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اليتيم حرام ، فإنّه يحتاج في العلم بتحقّق تلك النسبة إلى ملاحظة اندراج موضوعها في موضوع كلّي يكفي في الحكم عليه بالحرمة تصوّره كما في قولنا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حرام ، ولا مناص من الانتهاء إلى مثل ذلك دفعا للدور والتسلسل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الشكّ في القضيّة الأولى فلا بدّ من ملاحظة حال الموضوع المحكوم عليه بالحكم العقلي ، فإن كان على وجه لا يختلف بازدياد حالة أو نقصان صفة فلا شكّ في اللاحق ، وإن اختلف بازدياد حالة أو نقصان قيد فعند الشكّ بواسطة أحد الأمرين ارتفع الموضوع قطعا ، ولا سبيل إلى القول بعدم العلم بذلك ، إذ </w:t>
      </w:r>
      <w:r>
        <w:rPr>
          <w:rStyle w:val="FootnoteAnchor"/>
          <w:rtl w:val="true"/>
        </w:rPr>
        <w:footnoteReference w:id="1251"/>
      </w:r>
      <w:r>
        <w:rPr>
          <w:rFonts w:ascii="Amiri" w:hAnsi="Amiri" w:eastAsia="Amiri" w:cs="Amiri"/>
          <w:color w:val="111111"/>
          <w:sz w:val="28"/>
          <w:sz w:val="28"/>
          <w:szCs w:val="28"/>
          <w:rtl w:val="true"/>
          <w:lang w:bidi="ar-SA"/>
        </w:rPr>
        <w:t>المفروض أنّ القضيّة بديهية يحكم بثبوت المحمول فيها بمجرّد تصوّر الموضوع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الشكّ في القضيّة الثانية فلا بدّ من ملاحظة حال ذلك الوسط البديهي ، فإن كان موضوع القضيّة النظرية المشكوكة مع ازدياد قيد أو نقصان حالة مندرجا </w:t>
      </w:r>
    </w:p>
    <w:p>
      <w:pPr>
        <w:pStyle w:val="BookText"/>
        <w:rPr/>
      </w:pPr>
      <w:r>
        <w:rPr>
          <w:rFonts w:ascii="Amiri" w:hAnsi="Amiri" w:eastAsia="Amiri" w:cs="Amiri"/>
          <w:color w:val="111111"/>
          <w:sz w:val="28"/>
          <w:sz w:val="28"/>
          <w:szCs w:val="28"/>
          <w:rtl w:val="true"/>
          <w:lang w:bidi="ar-SA"/>
        </w:rPr>
        <w:t>تحت موضوع الوسط فلا شكّ في اللاحق ، وإلاّ فالموضوع يقيني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فتقرّر أنّ الأحكام العقلية ممّا لا يعقل </w:t>
      </w:r>
      <w:r>
        <w:rPr>
          <w:rStyle w:val="FootnoteAnchor"/>
          <w:rtl w:val="true"/>
        </w:rPr>
        <w:footnoteReference w:id="1252"/>
      </w:r>
      <w:r>
        <w:rPr>
          <w:rFonts w:ascii="Amiri" w:hAnsi="Amiri" w:eastAsia="Amiri" w:cs="Amiri"/>
          <w:color w:val="111111"/>
          <w:sz w:val="28"/>
          <w:sz w:val="28"/>
          <w:szCs w:val="28"/>
          <w:rtl w:val="true"/>
          <w:lang w:bidi="ar-SA"/>
        </w:rPr>
        <w:t xml:space="preserve">فرض الشكّ فيها ، والموضوع فيها دائما إمّا معلوم الوجود فلا شكّ ، وإمّا معلوم العدم فلا استصحاب ، وذلك بخلاف الإجماع كما إذا انعقد على نجاسة 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زوال التغيّر يشكّ في بقاء الموضوع لا أنّه يعلم بعدمه ، فلو قلنا بالتسامح العرفي أو استكشاف الموضوع من ظواهر الأدلّة فنقول بجريانه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يلزم ممّا ذكر عدم جريان الاستصحاب في نفس الأحكام العقلية ، وأمّا الأحكام الشرعية التي يستدلّ عليها بها </w:t>
      </w:r>
      <w:r>
        <w:rPr>
          <w:rStyle w:val="FootnoteAnchor"/>
          <w:rtl w:val="true"/>
        </w:rPr>
        <w:footnoteReference w:id="1253"/>
      </w:r>
      <w:r>
        <w:rPr>
          <w:rFonts w:ascii="Amiri" w:hAnsi="Amiri" w:eastAsia="Amiri" w:cs="Amiri"/>
          <w:color w:val="111111"/>
          <w:sz w:val="28"/>
          <w:sz w:val="28"/>
          <w:szCs w:val="28"/>
          <w:rtl w:val="true"/>
          <w:lang w:bidi="ar-SA"/>
        </w:rPr>
        <w:t>فلا ضير في استصحابها ، فإنّها بهذه الحيثية من الأحكام التوقيفية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وهم باطل ؛ لأنّ كون تلك الأحكام توقيفية بهذه الحيثية لا ينافي القطع بارتفاع موضوعها كما في المقام ، فإنّ الحكم العقلي في محلّه وموضوعه دليل على الحكم الشرعي في ذلك الموضوع وقد ارتفع قطعا ، فلا ثمرة فيها أيضا ، وقد مرّ التنبيه على الفرق بين المقام وفيما إذا كان الشكّ في الموضوع فيما مرّ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الأحكام العقلية المترتّبة على التحسين والتقبيح العقليين ممّا لا يمكن فرض الشكّ في موضوعاتها فكذا الأحكام الشرعية أيضا كذلك ؛ لابتنائها عند العدلية على المصالح الواقعية والمفاسد الحقيقية ، فلا بدّ من عدم جريان الاستصحاب فيها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المقامين ظاهر وإن كانت الأحكام الشرعية مبتنية على الأحكام العقلية ؛ لعدم علمنا بالموضوع فيها ، حيث إنّها بموضوعاتها غائبة عنّا ونحن بمعزل عنها ، بخلاف الأحكام العقلية فإنّها معقولة لنا فيحصل العلم بالموضوع فيها دونها ،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يكن دليل على إحراز الموضوع في الأحكام الشرعية من خطاب لفظي أو تسامح عرفي لا يمكن القول بالاستصحاب فيها أيضا ونحن لا نضايق من ذلك كما لا يخفى</w:t>
      </w:r>
      <w:r>
        <w:rPr>
          <w:rFonts w:eastAsia="Amiri" w:cs="Amiri" w:ascii="Amiri" w:hAnsi="Amiri"/>
          <w:color w:val="111111"/>
          <w:sz w:val="28"/>
          <w:szCs w:val="28"/>
          <w:rtl w:val="true"/>
          <w:lang w:bidi="ar-SA"/>
        </w:rPr>
        <w:t xml:space="preserve">. </w:t>
      </w:r>
      <w:bookmarkStart w:id="139" w:name="pg16284_171211"/>
    </w:p>
    <w:p>
      <w:pPr>
        <w:pStyle w:val="Heading3"/>
        <w:numPr>
          <w:ilvl w:val="2"/>
          <w:numId w:val="1"/>
        </w:numPr>
        <w:rPr/>
      </w:pPr>
      <w:bookmarkStart w:id="140" w:name="__RefHeading___Toc5012110_1280447820"/>
      <w:bookmarkStart w:id="141" w:name="_Toc44"/>
      <w:bookmarkEnd w:id="139"/>
      <w:bookmarkEnd w:id="140"/>
      <w:r>
        <w:rPr>
          <w:rtl w:val="true"/>
        </w:rPr>
        <w:t xml:space="preserve">هداية </w:t>
      </w:r>
      <w:r>
        <w:rPr>
          <w:rtl w:val="true"/>
        </w:rPr>
        <w:t xml:space="preserve">[ </w:t>
      </w:r>
      <w:r>
        <w:rPr>
          <w:rtl w:val="true"/>
        </w:rPr>
        <w:t xml:space="preserve">في التفصيل بين كون المستصحب وجوديا وبين كونه عدميا </w:t>
      </w:r>
      <w:r>
        <w:rPr>
          <w:rtl w:val="true"/>
        </w:rPr>
        <w:t>]</w:t>
      </w:r>
      <w:bookmarkEnd w:id="141"/>
    </w:p>
    <w:p>
      <w:pPr>
        <w:pStyle w:val="BookText"/>
        <w:rPr/>
      </w:pPr>
      <w:r>
        <w:rPr>
          <w:rFonts w:ascii="Amiri" w:hAnsi="Amiri" w:eastAsia="Amiri" w:cs="Amiri"/>
          <w:color w:val="111111"/>
          <w:sz w:val="28"/>
          <w:sz w:val="28"/>
          <w:szCs w:val="28"/>
          <w:rtl w:val="true"/>
          <w:lang w:bidi="ar-SA"/>
        </w:rPr>
        <w:t xml:space="preserve">أكثر الحنفية على حجّية الاستصحاب في النفي ، والنفي في الإثبات ، على ما حكاه العضدي </w:t>
      </w:r>
      <w:r>
        <w:rPr>
          <w:rStyle w:val="FootnoteAnchor"/>
          <w:rtl w:val="true"/>
        </w:rPr>
        <w:footnoteReference w:id="1254"/>
      </w:r>
      <w:r>
        <w:rPr>
          <w:rFonts w:ascii="Amiri" w:hAnsi="Amiri" w:eastAsia="Amiri" w:cs="Amiri"/>
          <w:color w:val="111111"/>
          <w:sz w:val="28"/>
          <w:sz w:val="28"/>
          <w:szCs w:val="28"/>
          <w:rtl w:val="true"/>
          <w:lang w:bidi="ar-SA"/>
        </w:rPr>
        <w:t xml:space="preserve">، وظاهره التفصيل بين كون المستصحب وجوديا فليس بمعتبر </w:t>
      </w:r>
      <w:r>
        <w:rPr>
          <w:rStyle w:val="FootnoteAnchor"/>
          <w:rtl w:val="true"/>
        </w:rPr>
        <w:footnoteReference w:id="1255"/>
      </w:r>
      <w:r>
        <w:rPr>
          <w:rFonts w:ascii="Amiri" w:hAnsi="Amiri" w:eastAsia="Amiri" w:cs="Amiri"/>
          <w:color w:val="111111"/>
          <w:sz w:val="28"/>
          <w:sz w:val="28"/>
          <w:szCs w:val="28"/>
          <w:rtl w:val="true"/>
          <w:lang w:bidi="ar-SA"/>
        </w:rPr>
        <w:t>فيه ، وبين كونه عدميا فهو معتبر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التفتازاني على التفصيل بين الآثار الوجودية التي تترتّب </w:t>
      </w:r>
      <w:r>
        <w:rPr>
          <w:rStyle w:val="FootnoteAnchor"/>
          <w:rtl w:val="true"/>
        </w:rPr>
        <w:footnoteReference w:id="1256"/>
      </w:r>
      <w:r>
        <w:rPr>
          <w:rFonts w:ascii="Amiri" w:hAnsi="Amiri" w:eastAsia="Amiri" w:cs="Amiri"/>
          <w:color w:val="111111"/>
          <w:sz w:val="28"/>
          <w:sz w:val="28"/>
          <w:szCs w:val="28"/>
          <w:rtl w:val="true"/>
          <w:lang w:bidi="ar-SA"/>
        </w:rPr>
        <w:t xml:space="preserve">على المستصحب وجوديا أو عدميا فلا يعتبر ، وبين الآثار العدمية التي تترتّب عليه كذلك فيعتبر ، حتّى أنّ استصحاب حياة المفقود لا يؤثّر في انعزال نصيبه من مال مورّثه ؛ لكونه وجوديا ، ويؤثّر في عدم خروج ماله عن </w:t>
      </w:r>
      <w:r>
        <w:rPr>
          <w:rStyle w:val="FootnoteAnchor"/>
          <w:rtl w:val="true"/>
        </w:rPr>
        <w:footnoteReference w:id="1257"/>
      </w:r>
      <w:r>
        <w:rPr>
          <w:rFonts w:ascii="Amiri" w:hAnsi="Amiri" w:eastAsia="Amiri" w:cs="Amiri"/>
          <w:color w:val="111111"/>
          <w:sz w:val="28"/>
          <w:sz w:val="28"/>
          <w:szCs w:val="28"/>
          <w:rtl w:val="true"/>
          <w:lang w:bidi="ar-SA"/>
        </w:rPr>
        <w:t>ملكه وعدم تعلّق حقّ وارثه بماله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 أنّه تكلّف في ظاهر ما حكاه العضدي ممّا لا وجه له أيضا ؛ إذ قد يمكن التعبير عن الأحكام الوجودية التي جعلها منها على وجه يرجع إلى الأحكام العدمية كما لا يخفى ، ولعلّه دعاه إلى هذا الحمل ما قد يتراءى من كون الاستصحابات العدمية إجماعية خارجة عن محلّ النزاع ، فعدّه تفصيلا في قبال القول بالحجّية مطلقا والنفي يتوقّف على ذلك ؛ إذ على هذا التقدير يكون موافقا للقول بالنفي المطلق ، إلاّ أنّه قد </w:t>
      </w:r>
    </w:p>
    <w:p>
      <w:pPr>
        <w:pStyle w:val="BookText"/>
        <w:rPr/>
      </w:pPr>
      <w:r>
        <w:rPr>
          <w:rFonts w:ascii="IRNazanin" w:hAnsi="IRNazanin" w:eastAsia="IRNazanin"/>
          <w:color w:val="111111"/>
          <w:sz w:val="28"/>
          <w:sz w:val="28"/>
          <w:szCs w:val="28"/>
          <w:rtl w:val="true"/>
          <w:lang w:bidi="fa-IR"/>
        </w:rPr>
        <w:t xml:space="preserve">عرفت </w:t>
      </w:r>
      <w:r>
        <w:rPr>
          <w:rStyle w:val="FootnoteAnchor"/>
          <w:rtl w:val="true"/>
        </w:rPr>
        <w:footnoteReference w:id="1258"/>
      </w:r>
      <w:r>
        <w:rPr>
          <w:rFonts w:ascii="Amiri" w:hAnsi="Amiri" w:eastAsia="Amiri" w:cs="Amiri"/>
          <w:color w:val="111111"/>
          <w:sz w:val="28"/>
          <w:sz w:val="28"/>
          <w:szCs w:val="28"/>
          <w:rtl w:val="true"/>
          <w:lang w:bidi="ar-SA"/>
        </w:rPr>
        <w:t xml:space="preserve">فيما تقدّم في تحرير حريم الخلاف عدم الاعتداد بذلك ، فإنّ أدلّة الطرفين يشهد بدخولها في محلّ الكلام كما يظهر من استدلال النافين بأنّه لو كان حجّة لوجب </w:t>
      </w:r>
      <w:r>
        <w:rPr>
          <w:rStyle w:val="FootnoteAnchor"/>
          <w:rtl w:val="true"/>
        </w:rPr>
        <w:footnoteReference w:id="1259"/>
      </w:r>
      <w:r>
        <w:rPr>
          <w:rFonts w:ascii="Amiri" w:hAnsi="Amiri" w:eastAsia="Amiri" w:cs="Amiri"/>
          <w:color w:val="111111"/>
          <w:sz w:val="28"/>
          <w:sz w:val="28"/>
          <w:szCs w:val="28"/>
          <w:rtl w:val="true"/>
          <w:lang w:bidi="ar-SA"/>
        </w:rPr>
        <w:t xml:space="preserve">تقديم بيّنة النافي على بيّنة المثبت لاعتضادها بالاستصحاب ، ومن استدلال المثبتين بأنّه لو لم يكن حجّة لما صحّ التمسّك ببرهان لفظي لاحتمال ما ينافي الاستدلال من النقل ونحوه </w:t>
      </w:r>
      <w:r>
        <w:rPr>
          <w:rStyle w:val="FootnoteAnchor"/>
          <w:rtl w:val="true"/>
        </w:rPr>
        <w:footnoteReference w:id="1260"/>
      </w:r>
      <w:r>
        <w:rPr>
          <w:rFonts w:ascii="Amiri" w:hAnsi="Amiri" w:eastAsia="Amiri" w:cs="Amiri"/>
          <w:color w:val="111111"/>
          <w:sz w:val="28"/>
          <w:sz w:val="28"/>
          <w:szCs w:val="28"/>
          <w:rtl w:val="true"/>
          <w:lang w:bidi="ar-SA"/>
        </w:rPr>
        <w:t xml:space="preserve">مثلا ، ومطاوي كلمات النافين صريحة فيما ذكر ، ألا ترى أنّ صاحب المدارك </w:t>
      </w:r>
      <w:r>
        <w:rPr>
          <w:rStyle w:val="FootnoteAnchor"/>
          <w:rtl w:val="true"/>
        </w:rPr>
        <w:footnoteReference w:id="1261"/>
      </w:r>
      <w:r>
        <w:rPr>
          <w:rFonts w:ascii="Amiri" w:hAnsi="Amiri" w:eastAsia="Amiri" w:cs="Amiri"/>
          <w:color w:val="111111"/>
          <w:sz w:val="28"/>
          <w:sz w:val="28"/>
          <w:szCs w:val="28"/>
          <w:rtl w:val="true"/>
          <w:lang w:bidi="ar-SA"/>
        </w:rPr>
        <w:t xml:space="preserve">يردّ استصحاب عدم التذكية بعدم اعتبار الاستصحاب مطلقا ، وفي كلمات السبزواري ، بل الخوانساري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وغيرهما النفي الصريح في الكلّ كما هو ظاهر من إطلاق عناوينهم الشاملة للمقامين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استند إليه الأستاد الأكبر </w:t>
      </w:r>
      <w:r>
        <w:rPr>
          <w:rStyle w:val="FootnoteAnchor"/>
          <w:rtl w:val="true"/>
        </w:rPr>
        <w:footnoteReference w:id="1264"/>
      </w:r>
      <w:r>
        <w:rPr>
          <w:rFonts w:ascii="Amiri" w:hAnsi="Amiri" w:eastAsia="Amiri" w:cs="Amiri"/>
          <w:color w:val="111111"/>
          <w:sz w:val="28"/>
          <w:sz w:val="28"/>
          <w:szCs w:val="28"/>
          <w:rtl w:val="true"/>
          <w:lang w:bidi="ar-SA"/>
        </w:rPr>
        <w:t xml:space="preserve">من كونها إجماعية نظرا </w:t>
      </w:r>
      <w:r>
        <w:rPr>
          <w:rStyle w:val="FootnoteAnchor"/>
          <w:rtl w:val="true"/>
        </w:rPr>
        <w:footnoteReference w:id="1265"/>
      </w:r>
      <w:r>
        <w:rPr>
          <w:rFonts w:ascii="Amiri" w:hAnsi="Amiri" w:eastAsia="Amiri" w:cs="Amiri"/>
          <w:color w:val="111111"/>
          <w:sz w:val="28"/>
          <w:sz w:val="28"/>
          <w:szCs w:val="28"/>
          <w:rtl w:val="true"/>
          <w:lang w:bidi="ar-SA"/>
        </w:rPr>
        <w:t>إلى اعتبار أصالة عدم النقل والحقيقة والنسخ عند المنكرين كالسيّد واضرابه ومن تابعهم ، فهو إنّما يتأتّى في الأصول اللفظية لا مطلقها كما لا يخفى ؛ ضرورة عدم انتهاض الخاصّ دليلا على ثبوت العامّ بعمومه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واستند بعضهم إلى </w:t>
      </w:r>
      <w:r>
        <w:rPr>
          <w:rStyle w:val="FootnoteAnchor"/>
          <w:rtl w:val="true"/>
        </w:rPr>
        <w:footnoteReference w:id="1266"/>
      </w:r>
      <w:r>
        <w:rPr>
          <w:rFonts w:ascii="Amiri" w:hAnsi="Amiri" w:eastAsia="Amiri" w:cs="Amiri"/>
          <w:color w:val="111111"/>
          <w:sz w:val="28"/>
          <w:sz w:val="28"/>
          <w:szCs w:val="28"/>
          <w:rtl w:val="true"/>
          <w:lang w:bidi="ar-SA"/>
        </w:rPr>
        <w:t xml:space="preserve">استكشاف الإجماع على اعتبار العدميات على </w:t>
      </w:r>
      <w:r>
        <w:rPr>
          <w:rStyle w:val="FootnoteAnchor"/>
          <w:rtl w:val="true"/>
        </w:rPr>
        <w:footnoteReference w:id="1267"/>
      </w:r>
      <w:r>
        <w:rPr>
          <w:rFonts w:ascii="Amiri" w:hAnsi="Amiri" w:eastAsia="Amiri" w:cs="Amiri"/>
          <w:color w:val="111111"/>
          <w:sz w:val="28"/>
          <w:sz w:val="28"/>
          <w:szCs w:val="28"/>
          <w:rtl w:val="true"/>
          <w:lang w:bidi="ar-SA"/>
        </w:rPr>
        <w:t xml:space="preserve">ما يظهر من تحرير العضدي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عند من يرى صحّته بين أن يكون الثابت به نفيا أصليا أو حكما شرعيا فإنّ نفي الفرق بين النفي الأصلي والحكم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بعدم ثبوت الحكم الشرعي بالاستصحاب قبيل </w:t>
      </w:r>
      <w:r>
        <w:rPr>
          <w:rStyle w:val="FootnoteAnchor"/>
          <w:rtl w:val="true"/>
        </w:rPr>
        <w:footnoteReference w:id="1268"/>
      </w:r>
      <w:r>
        <w:rPr>
          <w:rFonts w:ascii="Amiri" w:hAnsi="Amiri" w:eastAsia="Amiri" w:cs="Amiri"/>
          <w:color w:val="111111"/>
          <w:sz w:val="28"/>
          <w:sz w:val="28"/>
          <w:szCs w:val="28"/>
          <w:rtl w:val="true"/>
          <w:lang w:bidi="ar-SA"/>
        </w:rPr>
        <w:t xml:space="preserve">ذلك عند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خروج العدميات عن النزاع ، وإلاّ لم يكن لنفي الفرق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النفي الأصلي هي البراءة الأصلية فلا دلالة فيه على خروج مطلق العدميات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تحقّق فيما تقدّم في الهدايات السابقة فساد هذا التوهّم </w:t>
      </w:r>
      <w:r>
        <w:rPr>
          <w:rStyle w:val="FootnoteAnchor"/>
          <w:rtl w:val="true"/>
        </w:rPr>
        <w:footnoteReference w:id="1269"/>
      </w:r>
      <w:r>
        <w:rPr>
          <w:rFonts w:ascii="Amiri" w:hAnsi="Amiri" w:eastAsia="Amiri" w:cs="Amiri"/>
          <w:color w:val="111111"/>
          <w:sz w:val="28"/>
          <w:sz w:val="28"/>
          <w:szCs w:val="28"/>
          <w:rtl w:val="true"/>
          <w:lang w:bidi="ar-SA"/>
        </w:rPr>
        <w:t xml:space="preserve">، فالأولى صرف عنان الكلام إلى تحقيق المرام في هذا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استصحاب الوجود والعدم ظاهرا </w:t>
      </w:r>
      <w:r>
        <w:rPr>
          <w:rStyle w:val="FootnoteAnchor"/>
          <w:rtl w:val="true"/>
        </w:rPr>
        <w:footnoteReference w:id="1270"/>
      </w:r>
      <w:r>
        <w:rPr>
          <w:rFonts w:ascii="Amiri" w:hAnsi="Amiri" w:eastAsia="Amiri" w:cs="Amiri"/>
          <w:color w:val="111111"/>
          <w:sz w:val="28"/>
          <w:sz w:val="28"/>
          <w:szCs w:val="28"/>
          <w:rtl w:val="true"/>
          <w:lang w:bidi="ar-SA"/>
        </w:rPr>
        <w:t xml:space="preserve">فيما هو المناط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عقلا أو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صرف ؛ لأنّ المدار لو كان على حصول الظنّ بالبقاء بعد العلم بالحالة السابقة ، فإن قلنا بأنّ </w:t>
      </w:r>
      <w:r>
        <w:rPr>
          <w:rStyle w:val="FootnoteAnchor"/>
          <w:rtl w:val="true"/>
        </w:rPr>
        <w:footnoteReference w:id="1271"/>
      </w:r>
      <w:r>
        <w:rPr>
          <w:rFonts w:ascii="Amiri" w:hAnsi="Amiri" w:eastAsia="Amiri" w:cs="Amiri"/>
          <w:color w:val="111111"/>
          <w:sz w:val="28"/>
          <w:sz w:val="28"/>
          <w:szCs w:val="28"/>
          <w:rtl w:val="true"/>
          <w:lang w:bidi="ar-SA"/>
        </w:rPr>
        <w:t xml:space="preserve">مجرّد ثبوت الشيء في السابق مع عدم العلم بارتفاعه يورث ظنّا بالبقاء من غير ملاحظة شيء آخر كالغلبة ونحوها ، فبعد تقدير التسليم ممّا لا يفترق </w:t>
      </w:r>
      <w:r>
        <w:rPr>
          <w:rStyle w:val="FootnoteAnchor"/>
          <w:rtl w:val="true"/>
        </w:rPr>
        <w:footnoteReference w:id="1272"/>
      </w:r>
      <w:r>
        <w:rPr>
          <w:rFonts w:ascii="Amiri" w:hAnsi="Amiri" w:eastAsia="Amiri" w:cs="Amiri"/>
          <w:color w:val="111111"/>
          <w:sz w:val="28"/>
          <w:sz w:val="28"/>
          <w:szCs w:val="28"/>
          <w:rtl w:val="true"/>
          <w:lang w:bidi="ar-SA"/>
        </w:rPr>
        <w:t>فيه الوجود والعدم ؛ لحصول المناط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بداهة الفرق بينهما كما يظهر من البعض ضرورية الفساد بعد ملاحظة الوجدان ، وعلى فرض انضمام شيء آخر بذلك فلا فرق أيضا ، ولو كان المدار على الأخبار فعدم الفرق بينهما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ولا بدّ أن يفصّل في المقام فأوجه التفاصيل التفصيل بين العدميات مطلقا والوجودي الذي كان الشكّ في بقائه من جهة الشكّ في الرافع ، وبين الوجودي الذي لم يكن الشكّ في رافعه ، سواء كان الشكّ من حيث المقتضي أو من حيث المانع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وتحقيقه يتوقّف على تمهيد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بناء العقلاء كافّة على الحكم بوجود المقتضي والمعلول بعد إحراز المقتضي ، وإن كان المانع وجوده </w:t>
      </w:r>
      <w:r>
        <w:rPr>
          <w:rStyle w:val="FootnoteAnchor"/>
          <w:rtl w:val="true"/>
        </w:rPr>
        <w:footnoteReference w:id="1273"/>
      </w:r>
      <w:r>
        <w:rPr>
          <w:rFonts w:ascii="Amiri" w:hAnsi="Amiri" w:eastAsia="Amiri" w:cs="Amiri"/>
          <w:color w:val="111111"/>
          <w:sz w:val="28"/>
          <w:sz w:val="28"/>
          <w:szCs w:val="28"/>
          <w:rtl w:val="true"/>
          <w:lang w:bidi="ar-SA"/>
        </w:rPr>
        <w:t xml:space="preserve">مشكوكا أو الرافع وقوعه محتملا كما إذا فرضنا وجود مقتضي الإحراق في محلّه وشككنا في وجود مانع من وجود الإحراق ، فالعقلاء قاطبة بناؤهم مستقرّ على ترتيب </w:t>
      </w:r>
      <w:r>
        <w:rPr>
          <w:rStyle w:val="FootnoteAnchor"/>
          <w:rtl w:val="true"/>
        </w:rPr>
        <w:footnoteReference w:id="1274"/>
      </w:r>
      <w:r>
        <w:rPr>
          <w:rFonts w:ascii="Amiri" w:hAnsi="Amiri" w:eastAsia="Amiri" w:cs="Amiri"/>
          <w:color w:val="111111"/>
          <w:sz w:val="28"/>
          <w:sz w:val="28"/>
          <w:szCs w:val="28"/>
          <w:rtl w:val="true"/>
          <w:lang w:bidi="ar-SA"/>
        </w:rPr>
        <w:t xml:space="preserve">آثار الإحراق ، وكأنّ </w:t>
      </w:r>
    </w:p>
    <w:p>
      <w:pPr>
        <w:pStyle w:val="BookText"/>
        <w:rPr/>
      </w:pPr>
      <w:r>
        <w:rPr>
          <w:rFonts w:ascii="Amiri" w:hAnsi="Amiri" w:eastAsia="Amiri" w:cs="Amiri"/>
          <w:color w:val="111111"/>
          <w:sz w:val="28"/>
          <w:sz w:val="28"/>
          <w:szCs w:val="28"/>
          <w:rtl w:val="true"/>
          <w:lang w:bidi="ar-SA"/>
        </w:rPr>
        <w:t xml:space="preserve">الوجه في ذلك أنّ بعد فرض وجود المقتضي يشكّ في أنّ علّة عدم المعلول موجودة فيمتنع </w:t>
      </w:r>
      <w:r>
        <w:rPr>
          <w:rStyle w:val="FootnoteAnchor"/>
          <w:rtl w:val="true"/>
        </w:rPr>
        <w:footnoteReference w:id="1275"/>
      </w:r>
      <w:r>
        <w:rPr>
          <w:rFonts w:ascii="Amiri" w:hAnsi="Amiri" w:eastAsia="Amiri" w:cs="Amiri"/>
          <w:color w:val="111111"/>
          <w:sz w:val="28"/>
          <w:sz w:val="28"/>
          <w:szCs w:val="28"/>
          <w:rtl w:val="true"/>
          <w:lang w:bidi="ar-SA"/>
        </w:rPr>
        <w:t xml:space="preserve">المعلول بواسطة ذلك ، فالشكّ إنّما هو في امتناع المعلول من حيث وجود معارض علّة وجوده </w:t>
      </w:r>
      <w:r>
        <w:rPr>
          <w:rStyle w:val="FootnoteAnchor"/>
          <w:rtl w:val="true"/>
        </w:rPr>
        <w:footnoteReference w:id="1276"/>
      </w:r>
      <w:r>
        <w:rPr>
          <w:rFonts w:ascii="Amiri" w:hAnsi="Amiri" w:eastAsia="Amiri" w:cs="Amiri"/>
          <w:color w:val="111111"/>
          <w:sz w:val="28"/>
          <w:sz w:val="28"/>
          <w:szCs w:val="28"/>
          <w:rtl w:val="true"/>
          <w:lang w:bidi="ar-SA"/>
        </w:rPr>
        <w:t xml:space="preserve">؛ إذ عدم المانع لكونه أمرا عدميا لا يعقل تأثيره في وجود المعلول إلاّ من حيث ارتفاع وجود علّة النقيض ، فبذلك يصير المحلّ قابلا ، فيظهر أثر المقتضي ، ولا مدخلية لعدم المانع في اقتضاء المقتضي ، ولهذا ترى المقتضي باقيا على صفة الاقتضاء فعلا مع العلم بوجود المانع ، وكلّما كان الشكّ في إمكان شيء وامتناعه فتراهم يعاملون معه معاملة الإمكان ظاهرا </w:t>
      </w:r>
      <w:r>
        <w:rPr>
          <w:rStyle w:val="FootnoteAnchor"/>
          <w:rtl w:val="true"/>
        </w:rPr>
        <w:footnoteReference w:id="1277"/>
      </w:r>
      <w:r>
        <w:rPr>
          <w:rFonts w:ascii="Amiri" w:hAnsi="Amiri" w:eastAsia="Amiri" w:cs="Amiri"/>
          <w:color w:val="111111"/>
          <w:sz w:val="28"/>
          <w:sz w:val="28"/>
          <w:szCs w:val="28"/>
          <w:rtl w:val="true"/>
          <w:lang w:bidi="ar-SA"/>
        </w:rPr>
        <w:t xml:space="preserve">كما مرّ </w:t>
      </w:r>
      <w:r>
        <w:rPr>
          <w:rStyle w:val="FootnoteAnchor"/>
          <w:rtl w:val="true"/>
        </w:rPr>
        <w:footnoteReference w:id="1278"/>
      </w:r>
      <w:r>
        <w:rPr>
          <w:rFonts w:ascii="Amiri" w:hAnsi="Amiri" w:eastAsia="Amiri" w:cs="Amiri"/>
          <w:color w:val="111111"/>
          <w:sz w:val="28"/>
          <w:sz w:val="28"/>
          <w:szCs w:val="28"/>
          <w:rtl w:val="true"/>
          <w:lang w:bidi="ar-SA"/>
        </w:rPr>
        <w:t>الإشارة إليه في العبارة المنقولة عن الشيخ الرئيس ، وبعد تقدير إمكانه فيؤثّر فيه المقتضي ؛ إذ المفروض أنّه تامّ الاقتضاء ، فيقال بوجود المعلول ويترتّب عليه 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 قد تقرّر هذا </w:t>
      </w:r>
      <w:r>
        <w:rPr>
          <w:rStyle w:val="FootnoteAnchor"/>
          <w:rtl w:val="true"/>
        </w:rPr>
        <w:footnoteReference w:id="1279"/>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العدمية بأسرها ، والاستصحاب الوجودي فيما إذا كان الشكّ في الرافع ، من هذا القبيل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الأحكام العدمية تارة يطلب منها ترتيب حكم عدمي ، وأخرى ترتيب حكم وجودي ، لا كلام على الأوّل ؛ إذ تلك الآثار العدمية التي تلحق الأحكام العدمية إنّما هي في عرضها وإن كانت مترتّبة عليها في الاعتبار ، فهي أيضا محالّ للاستصحاب كنفس </w:t>
      </w:r>
      <w:r>
        <w:rPr>
          <w:rStyle w:val="FootnoteAnchor"/>
          <w:rtl w:val="true"/>
        </w:rPr>
        <w:footnoteReference w:id="1280"/>
      </w:r>
      <w:r>
        <w:rPr>
          <w:rFonts w:ascii="Amiri" w:hAnsi="Amiri" w:eastAsia="Amiri" w:cs="Amiri"/>
          <w:color w:val="111111"/>
          <w:sz w:val="28"/>
          <w:sz w:val="28"/>
          <w:szCs w:val="28"/>
          <w:rtl w:val="true"/>
          <w:lang w:bidi="ar-SA"/>
        </w:rPr>
        <w:t>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نتعقّله </w:t>
      </w:r>
      <w:r>
        <w:rPr>
          <w:rStyle w:val="FootnoteAnchor"/>
          <w:rtl w:val="true"/>
        </w:rPr>
        <w:footnoteReference w:id="1281"/>
      </w:r>
      <w:r>
        <w:rPr>
          <w:rFonts w:ascii="Amiri" w:hAnsi="Amiri" w:eastAsia="Amiri" w:cs="Amiri"/>
          <w:color w:val="111111"/>
          <w:sz w:val="28"/>
          <w:sz w:val="28"/>
          <w:szCs w:val="28"/>
          <w:rtl w:val="true"/>
          <w:lang w:bidi="ar-SA"/>
        </w:rPr>
        <w:t xml:space="preserve">من الأمثلة في العدميات كأصالة عدم النقل والقرينة والحذف والنسيان والسهو من الأصول المعمولة في مواردها ممّا يراد منها ثبوت حكم أو ظهور دلالة ونحوها من الأحكام الوجودية التي تترتّب </w:t>
      </w:r>
      <w:r>
        <w:rPr>
          <w:rStyle w:val="FootnoteAnchor"/>
          <w:rtl w:val="true"/>
        </w:rPr>
        <w:footnoteReference w:id="1282"/>
      </w:r>
      <w:r>
        <w:rPr>
          <w:rFonts w:ascii="Amiri" w:hAnsi="Amiri" w:eastAsia="Amiri" w:cs="Amiri"/>
          <w:color w:val="111111"/>
          <w:sz w:val="28"/>
          <w:sz w:val="28"/>
          <w:szCs w:val="28"/>
          <w:rtl w:val="true"/>
          <w:lang w:bidi="ar-SA"/>
        </w:rPr>
        <w:t xml:space="preserve">على تلك الأمور العدمية ، من هذا القبيل ، فإنّ حدوث النقل مانع </w:t>
      </w:r>
      <w:r>
        <w:rPr>
          <w:rStyle w:val="FootnoteAnchor"/>
          <w:rtl w:val="true"/>
        </w:rPr>
        <w:footnoteReference w:id="1283"/>
      </w:r>
      <w:r>
        <w:rPr>
          <w:rFonts w:ascii="IRNazanin" w:hAnsi="IRNazanin" w:eastAsia="IRNazanin"/>
          <w:color w:val="111111"/>
          <w:sz w:val="28"/>
          <w:sz w:val="28"/>
          <w:szCs w:val="28"/>
          <w:rtl w:val="true"/>
          <w:lang w:bidi="fa-IR"/>
        </w:rPr>
        <w:t xml:space="preserve">عن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حمل اللفظ على المعنى المنقول منه ، وكذا قرينة المجاز ووجود الحذف والنسيان أيضا مانع عن ظهور الدلالة كما لا يخفى مع وجود المقتضي لذلك </w:t>
      </w:r>
      <w:r>
        <w:rPr>
          <w:rStyle w:val="FootnoteAnchor"/>
          <w:rtl w:val="true"/>
        </w:rPr>
        <w:footnoteReference w:id="1285"/>
      </w:r>
      <w:r>
        <w:rPr>
          <w:rFonts w:ascii="Amiri" w:hAnsi="Amiri" w:eastAsia="Amiri" w:cs="Amiri"/>
          <w:color w:val="111111"/>
          <w:sz w:val="28"/>
          <w:sz w:val="28"/>
          <w:szCs w:val="28"/>
          <w:rtl w:val="true"/>
          <w:lang w:bidi="ar-SA"/>
        </w:rPr>
        <w:t xml:space="preserve">وهو الوضع ، فمدخلية العدم في تلك الأمور المطلوبة من الأصول العدمية </w:t>
      </w:r>
      <w:r>
        <w:rPr>
          <w:rStyle w:val="FootnoteAnchor"/>
          <w:rtl w:val="true"/>
        </w:rPr>
        <w:footnoteReference w:id="1286"/>
      </w:r>
      <w:r>
        <w:rPr>
          <w:rFonts w:ascii="Amiri" w:hAnsi="Amiri" w:eastAsia="Amiri" w:cs="Amiri"/>
          <w:color w:val="111111"/>
          <w:sz w:val="28"/>
          <w:sz w:val="28"/>
          <w:szCs w:val="28"/>
          <w:rtl w:val="true"/>
          <w:lang w:bidi="ar-SA"/>
        </w:rPr>
        <w:t xml:space="preserve">إنّما يكون من حيث إنّ وجوده مانع عن ترتّبها على مقتضياتها </w:t>
      </w:r>
      <w:r>
        <w:rPr>
          <w:rStyle w:val="FootnoteAnchor"/>
          <w:rtl w:val="true"/>
        </w:rPr>
        <w:footnoteReference w:id="1287"/>
      </w:r>
      <w:r>
        <w:rPr>
          <w:rFonts w:ascii="Amiri" w:hAnsi="Amiri" w:eastAsia="Amiri" w:cs="Amiri"/>
          <w:color w:val="111111"/>
          <w:sz w:val="28"/>
          <w:sz w:val="28"/>
          <w:szCs w:val="28"/>
          <w:rtl w:val="true"/>
          <w:lang w:bidi="ar-SA"/>
        </w:rPr>
        <w:t xml:space="preserve">، لكونه علّة تامّة لنقيض </w:t>
      </w:r>
      <w:r>
        <w:rPr>
          <w:rStyle w:val="FootnoteAnchor"/>
          <w:rtl w:val="true"/>
        </w:rPr>
        <w:footnoteReference w:id="1288"/>
      </w:r>
      <w:r>
        <w:rPr>
          <w:rFonts w:ascii="Amiri" w:hAnsi="Amiri" w:eastAsia="Amiri" w:cs="Amiri"/>
          <w:color w:val="111111"/>
          <w:sz w:val="28"/>
          <w:sz w:val="28"/>
          <w:szCs w:val="28"/>
          <w:rtl w:val="true"/>
          <w:lang w:bidi="ar-SA"/>
        </w:rPr>
        <w:t>الحكم كما عرفت ، ومثله الكلام في أصالة عدم الرافع إلاّ أنّه يعتبر مانعيته بالنسبة إلى البقاء لا الحدوث كما هو كذلك في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أن يكون ذلك العدم علّة تامّة لترتّب ذلك الأمر الوجودي ، وحيث إنّها في الأمور الشرعية ليست بعلّة </w:t>
      </w:r>
      <w:r>
        <w:rPr>
          <w:rStyle w:val="FootnoteAnchor"/>
          <w:rtl w:val="true"/>
        </w:rPr>
        <w:footnoteReference w:id="1289"/>
      </w:r>
      <w:r>
        <w:rPr>
          <w:rFonts w:ascii="Amiri" w:hAnsi="Amiri" w:eastAsia="Amiri" w:cs="Amiri"/>
          <w:color w:val="111111"/>
          <w:sz w:val="28"/>
          <w:sz w:val="28"/>
          <w:szCs w:val="28"/>
          <w:rtl w:val="true"/>
          <w:lang w:bidi="ar-SA"/>
        </w:rPr>
        <w:t xml:space="preserve">حقيقة </w:t>
      </w:r>
      <w:r>
        <w:rPr>
          <w:rStyle w:val="FootnoteAnchor"/>
          <w:rtl w:val="true"/>
        </w:rPr>
        <w:footnoteReference w:id="1290"/>
      </w:r>
      <w:r>
        <w:rPr>
          <w:rFonts w:ascii="Amiri" w:hAnsi="Amiri" w:eastAsia="Amiri" w:cs="Amiri"/>
          <w:color w:val="111111"/>
          <w:sz w:val="28"/>
          <w:sz w:val="28"/>
          <w:szCs w:val="28"/>
          <w:rtl w:val="true"/>
          <w:lang w:bidi="ar-SA"/>
        </w:rPr>
        <w:t>فإنّها كاشفة عنها واقعا ، فلا مانع من أن يكون العدم مؤثّرا في الوجود ، بل هو واقع ، كما في أصالة عدم التذكية فإنّ النجاسة مترتّبة على نفس العدم ولا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الروح وإزهاقه مقتض للنجاسة ، والتذكية مانعة </w:t>
      </w:r>
      <w:r>
        <w:rPr>
          <w:rStyle w:val="FootnoteAnchor"/>
          <w:rtl w:val="true"/>
        </w:rPr>
        <w:footnoteReference w:id="1291"/>
      </w:r>
      <w:r>
        <w:rPr>
          <w:rFonts w:ascii="Amiri" w:hAnsi="Amiri" w:eastAsia="Amiri" w:cs="Amiri"/>
          <w:color w:val="111111"/>
          <w:sz w:val="28"/>
          <w:sz w:val="28"/>
          <w:szCs w:val="28"/>
          <w:rtl w:val="true"/>
          <w:lang w:bidi="ar-SA"/>
        </w:rPr>
        <w:t xml:space="preserve">منها ، فبأصالة </w:t>
      </w:r>
      <w:r>
        <w:rPr>
          <w:rStyle w:val="FootnoteAnchor"/>
          <w:rtl w:val="true"/>
        </w:rPr>
        <w:footnoteReference w:id="1292"/>
      </w:r>
      <w:r>
        <w:rPr>
          <w:rFonts w:ascii="Amiri" w:hAnsi="Amiri" w:eastAsia="Amiri" w:cs="Amiri"/>
          <w:color w:val="111111"/>
          <w:sz w:val="28"/>
          <w:sz w:val="28"/>
          <w:szCs w:val="28"/>
          <w:rtl w:val="true"/>
          <w:lang w:bidi="ar-SA"/>
        </w:rPr>
        <w:t>عدم التذكية يحرز المعلول ، فلا مخالفة فيه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لا بدّ وأن يكون متقدّما على غيره ، والمقام مقارن فلا يجوز أن يكون مقتضيا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التحقيق أنّ المثال المذكور أيضا من هذا القبيل ، فإنّ الإزهاق يقتضي </w:t>
      </w:r>
      <w:r>
        <w:rPr>
          <w:rStyle w:val="FootnoteAnchor"/>
          <w:rtl w:val="true"/>
        </w:rPr>
        <w:footnoteReference w:id="1293"/>
      </w:r>
      <w:r>
        <w:rPr>
          <w:rFonts w:ascii="Amiri" w:hAnsi="Amiri" w:eastAsia="Amiri" w:cs="Amiri"/>
          <w:color w:val="111111"/>
          <w:sz w:val="28"/>
          <w:sz w:val="28"/>
          <w:szCs w:val="28"/>
          <w:rtl w:val="true"/>
          <w:lang w:bidi="ar-SA"/>
        </w:rPr>
        <w:t xml:space="preserve">النجاسة </w:t>
      </w:r>
      <w:r>
        <w:rPr>
          <w:rStyle w:val="FootnoteAnchor"/>
          <w:rtl w:val="true"/>
        </w:rPr>
        <w:footnoteReference w:id="1294"/>
      </w:r>
      <w:r>
        <w:rPr>
          <w:rFonts w:ascii="Amiri" w:hAnsi="Amiri" w:eastAsia="Amiri" w:cs="Amiri"/>
          <w:color w:val="111111"/>
          <w:sz w:val="28"/>
          <w:sz w:val="28"/>
          <w:szCs w:val="28"/>
          <w:rtl w:val="true"/>
          <w:lang w:bidi="ar-SA"/>
        </w:rPr>
        <w:t>، والمقتضي مقدّم على عدم المانع طبعا ، فلا غائلة في مقارنته له زمانا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الاستصحابات العدمية التي نتداولها إنّما هي ممّا يكون المقتضي للآثار </w:t>
      </w:r>
    </w:p>
    <w:p>
      <w:pPr>
        <w:pStyle w:val="BookText"/>
        <w:rPr/>
      </w:pPr>
      <w:r>
        <w:rPr>
          <w:rFonts w:ascii="Amiri" w:hAnsi="Amiri" w:eastAsia="Amiri" w:cs="Amiri"/>
          <w:color w:val="111111"/>
          <w:sz w:val="28"/>
          <w:sz w:val="28"/>
          <w:szCs w:val="28"/>
          <w:rtl w:val="true"/>
          <w:lang w:bidi="ar-SA"/>
        </w:rPr>
        <w:t xml:space="preserve">المطلوبة في تلك الاستصحابات موجودا ، والشكّ إنّما هو في وجود المانع لحدوثها أو لبقائها ، نعم لو فرض من الأصول العدمية ما لم يكن المقتضي للآثار المترتّبة عليها موجودا فأصالة عدم المانع لا يكفي في الحكم بترتّب </w:t>
      </w:r>
      <w:r>
        <w:rPr>
          <w:rStyle w:val="FootnoteAnchor"/>
          <w:rtl w:val="true"/>
        </w:rPr>
        <w:footnoteReference w:id="1295"/>
      </w:r>
      <w:r>
        <w:rPr>
          <w:rFonts w:ascii="Amiri" w:hAnsi="Amiri" w:eastAsia="Amiri" w:cs="Amiri"/>
          <w:color w:val="111111"/>
          <w:sz w:val="28"/>
          <w:sz w:val="28"/>
          <w:szCs w:val="28"/>
          <w:rtl w:val="true"/>
          <w:lang w:bidi="ar-SA"/>
        </w:rPr>
        <w:t>تلك الآثار وهو ظاهر إلاّ أنّ الأمثلة الموجودة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كان المستصحب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المستصحب وجوديا فلا ينطبق على القاعدة المزبورة إلاّ فيما كان الشكّ في الرافع فقط ؛ إذ المانع من الحدوث لو كان مشكوكا فلا يعلم </w:t>
      </w:r>
      <w:r>
        <w:rPr>
          <w:rStyle w:val="FootnoteAnchor"/>
          <w:rtl w:val="true"/>
        </w:rPr>
        <w:footnoteReference w:id="1296"/>
      </w:r>
      <w:r>
        <w:rPr>
          <w:rFonts w:ascii="Amiri" w:hAnsi="Amiri" w:eastAsia="Amiri" w:cs="Amiri"/>
          <w:color w:val="111111"/>
          <w:sz w:val="28"/>
          <w:sz w:val="28"/>
          <w:szCs w:val="28"/>
          <w:rtl w:val="true"/>
          <w:lang w:bidi="ar-SA"/>
        </w:rPr>
        <w:t>بوجود المعلول فلا يقين في السابق ، فلا يجري الاستصحاب الوجودي فيما إذا كان الشكّ في المانع ، وأمّا الشكّ من حيث المقتضي بعد العلم بتماميته في السابق وإن كان يعقل فيه الاستصحاب الوجودي إلاّ أنّه ليس داخلا فيما مهّدناه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ندّعي استقرار بناء العقلاء على ذلك الحكم بوجود المعلول بعد إحراز المقتضي ولو كان المانع وجوده مشكوكا ، وهذه القاعدة وإن لم يكن </w:t>
      </w:r>
      <w:r>
        <w:rPr>
          <w:rStyle w:val="FootnoteAnchor"/>
          <w:rtl w:val="true"/>
        </w:rPr>
        <w:footnoteReference w:id="1297"/>
      </w:r>
      <w:r>
        <w:rPr>
          <w:rFonts w:ascii="Amiri" w:hAnsi="Amiri" w:eastAsia="Amiri" w:cs="Amiri"/>
          <w:color w:val="111111"/>
          <w:sz w:val="28"/>
          <w:sz w:val="28"/>
          <w:szCs w:val="28"/>
          <w:rtl w:val="true"/>
          <w:lang w:bidi="ar-SA"/>
        </w:rPr>
        <w:t xml:space="preserve">من الاستصحاب في شيء إلاّ أنّه ينطبق </w:t>
      </w:r>
      <w:r>
        <w:rPr>
          <w:rStyle w:val="FootnoteAnchor"/>
          <w:rtl w:val="true"/>
        </w:rPr>
        <w:footnoteReference w:id="1298"/>
      </w:r>
      <w:r>
        <w:rPr>
          <w:rFonts w:ascii="Amiri" w:hAnsi="Amiri" w:eastAsia="Amiri" w:cs="Amiri"/>
          <w:color w:val="111111"/>
          <w:sz w:val="28"/>
          <w:sz w:val="28"/>
          <w:szCs w:val="28"/>
          <w:rtl w:val="true"/>
          <w:lang w:bidi="ar-SA"/>
        </w:rPr>
        <w:t xml:space="preserve">على موارده المفروضة ، وإليه ينظر عبارة المحقّق كما مرّ نقله فيما سبق </w:t>
      </w:r>
      <w:r>
        <w:rPr>
          <w:rStyle w:val="FootnoteAnchor"/>
          <w:rtl w:val="true"/>
        </w:rPr>
        <w:footnoteReference w:id="1299"/>
      </w:r>
      <w:r>
        <w:rPr>
          <w:rFonts w:ascii="Amiri" w:hAnsi="Amiri" w:eastAsia="Amiri" w:cs="Amiri"/>
          <w:color w:val="111111"/>
          <w:sz w:val="28"/>
          <w:sz w:val="28"/>
          <w:szCs w:val="28"/>
          <w:rtl w:val="true"/>
          <w:lang w:bidi="ar-SA"/>
        </w:rPr>
        <w:t xml:space="preserve">، ولو لا أنّ من المعلوم خلافه في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حيث إنّ المستفاد من كلام جملة عدم الاعتداد بالاستصحاب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دعوى الإجماع عليه أيضا بعيدا ؛ حيث إنّ العمل عليه ، ولا ينافيه إنكارهم تفصيلا بعد الإذعان </w:t>
      </w:r>
      <w:r>
        <w:rPr>
          <w:rStyle w:val="FootnoteAnchor"/>
          <w:rtl w:val="true"/>
        </w:rPr>
        <w:footnoteReference w:id="1300"/>
      </w:r>
      <w:r>
        <w:rPr>
          <w:rFonts w:ascii="Amiri" w:hAnsi="Amiri" w:eastAsia="Amiri" w:cs="Amiri"/>
          <w:color w:val="111111"/>
          <w:sz w:val="28"/>
          <w:sz w:val="28"/>
          <w:szCs w:val="28"/>
          <w:rtl w:val="true"/>
          <w:lang w:bidi="ar-SA"/>
        </w:rPr>
        <w:t>الإجمالي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الواردة في الباب بناء على التحقيق دلالة لها على غير ذلك ، فإنّ المنساق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بلفظ النقض أو غير ذلك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اتّحاد مورد اليقين والشكّ على وجه لم تكن القضيّة المتيقّنة مخالفة للمشكوكة إلاّ بالإيجاب والسلب فقط واليقين والشكّ ، وليس هذا إلاّ في العدميات ؛ لأنّ العدم الثابت المعلوم أوّلا بعينه مشكوك في اللاحق ، إذ لا يتفاوت العدم الأزلي بتفاوت الأمور التي يحتمل تفاوت الوجود بها من حال أو وصف وزمان ومكان ونحوها كما هو ظاهر لا سترة عليه ، وفي الوجودي فيما إذا كان الشكّ في الرافع ؛ إذ المقصود بالاستصحاب هو البقاء ، والمحمول في القضيّة المعلومة السابقة هو الوجود ، ولا مدخل للرافع فيه ، فلا يختلف بالتقييد </w:t>
      </w:r>
      <w:r>
        <w:rPr>
          <w:rStyle w:val="FootnoteAnchor"/>
          <w:rtl w:val="true"/>
        </w:rPr>
        <w:footnoteReference w:id="1301"/>
      </w:r>
      <w:r>
        <w:rPr>
          <w:rFonts w:ascii="IRNazanin" w:hAnsi="IRNazanin" w:eastAsia="IRNazanin"/>
          <w:color w:val="111111"/>
          <w:sz w:val="28"/>
          <w:sz w:val="28"/>
          <w:szCs w:val="28"/>
          <w:rtl w:val="true"/>
          <w:lang w:bidi="fa-IR"/>
        </w:rPr>
        <w:t xml:space="preserve">له </w:t>
      </w:r>
      <w:r>
        <w:rPr>
          <w:rStyle w:val="FootnoteAnchor"/>
          <w:rtl w:val="true"/>
        </w:rPr>
        <w:footnoteReference w:id="1302"/>
      </w:r>
      <w:r>
        <w:rPr>
          <w:rFonts w:ascii="Amiri" w:hAnsi="Amiri" w:eastAsia="Amiri" w:cs="Amiri"/>
          <w:color w:val="111111"/>
          <w:sz w:val="28"/>
          <w:sz w:val="28"/>
          <w:szCs w:val="28"/>
          <w:rtl w:val="true"/>
          <w:lang w:bidi="ar-SA"/>
        </w:rPr>
        <w:t xml:space="preserve">بعدمه كما يختلف في المانع من الحدوث كما مرّ تفصيل ذلك فيما مرّ </w:t>
      </w:r>
      <w:r>
        <w:rPr>
          <w:rStyle w:val="FootnoteAnchor"/>
          <w:rtl w:val="true"/>
        </w:rPr>
        <w:footnoteReference w:id="1303"/>
      </w:r>
      <w:r>
        <w:rPr>
          <w:rFonts w:ascii="Amiri" w:hAnsi="Amiri" w:eastAsia="Amiri" w:cs="Amiri"/>
          <w:color w:val="111111"/>
          <w:sz w:val="28"/>
          <w:sz w:val="28"/>
          <w:szCs w:val="28"/>
          <w:rtl w:val="true"/>
          <w:lang w:bidi="ar-SA"/>
        </w:rPr>
        <w:t xml:space="preserve">في الهداية الأخبارية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قرّرنا من ثبوت طريقة العقلاء على الأخذ بالاستصحاب في الموارد المفروضة يظهر الوجه فيما ذهب إليه جملة من محقّقي السلف من اعتبار الاستصحاب كالمفيد </w:t>
      </w:r>
      <w:r>
        <w:rPr>
          <w:rStyle w:val="FootnoteAnchor"/>
          <w:rtl w:val="true"/>
        </w:rPr>
        <w:footnoteReference w:id="1305"/>
      </w:r>
      <w:r>
        <w:rPr>
          <w:rFonts w:ascii="IRNazanin" w:hAnsi="IRNazanin" w:eastAsia="IRNazanin"/>
          <w:color w:val="111111"/>
          <w:sz w:val="28"/>
          <w:sz w:val="28"/>
          <w:szCs w:val="28"/>
          <w:rtl w:val="true"/>
          <w:lang w:bidi="fa-IR"/>
        </w:rPr>
        <w:t xml:space="preserve">وأضرابه </w:t>
      </w:r>
      <w:r>
        <w:rPr>
          <w:rStyle w:val="FootnoteAnchor"/>
          <w:rtl w:val="true"/>
        </w:rPr>
        <w:footnoteReference w:id="1306"/>
      </w:r>
      <w:r>
        <w:rPr>
          <w:rFonts w:ascii="Amiri" w:hAnsi="Amiri" w:eastAsia="Amiri" w:cs="Amiri"/>
          <w:color w:val="111111"/>
          <w:sz w:val="28"/>
          <w:sz w:val="28"/>
          <w:szCs w:val="28"/>
          <w:rtl w:val="true"/>
          <w:lang w:bidi="ar-SA"/>
        </w:rPr>
        <w:t xml:space="preserve">قبل ظهور دلالة الأخبار عليه ، إلاّ أنّه يشكل أيضا بأنّ الاعتماد </w:t>
      </w:r>
      <w:r>
        <w:rPr>
          <w:rStyle w:val="FootnoteAnchor"/>
          <w:rtl w:val="true"/>
        </w:rPr>
        <w:footnoteReference w:id="1307"/>
      </w:r>
      <w:r>
        <w:rPr>
          <w:rFonts w:ascii="IRNazanin" w:hAnsi="IRNazanin" w:eastAsia="IRNazanin"/>
          <w:color w:val="111111"/>
          <w:sz w:val="28"/>
          <w:sz w:val="28"/>
          <w:szCs w:val="28"/>
          <w:rtl w:val="true"/>
          <w:lang w:bidi="fa-IR"/>
        </w:rPr>
        <w:t xml:space="preserve">بالاستصحاب </w:t>
      </w:r>
      <w:r>
        <w:rPr>
          <w:rStyle w:val="FootnoteAnchor"/>
          <w:rtl w:val="true"/>
        </w:rPr>
        <w:footnoteReference w:id="1308"/>
      </w:r>
      <w:r>
        <w:rPr>
          <w:rFonts w:ascii="Amiri" w:hAnsi="Amiri" w:eastAsia="Amiri" w:cs="Amiri"/>
          <w:color w:val="111111"/>
          <w:sz w:val="28"/>
          <w:sz w:val="28"/>
          <w:szCs w:val="28"/>
          <w:rtl w:val="true"/>
          <w:lang w:bidi="ar-SA"/>
        </w:rPr>
        <w:t xml:space="preserve">عند العقلاء إن كان بواسطة ما قد يتوهّم من أنّ العقلاء أيضا قد يتعبّدون بأمارة وإن لم تفد الظنّ كما في التعبّديات الشرعية كالبيّنة ونحوها مثلا ، ففساده ظاهر ؛ إذ لا يعقل التعبّد عند العقل بعد ما نعلم من أنّ المناط هو الواقع عنده وكيف يمكن التعبّد به </w:t>
      </w:r>
      <w:r>
        <w:rPr>
          <w:rStyle w:val="FootnoteAnchor"/>
          <w:rtl w:val="true"/>
        </w:rPr>
        <w:footnoteReference w:id="1309"/>
      </w:r>
      <w:r>
        <w:rPr>
          <w:rFonts w:ascii="Amiri" w:hAnsi="Amiri" w:eastAsia="Amiri" w:cs="Amiri"/>
          <w:color w:val="111111"/>
          <w:sz w:val="28"/>
          <w:sz w:val="28"/>
          <w:szCs w:val="28"/>
          <w:rtl w:val="true"/>
          <w:lang w:bidi="ar-SA"/>
        </w:rPr>
        <w:t xml:space="preserve">مع أنّه لا يزيد على شكّ؟ والأخذ بأحد طرفيه ترجيح بلا مرجّح وهو فطري الاستحالة وتجويزه سفسطة ، وإن كان بواسطة إفادته الظنّ في موارده إمّا بملاحظة الغلبة أو بمجرّد العلم بالحالة السابقة أو غير ذلك ، فهو حقّ في </w:t>
      </w:r>
    </w:p>
    <w:p>
      <w:pPr>
        <w:pStyle w:val="BookText"/>
        <w:rPr/>
      </w:pPr>
      <w:r>
        <w:rPr>
          <w:rFonts w:ascii="Amiri" w:hAnsi="Amiri" w:eastAsia="Amiri" w:cs="Amiri"/>
          <w:color w:val="111111"/>
          <w:sz w:val="28"/>
          <w:sz w:val="28"/>
          <w:szCs w:val="28"/>
          <w:rtl w:val="true"/>
          <w:lang w:bidi="ar-SA"/>
        </w:rPr>
        <w:t xml:space="preserve">موارد الاستصحاب المعمول عندهم في أحكام معاشهم ، وأمّا في الأحكام الشرعية فحصول الظنّ في موارده بأجمعها غير معلوم ، ودعواه مجازفة بيّنة ومكابرة واضحة ؛ إذ كثيرا ما نجد من أنفسنا في تلك الأحكام عدم رجحان ثبوت المستصحب مع الأخذ به فيها أيضا ، ويظهر ذلك من ملاحظة قضيّة المذي كما </w:t>
      </w:r>
      <w:r>
        <w:rPr>
          <w:rStyle w:val="FootnoteAnchor"/>
          <w:rtl w:val="true"/>
        </w:rPr>
        <w:footnoteReference w:id="1310"/>
      </w:r>
      <w:r>
        <w:rPr>
          <w:rFonts w:ascii="Amiri" w:hAnsi="Amiri" w:eastAsia="Amiri" w:cs="Amiri"/>
          <w:color w:val="111111"/>
          <w:sz w:val="28"/>
          <w:sz w:val="28"/>
          <w:szCs w:val="28"/>
          <w:rtl w:val="true"/>
          <w:lang w:bidi="ar-SA"/>
        </w:rPr>
        <w:t>لا يخفى ، ولا سيّما إذا عارضه دليل غير معتبر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حصول الظنّ في جميع موارد الاستصحاب في الأحكام لا شاهد عليها ، بل يكذّبها </w:t>
      </w:r>
      <w:r>
        <w:rPr>
          <w:rStyle w:val="FootnoteAnchor"/>
          <w:rtl w:val="true"/>
        </w:rPr>
        <w:footnoteReference w:id="1311"/>
      </w:r>
      <w:r>
        <w:rPr>
          <w:rFonts w:ascii="Amiri" w:hAnsi="Amiri" w:eastAsia="Amiri" w:cs="Amiri"/>
          <w:color w:val="111111"/>
          <w:sz w:val="28"/>
          <w:sz w:val="28"/>
          <w:szCs w:val="28"/>
          <w:rtl w:val="true"/>
          <w:lang w:bidi="ar-SA"/>
        </w:rPr>
        <w:t xml:space="preserve">الوجدان والبرهان معا ، وبدونه لا دليل عليه ؛ لعدم اعتبار الشكّ عند العقلاء ، فكيف يمكن القول بالاستصحاب للسلف مع عدم دلالة دليل عليه؟ وغاية ما يتعسّف في الذبّ عنه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العمل بالظنّ الاستصحابي إلاّ أنّه لمّا قرّر الشارع العمل بذلك الظنّ في الشرعيات لا جرم صار ذلك ظنّا نوعيا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وجود أمارة ظنّية غير معتبرة عند العقلاء كالنوم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فعارض الاستصحاب على وجه انتقل الظنّ الشخصي إليه ، فمع ذلك تراهم يلتزمون بإعمال الاستصحاب وطرح النوم كما يظهر ذلك عند ملاحظة قول الطبيب عند مخالفته لظنّ المريض ، فالأخذ بالاستصحاب في هذا المقام وإن لم يكن مفيدا للظنّ إلاّ أنّه أولى من الأخذ بالأمارة الغير المعتبرة عندهم ، فكان ذلك الظنّ لا يعدّ ظنّا مثل ما يراه الرائي من بعيد فيظنّ السراب ماء كما لا يخفى ، ولمّا قرّر الشارع العمل بالاستصحاب صار العامل به في الشريعة كما إذا كان عند العامل </w:t>
      </w:r>
      <w:r>
        <w:rPr>
          <w:rStyle w:val="FootnoteAnchor"/>
          <w:rtl w:val="true"/>
        </w:rPr>
        <w:footnoteReference w:id="1312"/>
      </w:r>
      <w:r>
        <w:rPr>
          <w:rFonts w:ascii="Amiri" w:hAnsi="Amiri" w:eastAsia="Amiri" w:cs="Amiri"/>
          <w:color w:val="111111"/>
          <w:sz w:val="28"/>
          <w:sz w:val="28"/>
          <w:szCs w:val="28"/>
          <w:rtl w:val="true"/>
          <w:lang w:bidi="ar-SA"/>
        </w:rPr>
        <w:t xml:space="preserve">أمارة ظنّية غير معتبرة ، فيأخذ بالاستصحاب وإن لم يكن مفيدا للظنّ من حيث أولويته من الأمارة الغير المعتبرة شرعا ، فكأنّ الظنّ القياسي ليس من الظنّ بعد عدم الاعتداد به عند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الشارع ، نعم يبقى الكلام في اعتبار هذا الظنّ في الشريعة ، فلا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استقراء موارد الاستصحاب يعطي الظنّ القويّ بأنّ الشارع إنّما اعتبر الظنّ الحاصل من ملاحظة الحالة السابقة كما عرفت الوجه في ذلك </w:t>
      </w:r>
      <w:r>
        <w:rPr>
          <w:rStyle w:val="FootnoteAnchor"/>
          <w:rtl w:val="true"/>
        </w:rPr>
        <w:footnoteReference w:id="1314"/>
      </w:r>
      <w:r>
        <w:rPr>
          <w:rFonts w:ascii="Amiri" w:hAnsi="Amiri" w:eastAsia="Amiri" w:cs="Amiri"/>
          <w:color w:val="111111"/>
          <w:sz w:val="28"/>
          <w:sz w:val="28"/>
          <w:szCs w:val="28"/>
          <w:rtl w:val="true"/>
          <w:lang w:bidi="ar-SA"/>
        </w:rPr>
        <w:t>فيما قدّمنا من الاستناد إلى الأخبار الخاصّة إلاّ أنّ الكلام يبقى حينئذ في اعتبار هذا الظنّ في المقام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أفاد أديمت إفاداته </w:t>
      </w:r>
      <w:r>
        <w:rPr>
          <w:rStyle w:val="FootnoteAnchor"/>
          <w:rtl w:val="true"/>
        </w:rPr>
        <w:footnoteReference w:id="1315"/>
      </w:r>
      <w:r>
        <w:rPr>
          <w:rFonts w:ascii="Amiri" w:hAnsi="Amiri" w:eastAsia="Amiri" w:cs="Amiri"/>
          <w:color w:val="111111"/>
          <w:sz w:val="28"/>
          <w:sz w:val="28"/>
          <w:szCs w:val="28"/>
          <w:rtl w:val="true"/>
          <w:lang w:bidi="ar-SA"/>
        </w:rPr>
        <w:t xml:space="preserve">إلاّ أنّ الإنصاف عدم انتهاضه بدفع الإشكال حقيقة ؛ إذ بعد ما علم من أنّ مناط حكم العقلاء هو حصول الظنّ ومدار حكمهم هو الواقع ففرض عدم اعتبار الظنّ المقابل للاستصحاب والاعتناء بالاستصحاب إنّما هو خلاف الفرض </w:t>
      </w:r>
      <w:r>
        <w:rPr>
          <w:rStyle w:val="FootnoteAnchor"/>
          <w:rtl w:val="true"/>
        </w:rPr>
        <w:footnoteReference w:id="1316"/>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6284_171221"/>
      <w:bookmarkStart w:id="143" w:name="pg16284_171221"/>
      <w:bookmarkEnd w:id="143"/>
    </w:p>
    <w:p>
      <w:pPr>
        <w:pStyle w:val="Heading3"/>
        <w:numPr>
          <w:ilvl w:val="2"/>
          <w:numId w:val="1"/>
        </w:numPr>
        <w:rPr/>
      </w:pPr>
      <w:bookmarkStart w:id="144" w:name="pg16284_171221"/>
      <w:bookmarkStart w:id="145" w:name="__RefHeading___Toc5012112_1280447820"/>
      <w:bookmarkStart w:id="146" w:name="_Toc45"/>
      <w:bookmarkEnd w:id="144"/>
      <w:bookmarkEnd w:id="145"/>
      <w:r>
        <w:rPr>
          <w:rtl w:val="true"/>
        </w:rPr>
        <w:t xml:space="preserve">هداية </w:t>
      </w:r>
      <w:r>
        <w:rPr>
          <w:rtl w:val="true"/>
        </w:rPr>
        <w:t xml:space="preserve">[ </w:t>
      </w:r>
      <w:r>
        <w:rPr>
          <w:rtl w:val="true"/>
        </w:rPr>
        <w:t xml:space="preserve">في كلام النراقي في معارضة الاستصحاب الوجودي والعدمي </w:t>
      </w:r>
      <w:r>
        <w:rPr>
          <w:rtl w:val="true"/>
        </w:rPr>
        <w:t>]</w:t>
      </w:r>
      <w:bookmarkEnd w:id="146"/>
    </w:p>
    <w:p>
      <w:pPr>
        <w:pStyle w:val="BookText"/>
        <w:rPr/>
      </w:pPr>
      <w:r>
        <w:rPr>
          <w:rFonts w:ascii="IRNazanin" w:hAnsi="IRNazanin" w:eastAsia="IRNazanin"/>
          <w:color w:val="111111"/>
          <w:sz w:val="28"/>
          <w:sz w:val="28"/>
          <w:szCs w:val="28"/>
          <w:rtl w:val="true"/>
          <w:lang w:bidi="fa-IR"/>
        </w:rPr>
        <w:t xml:space="preserve">زعم بعض </w:t>
      </w:r>
      <w:r>
        <w:rPr>
          <w:rStyle w:val="FootnoteAnchor"/>
          <w:rtl w:val="true"/>
        </w:rPr>
        <w:footnoteReference w:id="1317"/>
      </w:r>
      <w:r>
        <w:rPr>
          <w:rFonts w:ascii="Amiri" w:hAnsi="Amiri" w:eastAsia="Amiri" w:cs="Amiri"/>
          <w:color w:val="111111"/>
          <w:sz w:val="28"/>
          <w:sz w:val="28"/>
          <w:szCs w:val="28"/>
          <w:rtl w:val="true"/>
          <w:lang w:bidi="ar-SA"/>
        </w:rPr>
        <w:t xml:space="preserve">أفاضل متأخّري المتأخّرين أنّ استصحاب حال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الاستصحاب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معتبرا ، واستصحاب حال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الاستصحاب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 واستند في ذلك إلى أنّ استصحاب الوجود دائما معارض باستصحاب عدمي مسبوق بذلك الوجود ، ومحصّل تفصيله التفكيك بين ما كان المقتضي محرزا وشكّ في حصول الرافع وبين ما كان الشكّ من حيث المقتضي ؛ إذ في موارد الشكّ الأخير دائما يتعارض الاستصحابان فيتساقطان ولا بدّ من الرجوع إلى أصل عملي آخر كالبراءة ونحوها ، بخلاف موارد الشكّ الأوّل فإنّ استصحاب عدم الرافع بعد سقوط الاستصحابين متعيّن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نقل كلامه بطوله لتوضيح مرامه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كلام له في تعارض الاستصحابين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 تعارض الاستصحابين إن </w:t>
      </w:r>
      <w:r>
        <w:rPr>
          <w:rStyle w:val="FootnoteAnchor"/>
          <w:rtl w:val="true"/>
        </w:rPr>
        <w:footnoteReference w:id="1318"/>
      </w:r>
      <w:r>
        <w:rPr>
          <w:rFonts w:ascii="Amiri" w:hAnsi="Amiri" w:eastAsia="Amiri" w:cs="Amiri"/>
          <w:color w:val="111111"/>
          <w:sz w:val="28"/>
          <w:sz w:val="28"/>
          <w:szCs w:val="28"/>
          <w:rtl w:val="true"/>
          <w:lang w:bidi="ar-SA"/>
        </w:rPr>
        <w:t xml:space="preserve">كان في موضوع </w:t>
      </w:r>
      <w:r>
        <w:rPr>
          <w:rStyle w:val="FootnoteAnchor"/>
          <w:rtl w:val="true"/>
        </w:rPr>
        <w:footnoteReference w:id="1319"/>
      </w:r>
      <w:r>
        <w:rPr>
          <w:rFonts w:ascii="Amiri" w:hAnsi="Amiri" w:eastAsia="Amiri" w:cs="Amiri"/>
          <w:color w:val="111111"/>
          <w:sz w:val="28"/>
          <w:sz w:val="28"/>
          <w:szCs w:val="28"/>
          <w:rtl w:val="true"/>
          <w:lang w:bidi="ar-SA"/>
        </w:rPr>
        <w:t xml:space="preserve">وحكم واحد فلا يمكن العمل بشيء منهما ويتساقطان فيرجع إلى البراءة وشبهها ، وذلك كما إذا قال الشارع في ليلة الجمعة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للفور ، وكنّا متوقّفين في </w:t>
      </w:r>
    </w:p>
    <w:p>
      <w:pPr>
        <w:pStyle w:val="BookText"/>
        <w:rPr/>
      </w:pPr>
      <w:r>
        <w:rPr>
          <w:rFonts w:ascii="Amiri" w:hAnsi="Amiri" w:eastAsia="Amiri" w:cs="Amiri"/>
          <w:color w:val="111111"/>
          <w:sz w:val="28"/>
          <w:sz w:val="28"/>
          <w:szCs w:val="28"/>
          <w:rtl w:val="true"/>
          <w:lang w:bidi="ar-SA"/>
        </w:rPr>
        <w:t xml:space="preserve">إفادة </w:t>
      </w:r>
      <w:r>
        <w:rPr>
          <w:rStyle w:val="FootnoteAnchor"/>
          <w:rtl w:val="true"/>
        </w:rPr>
        <w:footnoteReference w:id="1320"/>
      </w:r>
      <w:r>
        <w:rPr>
          <w:rFonts w:ascii="Amiri" w:hAnsi="Amiri" w:eastAsia="Amiri" w:cs="Amiri"/>
          <w:color w:val="111111"/>
          <w:sz w:val="28"/>
          <w:sz w:val="28"/>
          <w:szCs w:val="28"/>
          <w:rtl w:val="true"/>
          <w:lang w:bidi="ar-SA"/>
        </w:rPr>
        <w:t xml:space="preserve">المرّة والتكرار ، فنقطع بوجوب صوم يوم الجمعة ونشكّ </w:t>
      </w:r>
      <w:r>
        <w:rPr>
          <w:rStyle w:val="FootnoteAnchor"/>
          <w:rtl w:val="true"/>
        </w:rPr>
        <w:footnoteReference w:id="1321"/>
      </w:r>
      <w:r>
        <w:rPr>
          <w:rFonts w:ascii="Amiri" w:hAnsi="Amiri" w:eastAsia="Amiri" w:cs="Amiri"/>
          <w:color w:val="111111"/>
          <w:sz w:val="28"/>
          <w:sz w:val="28"/>
          <w:szCs w:val="28"/>
          <w:rtl w:val="true"/>
          <w:lang w:bidi="ar-SA"/>
        </w:rPr>
        <w:t xml:space="preserve">في السبت ، وفيه يتعارض الاستصحابان ؛ لأنّا كنّا يوم الخميس متيقّنين بعدم وقوع التكليف بصوم يوم الجمعة ولا السبت ، وبعد ورود الأمر قطعنا بتكليف صوم الجمعة وشككنا في السبت ، وهذا الشكّ مستمرّ من حين ورود الأمر إلى يوم السبت ولا ينقض بالشكّ ، فيستصحب عدم تكليف يوم السبت بالصوم ، وكذا نقطع في الجمعة </w:t>
      </w:r>
      <w:r>
        <w:rPr>
          <w:rStyle w:val="FootnoteAnchor"/>
          <w:rtl w:val="true"/>
        </w:rPr>
        <w:footnoteReference w:id="1322"/>
      </w:r>
      <w:r>
        <w:rPr>
          <w:rFonts w:ascii="Amiri" w:hAnsi="Amiri" w:eastAsia="Amiri" w:cs="Amiri"/>
          <w:color w:val="111111"/>
          <w:sz w:val="28"/>
          <w:sz w:val="28"/>
          <w:szCs w:val="28"/>
          <w:rtl w:val="true"/>
          <w:lang w:bidi="ar-SA"/>
        </w:rPr>
        <w:t>بالتكليف بالصوم ونشكّ في السبت ، فيستصحب التكليف ، أي وجوب الصوم ، فيحصل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التكليف المعلوم قبل الأمر إنّما يستصحب لو لا الدليل على التكليف ، واستصحاب الوجوب المتيقّن في الجمعة دليل شرعي ، فيرتفع عدم التكليف ونقض </w:t>
      </w:r>
      <w:r>
        <w:rPr>
          <w:rStyle w:val="FootnoteAnchor"/>
          <w:rtl w:val="true"/>
        </w:rPr>
        <w:footnoteReference w:id="1323"/>
      </w:r>
      <w:r>
        <w:rPr>
          <w:rFonts w:ascii="Amiri" w:hAnsi="Amiri" w:eastAsia="Amiri" w:cs="Amiri"/>
          <w:color w:val="111111"/>
          <w:sz w:val="28"/>
          <w:sz w:val="28"/>
          <w:szCs w:val="28"/>
          <w:rtl w:val="true"/>
          <w:lang w:bidi="ar-SA"/>
        </w:rPr>
        <w:t>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مثله يجري في الطرف الآخر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صوم الجمعة </w:t>
      </w:r>
      <w:r>
        <w:rPr>
          <w:rStyle w:val="FootnoteAnchor"/>
          <w:rtl w:val="true"/>
        </w:rPr>
        <w:footnoteReference w:id="1324"/>
      </w:r>
      <w:r>
        <w:rPr>
          <w:rFonts w:ascii="Amiri" w:hAnsi="Amiri" w:eastAsia="Amiri" w:cs="Amiri"/>
          <w:color w:val="111111"/>
          <w:sz w:val="28"/>
          <w:sz w:val="28"/>
          <w:szCs w:val="28"/>
          <w:rtl w:val="true"/>
          <w:lang w:bidi="ar-SA"/>
        </w:rPr>
        <w:t>إنّما يستصحب لو لا الدليل على عدمه ، واستصحاب عدمه المتيقّن قبل ورود الأمر دليل شرعي ، فيرتفع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بالعدم قد انقطع وحصل الفصل فكيف يستصحب؟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1325"/>
      </w:r>
      <w:r>
        <w:rPr>
          <w:rFonts w:ascii="Amiri" w:hAnsi="Amiri" w:eastAsia="Amiri" w:cs="Amiri"/>
          <w:color w:val="111111"/>
          <w:sz w:val="28"/>
          <w:sz w:val="28"/>
          <w:szCs w:val="28"/>
          <w:rtl w:val="true"/>
          <w:lang w:bidi="ar-SA"/>
        </w:rPr>
        <w:t xml:space="preserve">لم يحصل فصل </w:t>
      </w:r>
      <w:r>
        <w:rPr>
          <w:rStyle w:val="FootnoteAnchor"/>
          <w:rtl w:val="true"/>
        </w:rPr>
        <w:footnoteReference w:id="1326"/>
      </w:r>
      <w:r>
        <w:rPr>
          <w:rFonts w:ascii="Amiri" w:hAnsi="Amiri" w:eastAsia="Amiri" w:cs="Amiri"/>
          <w:color w:val="111111"/>
          <w:sz w:val="28"/>
          <w:sz w:val="28"/>
          <w:szCs w:val="28"/>
          <w:rtl w:val="true"/>
          <w:lang w:bidi="ar-SA"/>
        </w:rPr>
        <w:t xml:space="preserve">أصلا ، بل كنّا قاطعين بعدم إيجاب صوم السبت </w:t>
      </w:r>
      <w:r>
        <w:rPr>
          <w:rStyle w:val="FootnoteAnchor"/>
          <w:rtl w:val="true"/>
        </w:rPr>
        <w:footnoteReference w:id="1327"/>
      </w:r>
      <w:r>
        <w:rPr>
          <w:rFonts w:ascii="Amiri" w:hAnsi="Amiri" w:eastAsia="Amiri" w:cs="Amiri"/>
          <w:color w:val="111111"/>
          <w:sz w:val="28"/>
          <w:sz w:val="28"/>
          <w:szCs w:val="28"/>
          <w:rtl w:val="true"/>
          <w:lang w:bidi="ar-SA"/>
        </w:rPr>
        <w:t xml:space="preserve">يوم الخميس وشككنا فيه بعد الأمر ولم نقطع بوجوب صومه أصلا ، فيجب استصحابه </w:t>
      </w:r>
      <w:r>
        <w:rPr>
          <w:rStyle w:val="FootnoteAnchor"/>
          <w:rtl w:val="true"/>
        </w:rPr>
        <w:footnoteReference w:id="13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مهّد كلاما يتفرّع على ما قدّمه في أوّل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حجّية للاستصحاب في القسم الثالث مطلقا ، وفسّره بأنّه الذي علم ثبوت الحكم في الجملة أو في حال أو </w:t>
      </w:r>
      <w:r>
        <w:rPr>
          <w:rStyle w:val="FootnoteAnchor"/>
          <w:rtl w:val="true"/>
        </w:rPr>
        <w:footnoteReference w:id="1329"/>
      </w:r>
      <w:r>
        <w:rPr>
          <w:rFonts w:ascii="Amiri" w:hAnsi="Amiri" w:eastAsia="Amiri" w:cs="Amiri"/>
          <w:color w:val="111111"/>
          <w:sz w:val="28"/>
          <w:sz w:val="28"/>
          <w:szCs w:val="28"/>
          <w:rtl w:val="true"/>
          <w:lang w:bidi="ar-SA"/>
        </w:rPr>
        <w:t xml:space="preserve">شكّ فيما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بعد ما علم حكم في وقت أو حال وشكّ فيما بعده وإن كان مقتضى اليقين السابق واستصحاب ذلك الحكم وجوده في الزمان الثاني و </w:t>
      </w:r>
      <w:r>
        <w:rPr>
          <w:rStyle w:val="FootnoteAnchor"/>
          <w:rtl w:val="true"/>
        </w:rPr>
        <w:footnoteReference w:id="1330"/>
      </w:r>
      <w:r>
        <w:rPr>
          <w:rFonts w:ascii="Amiri" w:hAnsi="Amiri" w:eastAsia="Amiri" w:cs="Amiri"/>
          <w:color w:val="111111"/>
          <w:sz w:val="28"/>
          <w:sz w:val="28"/>
          <w:szCs w:val="28"/>
          <w:rtl w:val="true"/>
          <w:lang w:bidi="ar-SA"/>
        </w:rPr>
        <w:t xml:space="preserve">الحالة الثانية ولكن مقتضى استصحاب حال العقل عدمه ؛ لأنّ هذا الحكم قبل حدوثه كان معلوم العدم مطلقا ارتفع </w:t>
      </w:r>
      <w:r>
        <w:rPr>
          <w:rStyle w:val="FootnoteAnchor"/>
          <w:rtl w:val="true"/>
        </w:rPr>
        <w:footnoteReference w:id="1331"/>
      </w:r>
      <w:r>
        <w:rPr>
          <w:rFonts w:ascii="Amiri" w:hAnsi="Amiri" w:eastAsia="Amiri" w:cs="Amiri"/>
          <w:color w:val="111111"/>
          <w:sz w:val="28"/>
          <w:sz w:val="28"/>
          <w:szCs w:val="28"/>
          <w:rtl w:val="true"/>
          <w:lang w:bidi="ar-SA"/>
        </w:rPr>
        <w:t xml:space="preserve">عدمه في الزمان الأوّل فيبقى الباقي ، ومثّل لذلك بأنّ الشارع إذا أمر بالجلوس يوم الجمعة وعلم أنّه واجب إلى الزوال ولم يعلم وجوبه بعد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التكليف بالجلوس فيه قبل الزوال ، فصار بعده موضع </w:t>
      </w:r>
      <w:r>
        <w:rPr>
          <w:rStyle w:val="FootnoteAnchor"/>
          <w:rtl w:val="true"/>
        </w:rPr>
        <w:footnoteReference w:id="1332"/>
      </w:r>
      <w:r>
        <w:rPr>
          <w:rFonts w:ascii="Amiri" w:hAnsi="Amiri" w:eastAsia="Amiri" w:cs="Amiri"/>
          <w:color w:val="111111"/>
          <w:sz w:val="28"/>
          <w:sz w:val="28"/>
          <w:szCs w:val="28"/>
          <w:rtl w:val="true"/>
          <w:lang w:bidi="ar-SA"/>
        </w:rPr>
        <w:t xml:space="preserve">الشكّ ، فلنا </w:t>
      </w:r>
      <w:r>
        <w:rPr>
          <w:rStyle w:val="FootnoteAnchor"/>
          <w:rtl w:val="true"/>
        </w:rPr>
        <w:footnoteReference w:id="1333"/>
      </w:r>
      <w:r>
        <w:rPr>
          <w:rFonts w:ascii="Amiri" w:hAnsi="Amiri" w:eastAsia="Amiri" w:cs="Amiri"/>
          <w:color w:val="111111"/>
          <w:sz w:val="28"/>
          <w:sz w:val="28"/>
          <w:szCs w:val="28"/>
          <w:rtl w:val="true"/>
          <w:lang w:bidi="ar-SA"/>
        </w:rPr>
        <w:t xml:space="preserve">شكّ ويقينان وليس بقاء حكم أحد اليقينين أولى من الآخر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اليقين بالعدم الحاصل قبل الشرع أو التكليف أو </w:t>
      </w:r>
      <w:r>
        <w:rPr>
          <w:rStyle w:val="FootnoteAnchor"/>
          <w:rtl w:val="true"/>
        </w:rPr>
        <w:footnoteReference w:id="1335"/>
      </w:r>
      <w:r>
        <w:rPr>
          <w:rFonts w:ascii="Amiri" w:hAnsi="Amiri" w:eastAsia="Amiri" w:cs="Amiri"/>
          <w:color w:val="111111"/>
          <w:sz w:val="28"/>
          <w:sz w:val="28"/>
          <w:szCs w:val="28"/>
          <w:rtl w:val="true"/>
          <w:lang w:bidi="ar-SA"/>
        </w:rPr>
        <w:t xml:space="preserve">البلوغ والعقل واستصحابه يحصل التعارض في جميع موارد القسم الثالث ، فلا مرجّح </w:t>
      </w:r>
      <w:r>
        <w:rPr>
          <w:rStyle w:val="FootnoteAnchor"/>
          <w:rtl w:val="true"/>
        </w:rPr>
        <w:footnoteReference w:id="1336"/>
      </w:r>
      <w:r>
        <w:rPr>
          <w:rFonts w:ascii="Amiri" w:hAnsi="Amiri" w:eastAsia="Amiri" w:cs="Amiri"/>
          <w:color w:val="111111"/>
          <w:sz w:val="28"/>
          <w:sz w:val="28"/>
          <w:szCs w:val="28"/>
          <w:rtl w:val="true"/>
          <w:lang w:bidi="ar-SA"/>
        </w:rPr>
        <w:t>لأحدهما ، فلا يكون شيء منهما حجّة ويجب تركهما والرجوع إلى ما يقتضيه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فرّع الجواب عن شبهة النبوّة المتقدّمة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القسمان الأوّلان فيظهر ممّا ذكر أيضا عدم حجّية استصحاب حال الشرع فيهما أيضا إذا كان المستصحب من الأمور الشرعية بواسطة التعارض </w:t>
      </w:r>
      <w:r>
        <w:rPr>
          <w:rStyle w:val="FootnoteAnchor"/>
          <w:rtl w:val="true"/>
        </w:rPr>
        <w:footnoteReference w:id="1337"/>
      </w:r>
      <w:r>
        <w:rPr>
          <w:rFonts w:ascii="Amiri" w:hAnsi="Amiri" w:eastAsia="Amiri" w:cs="Amiri"/>
          <w:color w:val="111111"/>
          <w:sz w:val="28"/>
          <w:sz w:val="28"/>
          <w:szCs w:val="28"/>
          <w:rtl w:val="true"/>
          <w:lang w:bidi="ar-SA"/>
        </w:rPr>
        <w:t xml:space="preserve">، فإنّ استصحاب الطهارة والمالكية ونحوهما من الأمور المقرّرة في الشريعة إلى ثبوت رافعها عند الشكّ في الرافع ، أو في رافعية معارض باستصحاب عدم جعل الشارع لتلك </w:t>
      </w:r>
    </w:p>
    <w:p>
      <w:pPr>
        <w:pStyle w:val="BookText"/>
        <w:rPr/>
      </w:pPr>
      <w:r>
        <w:rPr>
          <w:rFonts w:ascii="Amiri" w:hAnsi="Amiri" w:eastAsia="Amiri" w:cs="Amiri"/>
          <w:color w:val="111111"/>
          <w:sz w:val="28"/>
          <w:sz w:val="28"/>
          <w:szCs w:val="28"/>
          <w:rtl w:val="true"/>
          <w:lang w:bidi="ar-SA"/>
        </w:rPr>
        <w:t>الأحكام عند الشكّ فيهما ، وإثبات التكليف والجعل ليس بأولى من إثبات عدمهما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أنّه يلزم على هذا انتفاء الحكم الثابت أوّلا </w:t>
      </w:r>
      <w:r>
        <w:rPr>
          <w:rStyle w:val="FootnoteAnchor"/>
          <w:rtl w:val="true"/>
        </w:rPr>
        <w:footnoteReference w:id="1338"/>
      </w:r>
      <w:r>
        <w:rPr>
          <w:rFonts w:ascii="Amiri" w:hAnsi="Amiri" w:eastAsia="Amiri" w:cs="Amiri"/>
          <w:color w:val="111111"/>
          <w:sz w:val="28"/>
          <w:sz w:val="28"/>
          <w:szCs w:val="28"/>
          <w:rtl w:val="true"/>
          <w:lang w:bidi="ar-SA"/>
        </w:rPr>
        <w:t xml:space="preserve">في القسمين بمجرّد الشكّ ، فإنّه ليس </w:t>
      </w:r>
      <w:r>
        <w:rPr>
          <w:rStyle w:val="FootnoteAnchor"/>
          <w:rtl w:val="true"/>
        </w:rPr>
        <w:footnoteReference w:id="1339"/>
      </w:r>
      <w:r>
        <w:rPr>
          <w:rFonts w:ascii="Amiri" w:hAnsi="Amiri" w:eastAsia="Amiri" w:cs="Amiri"/>
          <w:color w:val="111111"/>
          <w:sz w:val="28"/>
          <w:sz w:val="28"/>
          <w:szCs w:val="28"/>
          <w:rtl w:val="true"/>
          <w:lang w:bidi="ar-SA"/>
        </w:rPr>
        <w:t xml:space="preserve">كذلك ، بل </w:t>
      </w:r>
      <w:r>
        <w:rPr>
          <w:rStyle w:val="FootnoteAnchor"/>
          <w:rtl w:val="true"/>
        </w:rPr>
        <w:footnoteReference w:id="1340"/>
      </w:r>
      <w:r>
        <w:rPr>
          <w:rFonts w:ascii="Amiri" w:hAnsi="Amiri" w:eastAsia="Amiri" w:cs="Amiri"/>
          <w:color w:val="111111"/>
          <w:sz w:val="28"/>
          <w:sz w:val="28"/>
          <w:szCs w:val="28"/>
          <w:rtl w:val="true"/>
          <w:lang w:bidi="ar-SA"/>
        </w:rPr>
        <w:t>يحكم ببقاء الحكم ولكن لا لأجل استصحاب حال الشرع ، أي استصحاب ذلك الحكم ، بل لأجل استصحاب آخر من حال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أنّه قد عرفت في المقدّمة الأولى أنّ سبب الشكّ في هذين القسمين إمّا الشكّ في تحقّق المزيل القطعي </w:t>
      </w:r>
      <w:r>
        <w:rPr>
          <w:rStyle w:val="FootnoteAnchor"/>
          <w:rtl w:val="true"/>
        </w:rPr>
        <w:footnoteReference w:id="1341"/>
      </w:r>
      <w:r>
        <w:rPr>
          <w:rFonts w:ascii="Amiri" w:hAnsi="Amiri" w:eastAsia="Amiri" w:cs="Amiri"/>
          <w:color w:val="111111"/>
          <w:sz w:val="28"/>
          <w:sz w:val="28"/>
          <w:szCs w:val="28"/>
          <w:rtl w:val="true"/>
          <w:lang w:bidi="ar-SA"/>
        </w:rPr>
        <w:t xml:space="preserve">، أو الشكّ في جعل الشارع شيئا أو الشيء الفلاني مزيلا للحكم ، ولا شكّ أنّ الأصل عدم تحقّق المزيل وعدم جعل الشارع شيئا أو هذا </w:t>
      </w:r>
      <w:r>
        <w:rPr>
          <w:rStyle w:val="FootnoteAnchor"/>
          <w:rtl w:val="true"/>
        </w:rPr>
        <w:footnoteReference w:id="1342"/>
      </w:r>
      <w:r>
        <w:rPr>
          <w:rFonts w:ascii="Amiri" w:hAnsi="Amiri" w:eastAsia="Amiri" w:cs="Amiri"/>
          <w:color w:val="111111"/>
          <w:sz w:val="28"/>
          <w:sz w:val="28"/>
          <w:szCs w:val="28"/>
          <w:rtl w:val="true"/>
          <w:lang w:bidi="ar-SA"/>
        </w:rPr>
        <w:t xml:space="preserve">الشيء </w:t>
      </w:r>
      <w:r>
        <w:rPr>
          <w:rStyle w:val="FootnoteAnchor"/>
          <w:rtl w:val="true"/>
        </w:rPr>
        <w:footnoteReference w:id="1343"/>
      </w:r>
      <w:r>
        <w:rPr>
          <w:rFonts w:ascii="Amiri" w:hAnsi="Amiri" w:eastAsia="Amiri" w:cs="Amiri"/>
          <w:color w:val="111111"/>
          <w:sz w:val="28"/>
          <w:sz w:val="28"/>
          <w:szCs w:val="28"/>
          <w:rtl w:val="true"/>
          <w:lang w:bidi="ar-SA"/>
        </w:rPr>
        <w:t xml:space="preserve">مزيلا ، ويلزم من </w:t>
      </w:r>
      <w:r>
        <w:rPr>
          <w:rStyle w:val="FootnoteAnchor"/>
          <w:rtl w:val="true"/>
        </w:rPr>
        <w:footnoteReference w:id="1344"/>
      </w:r>
      <w:r>
        <w:rPr>
          <w:rFonts w:ascii="Amiri" w:hAnsi="Amiri" w:eastAsia="Amiri" w:cs="Amiri"/>
          <w:color w:val="111111"/>
          <w:sz w:val="28"/>
          <w:sz w:val="28"/>
          <w:szCs w:val="28"/>
          <w:rtl w:val="true"/>
          <w:lang w:bidi="ar-SA"/>
        </w:rPr>
        <w:t xml:space="preserve">هذا الاستصحاب وجود هذا الحكم ، ولا يعارضه استصحاب عدم التكليف ؛ لأنّ الاستصحاب الأوّل سبب </w:t>
      </w:r>
      <w:r>
        <w:rPr>
          <w:rStyle w:val="FootnoteAnchor"/>
          <w:rtl w:val="true"/>
        </w:rPr>
        <w:footnoteReference w:id="1345"/>
      </w:r>
      <w:r>
        <w:rPr>
          <w:rFonts w:ascii="Amiri" w:hAnsi="Amiri" w:eastAsia="Amiri" w:cs="Amiri"/>
          <w:color w:val="111111"/>
          <w:sz w:val="28"/>
          <w:sz w:val="28"/>
          <w:szCs w:val="28"/>
          <w:rtl w:val="true"/>
          <w:lang w:bidi="ar-SA"/>
        </w:rPr>
        <w:t xml:space="preserve">للحكم ببقاء استمرار الحكم ، وهو مزيل لعدم التكليف ، وليس استصحاب عدم التكليف سببا لوجود الشيء المعيّن الذي جعله الشارع مزيلا أو جعل </w:t>
      </w:r>
      <w:r>
        <w:rPr>
          <w:rStyle w:val="FootnoteAnchor"/>
          <w:rtl w:val="true"/>
        </w:rPr>
        <w:footnoteReference w:id="1346"/>
      </w:r>
      <w:r>
        <w:rPr>
          <w:rFonts w:ascii="Amiri" w:hAnsi="Amiri" w:eastAsia="Amiri" w:cs="Amiri"/>
          <w:color w:val="111111"/>
          <w:sz w:val="28"/>
          <w:sz w:val="28"/>
          <w:szCs w:val="28"/>
          <w:rtl w:val="true"/>
          <w:lang w:bidi="ar-SA"/>
        </w:rPr>
        <w:t xml:space="preserve">هذا الشيء مزيلا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تلخّص من ذلك أنّ الأحكام الثابتة إنّما يحكم ببقائها بالاستصحاب إذا شكّ في المزيل لا في غيره ، وأنّ الحجّة </w:t>
      </w:r>
      <w:r>
        <w:rPr>
          <w:rStyle w:val="FootnoteAnchor"/>
          <w:rtl w:val="true"/>
        </w:rPr>
        <w:footnoteReference w:id="1348"/>
      </w:r>
      <w:r>
        <w:rPr>
          <w:rFonts w:ascii="Amiri" w:hAnsi="Amiri" w:eastAsia="Amiri" w:cs="Amiri"/>
          <w:color w:val="111111"/>
          <w:sz w:val="28"/>
          <w:sz w:val="28"/>
          <w:szCs w:val="28"/>
          <w:rtl w:val="true"/>
          <w:lang w:bidi="ar-SA"/>
        </w:rPr>
        <w:t>من الاستصحاب إنّما هو في القسم الأوّل من قسمي الشكّ ولكن لا استصحاب حال الشرع ، بل استصحاب حال العقل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فرّق بين ما اختاره في المقام وما اختاره البعض من حجّية الاستصحاب عند </w:t>
      </w:r>
    </w:p>
    <w:p>
      <w:pPr>
        <w:pStyle w:val="BookText"/>
        <w:rPr/>
      </w:pPr>
      <w:r>
        <w:rPr>
          <w:rFonts w:ascii="Amiri" w:hAnsi="Amiri" w:eastAsia="Amiri" w:cs="Amiri"/>
          <w:color w:val="111111"/>
          <w:sz w:val="28"/>
          <w:sz w:val="28"/>
          <w:szCs w:val="28"/>
          <w:rtl w:val="true"/>
          <w:lang w:bidi="ar-SA"/>
        </w:rPr>
        <w:t>الشكّ في المزيل بأنّ الظاهر منه استصحاب حال الشرع ، وإن احتمل التوافق فنعم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الأمور الشرعية ، وأمّا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والليل والحياة والرطوبة والجفاف وأمثالها ممّا لا دخل لجعل الشارع في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الوجود فيها حجّة بلا معارض ؛ لعدم تحقّق استصحاب حال العقل فيها </w:t>
      </w:r>
      <w:r>
        <w:rPr>
          <w:rStyle w:val="FootnoteAnchor"/>
          <w:rtl w:val="true"/>
        </w:rPr>
        <w:footnoteReference w:id="1349"/>
      </w:r>
      <w:r>
        <w:rPr>
          <w:rFonts w:ascii="Amiri" w:hAnsi="Amiri" w:eastAsia="Amiri" w:cs="Amiri"/>
          <w:color w:val="111111"/>
          <w:sz w:val="28"/>
          <w:sz w:val="28"/>
          <w:szCs w:val="28"/>
          <w:rtl w:val="true"/>
          <w:lang w:bidi="ar-SA"/>
        </w:rPr>
        <w:t xml:space="preserve">، انتهى كلامه مع تلخيص وتغيير ما </w:t>
      </w:r>
      <w:r>
        <w:rPr>
          <w:rStyle w:val="FootnoteAnchor"/>
          <w:rtl w:val="true"/>
        </w:rPr>
        <w:footnoteReference w:id="1350"/>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في تمام ما ذكر </w:t>
      </w:r>
      <w:r>
        <w:rPr>
          <w:rStyle w:val="FootnoteAnchor"/>
          <w:rtl w:val="true"/>
        </w:rPr>
        <w:footnoteReference w:id="1351"/>
      </w:r>
      <w:r>
        <w:rPr>
          <w:rFonts w:ascii="IRNazanin" w:hAnsi="IRNazanin" w:eastAsia="IRNazanin"/>
          <w:color w:val="111111"/>
          <w:sz w:val="28"/>
          <w:sz w:val="28"/>
          <w:szCs w:val="28"/>
          <w:rtl w:val="true"/>
          <w:lang w:bidi="fa-IR"/>
        </w:rPr>
        <w:t xml:space="preserve">هو اعتبار الاستصحاب عند </w:t>
      </w:r>
      <w:r>
        <w:rPr>
          <w:rStyle w:val="FootnoteAnchor"/>
          <w:rtl w:val="true"/>
        </w:rPr>
        <w:footnoteReference w:id="1352"/>
      </w:r>
      <w:r>
        <w:rPr>
          <w:rFonts w:ascii="Amiri" w:hAnsi="Amiri" w:eastAsia="Amiri" w:cs="Amiri"/>
          <w:color w:val="111111"/>
          <w:sz w:val="28"/>
          <w:sz w:val="28"/>
          <w:szCs w:val="28"/>
          <w:rtl w:val="true"/>
          <w:lang w:bidi="ar-SA"/>
        </w:rPr>
        <w:t xml:space="preserve">الشكّ في الرافع أو الرافعية </w:t>
      </w:r>
      <w:r>
        <w:rPr>
          <w:rStyle w:val="FootnoteAnchor"/>
          <w:rtl w:val="true"/>
        </w:rPr>
        <w:footnoteReference w:id="1353"/>
      </w:r>
      <w:r>
        <w:rPr>
          <w:rFonts w:ascii="Amiri" w:hAnsi="Amiri" w:eastAsia="Amiri" w:cs="Amiri"/>
          <w:color w:val="111111"/>
          <w:sz w:val="28"/>
          <w:sz w:val="28"/>
          <w:szCs w:val="28"/>
          <w:rtl w:val="true"/>
          <w:lang w:bidi="ar-SA"/>
        </w:rPr>
        <w:t>، وعدمه عند الشكّ من حيث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ففيما أورده نظر من وجوه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فرضه من المثالين من وجوب الصوم أو الجلوس ممّا لا مجال للاستصحاب فيه كما بيّنا وجهه فيما أيّدنا به </w:t>
      </w:r>
      <w:r>
        <w:rPr>
          <w:rStyle w:val="FootnoteAnchor"/>
          <w:rtl w:val="true"/>
        </w:rPr>
        <w:footnoteReference w:id="1354"/>
      </w:r>
      <w:r>
        <w:rPr>
          <w:rFonts w:ascii="Amiri" w:hAnsi="Amiri" w:eastAsia="Amiri" w:cs="Amiri"/>
          <w:color w:val="111111"/>
          <w:sz w:val="28"/>
          <w:sz w:val="28"/>
          <w:szCs w:val="28"/>
          <w:rtl w:val="true"/>
          <w:lang w:bidi="ar-SA"/>
        </w:rPr>
        <w:t xml:space="preserve">مذهب الفاضل التوني في الهداية التونية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أنّ الأحكام الشرعية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منها ما يعدّ شيئا واحدا كالحرمة والإباحة مثلا ، وكالاستحباب </w:t>
      </w:r>
      <w:r>
        <w:rPr>
          <w:rStyle w:val="FootnoteAnchor"/>
          <w:rtl w:val="true"/>
        </w:rPr>
        <w:footnoteReference w:id="1356"/>
      </w:r>
      <w:r>
        <w:rPr>
          <w:rFonts w:ascii="Amiri" w:hAnsi="Amiri" w:eastAsia="Amiri" w:cs="Amiri"/>
          <w:color w:val="111111"/>
          <w:sz w:val="28"/>
          <w:sz w:val="28"/>
          <w:szCs w:val="28"/>
          <w:rtl w:val="true"/>
          <w:lang w:bidi="ar-SA"/>
        </w:rPr>
        <w:t xml:space="preserve">في وجه ، ومنها ما يعدّ عندهم أحكاما </w:t>
      </w:r>
      <w:r>
        <w:rPr>
          <w:rStyle w:val="FootnoteAnchor"/>
          <w:rtl w:val="true"/>
        </w:rPr>
        <w:footnoteReference w:id="1357"/>
      </w:r>
      <w:r>
        <w:rPr>
          <w:rFonts w:ascii="Amiri" w:hAnsi="Amiri" w:eastAsia="Amiri" w:cs="Amiri"/>
          <w:color w:val="111111"/>
          <w:sz w:val="28"/>
          <w:sz w:val="28"/>
          <w:szCs w:val="28"/>
          <w:rtl w:val="true"/>
          <w:lang w:bidi="ar-SA"/>
        </w:rPr>
        <w:t xml:space="preserve">متعدّدة كالوجوب مثلا ، ففيما إذا شكّ في الوجوب ثانيا فإمّا يشكّ في الوجوب الأصلي في قبال الوجوب الثابت أوّلا ، أو في الوجوب التبعي ، أو في الوجوب المردّد بين هذين القسمين ، ففي الأوّل فلا بدّ من الأخذ بالبراءة الأصلية ، وهذا ممّا لا خلاف فيه ظاهرا كما حرّر في محلّه ، وفي الثاني فلا بدّ من الرجوع إلى قاعدة البراءة والاحتياط عند الشكّ في الجزئية ، فكلّ على ما اختاره في تلك المسألة ، وفي الثالث فاحتمال </w:t>
      </w:r>
    </w:p>
    <w:p>
      <w:pPr>
        <w:pStyle w:val="BookText"/>
        <w:rPr/>
      </w:pPr>
      <w:r>
        <w:rPr>
          <w:rFonts w:ascii="Amiri" w:hAnsi="Amiri" w:eastAsia="Amiri" w:cs="Amiri"/>
          <w:color w:val="111111"/>
          <w:sz w:val="28"/>
          <w:sz w:val="28"/>
          <w:szCs w:val="28"/>
          <w:rtl w:val="true"/>
          <w:lang w:bidi="ar-SA"/>
        </w:rPr>
        <w:t xml:space="preserve">الأصلي </w:t>
      </w:r>
      <w:r>
        <w:rPr>
          <w:rStyle w:val="FootnoteAnchor"/>
          <w:rtl w:val="true"/>
        </w:rPr>
        <w:footnoteReference w:id="1358"/>
      </w:r>
      <w:r>
        <w:rPr>
          <w:rFonts w:ascii="Amiri" w:hAnsi="Amiri" w:eastAsia="Amiri" w:cs="Amiri"/>
          <w:color w:val="111111"/>
          <w:sz w:val="28"/>
          <w:sz w:val="28"/>
          <w:szCs w:val="28"/>
          <w:rtl w:val="true"/>
          <w:lang w:bidi="ar-SA"/>
        </w:rPr>
        <w:t>مدفوع بالبراءة ، واحتمال التبعي كالثاني مرجعه إلى البراءة أو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مجال </w:t>
      </w:r>
      <w:r>
        <w:rPr>
          <w:rStyle w:val="FootnoteAnchor"/>
          <w:rtl w:val="true"/>
        </w:rPr>
        <w:footnoteReference w:id="1359"/>
      </w:r>
      <w:r>
        <w:rPr>
          <w:rFonts w:ascii="Amiri" w:hAnsi="Amiri" w:eastAsia="Amiri" w:cs="Amiri"/>
          <w:color w:val="111111"/>
          <w:sz w:val="28"/>
          <w:sz w:val="28"/>
          <w:szCs w:val="28"/>
          <w:rtl w:val="true"/>
          <w:lang w:bidi="ar-SA"/>
        </w:rPr>
        <w:t xml:space="preserve">لاستصحاب الوجوب مطلقا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كما عرفت فيما تقدّم ، فالتمثيل </w:t>
      </w:r>
      <w:r>
        <w:rPr>
          <w:rStyle w:val="FootnoteAnchor"/>
          <w:rtl w:val="true"/>
        </w:rPr>
        <w:footnoteReference w:id="1360"/>
      </w:r>
      <w:r>
        <w:rPr>
          <w:rFonts w:ascii="Amiri" w:hAnsi="Amiri" w:eastAsia="Amiri" w:cs="Amiri"/>
          <w:color w:val="111111"/>
          <w:sz w:val="28"/>
          <w:sz w:val="28"/>
          <w:szCs w:val="28"/>
          <w:rtl w:val="true"/>
          <w:lang w:bidi="ar-SA"/>
        </w:rPr>
        <w:t>بما ذكر غير ملائم لما هو بصدده كما هو ظاهر ، والأولى التمثيل بالتحريم أو الإباحة ممّا لا يعدّ أمورا متعدّدة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الأحكام المجعولة في الشريعة لا تخلو من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مقيّدة </w:t>
      </w:r>
      <w:r>
        <w:rPr>
          <w:rStyle w:val="FootnoteAnchor"/>
          <w:rtl w:val="true"/>
        </w:rPr>
        <w:footnoteReference w:id="1361"/>
      </w:r>
      <w:r>
        <w:rPr>
          <w:rFonts w:ascii="Amiri" w:hAnsi="Amiri" w:eastAsia="Amiri" w:cs="Amiri"/>
          <w:color w:val="111111"/>
          <w:sz w:val="28"/>
          <w:sz w:val="28"/>
          <w:szCs w:val="28"/>
          <w:rtl w:val="true"/>
          <w:lang w:bidi="ar-SA"/>
        </w:rPr>
        <w:t xml:space="preserve">بالزمان على وجه تختلف تلك الأحكام باختلاف الأزمنة كما في الموقّتات ، وإمّا أن لا تكون مقيّدة </w:t>
      </w:r>
      <w:r>
        <w:rPr>
          <w:rStyle w:val="FootnoteAnchor"/>
          <w:rtl w:val="true"/>
        </w:rPr>
        <w:footnoteReference w:id="1362"/>
      </w:r>
      <w:r>
        <w:rPr>
          <w:rFonts w:ascii="Amiri" w:hAnsi="Amiri" w:eastAsia="Amiri" w:cs="Amiri"/>
          <w:color w:val="111111"/>
          <w:sz w:val="28"/>
          <w:sz w:val="28"/>
          <w:szCs w:val="28"/>
          <w:rtl w:val="true"/>
          <w:lang w:bidi="ar-SA"/>
        </w:rPr>
        <w:t>بالزمان فهو إذن ظرف لها لا يختلف المظروف باختلافه ، وعلى التقديرين ممّا لا وجه للكلام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 فلأنّ بعد تقضّي </w:t>
      </w:r>
      <w:r>
        <w:rPr>
          <w:rStyle w:val="FootnoteAnchor"/>
          <w:rtl w:val="true"/>
        </w:rPr>
        <w:footnoteReference w:id="1363"/>
      </w:r>
      <w:r>
        <w:rPr>
          <w:rFonts w:ascii="Amiri" w:hAnsi="Amiri" w:eastAsia="Amiri" w:cs="Amiri"/>
          <w:color w:val="111111"/>
          <w:sz w:val="28"/>
          <w:sz w:val="28"/>
          <w:szCs w:val="28"/>
          <w:rtl w:val="true"/>
          <w:lang w:bidi="ar-SA"/>
        </w:rPr>
        <w:t xml:space="preserve">الزمان والقيد لا معنى لاستصحاب الوجود ، فيجري فيه استصحاب العدم ، ولا يضرّه </w:t>
      </w:r>
      <w:r>
        <w:rPr>
          <w:rStyle w:val="FootnoteAnchor"/>
          <w:rtl w:val="true"/>
        </w:rPr>
        <w:footnoteReference w:id="1364"/>
      </w:r>
      <w:r>
        <w:rPr>
          <w:rFonts w:ascii="Amiri" w:hAnsi="Amiri" w:eastAsia="Amiri" w:cs="Amiri"/>
          <w:color w:val="111111"/>
          <w:sz w:val="28"/>
          <w:sz w:val="28"/>
          <w:szCs w:val="28"/>
          <w:rtl w:val="true"/>
          <w:lang w:bidi="ar-SA"/>
        </w:rPr>
        <w:t xml:space="preserve">وجوده في السابق بعد ما فرض تقييده بالزمان في استصحاب العدم بعد زوال القيد ؛ إذ وجوده في الوقت </w:t>
      </w:r>
      <w:r>
        <w:rPr>
          <w:rStyle w:val="FootnoteAnchor"/>
          <w:rtl w:val="true"/>
        </w:rPr>
        <w:footnoteReference w:id="1365"/>
      </w:r>
      <w:r>
        <w:rPr>
          <w:rFonts w:ascii="Amiri" w:hAnsi="Amiri" w:eastAsia="Amiri" w:cs="Amiri"/>
          <w:color w:val="111111"/>
          <w:sz w:val="28"/>
          <w:sz w:val="28"/>
          <w:szCs w:val="28"/>
          <w:rtl w:val="true"/>
          <w:lang w:bidi="ar-SA"/>
        </w:rPr>
        <w:t>السابق عين عدمه في الوقت اللاحق كما لا يخفى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بعد انقطاع العدم المطلق في الأزل بالوجود المطلق وخروج الماهيّة من الليس إلى الأيس ، فلا وجه لاستصحاب العدم في موضع الشكّ ويجري فيه استصحاب الوجود ؛ لأنّ العدم المطلق قد انقطع بوجود مطلق ، فلا تعارض في المقام ، ولا فرق فيما ذكرنا بين أن يكون مبنى الأمر في الاستصحاب على التدقيق في موضوعه أو على التسامح ؛ إذ على التقديرين يتّجه الترديد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جزم بأحد طرفي الترديد المذكور ، فيجري فيه الاستصحابان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فساد هذا التوهّم </w:t>
      </w:r>
      <w:r>
        <w:rPr>
          <w:rStyle w:val="FootnoteAnchor"/>
          <w:rtl w:val="true"/>
        </w:rPr>
        <w:footnoteReference w:id="1366"/>
      </w:r>
      <w:r>
        <w:rPr>
          <w:rFonts w:ascii="Amiri" w:hAnsi="Amiri" w:eastAsia="Amiri" w:cs="Amiri"/>
          <w:color w:val="111111"/>
          <w:sz w:val="28"/>
          <w:sz w:val="28"/>
          <w:szCs w:val="28"/>
          <w:rtl w:val="true"/>
          <w:lang w:bidi="ar-SA"/>
        </w:rPr>
        <w:t>؛ إذ لا يجري عنده إلاّ أحد الاستصحابين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يتخيّل ابتناء </w:t>
      </w:r>
      <w:r>
        <w:rPr>
          <w:rStyle w:val="FootnoteAnchor"/>
          <w:rtl w:val="true"/>
        </w:rPr>
        <w:footnoteReference w:id="1367"/>
      </w:r>
      <w:r>
        <w:rPr>
          <w:rFonts w:ascii="Amiri" w:hAnsi="Amiri" w:eastAsia="Amiri" w:cs="Amiri"/>
          <w:color w:val="111111"/>
          <w:sz w:val="28"/>
          <w:sz w:val="28"/>
          <w:szCs w:val="28"/>
          <w:rtl w:val="true"/>
          <w:lang w:bidi="ar-SA"/>
        </w:rPr>
        <w:t>هذا الكلام على ما تخيّله بعض أهل المعقول من كون الوجود أمرا ممتدّا في تشخّصه على وجه لا يناط امتداده بالزمان كنفس الزمان والحركة وسائر المقادير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ممّا لا يكاد يتمّ ؛ إذ بعد فرض الامتداد في نفس الوجود فعند الشكّ في حصول حدّه لا وجه لاستصحاب العدم ، وعند الشكّ في وجوده بعد الوصول إلى الحدّ لا وجه لاستصحاب الوجود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نختار جريان الاستصحاب الوجودي بجعل الزمان ظرفا ، ومع ذلك فلا يعقل جريان استصحاب الوجود ؛ لأنّ الممكن ليس مستغنيا عن المؤثّر في البقاء أيضا ، فوجوده </w:t>
      </w:r>
      <w:r>
        <w:rPr>
          <w:rStyle w:val="FootnoteAnchor"/>
          <w:rtl w:val="true"/>
        </w:rPr>
        <w:footnoteReference w:id="1368"/>
      </w:r>
      <w:r>
        <w:rPr>
          <w:rFonts w:ascii="Amiri" w:hAnsi="Amiri" w:eastAsia="Amiri" w:cs="Amiri"/>
          <w:color w:val="111111"/>
          <w:sz w:val="28"/>
          <w:sz w:val="28"/>
          <w:szCs w:val="28"/>
          <w:rtl w:val="true"/>
          <w:lang w:bidi="ar-SA"/>
        </w:rPr>
        <w:t xml:space="preserve">في الزمان الثاني لا بدّ له من مرجّح به ينسدّ جميع أنحاء عدمه ويتفاضل إحدى كفّتي ميزان وجوده وعدمه ، والأصل عدم المرجّح ، فيتعارضان ، فلا يحكم بوجود المستصحب في الزمان الثاني كما هو المقصود من الاستصحاب </w:t>
      </w:r>
      <w:r>
        <w:rPr>
          <w:rStyle w:val="FootnoteAnchor"/>
          <w:rtl w:val="true"/>
        </w:rPr>
        <w:footnoteReference w:id="1369"/>
      </w:r>
      <w:r>
        <w:rPr>
          <w:rFonts w:ascii="Amiri" w:hAnsi="Amiri" w:eastAsia="Amiri" w:cs="Amiri"/>
          <w:color w:val="111111"/>
          <w:sz w:val="28"/>
          <w:sz w:val="28"/>
          <w:szCs w:val="28"/>
          <w:rtl w:val="true"/>
          <w:lang w:bidi="ar-SA"/>
        </w:rPr>
        <w:t>في الأحكام الوجودية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لمعارضة استصحاب الوجود </w:t>
      </w:r>
      <w:r>
        <w:rPr>
          <w:rStyle w:val="FootnoteAnchor"/>
          <w:rtl w:val="true"/>
        </w:rPr>
        <w:footnoteReference w:id="1370"/>
      </w:r>
      <w:r>
        <w:rPr>
          <w:rFonts w:ascii="Amiri" w:hAnsi="Amiri" w:eastAsia="Amiri" w:cs="Amiri"/>
          <w:color w:val="111111"/>
          <w:sz w:val="28"/>
          <w:sz w:val="28"/>
          <w:szCs w:val="28"/>
          <w:rtl w:val="true"/>
          <w:lang w:bidi="ar-SA"/>
        </w:rPr>
        <w:t xml:space="preserve">لاستصحاب عدم المرجّح ؛ إذ الشكّ في الوجود في الزمان الثاني ناش من الشكّ في وجود مرجّحه فيه ، فعلى فرض جريان الأصل في المرجّح لا يبقى للشكّ في وجود المعلول مجال كما لا يخفى ؛ إذ به </w:t>
      </w:r>
    </w:p>
    <w:p>
      <w:pPr>
        <w:pStyle w:val="BookText"/>
        <w:rPr/>
      </w:pPr>
      <w:r>
        <w:rPr>
          <w:rFonts w:ascii="Amiri" w:hAnsi="Amiri" w:eastAsia="Amiri" w:cs="Amiri"/>
          <w:color w:val="111111"/>
          <w:sz w:val="28"/>
          <w:sz w:val="28"/>
          <w:szCs w:val="28"/>
          <w:rtl w:val="true"/>
          <w:lang w:bidi="ar-SA"/>
        </w:rPr>
        <w:t>يرتفع ارتفاعا 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عدم المرجّح معارض باستصحاب وجوده ؛ إذ احتياج الممكن في البقاء إلى المؤثّر لا يقضي </w:t>
      </w:r>
      <w:r>
        <w:rPr>
          <w:rStyle w:val="FootnoteAnchor"/>
          <w:rtl w:val="true"/>
        </w:rPr>
        <w:footnoteReference w:id="1371"/>
      </w:r>
      <w:r>
        <w:rPr>
          <w:rFonts w:ascii="Amiri" w:hAnsi="Amiri" w:eastAsia="Amiri" w:cs="Amiri"/>
          <w:color w:val="111111"/>
          <w:sz w:val="28"/>
          <w:sz w:val="28"/>
          <w:szCs w:val="28"/>
          <w:rtl w:val="true"/>
          <w:lang w:bidi="ar-SA"/>
        </w:rPr>
        <w:t xml:space="preserve">بأن لا يكون المؤثّر هو المفيض الأوّل ، بل والتحقيق أنّه على تقدير وجود الممكن في الزمان الثاني لا بدّ وأن يكون هو المؤثّر الأوّل ؛ لانتفاء المعلول الأوّل بانتفاء علّته الأولى ، فعلى فرض وجوده ثانيا يباين الأوّل على هذه الملاحظة كما لا يخفى ، فالأصل بقاء مرجّحه في الزمان الأوّل ، فيتعارضان فيتساقطان </w:t>
      </w:r>
      <w:r>
        <w:rPr>
          <w:rStyle w:val="FootnoteAnchor"/>
          <w:rtl w:val="true"/>
        </w:rPr>
        <w:footnoteReference w:id="1372"/>
      </w:r>
      <w:r>
        <w:rPr>
          <w:rFonts w:ascii="Amiri" w:hAnsi="Amiri" w:eastAsia="Amiri" w:cs="Amiri"/>
          <w:color w:val="111111"/>
          <w:sz w:val="28"/>
          <w:sz w:val="28"/>
          <w:szCs w:val="28"/>
          <w:rtl w:val="true"/>
          <w:lang w:bidi="ar-SA"/>
        </w:rPr>
        <w:t>ويبقى استصحاب الوجود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الثابت من وجود المرجّح هو الوجود في الزمان الأوّل فلا يجري فيه استصحاب الوجود ، رجوع إلى ما أبطلناه سابقا من عدم تقييد الوجود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فالمعترض إنّما انتقل من الاعتراض في المعلول إلى العلّة كما لا يخفى ، والجواب هو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الفاضل المذكور إنّما تصدّع بالتفصيل المزبور في الأحكام الشرعية الجعلية ، وأمّا المرجّح لوجود الشيء والحكم وعلّة الجعل ليس منها ، فهو إذن كالموضوعات الخارجية التي يلتزم باستصحاب الوجود فيها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زعمه من إجراء الاستصحاب العدمي في القسمين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ما شكّ في وجود المزيل أو إزالة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فيما زعمه ؛ لأنّ المستفاد من كلامه أخيرا عدم تعارض الاستصحاب الوجودي للعدمي فيما إذا كان المستصحب موضوعا خارجيا كالرطوبة والحياة ونحوهما ، والوجه في ذلك أنّ الوجود في الموضوعات الخارجية ليس ممّا يختلف باختلاف الأزمنة ، فاستصحاب </w:t>
      </w:r>
    </w:p>
    <w:p>
      <w:pPr>
        <w:pStyle w:val="BookText"/>
        <w:rPr/>
      </w:pPr>
      <w:r>
        <w:rPr>
          <w:rFonts w:ascii="Amiri" w:hAnsi="Amiri" w:eastAsia="Amiri" w:cs="Amiri"/>
          <w:color w:val="111111"/>
          <w:sz w:val="28"/>
          <w:sz w:val="28"/>
          <w:szCs w:val="28"/>
          <w:rtl w:val="true"/>
          <w:lang w:bidi="ar-SA"/>
        </w:rPr>
        <w:t>العدم ليس جاريا فيها ، فلا يعارض استصحاب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 وجه التعارض في القسمين بأنّ استصحاب الطهارة والملكية في الزمان الثاني معارض باستصحاب عدم جعل الشارع الطهارة في الزمان الثاني عند الشكّ في وجود الرافع أو الشكّ في رافعية الموجود ، فهل ترى يختلف جعل الشارع طهارة الشيء باختلاف حالات المكلّف من الشكّ في وجود الرافع؟ إذ من المعلوم عدم مدخلية ذلك في الجعل ، فالحال في القسمين كالحال في الموضوعات فإن أمكن القول بالتعارض فلا فرق بينهما ، وإلاّ فلا فرق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الشكّ في وجود الرافع أو رافعية الموجود هو بقاء المعلول في الزمان الثاني بحسب وجود المقتضي لذلك ، فمع قطع النظر عن الرافع وجود الشيء المرفوع بحسب اقتضاء مقتضيه من الجعل ونحوه في زمان وجود الرافع معلوم ، فلا يتعقّل اختلاف الجعل عند اختلاف حالة المكلّف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 أبي جعفر عليه أفضل السلام وأكمل الصلاة </w:t>
      </w:r>
      <w:r>
        <w:rPr>
          <w:rStyle w:val="FootnoteAnchor"/>
          <w:rtl w:val="true"/>
        </w:rPr>
        <w:footnoteReference w:id="1373"/>
      </w:r>
      <w:r>
        <w:rPr>
          <w:rFonts w:ascii="Amiri" w:hAnsi="Amiri" w:eastAsia="Amiri" w:cs="Amiri"/>
          <w:color w:val="111111"/>
          <w:sz w:val="28"/>
          <w:sz w:val="28"/>
          <w:szCs w:val="28"/>
          <w:rtl w:val="true"/>
          <w:lang w:bidi="ar-SA"/>
        </w:rPr>
        <w:t xml:space="preserve">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حجّة عليه ، فإنّه عليه‌السلام إنّما راعى جهة استصحاب الوجود وهو استصحاب الطهارة السابقة لا استصحاب عدم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عليه‌السلام إنّما حكم بذلك من حيث إنّ اللازم لرفع الرافع وعدمه بالاستصحاب هو الوجود لا أنّه اعتبر استصحاب الوجود بنفسه كما هو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الوجدان </w:t>
      </w:r>
      <w:r>
        <w:rPr>
          <w:rStyle w:val="FootnoteAnchor"/>
          <w:rtl w:val="true"/>
        </w:rPr>
        <w:footnoteReference w:id="1375"/>
      </w:r>
      <w:r>
        <w:rPr>
          <w:rFonts w:ascii="Amiri" w:hAnsi="Amiri" w:eastAsia="Amiri" w:cs="Amiri"/>
          <w:color w:val="111111"/>
          <w:sz w:val="28"/>
          <w:sz w:val="28"/>
          <w:szCs w:val="28"/>
          <w:rtl w:val="true"/>
          <w:lang w:bidi="ar-SA"/>
        </w:rPr>
        <w:t xml:space="preserve">السليم حاكم بفساد التوهّم المذكور ، وتوضحه </w:t>
      </w:r>
      <w:r>
        <w:rPr>
          <w:rStyle w:val="FootnoteAnchor"/>
          <w:rtl w:val="true"/>
        </w:rPr>
        <w:footnoteReference w:id="1376"/>
      </w:r>
      <w:r>
        <w:rPr>
          <w:rFonts w:ascii="Amiri" w:hAnsi="Amiri" w:eastAsia="Amiri" w:cs="Amiri"/>
          <w:color w:val="111111"/>
          <w:sz w:val="28"/>
          <w:sz w:val="28"/>
          <w:szCs w:val="28"/>
          <w:rtl w:val="true"/>
          <w:lang w:bidi="ar-SA"/>
        </w:rPr>
        <w:t>ملاحظة ظاهر الرواية ، فإنّه علّله بوجود الطهارة اليقينية ، وإلاّ كان المتّجه تعليله بعدم العلم بالرافع وهذا ظاهر في الغاية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فانقدح من جميع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أورده من تعارض الاستصحابين في الحكم الواحد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يصغى إليه لادّائه إلى اجتماع النقيضين ووجود اليقين على طرفي الخلاف والتناقض كما هو ظاهر على من تدبّر ، ولعلّه </w:t>
      </w:r>
      <w:r>
        <w:rPr>
          <w:rStyle w:val="FootnoteAnchor"/>
          <w:rtl w:val="true"/>
        </w:rPr>
        <w:footnoteReference w:id="1377"/>
      </w:r>
      <w:r>
        <w:rPr>
          <w:rFonts w:ascii="Amiri" w:hAnsi="Amiri" w:eastAsia="Amiri" w:cs="Amiri"/>
          <w:color w:val="111111"/>
          <w:sz w:val="28"/>
          <w:sz w:val="28"/>
          <w:szCs w:val="28"/>
          <w:rtl w:val="true"/>
          <w:lang w:bidi="ar-SA"/>
        </w:rPr>
        <w:t xml:space="preserve">إنّما قاس الاستصحابين بغيرهما من الأمارتين فيما إذا تعارضتا في موضوع واحد كاليدين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كلامه أوّلا ، وأنت خبير بظهور الفرق بينهما ؛ حيث إنّ موضوعهما لا يناط بحالة نفسانية ، بخلاف الاستصحاب فإنّ تحقّق موضوعه منوط بتحقّق اليقين والشكّ ، ولا يتصوّر اليقين بطرفي </w:t>
      </w:r>
      <w:r>
        <w:rPr>
          <w:rStyle w:val="FootnoteAnchor"/>
          <w:rtl w:val="true"/>
        </w:rPr>
        <w:footnoteReference w:id="1378"/>
      </w:r>
      <w:r>
        <w:rPr>
          <w:rFonts w:ascii="Amiri" w:hAnsi="Amiri" w:eastAsia="Amiri" w:cs="Amiri"/>
          <w:color w:val="111111"/>
          <w:sz w:val="28"/>
          <w:sz w:val="28"/>
          <w:szCs w:val="28"/>
          <w:rtl w:val="true"/>
          <w:lang w:bidi="ar-SA"/>
        </w:rPr>
        <w:t>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وانقدح </w:t>
      </w:r>
      <w:r>
        <w:rPr>
          <w:rStyle w:val="FootnoteAnchor"/>
          <w:rtl w:val="true"/>
        </w:rPr>
        <w:footnoteReference w:id="1379"/>
      </w:r>
      <w:r>
        <w:rPr>
          <w:rFonts w:ascii="Amiri" w:hAnsi="Amiri" w:eastAsia="Amiri" w:cs="Amiri"/>
          <w:color w:val="111111"/>
          <w:sz w:val="28"/>
          <w:sz w:val="28"/>
          <w:szCs w:val="28"/>
          <w:rtl w:val="true"/>
          <w:lang w:bidi="ar-SA"/>
        </w:rPr>
        <w:t>أيضا بأنّ ما فرّعه من دفع شبهة النبوّة المتقدّمة ممّا لا أصل له كما هو ظاهر لا سترة عليه</w:t>
      </w:r>
      <w:r>
        <w:rPr>
          <w:rFonts w:eastAsia="Amiri" w:cs="Amiri" w:ascii="Amiri" w:hAnsi="Amiri"/>
          <w:color w:val="111111"/>
          <w:sz w:val="28"/>
          <w:szCs w:val="28"/>
          <w:rtl w:val="true"/>
          <w:lang w:bidi="ar-SA"/>
        </w:rPr>
        <w:t xml:space="preserve">. </w:t>
      </w:r>
      <w:bookmarkStart w:id="147" w:name="pg16284_171231"/>
    </w:p>
    <w:p>
      <w:pPr>
        <w:pStyle w:val="Heading3"/>
        <w:numPr>
          <w:ilvl w:val="2"/>
          <w:numId w:val="1"/>
        </w:numPr>
        <w:rPr/>
      </w:pPr>
      <w:bookmarkStart w:id="148" w:name="__RefHeading___Toc5012114_1280447820"/>
      <w:bookmarkStart w:id="149" w:name="_Toc46"/>
      <w:bookmarkEnd w:id="147"/>
      <w:bookmarkEnd w:id="148"/>
      <w:r>
        <w:rPr>
          <w:rtl w:val="true"/>
        </w:rPr>
        <w:t xml:space="preserve">هداية </w:t>
      </w:r>
      <w:r>
        <w:rPr>
          <w:rtl w:val="true"/>
        </w:rPr>
        <w:t xml:space="preserve">[ </w:t>
      </w:r>
      <w:r>
        <w:rPr>
          <w:rtl w:val="true"/>
        </w:rPr>
        <w:t xml:space="preserve">في الاستصحاب في الاعتقاديات </w:t>
      </w:r>
      <w:r>
        <w:rPr>
          <w:rtl w:val="true"/>
        </w:rPr>
        <w:t>]</w:t>
      </w:r>
      <w:bookmarkEnd w:id="149"/>
    </w:p>
    <w:p>
      <w:pPr>
        <w:pStyle w:val="BookText"/>
        <w:rPr/>
      </w:pPr>
      <w:r>
        <w:rPr>
          <w:rFonts w:ascii="Amiri" w:hAnsi="Amiri" w:eastAsia="Amiri" w:cs="Amiri"/>
          <w:color w:val="111111"/>
          <w:sz w:val="28"/>
          <w:sz w:val="28"/>
          <w:szCs w:val="28"/>
          <w:rtl w:val="true"/>
          <w:lang w:bidi="ar-SA"/>
        </w:rPr>
        <w:t xml:space="preserve">قد عرفت فيما قدّمنا </w:t>
      </w:r>
      <w:r>
        <w:rPr>
          <w:rStyle w:val="FootnoteAnchor"/>
          <w:rtl w:val="true"/>
        </w:rPr>
        <w:footnoteReference w:id="1380"/>
      </w:r>
      <w:r>
        <w:rPr>
          <w:rFonts w:ascii="Amiri" w:hAnsi="Amiri" w:eastAsia="Amiri" w:cs="Amiri"/>
          <w:color w:val="111111"/>
          <w:sz w:val="28"/>
          <w:sz w:val="28"/>
          <w:szCs w:val="28"/>
          <w:rtl w:val="true"/>
          <w:lang w:bidi="ar-SA"/>
        </w:rPr>
        <w:t xml:space="preserve">في الهداية المعقودة لتحرير محلّ الخلاف في الباب </w:t>
      </w:r>
      <w:r>
        <w:rPr>
          <w:rStyle w:val="FootnoteAnchor"/>
          <w:rtl w:val="true"/>
        </w:rPr>
        <w:footnoteReference w:id="1381"/>
      </w:r>
      <w:r>
        <w:rPr>
          <w:rFonts w:ascii="Amiri" w:hAnsi="Amiri" w:eastAsia="Amiri" w:cs="Amiri"/>
          <w:color w:val="111111"/>
          <w:sz w:val="28"/>
          <w:sz w:val="28"/>
          <w:szCs w:val="28"/>
          <w:rtl w:val="true"/>
          <w:lang w:bidi="ar-SA"/>
        </w:rPr>
        <w:t xml:space="preserve">عمومه للأقسام الخمسة من الأحكام الكلّية الفرعية ، والاعتقادية ، والأصولية ، والموضوعات المستنبطة منها الأحكام ، والموضوعات الخارجية المتعلّقة بها الأحكام ، وقد مرّ أيضا ما يستظهر منه جريان الاستصحاب واعتباره وعدمهما في الأقسام المذكورة ، إلاّ أنّه لا بأس بتجديد </w:t>
      </w:r>
      <w:r>
        <w:rPr>
          <w:rStyle w:val="FootnoteAnchor"/>
          <w:rtl w:val="true"/>
        </w:rPr>
        <w:footnoteReference w:id="1382"/>
      </w:r>
      <w:r>
        <w:rPr>
          <w:rFonts w:ascii="Amiri" w:hAnsi="Amiri" w:eastAsia="Amiri" w:cs="Amiri"/>
          <w:color w:val="111111"/>
          <w:sz w:val="28"/>
          <w:sz w:val="28"/>
          <w:szCs w:val="28"/>
          <w:rtl w:val="true"/>
          <w:lang w:bidi="ar-SA"/>
        </w:rPr>
        <w:t xml:space="preserve">المقال في توضيح الحال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الأحكام الكلّية الشرعية فقد عرفت </w:t>
      </w:r>
      <w:r>
        <w:rPr>
          <w:rStyle w:val="FootnoteAnchor"/>
          <w:rtl w:val="true"/>
        </w:rPr>
        <w:footnoteReference w:id="1383"/>
      </w:r>
      <w:r>
        <w:rPr>
          <w:rFonts w:ascii="Amiri" w:hAnsi="Amiri" w:eastAsia="Amiri" w:cs="Amiri"/>
          <w:color w:val="111111"/>
          <w:sz w:val="28"/>
          <w:sz w:val="28"/>
          <w:szCs w:val="28"/>
          <w:rtl w:val="true"/>
          <w:lang w:bidi="ar-SA"/>
        </w:rPr>
        <w:t xml:space="preserve">تحقيق الكلام فيه بما لا مزيد عليه ، وأمّا الاعتقاديات فالمقصود من الاستصحاب فيها </w:t>
      </w:r>
      <w:r>
        <w:rPr>
          <w:rStyle w:val="FootnoteAnchor"/>
          <w:rtl w:val="true"/>
        </w:rPr>
        <w:footnoteReference w:id="1384"/>
      </w:r>
      <w:r>
        <w:rPr>
          <w:rFonts w:ascii="Amiri" w:hAnsi="Amiri" w:eastAsia="Amiri" w:cs="Amiri"/>
          <w:color w:val="111111"/>
          <w:sz w:val="28"/>
          <w:sz w:val="28"/>
          <w:szCs w:val="28"/>
          <w:rtl w:val="true"/>
          <w:lang w:bidi="ar-SA"/>
        </w:rPr>
        <w:t>إمّا إثبات نفس الاعتقاد ، وإمّا إثبات حكمه كوجوب الاعتقاد ، وإمّا إثبات المعتقد ، ولا وجه للكلّ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الاستصحاب لا يعقل في الاعتقاد المعلوم انتفاؤه حال الشكّ إن أريد إثبات ذلك الاعتقاد الشخصي الموجود في السابق ، وإن أريد تحصيل الاعتقاد بالاستصحاب على وجه يكون المستند فيه هو الاستصحاب فغاية ما يتعسّف في المقام القول بإفادته الظنّ ، ويرجع النزاع إلى ما فرغنا عن البحث عنه في مباحث </w:t>
      </w:r>
    </w:p>
    <w:p>
      <w:pPr>
        <w:pStyle w:val="BookText"/>
        <w:rPr/>
      </w:pPr>
      <w:r>
        <w:rPr>
          <w:rFonts w:ascii="Amiri" w:hAnsi="Amiri" w:eastAsia="Amiri" w:cs="Amiri"/>
          <w:color w:val="111111"/>
          <w:sz w:val="28"/>
          <w:sz w:val="28"/>
          <w:szCs w:val="28"/>
          <w:rtl w:val="true"/>
          <w:lang w:bidi="ar-SA"/>
        </w:rPr>
        <w:t>الظنّ من عدم اعتباره في الاعتقاديات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بعد فرض انتفاء الموضوع لذلك الحكم لا معنى لاستصحاب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أنّ الوجوب </w:t>
      </w:r>
      <w:r>
        <w:rPr>
          <w:rStyle w:val="FootnoteAnchor"/>
          <w:rtl w:val="true"/>
        </w:rPr>
        <w:footnoteReference w:id="1385"/>
      </w:r>
      <w:r>
        <w:rPr>
          <w:rFonts w:ascii="Amiri" w:hAnsi="Amiri" w:eastAsia="Amiri" w:cs="Amiri"/>
          <w:color w:val="111111"/>
          <w:sz w:val="28"/>
          <w:sz w:val="28"/>
          <w:szCs w:val="28"/>
          <w:rtl w:val="true"/>
          <w:lang w:bidi="ar-SA"/>
        </w:rPr>
        <w:t xml:space="preserve">المتعلّق </w:t>
      </w:r>
      <w:r>
        <w:rPr>
          <w:rStyle w:val="FootnoteAnchor"/>
          <w:rtl w:val="true"/>
        </w:rPr>
        <w:footnoteReference w:id="1386"/>
      </w:r>
      <w:r>
        <w:rPr>
          <w:rFonts w:ascii="Amiri" w:hAnsi="Amiri" w:eastAsia="Amiri" w:cs="Amiri"/>
          <w:color w:val="111111"/>
          <w:sz w:val="28"/>
          <w:sz w:val="28"/>
          <w:szCs w:val="28"/>
          <w:rtl w:val="true"/>
          <w:lang w:bidi="ar-SA"/>
        </w:rPr>
        <w:t>بالاعتقاد لا يعقل وجوده بعد انتفاء الاعتقاد إن أريد إثبات الحكم والوجوب بعد ارتفاع الاعتقاد ، وإن أريد به بعد وجود الاعتقاد فلا ثمرة فيه ؛ إذ بعد الاعتقاد بنبوّة نبيّ لا يترتب على الوجوب المتعلّق به حكم ، فإنّ المقصود في المطالب الاعتقادية هو نفس الاعتقاد من غير مدخلية شيء آخر والمفروض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استصحاب وجوب تحصيل الاعتقاد فيما لو دلّ الدليل عليه في السابق عند انتفاء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الدليل على الاعتقاد كأن يكون هناك دليل مفيد له لا وجه للاستصحاب ؛ إذ المفروض حصول الاعتقاد بواسطة ذلك الدليل ، ومع عدمه يمكن الاستصحاب ، إلاّ أنّ المقدّر خلافه ؛ لوجود الدليل دائما على ذلك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المعتقد من الموضوعات لا معنى لاستصحابه في موارد الشكّ بمعنى أنّه لا يكون ثابتا في مقام الظاهر ، نعم معنى استصحابه هو ترتيب الآثار المترتّبة عليه حال العلم ، وليس ذلك إلاّ الأحكام الفرعية كما لا يخفى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الأصولية العملية فجريان الاستصحاب فيها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التعبّد بواسطة دلالة الأخبار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إفادته الظنّ وبناء العقلاء </w:t>
      </w:r>
      <w:r>
        <w:rPr>
          <w:rStyle w:val="FootnoteAnchor"/>
          <w:rtl w:val="true"/>
        </w:rPr>
        <w:footnoteReference w:id="1387"/>
      </w:r>
      <w:r>
        <w:rPr>
          <w:rFonts w:ascii="Amiri" w:hAnsi="Amiri" w:eastAsia="Amiri" w:cs="Amiri"/>
          <w:color w:val="111111"/>
          <w:sz w:val="28"/>
          <w:sz w:val="28"/>
          <w:szCs w:val="28"/>
          <w:rtl w:val="true"/>
          <w:lang w:bidi="ar-SA"/>
        </w:rPr>
        <w:t xml:space="preserve">، فعلى الأوّل لا إشكال في جريان الاستصحاب واعتباره أيضا إلاّ أن يقال بعدم كفاية غير العلم فيها ، وعلى الثاني أيضا كذلك بناء على ما هو التحقيق من كفاية الظنّ في الأصول أيضا ، سيّما على تقدير كون الظنّ الحاصل منه ظنّا مخصوصا لقيام دليل على اعتباره كبناء العقلاء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الموضوعات المستنبطة فالاستصحابات المعمولة فيها ممّا لا ريب في صحّة مفادها بناء على اعتبارها من جهة الظنّ كما هو ظاهر ، وأمّا على تقدير الاستناد إلى الأخبار فاعتبارها مبنيّ على جواز التعويل على الأصول المثبتة وستعرفه بعيد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الموضوعات الخارجية الصرفة والأحكام الجزئية كحياة زيد والرطوبة واليبوسة والطهارة الخاصّة والزوجية الخاصّة ونحوها ، فجريان الاستصحاب واعتباره فيها ممّا لا كلام فيه كما مرّ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6284_171235"/>
      <w:bookmarkStart w:id="151" w:name="pg16284_171235"/>
      <w:bookmarkEnd w:id="151"/>
    </w:p>
    <w:p>
      <w:pPr>
        <w:pStyle w:val="Heading3"/>
        <w:numPr>
          <w:ilvl w:val="2"/>
          <w:numId w:val="1"/>
        </w:numPr>
        <w:rPr/>
      </w:pPr>
      <w:bookmarkStart w:id="152" w:name="pg16284_171235"/>
      <w:bookmarkStart w:id="153" w:name="__RefHeading___Toc5012116_1280447820"/>
      <w:bookmarkStart w:id="154" w:name="_Toc47"/>
      <w:bookmarkEnd w:id="152"/>
      <w:bookmarkEnd w:id="153"/>
      <w:r>
        <w:rPr>
          <w:rtl w:val="true"/>
        </w:rPr>
        <w:t xml:space="preserve">هداية </w:t>
      </w:r>
      <w:r>
        <w:rPr>
          <w:rtl w:val="true"/>
        </w:rPr>
        <w:t xml:space="preserve">[ </w:t>
      </w:r>
      <w:r>
        <w:rPr>
          <w:rtl w:val="true"/>
        </w:rPr>
        <w:t xml:space="preserve">في الأصل المثبت </w:t>
      </w:r>
      <w:r>
        <w:rPr>
          <w:rtl w:val="true"/>
        </w:rPr>
        <w:t>]</w:t>
      </w:r>
      <w:bookmarkEnd w:id="154"/>
    </w:p>
    <w:p>
      <w:pPr>
        <w:pStyle w:val="Heading4"/>
        <w:numPr>
          <w:ilvl w:val="3"/>
          <w:numId w:val="1"/>
        </w:numPr>
        <w:rPr/>
      </w:pPr>
      <w:bookmarkStart w:id="155" w:name="__RefHeading___Toc5012118_1280447820"/>
      <w:bookmarkStart w:id="156" w:name="_Toc48"/>
      <w:bookmarkEnd w:id="155"/>
      <w:r>
        <w:rPr>
          <w:rtl w:val="true"/>
        </w:rPr>
        <w:t>اشارة</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المثبت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المستصحب إمّا أن يكون حكما من الأحكام الشرعية فيمكن أن يكون مجعولا في مرحلة الظاهر ؛ لكونه من الأمور الجعلية ، بل لا معنى لاستصحابه إلاّ جعله في الظاهر كما عرفت فيما تقدّم في الهداية السبزوارية </w:t>
      </w:r>
      <w:r>
        <w:rPr>
          <w:rStyle w:val="FootnoteAnchor"/>
          <w:rtl w:val="true"/>
        </w:rPr>
        <w:footnoteReference w:id="1390"/>
      </w:r>
      <w:r>
        <w:rPr>
          <w:rFonts w:ascii="Amiri" w:hAnsi="Amiri" w:eastAsia="Amiri" w:cs="Amiri"/>
          <w:color w:val="111111"/>
          <w:sz w:val="28"/>
          <w:sz w:val="28"/>
          <w:szCs w:val="28"/>
          <w:rtl w:val="true"/>
          <w:lang w:bidi="ar-SA"/>
        </w:rPr>
        <w:t>، وإمّا أن يكون موضوعا من الموضوعات التي لا يمكن جعلها في مقام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ترتيب كلّ ما يترتّب على الحكم الواقعي عليه ؛ إذ هو بعد الجعل حكم واقعا فيترتّب </w:t>
      </w:r>
      <w:r>
        <w:rPr>
          <w:rStyle w:val="FootnoteAnchor"/>
          <w:rtl w:val="true"/>
        </w:rPr>
        <w:footnoteReference w:id="1391"/>
      </w:r>
      <w:r>
        <w:rPr>
          <w:rFonts w:ascii="Amiri" w:hAnsi="Amiri" w:eastAsia="Amiri" w:cs="Amiri"/>
          <w:color w:val="111111"/>
          <w:sz w:val="28"/>
          <w:sz w:val="28"/>
          <w:szCs w:val="28"/>
          <w:rtl w:val="true"/>
          <w:lang w:bidi="ar-SA"/>
        </w:rPr>
        <w:t>عليه جميع ما يتفرّع عليه من اللوازم الشرعية والعاديّة والعقلية ، اللّهمّ إلاّ أن يكون ذلك الحكم من خواصّ الأحكام الواقعية من حيث هي واقعية إلاّ أنّه لم نجده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يراد إثباته باستصحاب ذلك الموضوع إمّا أن يكون بواسطة ملازمة وحصول علقة بينه وبين المستصحب على وجه تكون القضيّة الدالّة على الملازمة بينهما لزومية ، أو لا يكون كذلك بل يكون مقارنا للمستصحب اتّفاقا من غير ارتباط بينهما ، فالقضيّة الدالّة عليها اتّفاقية كما إذا علمنا إجمالا إمّا بموت زيد أو بحياة عمرو ، فاستصحاب حياة عمرو يلازم وجود زيد ملازمة اتّفاقية في تلك القضيّة </w:t>
      </w:r>
      <w:bookmarkStart w:id="157" w:name="pg16284_171236"/>
    </w:p>
    <w:p>
      <w:pPr>
        <w:pStyle w:val="BookText"/>
        <w:rPr/>
      </w:pPr>
      <w:bookmarkEnd w:id="157"/>
      <w:r>
        <w:rPr>
          <w:rFonts w:ascii="Amiri" w:hAnsi="Amiri" w:eastAsia="Amiri" w:cs="Amiri"/>
          <w:color w:val="111111"/>
          <w:sz w:val="28"/>
          <w:sz w:val="28"/>
          <w:szCs w:val="28"/>
          <w:rtl w:val="true"/>
          <w:lang w:bidi="ar-SA"/>
        </w:rPr>
        <w:t xml:space="preserve">الشخصية بواسطة العلم الإجمالي المردّد بينهما ، فعلى الأوّل فإمّا أن يكون المستصحب ملزوما لذلك الأمر ، أو لازما له ، أو كلاهما لازمين لملزوم ثالث ، وعلى التقادير إمّا أن تكون </w:t>
      </w:r>
      <w:r>
        <w:rPr>
          <w:rStyle w:val="FootnoteAnchor"/>
          <w:rtl w:val="true"/>
        </w:rPr>
        <w:footnoteReference w:id="1392"/>
      </w:r>
      <w:r>
        <w:rPr>
          <w:rFonts w:ascii="Amiri" w:hAnsi="Amiri" w:eastAsia="Amiri" w:cs="Amiri"/>
          <w:color w:val="111111"/>
          <w:sz w:val="28"/>
          <w:sz w:val="28"/>
          <w:szCs w:val="28"/>
          <w:rtl w:val="true"/>
          <w:lang w:bidi="ar-SA"/>
        </w:rPr>
        <w:t xml:space="preserve">الملازمة عقلية أو عاديّة أو شرعية ، فذلك </w:t>
      </w:r>
      <w:r>
        <w:rPr>
          <w:rStyle w:val="FootnoteAnchor"/>
          <w:rtl w:val="true"/>
        </w:rPr>
        <w:footnoteReference w:id="1393"/>
      </w:r>
      <w:r>
        <w:rPr>
          <w:rFonts w:ascii="Amiri" w:hAnsi="Amiri" w:eastAsia="Amiri" w:cs="Amiri"/>
          <w:color w:val="111111"/>
          <w:sz w:val="28"/>
          <w:sz w:val="28"/>
          <w:szCs w:val="28"/>
          <w:rtl w:val="true"/>
          <w:lang w:bidi="ar-SA"/>
        </w:rPr>
        <w:t>إذا عشرة بعد انضمام القسم الاتّفاقي إلى التسعة اللزومية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تمهّد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تحقيق الكلام في الأقسام المعهودة في مقامات </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5012120_1280447820"/>
      <w:bookmarkStart w:id="159" w:name="_Toc49"/>
      <w:bookmarkEnd w:id="158"/>
      <w:r>
        <w:rPr>
          <w:rtl w:val="true"/>
        </w:rPr>
        <w:t xml:space="preserve">[ </w:t>
      </w:r>
      <w:r>
        <w:rPr>
          <w:rtl w:val="true"/>
        </w:rPr>
        <w:t xml:space="preserve">المقام </w:t>
      </w:r>
      <w:r>
        <w:rPr>
          <w:rtl w:val="true"/>
        </w:rPr>
        <w:t xml:space="preserve">] </w:t>
      </w:r>
      <w:r>
        <w:rPr>
          <w:rtl w:val="true"/>
        </w:rPr>
        <w:t>الأوّل</w:t>
      </w:r>
      <w:bookmarkEnd w:id="15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خفاء في عدم ترتّب الأمر المقارن الاتّفاقي على المستصحب بالاستصحاب ، سواء قلنا من حيث التعبّد بالأخبار ، أو باعتباره من حيث الظنّ ، أمّا على الأوّل فتوضيح المقصد يحتاج إلى بيان معنى الرواية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ارتباط النقض باليقين من عدم جواز نقضه بالشكّ كما هو المدلول عليه بالرواية ليس على ما هو الظاهر منه ؛ إذ بعد فرض الشكّ فالنقض حاصل قطعا فلا معنى للنهي عنه ، فصحّة الكلام عقلا موقوفة على تقدير ، وأقرب المجازات عند نفي ماهيّة أو إثباتها مع انتفائها أو وجودها حقيقة هو نفي الأحكام المترتّبة على تلك الماهيّة أو إثباتها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كما هو ظاهر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مقتضى الدلالة الاقتضائية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أحكام اليقين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وليس المراد الأحكام المترتّبة على نفس اليقين موضوعا ؛ لانتفائها بانتفاء اليقين كما قرّرنا في محلّه من أنّ التنزيلات الشرعية ممّا لا يجدي فيما كان الموضوع فيه اليقين وذلك ظاهر ، بل المراد الأحكام المتفرّعة على المتيقّن من قبيل إضافة الشيء إلى </w:t>
      </w:r>
    </w:p>
    <w:p>
      <w:pPr>
        <w:pStyle w:val="BookText"/>
        <w:rPr/>
      </w:pPr>
      <w:r>
        <w:rPr>
          <w:rFonts w:ascii="Amiri" w:hAnsi="Amiri" w:eastAsia="Amiri" w:cs="Amiri"/>
          <w:color w:val="111111"/>
          <w:sz w:val="28"/>
          <w:sz w:val="28"/>
          <w:szCs w:val="28"/>
          <w:rtl w:val="true"/>
          <w:lang w:bidi="ar-SA"/>
        </w:rPr>
        <w:t xml:space="preserve">طريقه ، فلا مجاز في لفظ اليقين كما قد يتوهّم ، فمعنى الرواية هو النهي عن نقض أحكام المتيقّن نظير ما مرّ </w:t>
      </w:r>
      <w:r>
        <w:rPr>
          <w:rStyle w:val="FootnoteAnchor"/>
          <w:rtl w:val="true"/>
        </w:rPr>
        <w:footnoteReference w:id="1397"/>
      </w:r>
      <w:r>
        <w:rPr>
          <w:rFonts w:ascii="Amiri" w:hAnsi="Amiri" w:eastAsia="Amiri" w:cs="Amiri"/>
          <w:color w:val="111111"/>
          <w:sz w:val="28"/>
          <w:sz w:val="28"/>
          <w:szCs w:val="28"/>
          <w:rtl w:val="true"/>
          <w:lang w:bidi="ar-SA"/>
        </w:rPr>
        <w:t>في النبويّ الرافع للسهو والنسيان ، ولا ريب أنّ أحد المتقارنين في الوجود من غير أن يكون بينهما علقة وارتباط لا يعدّ في عداد الأحكام المترتّبة عليه والآثار المنتهية إليه ، فعلى هذا فلا مجال للقول بثبوت أحد المتقارنين وجودا وعدما عند استصحاب المقارن ؛ إذ ليس هو من أحكامه ، وأمّا الملازمة الاتّفاقية في القضيّة الشخصية المستندة إلى العلم الإجمالي فلا يجدي في كون أحدهما حكما للآخر ولا يجعله محمولا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عند العلم بوجود أحدهما يلزم العلم بالآخر ، فإنّه من آثار العلم والكلام في الأحكام المتعلّقة بالمعلوم ، ولا فرق في ذلك بين أن يكون أمرا عاديّا أو شرعيا أو عقليا ؛ إذ بعد فرض عدم الارتباط وعدم محمولية أحدهما على الآخر لا يعقل من ثبوت أحدهما بالاستصحاب ثبوت الآخر وإن كان الآخر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من ترتّب </w:t>
      </w:r>
      <w:r>
        <w:rPr>
          <w:rStyle w:val="FootnoteAnchor"/>
          <w:rtl w:val="true"/>
        </w:rPr>
        <w:footnoteReference w:id="1398"/>
      </w:r>
      <w:r>
        <w:rPr>
          <w:rFonts w:ascii="Amiri" w:hAnsi="Amiri" w:eastAsia="Amiri" w:cs="Amiri"/>
          <w:color w:val="111111"/>
          <w:sz w:val="28"/>
          <w:sz w:val="28"/>
          <w:szCs w:val="28"/>
          <w:rtl w:val="true"/>
          <w:lang w:bidi="ar-SA"/>
        </w:rPr>
        <w:t xml:space="preserve">أحدهما على الآخر بدعوى كونه من أحكامه فلا يثبت أيضا أحدهما باستصحاب الآخر ؛ إذ ذلك الآخر المقارن إمّا أن يكون الحالة السابقة فيه موافقة </w:t>
      </w:r>
      <w:r>
        <w:rPr>
          <w:rStyle w:val="FootnoteAnchor"/>
          <w:rtl w:val="true"/>
        </w:rPr>
        <w:footnoteReference w:id="1399"/>
      </w:r>
      <w:r>
        <w:rPr>
          <w:rFonts w:ascii="Amiri" w:hAnsi="Amiri" w:eastAsia="Amiri" w:cs="Amiri"/>
          <w:color w:val="111111"/>
          <w:sz w:val="28"/>
          <w:sz w:val="28"/>
          <w:szCs w:val="28"/>
          <w:rtl w:val="true"/>
          <w:lang w:bidi="ar-SA"/>
        </w:rPr>
        <w:t xml:space="preserve">للاستصحاب في المستصحب ، فلا حاجة إلى استصحابه </w:t>
      </w:r>
      <w:r>
        <w:rPr>
          <w:rStyle w:val="FootnoteAnchor"/>
          <w:rtl w:val="true"/>
        </w:rPr>
        <w:footnoteReference w:id="1400"/>
      </w:r>
      <w:r>
        <w:rPr>
          <w:rFonts w:ascii="Amiri" w:hAnsi="Amiri" w:eastAsia="Amiri" w:cs="Amiri"/>
          <w:color w:val="111111"/>
          <w:sz w:val="28"/>
          <w:sz w:val="28"/>
          <w:szCs w:val="28"/>
          <w:rtl w:val="true"/>
          <w:lang w:bidi="ar-SA"/>
        </w:rPr>
        <w:t>في إثباته لإمكان استصحابه أيضا ، كما إذا فرضنا ثبوت الواسطة بين العادل والفاسق وعلمنا إجمالا إمّا بعدالة زيد أو بفسقه فاستصحاب عدالة زيد لا يجدي في ترتّب فسقه ؛ لأنّه أيضا مستصحب في عرض هذا المستصحب إلاّ في أحكام قليلة الجدوى كما لا يخفى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الحالة السابقة مخالفة للحالة المفروضة في المستصحب ، كما إذا فرضنا حصول العلم الإجمالي على الانفصال الحقيقي بين وجود زيد وبين وجود عمرو ، فإن كان وجود زيد وعمرو كلاهما معلومين </w:t>
      </w:r>
      <w:r>
        <w:rPr>
          <w:rStyle w:val="FootnoteAnchor"/>
          <w:rtl w:val="true"/>
        </w:rPr>
        <w:footnoteReference w:id="1401"/>
      </w:r>
      <w:r>
        <w:rPr>
          <w:rFonts w:ascii="Amiri" w:hAnsi="Amiri" w:eastAsia="Amiri" w:cs="Amiri"/>
          <w:color w:val="111111"/>
          <w:sz w:val="28"/>
          <w:sz w:val="28"/>
          <w:szCs w:val="28"/>
          <w:rtl w:val="true"/>
          <w:lang w:bidi="ar-SA"/>
        </w:rPr>
        <w:t xml:space="preserve">سابقا فاستصحاب وجود زيد لا يمكن به </w:t>
      </w:r>
      <w:r>
        <w:rPr>
          <w:rStyle w:val="FootnoteAnchor"/>
          <w:rtl w:val="true"/>
        </w:rPr>
        <w:footnoteReference w:id="1402"/>
      </w:r>
      <w:bookmarkStart w:id="160" w:name="pg16284_171238"/>
    </w:p>
    <w:p>
      <w:pPr>
        <w:pStyle w:val="BookText"/>
        <w:rPr/>
      </w:pPr>
      <w:bookmarkEnd w:id="160"/>
      <w:r>
        <w:rPr>
          <w:rFonts w:ascii="Amiri" w:hAnsi="Amiri" w:eastAsia="Amiri" w:cs="Amiri"/>
          <w:color w:val="111111"/>
          <w:sz w:val="28"/>
          <w:sz w:val="28"/>
          <w:szCs w:val="28"/>
          <w:rtl w:val="true"/>
          <w:lang w:bidi="ar-SA"/>
        </w:rPr>
        <w:t xml:space="preserve">إثبات عدم عمرو ؛ لجواز استصحاب وجود عمرو فيثبت </w:t>
      </w:r>
      <w:r>
        <w:rPr>
          <w:rStyle w:val="FootnoteAnchor"/>
          <w:rtl w:val="true"/>
        </w:rPr>
        <w:footnoteReference w:id="1403"/>
      </w:r>
      <w:r>
        <w:rPr>
          <w:rFonts w:ascii="Amiri" w:hAnsi="Amiri" w:eastAsia="Amiri" w:cs="Amiri"/>
          <w:color w:val="111111"/>
          <w:sz w:val="28"/>
          <w:sz w:val="28"/>
          <w:szCs w:val="28"/>
          <w:rtl w:val="true"/>
          <w:lang w:bidi="ar-SA"/>
        </w:rPr>
        <w:t>به عدم زيد ، وإن كان أحدهما معلوم الوجود والآخر معلوم العدم كان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انقدح أنّ مدار الاستصحاب لو كان على الظنّ أيضا لا وجه لإثبات أحد المتقارنين بالاستصحاب ؛ إذ المفروض كونهما مسبوقين بالحالة السابقة ، فلا يحصل الظنّ بأحد الطرفين ، وتعلّقه بهما أيضا مستحيل ، فيتساقطان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لو فرض في مورد حصول العلم بالحالة السابقة في أحدهما ولم يعلم بها في الآخر جاز التمسّك بالاستصحاب في إثبات الآخر على الظنّ مطلقا ، وعلى الأخبار بعد التنزّل على ما عرفت ، ولكن لا بدّ من ملاحظة اعتبار الظنّ في الأمر الآخر وعدمه ، فاللازم الاتّفاقي قد لا يكون ممّا يكتفى فيه بالظنّ مطلقا أو الظنّ النوعي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الفرض المذكور الظنّ بأحدهما يلازم الظنّ بالآخر ، وأمّا اعتبار الظنّ في الآخر وعدم اعتباره فأمر </w:t>
      </w:r>
      <w:r>
        <w:rPr>
          <w:rStyle w:val="FootnoteAnchor"/>
          <w:rtl w:val="true"/>
        </w:rPr>
        <w:footnoteReference w:id="1405"/>
      </w:r>
      <w:r>
        <w:rPr>
          <w:rFonts w:ascii="Amiri" w:hAnsi="Amiri" w:eastAsia="Amiri" w:cs="Amiri"/>
          <w:color w:val="111111"/>
          <w:sz w:val="28"/>
          <w:sz w:val="28"/>
          <w:szCs w:val="28"/>
          <w:rtl w:val="true"/>
          <w:lang w:bidi="ar-SA"/>
        </w:rPr>
        <w:t>خارج عمّا نحن بصدده ولا بدّ من مراعاته كما في نفس المستصحب على ما لا يخفى</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5012122_1280447820"/>
      <w:bookmarkStart w:id="162" w:name="_Toc50"/>
      <w:bookmarkEnd w:id="161"/>
      <w:r>
        <w:rPr>
          <w:rtl w:val="true"/>
        </w:rPr>
        <w:t>المقام الثاني</w:t>
      </w:r>
      <w:bookmarkEnd w:id="162"/>
    </w:p>
    <w:p>
      <w:pPr>
        <w:pStyle w:val="BookText"/>
        <w:rPr/>
      </w:pPr>
      <w:r>
        <w:rPr>
          <w:rFonts w:ascii="Amiri" w:hAnsi="Amiri" w:eastAsia="Amiri" w:cs="Amiri"/>
          <w:color w:val="111111"/>
          <w:sz w:val="28"/>
          <w:sz w:val="28"/>
          <w:szCs w:val="28"/>
          <w:rtl w:val="true"/>
          <w:lang w:bidi="ar-SA"/>
        </w:rPr>
        <w:t>لا خفاء في عدم ترتيب الملزوم على اللازم عند استصحابه ، وفي عدم ترتيب أحد المتشاركين في اللزوم على استصحاب الآخر ، سواء كانا عقليين أو عاديّين أو شرعيين بناء على اعتبار الاستصحاب من حيث التعبّد بالأخبار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في المقام الأوّل أنّ معنى الرواية الدالّة على الاستصحاب هو عدم جواز نقض الأحكام التي يكون اليقين طريقا إليها ومرآة لها ، وأحكام الشيء عبارة عن الأمور المحمولة على ذلك الشيء والآثار المتفرّعة عليه والعنوانات المنتهية </w:t>
      </w:r>
    </w:p>
    <w:p>
      <w:pPr>
        <w:pStyle w:val="BookText"/>
        <w:rPr/>
      </w:pPr>
      <w:r>
        <w:rPr>
          <w:rFonts w:ascii="Amiri" w:hAnsi="Amiri" w:eastAsia="Amiri" w:cs="Amiri"/>
          <w:color w:val="111111"/>
          <w:sz w:val="28"/>
          <w:sz w:val="28"/>
          <w:szCs w:val="28"/>
          <w:rtl w:val="true"/>
          <w:lang w:bidi="ar-SA"/>
        </w:rPr>
        <w:t xml:space="preserve">إليه والأشياء النائبة </w:t>
      </w:r>
      <w:r>
        <w:rPr>
          <w:rStyle w:val="FootnoteAnchor"/>
          <w:rtl w:val="true"/>
        </w:rPr>
        <w:footnoteReference w:id="1406"/>
      </w:r>
      <w:r>
        <w:rPr>
          <w:rFonts w:ascii="Amiri" w:hAnsi="Amiri" w:eastAsia="Amiri" w:cs="Amiri"/>
          <w:color w:val="111111"/>
          <w:sz w:val="28"/>
          <w:sz w:val="28"/>
          <w:szCs w:val="28"/>
          <w:rtl w:val="true"/>
          <w:lang w:bidi="ar-SA"/>
        </w:rPr>
        <w:t xml:space="preserve">منه ، وليس الملزوم </w:t>
      </w:r>
      <w:r>
        <w:rPr>
          <w:rStyle w:val="FootnoteAnchor"/>
          <w:rtl w:val="true"/>
        </w:rPr>
        <w:footnoteReference w:id="1407"/>
      </w:r>
      <w:r>
        <w:rPr>
          <w:rFonts w:ascii="Amiri" w:hAnsi="Amiri" w:eastAsia="Amiri" w:cs="Amiri"/>
          <w:color w:val="111111"/>
          <w:sz w:val="28"/>
          <w:sz w:val="28"/>
          <w:szCs w:val="28"/>
          <w:rtl w:val="true"/>
          <w:lang w:bidi="ar-SA"/>
        </w:rPr>
        <w:t xml:space="preserve">عقليا كان أو شرعيا أو عاديّا ، ولا المشارك في اللزوم بأقسامه ممّا يتفرّع على اللازم أو الملازم </w:t>
      </w:r>
      <w:r>
        <w:rPr>
          <w:rStyle w:val="FootnoteAnchor"/>
          <w:rtl w:val="true"/>
        </w:rPr>
        <w:footnoteReference w:id="1408"/>
      </w:r>
      <w:r>
        <w:rPr>
          <w:rFonts w:ascii="Amiri" w:hAnsi="Amiri" w:eastAsia="Amiri" w:cs="Amiri"/>
          <w:color w:val="111111"/>
          <w:sz w:val="28"/>
          <w:sz w:val="28"/>
          <w:szCs w:val="28"/>
          <w:rtl w:val="true"/>
          <w:lang w:bidi="ar-SA"/>
        </w:rPr>
        <w:t xml:space="preserve">كما هو ظاهر ، فباستصحاب اللازم أيّ لازم كان لا يترتّب الملزوم أيّ ملزوم كان ؛ لعدم ترتّبه عليه ، وإنّما الأمر فيه بالعكس كما لا يخفى ، وكذا باستصحاب أحد المتلازمين لا يترتّب المتلازم </w:t>
      </w:r>
      <w:r>
        <w:rPr>
          <w:rStyle w:val="FootnoteAnchor"/>
          <w:rtl w:val="true"/>
        </w:rPr>
        <w:footnoteReference w:id="1409"/>
      </w:r>
      <w:r>
        <w:rPr>
          <w:rFonts w:ascii="Amiri" w:hAnsi="Amiri" w:eastAsia="Amiri" w:cs="Amiri"/>
          <w:color w:val="111111"/>
          <w:sz w:val="28"/>
          <w:sz w:val="28"/>
          <w:szCs w:val="28"/>
          <w:rtl w:val="true"/>
          <w:lang w:bidi="ar-SA"/>
        </w:rPr>
        <w:t>الآخر ، لعدم كونه من أحكامه وآثاره ، شرعيا كان أو عاديّا أو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الملزوم الشرعي أو الملازم الشرعي إنّما هو من آثار اللازم الشرعي والملازم الشرعي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باطل ؛ إذ لا فرق في ذلك بين أن يكون اللزوم شرعيا أو عقليا ، فلو جاز أن يكون اللازم </w:t>
      </w:r>
      <w:r>
        <w:rPr>
          <w:rStyle w:val="FootnoteAnchor"/>
          <w:rtl w:val="true"/>
        </w:rPr>
        <w:footnoteReference w:id="1411"/>
      </w:r>
      <w:r>
        <w:rPr>
          <w:rFonts w:ascii="Amiri" w:hAnsi="Amiri" w:eastAsia="Amiri" w:cs="Amiri"/>
          <w:color w:val="111111"/>
          <w:sz w:val="28"/>
          <w:sz w:val="28"/>
          <w:szCs w:val="28"/>
          <w:rtl w:val="true"/>
          <w:lang w:bidi="ar-SA"/>
        </w:rPr>
        <w:t xml:space="preserve">الشرعي حكما جاز أن يكون الملزوم العقلي أيضا حكما كما هو ظاهر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بناء على الظنّ فلا شكّ في أنّ الظنّ بالمعلول واللازم يلازم الظنّ بالعلّة والملزوم ، كما أنّ الظنّ بأحد المعلولين يوجب </w:t>
      </w:r>
      <w:r>
        <w:rPr>
          <w:rStyle w:val="FootnoteAnchor"/>
          <w:rtl w:val="true"/>
        </w:rPr>
        <w:footnoteReference w:id="1413"/>
      </w:r>
      <w:r>
        <w:rPr>
          <w:rFonts w:ascii="Amiri" w:hAnsi="Amiri" w:eastAsia="Amiri" w:cs="Amiri"/>
          <w:color w:val="111111"/>
          <w:sz w:val="28"/>
          <w:sz w:val="28"/>
          <w:szCs w:val="28"/>
          <w:rtl w:val="true"/>
          <w:lang w:bidi="ar-SA"/>
        </w:rPr>
        <w:t>الظنّ بالمعلول الآخر المشارك له في المعلولية ؛ لأنّ الظنّ به كما عرفت يوجب الظنّ بالعلّة ، والظنّ بالعلّة يوجب الظنّ بتمام معلولاته كما هو ظاهر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لا بدّ </w:t>
      </w:r>
      <w:r>
        <w:rPr>
          <w:rStyle w:val="FootnoteAnchor"/>
          <w:rtl w:val="true"/>
        </w:rPr>
        <w:footnoteReference w:id="1414"/>
      </w:r>
      <w:r>
        <w:rPr>
          <w:rFonts w:ascii="Amiri" w:hAnsi="Amiri" w:eastAsia="Amiri" w:cs="Amiri"/>
          <w:color w:val="111111"/>
          <w:sz w:val="28"/>
          <w:sz w:val="28"/>
          <w:szCs w:val="28"/>
          <w:rtl w:val="true"/>
          <w:lang w:bidi="ar-SA"/>
        </w:rPr>
        <w:t xml:space="preserve">أن يعلم أنّ ما ذكرنا من إثبات الملزوم باستصحاب اللازم عند حصول الظنّ به إنّما هو فيما كان الظنّ كافيا في إثباته على وجه يكون كالمستصحب ؛ إذ الظنّ الحاصل من الاستصحاب لا يختلف بالنسبة إلى اللازم والملزوم ، فإن كان </w:t>
      </w:r>
    </w:p>
    <w:p>
      <w:pPr>
        <w:pStyle w:val="BookText"/>
        <w:rPr/>
      </w:pPr>
      <w:r>
        <w:rPr>
          <w:rFonts w:ascii="Amiri" w:hAnsi="Amiri" w:eastAsia="Amiri" w:cs="Amiri"/>
          <w:color w:val="111111"/>
          <w:sz w:val="28"/>
          <w:sz w:val="28"/>
          <w:szCs w:val="28"/>
          <w:rtl w:val="true"/>
          <w:lang w:bidi="ar-SA"/>
        </w:rPr>
        <w:t>شخصيا ففيهما ، وإن كان نوعيا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أنّ الظنّ باللازم بعينه هو الظنّ بالملزوم كما لا يخفى ، فربّما لا يكون الملزوم ممّا يكفي </w:t>
      </w:r>
      <w:r>
        <w:rPr>
          <w:rStyle w:val="FootnoteAnchor"/>
          <w:rtl w:val="true"/>
        </w:rPr>
        <w:footnoteReference w:id="1415"/>
      </w:r>
      <w:r>
        <w:rPr>
          <w:rFonts w:ascii="Amiri" w:hAnsi="Amiri" w:eastAsia="Amiri" w:cs="Amiri"/>
          <w:color w:val="111111"/>
          <w:sz w:val="28"/>
          <w:sz w:val="28"/>
          <w:szCs w:val="28"/>
          <w:rtl w:val="true"/>
          <w:lang w:bidi="ar-SA"/>
        </w:rPr>
        <w:t xml:space="preserve">فيه مطلق الظنّ أو الظنّ النوعي على ما عرفت في المقارن ، وهكذا الكلام في استصحاب أحد الملازمين </w:t>
      </w:r>
      <w:r>
        <w:rPr>
          <w:rStyle w:val="FootnoteAnchor"/>
          <w:rtl w:val="true"/>
        </w:rPr>
        <w:footnoteReference w:id="1416"/>
      </w:r>
      <w:r>
        <w:rPr>
          <w:rFonts w:ascii="Amiri" w:hAnsi="Amiri" w:eastAsia="Amiri" w:cs="Amiri"/>
          <w:color w:val="111111"/>
          <w:sz w:val="28"/>
          <w:sz w:val="28"/>
          <w:szCs w:val="28"/>
          <w:rtl w:val="true"/>
          <w:lang w:bidi="ar-SA"/>
        </w:rPr>
        <w:t>لإثبات الملازم الآخر ، إلاّ أنّ بينهما فرقا آخر من جهة أخرى وهو أنّ استصحاب الملازم قد لا يفيد الظنّ بوجود الملازم الآخر لجريان أصل آخر في طرف ذلك الآخر إمّا موافقا لاستصحاب المستصحب المفروض فلا حاجة إليه ، وإمّا مخالفا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أن يكون في جانب اللازم الآخر أصل يعارض الأصل في المستصحب ؛ إذ المفروض أنّ العلم بأحد الملازمين </w:t>
      </w:r>
      <w:r>
        <w:rPr>
          <w:rStyle w:val="FootnoteAnchor"/>
          <w:rtl w:val="true"/>
        </w:rPr>
        <w:footnoteReference w:id="1417"/>
      </w:r>
      <w:r>
        <w:rPr>
          <w:rFonts w:ascii="Amiri" w:hAnsi="Amiri" w:eastAsia="Amiri" w:cs="Amiri"/>
          <w:color w:val="111111"/>
          <w:sz w:val="28"/>
          <w:sz w:val="28"/>
          <w:szCs w:val="28"/>
          <w:rtl w:val="true"/>
          <w:lang w:bidi="ar-SA"/>
        </w:rPr>
        <w:t>يوجب العلم بالآخر ، فكلّما فرض أحدهما موجودا وعلمنا بوجوده علمنا بوجود الآخر ، فهو أيضا مستصحب مثل استصحاب الآخر ، فدائما يكون الاستصحاب فيهما موافقا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أحد الملازمين والعلم به إنّما يلازم وجود الآخر والعلم به فيما كانت علّة الموجود المعلوم المفروض علّة تامّة للآخر ، وأمّا إذا كانت من جملة أجزاء علّتها كأن تكون </w:t>
      </w:r>
      <w:r>
        <w:rPr>
          <w:rStyle w:val="FootnoteAnchor"/>
          <w:rtl w:val="true"/>
        </w:rPr>
        <w:footnoteReference w:id="1418"/>
      </w:r>
      <w:r>
        <w:rPr>
          <w:rFonts w:ascii="Amiri" w:hAnsi="Amiri" w:eastAsia="Amiri" w:cs="Amiri"/>
          <w:color w:val="111111"/>
          <w:sz w:val="28"/>
          <w:sz w:val="28"/>
          <w:szCs w:val="28"/>
          <w:rtl w:val="true"/>
          <w:lang w:bidi="ar-SA"/>
        </w:rPr>
        <w:t xml:space="preserve">مقتضية له فيتوقّف حصول العلم على العلم بعدم المانع ، فقد لا يكون المانع معلوما فيصير الملازم الآخر مشكوكا مع العلم بوجود الملازم الآخر ، فالأصل حينئذ عدمه ، فلا يحصل الظنّ بوجوده عند جريان الاستصحاب في أحدهما ، وما ذكر لا يجري في الظنّ لإمكان تحصيل الظنّ بأنّ علّة أحدهما علّة تامّة للآخر فيحصل الظنّ ، وذلك بخلاف استصحاب اللازم لإثبات الملزوم ؛ إذ كلّما فرض وجود اللازم والمعلول فيلازمه وجود الملزوم والعلّة ، فيصير الملزوم أيضا من موارد الأصل ومجرى للاستصحاب الموافق لاستصحاب اللازم ، إلاّ أنّه مع جريان الأصل في الملزوم وحصول الظنّ به </w:t>
      </w:r>
      <w:r>
        <w:rPr>
          <w:rStyle w:val="FootnoteAnchor"/>
          <w:rtl w:val="true"/>
        </w:rPr>
        <w:footnoteReference w:id="1419"/>
      </w:r>
      <w:r>
        <w:rPr>
          <w:rFonts w:ascii="Amiri" w:hAnsi="Amiri" w:eastAsia="Amiri" w:cs="Amiri"/>
          <w:color w:val="111111"/>
          <w:sz w:val="28"/>
          <w:sz w:val="28"/>
          <w:szCs w:val="28"/>
          <w:rtl w:val="true"/>
          <w:lang w:bidi="ar-SA"/>
        </w:rPr>
        <w:t xml:space="preserve">لا حاجة إلى جريان الأصل في اللازم ؛ لأنّ الظنّ بالملزوم هو </w:t>
      </w:r>
      <w:bookmarkStart w:id="163" w:name="pg16284_171241"/>
    </w:p>
    <w:p>
      <w:pPr>
        <w:pStyle w:val="BookText"/>
        <w:rPr/>
      </w:pPr>
      <w:bookmarkEnd w:id="163"/>
      <w:r>
        <w:rPr>
          <w:rFonts w:ascii="Amiri" w:hAnsi="Amiri" w:eastAsia="Amiri" w:cs="Amiri"/>
          <w:color w:val="111111"/>
          <w:sz w:val="28"/>
          <w:sz w:val="28"/>
          <w:szCs w:val="28"/>
          <w:rtl w:val="true"/>
          <w:lang w:bidi="ar-SA"/>
        </w:rPr>
        <w:t xml:space="preserve">بعينه </w:t>
      </w:r>
      <w:r>
        <w:rPr>
          <w:rStyle w:val="FootnoteAnchor"/>
          <w:rtl w:val="true"/>
        </w:rPr>
        <w:footnoteReference w:id="1420"/>
      </w:r>
      <w:r>
        <w:rPr>
          <w:rFonts w:ascii="Amiri" w:hAnsi="Amiri" w:eastAsia="Amiri" w:cs="Amiri"/>
          <w:color w:val="111111"/>
          <w:sz w:val="28"/>
          <w:sz w:val="28"/>
          <w:szCs w:val="28"/>
          <w:rtl w:val="true"/>
          <w:lang w:bidi="ar-SA"/>
        </w:rPr>
        <w:t xml:space="preserve">الظنّ باللازم ، فليس مورد الشكّ ، ولا يعقل تعلّق الظنّ بخلافه لو كان مجرى لأصل مخالف للأصل في الملزوم ، مثلا إذا فرضنا ماء مستصحب الطهارة وثوبا نجسا فغسلنا ذلك الثوب بذلك الماء ، فإنّ الظنّ بطهارة الماء يوجب الظنّ بطهارة الثوب لا محالة ، ولا يعقل جريان استصحاب </w:t>
      </w:r>
      <w:r>
        <w:rPr>
          <w:rStyle w:val="FootnoteAnchor"/>
          <w:rtl w:val="true"/>
        </w:rPr>
        <w:footnoteReference w:id="1421"/>
      </w:r>
      <w:r>
        <w:rPr>
          <w:rFonts w:ascii="Amiri" w:hAnsi="Amiri" w:eastAsia="Amiri" w:cs="Amiri"/>
          <w:color w:val="111111"/>
          <w:sz w:val="28"/>
          <w:sz w:val="28"/>
          <w:szCs w:val="28"/>
          <w:rtl w:val="true"/>
          <w:lang w:bidi="ar-SA"/>
        </w:rPr>
        <w:t xml:space="preserve">النجاسة في الثوب ولا تعلّق الظنّ بنجاسته ، ولا حاجة إلى استصحاب طهارة الثوب فيما لو كانت </w:t>
      </w:r>
      <w:r>
        <w:rPr>
          <w:rStyle w:val="FootnoteAnchor"/>
          <w:rtl w:val="true"/>
        </w:rPr>
        <w:footnoteReference w:id="1422"/>
      </w:r>
      <w:r>
        <w:rPr>
          <w:rFonts w:ascii="Amiri" w:hAnsi="Amiri" w:eastAsia="Amiri" w:cs="Amiri"/>
          <w:color w:val="111111"/>
          <w:sz w:val="28"/>
          <w:sz w:val="28"/>
          <w:szCs w:val="28"/>
          <w:rtl w:val="true"/>
          <w:lang w:bidi="ar-SA"/>
        </w:rPr>
        <w:t xml:space="preserve">الحالة السابقة فيه هي الطهارة أيضا </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الأخير فظاهر و </w:t>
      </w:r>
      <w:r>
        <w:rPr>
          <w:rStyle w:val="FootnoteAnchor"/>
          <w:rtl w:val="true"/>
        </w:rPr>
        <w:footnoteReference w:id="1424"/>
      </w:r>
      <w:r>
        <w:rPr>
          <w:rFonts w:ascii="Amiri" w:hAnsi="Amiri" w:eastAsia="Amiri" w:cs="Amiri"/>
          <w:color w:val="111111"/>
          <w:sz w:val="28"/>
          <w:sz w:val="28"/>
          <w:szCs w:val="28"/>
          <w:rtl w:val="true"/>
          <w:lang w:bidi="ar-SA"/>
        </w:rPr>
        <w:t xml:space="preserve">أمّا الأوّل فلأنّ الظنّ بالعلّة يوجب الظنّ بالمعلول ولا سبيل إلى القول بالعكس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بنجاسة الثوب يلازم الظنّ بنجاسة الماء ؛ إذ ليس الكلام في الظنّ الحاصل من أيّ سبب كان من الأسباب الخارجية ، بل الكلام في الظنّ الحاصل من جهة الحالة السابقة والمفروض وجود الحالة السابقة فيهما ، والمفروض تقدّم العلّة على المعلول طبعا ، فيحصل الظنّ بوجود العلّة ويتبعه </w:t>
      </w:r>
      <w:r>
        <w:rPr>
          <w:rStyle w:val="FootnoteAnchor"/>
          <w:rtl w:val="true"/>
        </w:rPr>
        <w:footnoteReference w:id="1425"/>
      </w:r>
      <w:r>
        <w:rPr>
          <w:rFonts w:ascii="Amiri" w:hAnsi="Amiri" w:eastAsia="Amiri" w:cs="Amiri"/>
          <w:color w:val="111111"/>
          <w:sz w:val="28"/>
          <w:sz w:val="28"/>
          <w:szCs w:val="28"/>
          <w:rtl w:val="true"/>
          <w:lang w:bidi="ar-SA"/>
        </w:rPr>
        <w:t xml:space="preserve">الظنّ بوجود المعلول ، وحيث إنّه يمتنع قيام الظنّ على طرفي الخلاف فتصير </w:t>
      </w:r>
      <w:r>
        <w:rPr>
          <w:rStyle w:val="FootnoteAnchor"/>
          <w:rtl w:val="true"/>
        </w:rPr>
        <w:footnoteReference w:id="1426"/>
      </w:r>
      <w:r>
        <w:rPr>
          <w:rFonts w:ascii="Amiri" w:hAnsi="Amiri" w:eastAsia="Amiri" w:cs="Amiri"/>
          <w:color w:val="111111"/>
          <w:sz w:val="28"/>
          <w:sz w:val="28"/>
          <w:szCs w:val="28"/>
          <w:rtl w:val="true"/>
          <w:lang w:bidi="ar-SA"/>
        </w:rPr>
        <w:t xml:space="preserve">النجاسة في اللازم موهومة والطهارة مظنونة ، والوجدان حاكم صدق وشاهد عدل في المقام ، فظهر أنّ تقدّم الأصل السببي المزيل على الأصل المسبّبي المزال على تقدير الظنّ ، وحجّية الاستصحاب من جهة بناء العقلاء من أوضح الواضحات وأجلى </w:t>
      </w:r>
      <w:r>
        <w:rPr>
          <w:rStyle w:val="FootnoteAnchor"/>
          <w:rtl w:val="true"/>
        </w:rPr>
        <w:footnoteReference w:id="1427"/>
      </w:r>
      <w:r>
        <w:rPr>
          <w:rFonts w:ascii="Amiri" w:hAnsi="Amiri" w:eastAsia="Amiri" w:cs="Amiri"/>
          <w:color w:val="111111"/>
          <w:sz w:val="28"/>
          <w:sz w:val="28"/>
          <w:szCs w:val="28"/>
          <w:rtl w:val="true"/>
          <w:lang w:bidi="ar-SA"/>
        </w:rPr>
        <w:t>الضروريات كما هو ظاهر</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5012124_1280447820"/>
      <w:bookmarkStart w:id="165" w:name="_Toc51"/>
      <w:bookmarkEnd w:id="164"/>
      <w:r>
        <w:rPr>
          <w:rtl w:val="true"/>
        </w:rPr>
        <w:t>المقام الثالث</w:t>
      </w:r>
      <w:bookmarkEnd w:id="16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 المقامين الأوّلين عدم إثبات المقارن الاتّفاقي باستصحاب المقارن الآخر ، والملزوم بأقسامه باستصحاب اللازم ، وأحد الملازمين باستصحاب الآخر </w:t>
      </w:r>
    </w:p>
    <w:p>
      <w:pPr>
        <w:pStyle w:val="BookText"/>
        <w:rPr/>
      </w:pPr>
      <w:r>
        <w:rPr>
          <w:rFonts w:ascii="Amiri" w:hAnsi="Amiri" w:eastAsia="Amiri" w:cs="Amiri"/>
          <w:color w:val="111111"/>
          <w:sz w:val="28"/>
          <w:sz w:val="28"/>
          <w:szCs w:val="28"/>
          <w:rtl w:val="true"/>
          <w:lang w:bidi="ar-SA"/>
        </w:rPr>
        <w:t>بأقسامه ، فهذه سبعة من الأقسام المعهودة ، وأمّا الثلاثة الأخيرة وهي ما كان المترتّب على المستصحب لازما له شرعيا أو عاديّا أو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الكلام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أنّه </w:t>
      </w:r>
      <w:r>
        <w:rPr>
          <w:rStyle w:val="FootnoteAnchor"/>
          <w:rtl w:val="true"/>
        </w:rPr>
        <w:footnoteReference w:id="1428"/>
      </w:r>
      <w:r>
        <w:rPr>
          <w:rFonts w:ascii="Amiri" w:hAnsi="Amiri" w:eastAsia="Amiri" w:cs="Amiri"/>
          <w:color w:val="111111"/>
          <w:sz w:val="28"/>
          <w:sz w:val="28"/>
          <w:szCs w:val="28"/>
          <w:rtl w:val="true"/>
          <w:lang w:bidi="ar-SA"/>
        </w:rPr>
        <w:t xml:space="preserve">ليس الكلام في ترتّب اللوازم المصاحبة للملزوم حال العلم به ؛ لأنّها حينئذ مسبوقة بالحالة السابقة مثل الملزوم فيستصحب كالملزوم ، فلا حاجة إلى استصحابه في إثباتها كما هو الظاهر ، بل الكلام في اللوازم المتجدّدة و </w:t>
      </w:r>
      <w:r>
        <w:rPr>
          <w:rStyle w:val="FootnoteAnchor"/>
          <w:rtl w:val="true"/>
        </w:rPr>
        <w:footnoteReference w:id="1429"/>
      </w:r>
      <w:r>
        <w:rPr>
          <w:rFonts w:ascii="Amiri" w:hAnsi="Amiri" w:eastAsia="Amiri" w:cs="Amiri"/>
          <w:color w:val="111111"/>
          <w:sz w:val="28"/>
          <w:sz w:val="28"/>
          <w:szCs w:val="28"/>
          <w:rtl w:val="true"/>
          <w:lang w:bidi="ar-SA"/>
        </w:rPr>
        <w:t xml:space="preserve">الحادثة بعد العلم بوجود الملزوم ، كما </w:t>
      </w:r>
      <w:r>
        <w:rPr>
          <w:rStyle w:val="FootnoteAnchor"/>
          <w:rtl w:val="true"/>
        </w:rPr>
        <w:footnoteReference w:id="1430"/>
      </w:r>
      <w:r>
        <w:rPr>
          <w:rFonts w:ascii="Amiri" w:hAnsi="Amiri" w:eastAsia="Amiri" w:cs="Amiri"/>
          <w:color w:val="111111"/>
          <w:sz w:val="28"/>
          <w:sz w:val="28"/>
          <w:szCs w:val="28"/>
          <w:rtl w:val="true"/>
          <w:lang w:bidi="ar-SA"/>
        </w:rPr>
        <w:t>في المثال المفروض في المقام الثاني من أنّ لازم طهارة الماء طهارة الثوب وليس طهارة الثوب من الآثار المترتّبة على طهارة الماء حال العلم بطهارته ، كيف ولو كان كذلك فكيف يعقل التعارض كما فرضنا في المثال المذكور؟ وذلك ظاهر في الغاية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هذا نقول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الارتياب في عدم ثبوت اللازم العقلي أو العاديّ على المستصحب على تقدير الاعتماد على الأخبار </w:t>
      </w:r>
      <w:r>
        <w:rPr>
          <w:rStyle w:val="FootnoteAnchor"/>
          <w:rtl w:val="true"/>
        </w:rPr>
        <w:footnoteReference w:id="1432"/>
      </w:r>
      <w:r>
        <w:rPr>
          <w:rFonts w:ascii="Amiri" w:hAnsi="Amiri" w:eastAsia="Amiri" w:cs="Amiri"/>
          <w:color w:val="111111"/>
          <w:sz w:val="28"/>
          <w:sz w:val="28"/>
          <w:szCs w:val="28"/>
          <w:rtl w:val="true"/>
          <w:lang w:bidi="ar-SA"/>
        </w:rPr>
        <w:t xml:space="preserve">؛ لما قد عرفت أنّ مقتضى الرواية على حسب الدلالة الاقتضائية عدم جواز نقض الأحكام </w:t>
      </w:r>
      <w:r>
        <w:rPr>
          <w:rStyle w:val="FootnoteAnchor"/>
          <w:rtl w:val="true"/>
        </w:rPr>
        <w:footnoteReference w:id="1433"/>
      </w:r>
      <w:r>
        <w:rPr>
          <w:rFonts w:ascii="Amiri" w:hAnsi="Amiri" w:eastAsia="Amiri" w:cs="Amiri"/>
          <w:color w:val="111111"/>
          <w:sz w:val="28"/>
          <w:sz w:val="28"/>
          <w:szCs w:val="28"/>
          <w:rtl w:val="true"/>
          <w:lang w:bidi="ar-SA"/>
        </w:rPr>
        <w:t xml:space="preserve">المترتّبة على المتيقّن عند الشكّ ، فالمعنى لا بدّ من تنزيل المشكوك منزلة المتيقّن وأن تعاملونه </w:t>
      </w:r>
      <w:r>
        <w:rPr>
          <w:rStyle w:val="FootnoteAnchor"/>
          <w:rtl w:val="true"/>
        </w:rPr>
        <w:footnoteReference w:id="1434"/>
      </w:r>
      <w:r>
        <w:rPr>
          <w:rFonts w:ascii="Amiri" w:hAnsi="Amiri" w:eastAsia="Amiri" w:cs="Amiri"/>
          <w:color w:val="111111"/>
          <w:sz w:val="28"/>
          <w:sz w:val="28"/>
          <w:szCs w:val="28"/>
          <w:rtl w:val="true"/>
          <w:lang w:bidi="ar-SA"/>
        </w:rPr>
        <w:t xml:space="preserve">معاملة المعلوم بترتيب آثاره عليه وإلحاق أحكامه له ، ولا ريب أنّ حكم الشارع بترتيب آثار المعلوم على المشكوك إنّما هو جعله لتلك الأحكام في موضوع الشكّ ، كما أنّ حكمه بترتيبها على المعلوم إنّما هو جعله لها فيه ممّا يمكن أن يكون مجعولا للشارع من حيث هو شارع في مقام التكليف وإن لم يكن خارجا عن مقدوره في مقام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مترتّبا على المستصحب في مقام الشكّ ، فكما أنّ نفس الموضوع الخارجي لم يكن قابلا للجعل في المقام ولذلك التجأنا إلى تقدير الأحكام على سبيل المجاز في </w:t>
      </w:r>
    </w:p>
    <w:p>
      <w:pPr>
        <w:pStyle w:val="BookText"/>
        <w:rPr/>
      </w:pPr>
      <w:r>
        <w:rPr>
          <w:rFonts w:ascii="IRNazanin" w:hAnsi="IRNazanin" w:eastAsia="IRNazanin"/>
          <w:color w:val="111111"/>
          <w:sz w:val="28"/>
          <w:sz w:val="28"/>
          <w:szCs w:val="28"/>
          <w:rtl w:val="true"/>
          <w:lang w:bidi="fa-IR"/>
        </w:rPr>
        <w:t xml:space="preserve">الحذف </w:t>
      </w:r>
      <w:r>
        <w:rPr>
          <w:rStyle w:val="FootnoteAnchor"/>
          <w:rtl w:val="true"/>
        </w:rPr>
        <w:footnoteReference w:id="1435"/>
      </w:r>
      <w:r>
        <w:rPr>
          <w:rFonts w:ascii="Amiri" w:hAnsi="Amiri" w:eastAsia="Amiri" w:cs="Amiri"/>
          <w:color w:val="111111"/>
          <w:sz w:val="28"/>
          <w:sz w:val="28"/>
          <w:szCs w:val="28"/>
          <w:rtl w:val="true"/>
          <w:lang w:bidi="ar-SA"/>
        </w:rPr>
        <w:t xml:space="preserve">، فكذلك لا سبيل إلى حكم الشارع بثبوت </w:t>
      </w:r>
      <w:r>
        <w:rPr>
          <w:rStyle w:val="FootnoteAnchor"/>
          <w:rtl w:val="true"/>
        </w:rPr>
        <w:footnoteReference w:id="1436"/>
      </w:r>
      <w:r>
        <w:rPr>
          <w:rFonts w:ascii="Amiri" w:hAnsi="Amiri" w:eastAsia="Amiri" w:cs="Amiri"/>
          <w:color w:val="111111"/>
          <w:sz w:val="28"/>
          <w:sz w:val="28"/>
          <w:szCs w:val="28"/>
          <w:rtl w:val="true"/>
          <w:lang w:bidi="ar-SA"/>
        </w:rPr>
        <w:t xml:space="preserve">اللازم العاديّ أو العقلي فإنّهما كنفس المستصحب ليسا قابلين </w:t>
      </w:r>
      <w:r>
        <w:rPr>
          <w:rStyle w:val="FootnoteAnchor"/>
          <w:rtl w:val="true"/>
        </w:rPr>
        <w:footnoteReference w:id="1437"/>
      </w:r>
      <w:r>
        <w:rPr>
          <w:rFonts w:ascii="Amiri" w:hAnsi="Amiri" w:eastAsia="Amiri" w:cs="Amiri"/>
          <w:color w:val="111111"/>
          <w:sz w:val="28"/>
          <w:sz w:val="28"/>
          <w:szCs w:val="28"/>
          <w:rtl w:val="true"/>
          <w:lang w:bidi="ar-SA"/>
        </w:rPr>
        <w:t xml:space="preserve">للجعل والبقاء في مرحلة الظاهر ، فإنّ ما للشارع في مقام التكليف رفعه له أن يضعه ويحكم به ، وكيف يمكن إبقاء الرطوبة أو الحرارة اللازمة للماء والنار كما هو ظاهر؟ فالمراد بتلك الأحكام لا بدّ وأن يكون هي الأحكام الشرعية كما في جميع التنزيلات الشرعية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فإنّه ليس جعلا لما يترتّب على الصلاة من لوازمها العاديّة كهضم غذاء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مجعولا ، وكذا في تنزيل العمل </w:t>
      </w:r>
      <w:r>
        <w:rPr>
          <w:rStyle w:val="FootnoteAnchor"/>
          <w:rtl w:val="true"/>
        </w:rPr>
        <w:footnoteReference w:id="1439"/>
      </w:r>
      <w:r>
        <w:rPr>
          <w:rFonts w:ascii="Amiri" w:hAnsi="Amiri" w:eastAsia="Amiri" w:cs="Amiri"/>
          <w:color w:val="111111"/>
          <w:sz w:val="28"/>
          <w:sz w:val="28"/>
          <w:szCs w:val="28"/>
          <w:rtl w:val="true"/>
          <w:lang w:bidi="ar-SA"/>
        </w:rPr>
        <w:t xml:space="preserve">المشكوك منزلة الصحيح وتنزيل التراب منزلة الماء ، فإنّه لمّا استحال كون المشكوك معلوم الصحّة حكمنا بأنّ المراد أحكام الصحّة من الإجزاء و </w:t>
      </w:r>
      <w:r>
        <w:rPr>
          <w:rStyle w:val="FootnoteAnchor"/>
          <w:rtl w:val="true"/>
        </w:rPr>
        <w:footnoteReference w:id="1440"/>
      </w:r>
      <w:r>
        <w:rPr>
          <w:rFonts w:ascii="Amiri" w:hAnsi="Amiri" w:eastAsia="Amiri" w:cs="Amiri"/>
          <w:color w:val="111111"/>
          <w:sz w:val="28"/>
          <w:sz w:val="28"/>
          <w:szCs w:val="28"/>
          <w:rtl w:val="true"/>
          <w:lang w:bidi="ar-SA"/>
        </w:rPr>
        <w:t>إسقاط القضاء ونحو ذلك من الأمور الشرعية المتفرّعة على صحّة العمل في العبادات إذا كان عبادة أو في المعاملات إذا كان منها ، ولعمري لا ينبغي الارتياب في ذلك لمن مارس التنزيلات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لا يثمر في ترتيب </w:t>
      </w:r>
      <w:r>
        <w:rPr>
          <w:rStyle w:val="FootnoteAnchor"/>
          <w:rtl w:val="true"/>
        </w:rPr>
        <w:footnoteReference w:id="1441"/>
      </w:r>
      <w:r>
        <w:rPr>
          <w:rFonts w:ascii="Amiri" w:hAnsi="Amiri" w:eastAsia="Amiri" w:cs="Amiri"/>
          <w:color w:val="111111"/>
          <w:sz w:val="28"/>
          <w:sz w:val="28"/>
          <w:szCs w:val="28"/>
          <w:rtl w:val="true"/>
          <w:lang w:bidi="ar-SA"/>
        </w:rPr>
        <w:t>شيء من الأقسام العشرة إلاّ قسم واحد وهي الأحكام الشرعية للمستصحب ولوازمها الجعلية ، وما ليس له لازم جعلي ولا يكون من الأمور الجعلية ليس محلاّ للاستصحاب كما لا يخفى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يثمر في إثبات الأحكام الشرعية المترتّبة على تلك اللوازم العقلية والعاديّة التي قلنا بعدم ترتّبها على المستصحب أو لا؟ التحقيق عدم ترتّبها على المستصحب ؛ لأنّ تلك الآثار الشرعية التي موضوعها تلك الأحكام إن أريد إثباتها لا في موضوع فغير سديد ، ضرورة عدم تقوّم العرض بلا جوهر ومن غير أن يكون حالاّ في منعوت ، إذ لا ريب في أنّ قوام وجود تلك الآثار المحمولة على تلك اللوازم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أريد إثباتها في موضوعاتها فكذلك ؛ لأنّ المفروض عدم وجودها في مرحلة الظاهر ، إذ لا تقبل </w:t>
      </w:r>
      <w:r>
        <w:rPr>
          <w:rStyle w:val="FootnoteAnchor"/>
          <w:rtl w:val="true"/>
        </w:rPr>
        <w:footnoteReference w:id="1442"/>
      </w:r>
      <w:r>
        <w:rPr>
          <w:rFonts w:ascii="Amiri" w:hAnsi="Amiri" w:eastAsia="Amiri" w:cs="Amiri"/>
          <w:color w:val="111111"/>
          <w:sz w:val="28"/>
          <w:sz w:val="28"/>
          <w:szCs w:val="28"/>
          <w:rtl w:val="true"/>
          <w:lang w:bidi="ar-SA"/>
        </w:rPr>
        <w:t>الظاهرية ، فإنّها أمور واقعية صرفة لا يكاد يشوبها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إثباتها في موضوع هو المستصحب فإن أريد إثباتها له من غير أن تكون </w:t>
      </w:r>
      <w:r>
        <w:rPr>
          <w:rStyle w:val="FootnoteAnchor"/>
          <w:rtl w:val="true"/>
        </w:rPr>
        <w:footnoteReference w:id="1443"/>
      </w:r>
      <w:r>
        <w:rPr>
          <w:rFonts w:ascii="Amiri" w:hAnsi="Amiri" w:eastAsia="Amiri" w:cs="Amiri"/>
          <w:color w:val="111111"/>
          <w:sz w:val="28"/>
          <w:sz w:val="28"/>
          <w:szCs w:val="28"/>
          <w:rtl w:val="true"/>
          <w:lang w:bidi="ar-SA"/>
        </w:rPr>
        <w:t xml:space="preserve">مجعولة لذلك الموضوع ، ففساده أجلى من أن يخفى على أحد ؛ لكونها أجنبية بالنسبة إلى المستصحب ، إذ ليست </w:t>
      </w:r>
      <w:r>
        <w:rPr>
          <w:rStyle w:val="FootnoteAnchor"/>
          <w:rtl w:val="true"/>
        </w:rPr>
        <w:footnoteReference w:id="1444"/>
      </w:r>
      <w:r>
        <w:rPr>
          <w:rFonts w:ascii="Amiri" w:hAnsi="Amiri" w:eastAsia="Amiri" w:cs="Amiri"/>
          <w:color w:val="111111"/>
          <w:sz w:val="28"/>
          <w:sz w:val="28"/>
          <w:szCs w:val="28"/>
          <w:rtl w:val="true"/>
          <w:lang w:bidi="ar-SA"/>
        </w:rPr>
        <w:t xml:space="preserve">ممّا يتفرّع عليه ، وإن أريد إثباتها له بدعوى جعلها له فعهدتها على مدّعيها ؛ إذ لا يزيد مفاد تلك الروايات على أنّ الأحكام المتفرّعة على المتيقّن والآثار المنتزعة عنه لا يجوز نقضها بالشكّ ، ولا ريب أنّ تلك الآثار ليست </w:t>
      </w:r>
      <w:r>
        <w:rPr>
          <w:rStyle w:val="FootnoteAnchor"/>
          <w:rtl w:val="true"/>
        </w:rPr>
        <w:footnoteReference w:id="1445"/>
      </w:r>
      <w:r>
        <w:rPr>
          <w:rFonts w:ascii="Amiri" w:hAnsi="Amiri" w:eastAsia="Amiri" w:cs="Amiri"/>
          <w:color w:val="111111"/>
          <w:sz w:val="28"/>
          <w:sz w:val="28"/>
          <w:szCs w:val="28"/>
          <w:rtl w:val="true"/>
          <w:lang w:bidi="ar-SA"/>
        </w:rPr>
        <w:t>ممّا يتفرّع على المستصحب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المستصحب موجودا واقعيا كان له لازم عقلي أو عاديّ يترتّب عليهما </w:t>
      </w:r>
      <w:r>
        <w:rPr>
          <w:rStyle w:val="FootnoteAnchor"/>
          <w:rtl w:val="true"/>
        </w:rPr>
        <w:footnoteReference w:id="1446"/>
      </w:r>
      <w:r>
        <w:rPr>
          <w:rFonts w:ascii="Amiri" w:hAnsi="Amiri" w:eastAsia="Amiri" w:cs="Amiri"/>
          <w:color w:val="111111"/>
          <w:sz w:val="28"/>
          <w:sz w:val="28"/>
          <w:szCs w:val="28"/>
          <w:rtl w:val="true"/>
          <w:lang w:bidi="ar-SA"/>
        </w:rPr>
        <w:t xml:space="preserve">تلك الآثار ، فارتباطها بالمستصحب إنّما هو بواسطة تلك اللوازم العقلية ، ولمّا كان المفروض عدم ترتّب تلك الواسطة فقد انقطع الارتباط بين المستصحب وبين تلك الآثار فلا تعدّ </w:t>
      </w:r>
      <w:r>
        <w:rPr>
          <w:rStyle w:val="FootnoteAnchor"/>
          <w:rtl w:val="true"/>
        </w:rPr>
        <w:footnoteReference w:id="1447"/>
      </w:r>
      <w:r>
        <w:rPr>
          <w:rFonts w:ascii="Amiri" w:hAnsi="Amiri" w:eastAsia="Amiri" w:cs="Amiri"/>
          <w:color w:val="111111"/>
          <w:sz w:val="28"/>
          <w:sz w:val="28"/>
          <w:szCs w:val="28"/>
          <w:rtl w:val="true"/>
          <w:lang w:bidi="ar-SA"/>
        </w:rPr>
        <w:t>في عداد محمولاته وأحكامه ، فلا دلالة في الروايات على ترتّبها على المستصحب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الموضوع لتلك الأحكام موجودا في مرحلة الظاهر بمعنى أن يكون مستصحبا كان لترتيب آثاره عليه بالاستصحاب وجه وقد عرفت أنّ الكلام ليس في الآثار المقارنة للمستصحب حال العلم 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آثار نفس الموضوع والمستصحب مجعولة للشارع كما هو المعقول من استصحاب الموضوع ، فكذلك لمّا كان الموضوع لتلك الآثار غير معقول البقاء بالاستصحاب حكمنا بمجعولية آثاره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صحّة ذلك فيما كان المستصحب هو نفس تلك الأحكام العاديّة أو العقلية ، وأمّا مجعولية تلك الأحكام بعد استصحاب موضوع تلك الأحكام لا يعقل إلاّ أن يكون تنزيلا في تنزيل بمعنى أنّ الشارع لمّا حكم بوجود النار في الخارج عند الشكّ فقد حكم بوجود الحرارة أيضا ، ولمّا كانت </w:t>
      </w:r>
      <w:r>
        <w:rPr>
          <w:rStyle w:val="FootnoteAnchor"/>
          <w:rtl w:val="true"/>
        </w:rPr>
        <w:footnoteReference w:id="1448"/>
      </w:r>
      <w:r>
        <w:rPr>
          <w:rFonts w:ascii="Amiri" w:hAnsi="Amiri" w:eastAsia="Amiri" w:cs="Amiri"/>
          <w:color w:val="111111"/>
          <w:sz w:val="28"/>
          <w:sz w:val="28"/>
          <w:szCs w:val="28"/>
          <w:rtl w:val="true"/>
          <w:lang w:bidi="ar-SA"/>
        </w:rPr>
        <w:t xml:space="preserve">النار غير موجودة حقيقة فتكلّفنا في تصحيحه بجعل أحكامها ، وكذلك نقول بمثل ذلك في الحرارة ، ومن المعلوم الواضح عدم مساعدة تلك الأخبار على ذلك ، فإنّها لا تقبل </w:t>
      </w:r>
      <w:r>
        <w:rPr>
          <w:rStyle w:val="FootnoteAnchor"/>
          <w:rtl w:val="true"/>
        </w:rPr>
        <w:footnoteReference w:id="1449"/>
      </w:r>
      <w:r>
        <w:rPr>
          <w:rFonts w:ascii="Amiri" w:hAnsi="Amiri" w:eastAsia="Amiri" w:cs="Amiri"/>
          <w:color w:val="111111"/>
          <w:sz w:val="28"/>
          <w:sz w:val="28"/>
          <w:szCs w:val="28"/>
          <w:rtl w:val="true"/>
          <w:lang w:bidi="ar-SA"/>
        </w:rPr>
        <w:t>إلاّ تنزيلا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بالأحكام هي التي يصير المستصحب منشأ لوجودها وتنتهي </w:t>
      </w:r>
      <w:r>
        <w:rPr>
          <w:rStyle w:val="FootnoteAnchor"/>
          <w:rtl w:val="true"/>
        </w:rPr>
        <w:footnoteReference w:id="1450"/>
      </w:r>
      <w:r>
        <w:rPr>
          <w:rFonts w:ascii="Amiri" w:hAnsi="Amiri" w:eastAsia="Amiri" w:cs="Amiri"/>
          <w:color w:val="111111"/>
          <w:sz w:val="28"/>
          <w:sz w:val="28"/>
          <w:szCs w:val="28"/>
          <w:rtl w:val="true"/>
          <w:lang w:bidi="ar-SA"/>
        </w:rPr>
        <w:t xml:space="preserve">إليه ولا شكّ أنّ الأثر المترتّب على الأثر المترتّب </w:t>
      </w:r>
      <w:r>
        <w:rPr>
          <w:rStyle w:val="FootnoteAnchor"/>
          <w:rtl w:val="true"/>
        </w:rPr>
        <w:footnoteReference w:id="1451"/>
      </w:r>
      <w:r>
        <w:rPr>
          <w:rFonts w:ascii="Amiri" w:hAnsi="Amiri" w:eastAsia="Amiri" w:cs="Amiri"/>
          <w:color w:val="111111"/>
          <w:sz w:val="28"/>
          <w:sz w:val="28"/>
          <w:szCs w:val="28"/>
          <w:rtl w:val="true"/>
          <w:lang w:bidi="ar-SA"/>
        </w:rPr>
        <w:t xml:space="preserve">على المستصحب مترتّب عليه ، فلا بدّ من ترتيبه </w:t>
      </w:r>
      <w:r>
        <w:rPr>
          <w:rStyle w:val="FootnoteAnchor"/>
          <w:rtl w:val="true"/>
        </w:rPr>
        <w:footnoteReference w:id="1452"/>
      </w:r>
      <w:r>
        <w:rPr>
          <w:rFonts w:ascii="Amiri" w:hAnsi="Amiri" w:eastAsia="Amiri" w:cs="Amiri"/>
          <w:color w:val="111111"/>
          <w:sz w:val="28"/>
          <w:sz w:val="28"/>
          <w:szCs w:val="28"/>
          <w:rtl w:val="true"/>
          <w:lang w:bidi="ar-SA"/>
        </w:rPr>
        <w:t>عليه كما في الآثار المترتّبة على الآثار الشرعية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ترتّبها على المستصحب إلاّ بعد وجود موضوعها والمفروض عدمه ، وأمّا الآثار الشرعية المترتّبة على الآثار الشرعية فالوجه فيها ما عرفت في أوّل الهداية من أنّ الحكم الشرعي ولو كان ظاهريا بعد الجعل مترتّب عليه تمام ما يترتّب عليه واقعا إلاّ فيما لم نجده من خواصّ الأحكام الواقعية من حيث هي واقعية ، ولو سلّمنا كون تلك الآثار آثارا للمستصحب فلا يمكن إثباتها له </w:t>
      </w:r>
      <w:r>
        <w:rPr>
          <w:rStyle w:val="FootnoteAnchor"/>
          <w:rtl w:val="true"/>
        </w:rPr>
        <w:footnoteReference w:id="1453"/>
      </w:r>
      <w:r>
        <w:rPr>
          <w:rFonts w:ascii="Amiri" w:hAnsi="Amiri" w:eastAsia="Amiri" w:cs="Amiri"/>
          <w:color w:val="111111"/>
          <w:sz w:val="28"/>
          <w:sz w:val="28"/>
          <w:szCs w:val="28"/>
          <w:rtl w:val="true"/>
          <w:lang w:bidi="ar-SA"/>
        </w:rPr>
        <w:t xml:space="preserve">أيضا بالاستصحاب ؛ لأنّ الأصل عدم تلك الأحكام التي يترتب تلك الآثار عليها ، فاستصحاب الموضوع يقتضي بقاءها ، واستصحاب موضوعاتها يقتضي عدمها ، ولو لم نقل بأنّ انعدامها بواسطة انعدام موضوعاتها المعلوم بالأصل الاستصحابي أولى من وجودها بوجود الموضوع ، فلا أقلّ من التساوي </w:t>
      </w:r>
      <w:r>
        <w:rPr>
          <w:rStyle w:val="FootnoteAnchor"/>
          <w:rtl w:val="true"/>
        </w:rPr>
        <w:footnoteReference w:id="1454"/>
      </w:r>
      <w:r>
        <w:rPr>
          <w:rFonts w:ascii="Amiri" w:hAnsi="Amiri" w:eastAsia="Amiri" w:cs="Amiri"/>
          <w:color w:val="111111"/>
          <w:sz w:val="28"/>
          <w:sz w:val="28"/>
          <w:szCs w:val="28"/>
          <w:rtl w:val="true"/>
          <w:lang w:bidi="ar-SA"/>
        </w:rPr>
        <w:t>، فيتساقطان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الموضوع مزيل بالنسبة إلى استصحاب عدم تلك الأحكام الموضوعة لتلك الآثار ، فمع فرض جريان الأصل المزيل لا يبقى الشكّ في وجود الآثار المتفرّعة عليه ، فيصير مشمولا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تحقّق في موضعه على ما ستعرف </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التقدّم في الاستصحاب السببي على الأصل السّببي ارتفاع شكّ المسبّب بعد استصحاب السبب ، وفيما نحن فيه لا يرتفع الشكّ ؛ إذ المفروض عدم ترتّب الموضوعات العاديّة والعقلية على المستصحب وما لم يكن وجودها محرزا في مرحلة الظاهر لا يرتفع الشكّ </w:t>
      </w:r>
      <w:r>
        <w:rPr>
          <w:rStyle w:val="FootnoteAnchor"/>
          <w:rtl w:val="true"/>
        </w:rPr>
        <w:footnoteReference w:id="1457"/>
      </w:r>
      <w:r>
        <w:rPr>
          <w:rFonts w:ascii="Amiri" w:hAnsi="Amiri" w:eastAsia="Amiri" w:cs="Amiri"/>
          <w:color w:val="111111"/>
          <w:sz w:val="28"/>
          <w:sz w:val="28"/>
          <w:szCs w:val="28"/>
          <w:rtl w:val="true"/>
          <w:lang w:bidi="ar-SA"/>
        </w:rPr>
        <w:t xml:space="preserve">في وجود آثارها كما هو ظاهر وسيجيء لذلك زيادة توضيح في الخاتمة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ترتيب الآثار العقلية والعاديّة وما يترتّب عليهما من الأحكام الشرعية على الأدلّة التعبّدية الاجتهادية كالبيّنة والخبر الواحد ، فلو أخبر العدل بوجود زيد في زمان يقتضي </w:t>
      </w:r>
      <w:r>
        <w:rPr>
          <w:rStyle w:val="FootnoteAnchor"/>
          <w:rtl w:val="true"/>
        </w:rPr>
        <w:footnoteReference w:id="1459"/>
      </w:r>
      <w:r>
        <w:rPr>
          <w:rFonts w:ascii="Amiri" w:hAnsi="Amiri" w:eastAsia="Amiri" w:cs="Amiri"/>
          <w:color w:val="111111"/>
          <w:sz w:val="28"/>
          <w:sz w:val="28"/>
          <w:szCs w:val="28"/>
          <w:rtl w:val="true"/>
          <w:lang w:bidi="ar-SA"/>
        </w:rPr>
        <w:t xml:space="preserve">بياض </w:t>
      </w:r>
      <w:r>
        <w:rPr>
          <w:rStyle w:val="FootnoteAnchor"/>
          <w:rtl w:val="true"/>
        </w:rPr>
        <w:footnoteReference w:id="1460"/>
      </w:r>
      <w:r>
        <w:rPr>
          <w:rFonts w:ascii="Amiri" w:hAnsi="Amiri" w:eastAsia="Amiri" w:cs="Amiri"/>
          <w:color w:val="111111"/>
          <w:sz w:val="28"/>
          <w:sz w:val="28"/>
          <w:szCs w:val="28"/>
          <w:rtl w:val="true"/>
          <w:lang w:bidi="ar-SA"/>
        </w:rPr>
        <w:t xml:space="preserve">شيبته ، فيحكمون بالبياض ويترتّبون عليه ما يترتّب عليه من الآداب اللاحقة له من احترامه ونحوه ، ومجرّد كونها اجتهادية غير مجد ؛ إذ المفروض عدم اعتبارها في نفسها ، بل إنّما تعبّدنا الشارع بالعمل بها فتصير </w:t>
      </w:r>
      <w:r>
        <w:rPr>
          <w:rStyle w:val="FootnoteAnchor"/>
          <w:rtl w:val="true"/>
        </w:rPr>
        <w:footnoteReference w:id="1461"/>
      </w:r>
      <w:r>
        <w:rPr>
          <w:rFonts w:ascii="Amiri" w:hAnsi="Amiri" w:eastAsia="Amiri" w:cs="Amiri"/>
          <w:color w:val="111111"/>
          <w:sz w:val="28"/>
          <w:sz w:val="28"/>
          <w:szCs w:val="28"/>
          <w:rtl w:val="true"/>
          <w:lang w:bidi="ar-SA"/>
        </w:rPr>
        <w:t xml:space="preserve">من التنزيلات الشرعية ، وعلى ما قرّرت من أنّها لا تزيد </w:t>
      </w:r>
      <w:r>
        <w:rPr>
          <w:rStyle w:val="FootnoteAnchor"/>
          <w:rtl w:val="true"/>
        </w:rPr>
        <w:footnoteReference w:id="1462"/>
      </w:r>
      <w:r>
        <w:rPr>
          <w:rFonts w:ascii="Amiri" w:hAnsi="Amiri" w:eastAsia="Amiri" w:cs="Amiri"/>
          <w:color w:val="111111"/>
          <w:sz w:val="28"/>
          <w:sz w:val="28"/>
          <w:szCs w:val="28"/>
          <w:rtl w:val="true"/>
          <w:lang w:bidi="ar-SA"/>
        </w:rPr>
        <w:t>على الأحكام الشرعية في مقام ترتيب الآثار فلا بدّ إمّا من عدم الالتزام بها في الأدلّة الاجتهادية والواقع خلافه ، وإمّا من الأخذ بتمام الأحكام المترتّبة على المستصحب وهو المطلوب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ظاهر بين المقامين ،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التعبّدية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منها ما </w:t>
      </w:r>
    </w:p>
    <w:p>
      <w:pPr>
        <w:pStyle w:val="BookText"/>
        <w:rPr/>
      </w:pPr>
      <w:r>
        <w:rPr>
          <w:rFonts w:ascii="Amiri" w:hAnsi="Amiri" w:eastAsia="Amiri" w:cs="Amiri"/>
          <w:color w:val="111111"/>
          <w:sz w:val="28"/>
          <w:sz w:val="28"/>
          <w:szCs w:val="28"/>
          <w:rtl w:val="true"/>
          <w:lang w:bidi="ar-SA"/>
        </w:rPr>
        <w:t xml:space="preserve">له مدلول كالبيّنة والخبر ، ومنها ما ليس له مدلول </w:t>
      </w:r>
      <w:r>
        <w:rPr>
          <w:rStyle w:val="FootnoteAnchor"/>
          <w:rtl w:val="true"/>
        </w:rPr>
        <w:footnoteReference w:id="1463"/>
      </w:r>
      <w:r>
        <w:rPr>
          <w:rFonts w:ascii="Amiri" w:hAnsi="Amiri" w:eastAsia="Amiri" w:cs="Amiri"/>
          <w:color w:val="111111"/>
          <w:sz w:val="28"/>
          <w:sz w:val="28"/>
          <w:szCs w:val="28"/>
          <w:rtl w:val="true"/>
          <w:lang w:bidi="ar-SA"/>
        </w:rPr>
        <w:t>كالبراءة في مواردها وأصالة الصحّة في محالّها والاستصحاب في مجاريها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الدالّ على اعتبار القسم الأوّل يدلّ على أنّ مدلول قول العادل في الوقائع التي أخبر عنها لا بدّ من الأخذ بها وتصديقه فيها ، وكذا مدلول قول الشاهد العدل واقع ، فهذه الأدلّة طرق إلى الواقع ، ولمّا لم تكن </w:t>
      </w:r>
      <w:r>
        <w:rPr>
          <w:rStyle w:val="FootnoteAnchor"/>
          <w:rtl w:val="true"/>
        </w:rPr>
        <w:footnoteReference w:id="1464"/>
      </w:r>
      <w:r>
        <w:rPr>
          <w:rFonts w:ascii="Amiri" w:hAnsi="Amiri" w:eastAsia="Amiri" w:cs="Amiri"/>
          <w:color w:val="111111"/>
          <w:sz w:val="28"/>
          <w:sz w:val="28"/>
          <w:szCs w:val="28"/>
          <w:rtl w:val="true"/>
          <w:lang w:bidi="ar-SA"/>
        </w:rPr>
        <w:t xml:space="preserve">قطعية من حيث احتمال التخلّف عنها في نظر المكلّف لم تكن حجّة بنفسها ، فاحتاجت </w:t>
      </w:r>
      <w:r>
        <w:rPr>
          <w:rStyle w:val="FootnoteAnchor"/>
          <w:rtl w:val="true"/>
        </w:rPr>
        <w:footnoteReference w:id="1465"/>
      </w:r>
      <w:r>
        <w:rPr>
          <w:rFonts w:ascii="Amiri" w:hAnsi="Amiri" w:eastAsia="Amiri" w:cs="Amiri"/>
          <w:color w:val="111111"/>
          <w:sz w:val="28"/>
          <w:sz w:val="28"/>
          <w:szCs w:val="28"/>
          <w:rtl w:val="true"/>
          <w:lang w:bidi="ar-SA"/>
        </w:rPr>
        <w:t xml:space="preserve">إلى بيان اعتبارها دفعا لهذا الاحتمال بوجه لم يكن مضرّا في الاستدلال بها والاعتماد عليها ، ولا شكّ </w:t>
      </w:r>
      <w:r>
        <w:rPr>
          <w:rStyle w:val="FootnoteAnchor"/>
          <w:rtl w:val="true"/>
        </w:rPr>
        <w:footnoteReference w:id="1466"/>
      </w:r>
      <w:r>
        <w:rPr>
          <w:rFonts w:ascii="Amiri" w:hAnsi="Amiri" w:eastAsia="Amiri" w:cs="Amiri"/>
          <w:color w:val="111111"/>
          <w:sz w:val="28"/>
          <w:sz w:val="28"/>
          <w:szCs w:val="28"/>
          <w:rtl w:val="true"/>
          <w:lang w:bidi="ar-SA"/>
        </w:rPr>
        <w:t>أنّ قول العادل له مدلول مطابقي ومدلول تضمّني والتزامي ، فمعنى اعتباره اعتبار تمام ما يستفاد منه على ما هو المتعارف في الاستفادة عند العرف والعادة ، فالمخبر بوجود زيد مخبر ببياض شيبته أيضا ، وما يترتّب على المدلول المطابقي من الآثار إنّما هو بواسطة الإخبار به وهو بعينه موجود في المدلول الالتزامي ، فيترتّب عليه أيضا آثاره من غير تفاوت بين المدلولين لاستوائهما في المأخذ</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بخلاف الأدلّة التي ليس لها مدلول كالاستصحاب وأصالة الصحّة ، فإنّ الدليل الدالّ على اعتبارها إنّما يدلّ على أنّ </w:t>
      </w:r>
      <w:r>
        <w:rPr>
          <w:rStyle w:val="FootnoteAnchor"/>
          <w:rtl w:val="true"/>
        </w:rPr>
        <w:footnoteReference w:id="1467"/>
      </w:r>
      <w:r>
        <w:rPr>
          <w:rFonts w:ascii="Amiri" w:hAnsi="Amiri" w:eastAsia="Amiri" w:cs="Amiri"/>
          <w:color w:val="111111"/>
          <w:sz w:val="28"/>
          <w:sz w:val="28"/>
          <w:szCs w:val="28"/>
          <w:rtl w:val="true"/>
          <w:lang w:bidi="ar-SA"/>
        </w:rPr>
        <w:t>الموارد التي كانت مسبوقة بالحالة السابقة عند الشكّ ، أو الموارد التي شكّ في صحّتها مع احتمالها ، لا بدّ من الأخذ بالحالة السابقة والحمل على الصحّة ، وليس للصحّة مدلول ولا للإبقاء مدلول مثل ما كان في الخبر والبيّنة ، فليس لمواردها مدلول مطابقي ولا التزامي ؛ إذ ليس لفظا ولا حالة إدراكية كالظنّ مثلا ، فإنّه وإن لم يكن لفظا إلاّ أنّه يلازم الظنّ باللازم كالعلم على ما هو غير خفيّ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فالأدلّة الاجتهادية لها مداليل كاشفة عن الواقع ، والظنّ هو الواقع الظنّي ، والتعبّد بهما إنّما هو من حيث احتمال الخلاف وذلك لا ينافي الكشف ، وترتيب </w:t>
      </w:r>
      <w:r>
        <w:rPr>
          <w:rStyle w:val="FootnoteAnchor"/>
          <w:rtl w:val="true"/>
        </w:rPr>
        <w:footnoteReference w:id="1468"/>
      </w:r>
      <w:r>
        <w:rPr>
          <w:rFonts w:ascii="Amiri" w:hAnsi="Amiri" w:eastAsia="Amiri" w:cs="Amiri"/>
          <w:color w:val="111111"/>
          <w:sz w:val="28"/>
          <w:sz w:val="28"/>
          <w:szCs w:val="28"/>
          <w:rtl w:val="true"/>
          <w:lang w:bidi="ar-SA"/>
        </w:rPr>
        <w:t>الأحكام العقلية عليها إنّما هو من حيث الكشف لا من حيث التعبّد ولهذا لو قلنا بالاستصحاب من حيث الظنّ وبناء العقلاء ، فلا ريب في ترتيب الآثار الواقعية من العقلية والعاديّة وما يترتّب عليهما من الأحكام ، شرعية كانت أو عقلية أو عاديّة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صحّة الاستدلال بالأصول العملية في مباحث الألفاظ كأصالة عدم النقل وأصالة عدم القرينة والاشتراك ونحوها مع أنّ الآثار المطلوبة منها ليست ممّا يترتّب على نفس العدم المستصحب في تلك الموارد ، بل إنّما هي مترتّبة عليها بتوسّط أمر عاديّ أو عقلي ، مثلا أصالة عدم القرينة قاضية بعدم إرادة المجاز من اللفظ في الاستعمال المشكوك بواسطة قبح تأخير البيان عن وقت الحاجة والمطلوب في استصحاب عدم القرينة إثبات استعمال اللفظ في المعنى الحقيقي على ما هو مقتضى أصالة الحقيقة ، ومن الظاهر الجلي ، عدم ترتّب المطلوب هذا على عدم القرينة ، بل لا بدّ من ضمّ مقدّمة عقلية أو عاديّة من أنّ العادة تقضي </w:t>
      </w:r>
      <w:r>
        <w:rPr>
          <w:rStyle w:val="FootnoteAnchor"/>
          <w:rtl w:val="true"/>
        </w:rPr>
        <w:footnoteReference w:id="1469"/>
      </w:r>
      <w:r>
        <w:rPr>
          <w:rFonts w:ascii="Amiri" w:hAnsi="Amiri" w:eastAsia="Amiri" w:cs="Amiri"/>
          <w:color w:val="111111"/>
          <w:sz w:val="28"/>
          <w:sz w:val="28"/>
          <w:szCs w:val="28"/>
          <w:rtl w:val="true"/>
          <w:lang w:bidi="ar-SA"/>
        </w:rPr>
        <w:t>بأنّ بعد عدم إرادة المجاز لا بدّ من إرادة الحقيقة لئلاّ يلغو الاستعمال ، وكذا الكلام في أصالة عدم الاشتراك وعدم النقل كما لا يخفى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أنّ الأصول اللفظية معمولة في مواردها بواسطة الاستصحاب استنادا فيه إلى الأخبار ، فلا نسلّم كونها من باب الاستصحاب أوّلا ؛ إذ لعلّه من باب الأصول العدمية التي يكفي في ترتيب آثارها مجرّد الشكّ من غير ملاحظة الحالة السابقة ولا نسلّم اعتبارها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أريد أنّ </w:t>
      </w:r>
      <w:r>
        <w:rPr>
          <w:rStyle w:val="FootnoteAnchor"/>
          <w:rtl w:val="true"/>
        </w:rPr>
        <w:footnoteReference w:id="1470"/>
      </w:r>
      <w:r>
        <w:rPr>
          <w:rFonts w:ascii="Amiri" w:hAnsi="Amiri" w:eastAsia="Amiri" w:cs="Amiri"/>
          <w:color w:val="111111"/>
          <w:sz w:val="28"/>
          <w:sz w:val="28"/>
          <w:szCs w:val="28"/>
          <w:rtl w:val="true"/>
          <w:lang w:bidi="ar-SA"/>
        </w:rPr>
        <w:t>الأصول العدمية اللفظية معتبرة معمولة في مواردها بواسطة بناء العقلاء وحصول الظنّ بالاستصحاب ، فلا ضير فيه ؛ إذ قد عرفت أنّ الاستصحاب لو كان من حيث الظنّ وبناء العقلاء يترتّب عليه الآثار العقلية والعادية وما يترتّب عليهما كائنا ما كان ، بل التحقيق أن ليس العمل بها فيها إلاّ بمجرّد بناء العقلاء ، ولذلك كان من الأمور المتّفق عليها كما مرّ ، وليس عمل العقلاء بها إلاّ بواسطة تلك الآثار ، فهي المطلوبة في تلك الاستصحابات على وجه يتخيّل في بادئ الرأي أنّها بأنفسها مجاز لتلك الأصول كما هو ظاهر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الكلام في المسألة الأصولية على ما هو قضيّة التحقيق ، إلاّ أنّ موارد تلك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يترتّب على المستصحب فيها الآثار الشرعية بتوسّط أمر عاديّ أو عقلي ، فليسمّ بالأصول المثبتة كما اصطلح عليها </w:t>
      </w:r>
      <w:r>
        <w:rPr>
          <w:rStyle w:val="FootnoteAnchor"/>
          <w:rtl w:val="true"/>
        </w:rPr>
        <w:footnoteReference w:id="1471"/>
      </w:r>
      <w:r>
        <w:rPr>
          <w:rFonts w:ascii="Amiri" w:hAnsi="Amiri" w:eastAsia="Amiri" w:cs="Amiri"/>
          <w:color w:val="111111"/>
          <w:sz w:val="28"/>
          <w:sz w:val="28"/>
          <w:szCs w:val="28"/>
          <w:rtl w:val="true"/>
          <w:lang w:bidi="ar-SA"/>
        </w:rPr>
        <w:t xml:space="preserve">شيخ المتأخّرين كاشف الغطاء في الفقه </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الاختلاف ، فربّما لا يعتنون </w:t>
      </w:r>
      <w:r>
        <w:rPr>
          <w:rStyle w:val="FootnoteAnchor"/>
          <w:rtl w:val="true"/>
        </w:rPr>
        <w:footnoteReference w:id="1473"/>
      </w:r>
      <w:r>
        <w:rPr>
          <w:rFonts w:ascii="Amiri" w:hAnsi="Amiri" w:eastAsia="Amiri" w:cs="Amiri"/>
          <w:color w:val="111111"/>
          <w:sz w:val="28"/>
          <w:sz w:val="28"/>
          <w:szCs w:val="28"/>
          <w:rtl w:val="true"/>
          <w:lang w:bidi="ar-SA"/>
        </w:rPr>
        <w:t xml:space="preserve">بتلك الأصول ، كما لو فرضنا وجود النار على جسم قابل للانفعال منها ، ثمّ شككنا فيها ، فإنّه لا يذهب وهم إلى ترتّب الآثار الشرعية المترتّبة على وجود النار </w:t>
      </w:r>
      <w:r>
        <w:rPr>
          <w:rStyle w:val="FootnoteAnchor"/>
          <w:rtl w:val="true"/>
        </w:rPr>
        <w:footnoteReference w:id="1474"/>
      </w:r>
      <w:r>
        <w:rPr>
          <w:rFonts w:ascii="Amiri" w:hAnsi="Amiri" w:eastAsia="Amiri" w:cs="Amiri"/>
          <w:color w:val="111111"/>
          <w:sz w:val="28"/>
          <w:sz w:val="28"/>
          <w:szCs w:val="28"/>
          <w:rtl w:val="true"/>
          <w:lang w:bidi="ar-SA"/>
        </w:rPr>
        <w:t xml:space="preserve">بواسطة لوازمها العاديّة ، كالإحراق مثلا ، فباستصحاب وجود النار لا يحكمون بضمان من كان سببا لإلقاء </w:t>
      </w:r>
      <w:r>
        <w:rPr>
          <w:rStyle w:val="FootnoteAnchor"/>
          <w:rtl w:val="true"/>
        </w:rPr>
        <w:footnoteReference w:id="1475"/>
      </w:r>
      <w:r>
        <w:rPr>
          <w:rFonts w:ascii="Amiri" w:hAnsi="Amiri" w:eastAsia="Amiri" w:cs="Amiri"/>
          <w:color w:val="111111"/>
          <w:sz w:val="28"/>
          <w:sz w:val="28"/>
          <w:szCs w:val="28"/>
          <w:rtl w:val="true"/>
          <w:lang w:bidi="ar-SA"/>
        </w:rPr>
        <w:t>النار على ذلك الجسم ، وكذا لو أنّ شخصا رمى غيره بسهم وكان على وجه لو لم يمنعه مانع من الوصول إليه لكان مهلكا له ، فبأصالة عدم المانع لا يترتّب ضمان الرامي ؛ إذ ليس الضمان في المثالين من لوازم وجود النار وعدم المانع ، بل إنّما يترتّب عليهما بواسطة أمر عاديّ هو الإحراق عادة في النار ، والهلاك عادة في السهم ، وذلك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تراهم </w:t>
      </w:r>
    </w:p>
    <w:p>
      <w:pPr>
        <w:pStyle w:val="BookText"/>
        <w:rPr/>
      </w:pPr>
      <w:r>
        <w:rPr>
          <w:rFonts w:ascii="Amiri" w:hAnsi="Amiri" w:eastAsia="Amiri" w:cs="Amiri"/>
          <w:color w:val="111111"/>
          <w:sz w:val="28"/>
          <w:sz w:val="28"/>
          <w:szCs w:val="28"/>
          <w:rtl w:val="true"/>
          <w:lang w:bidi="ar-SA"/>
        </w:rPr>
        <w:t xml:space="preserve">لا يحكمون بوصول الماء إلى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شكّ في إصابة الماء بها لاحتمال مانع كالجورب </w:t>
      </w:r>
      <w:r>
        <w:rPr>
          <w:rStyle w:val="FootnoteAnchor"/>
          <w:rtl w:val="true"/>
        </w:rPr>
        <w:footnoteReference w:id="1476"/>
      </w:r>
      <w:r>
        <w:rPr>
          <w:rFonts w:ascii="Amiri" w:hAnsi="Amiri" w:eastAsia="Amiri" w:cs="Amiri"/>
          <w:color w:val="111111"/>
          <w:sz w:val="28"/>
          <w:sz w:val="28"/>
          <w:szCs w:val="28"/>
          <w:rtl w:val="true"/>
          <w:lang w:bidi="ar-SA"/>
        </w:rPr>
        <w:t xml:space="preserve">أو شيء آخر منفصل عن البشرة من أقسام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عدم المانع ؛ إذ ليس صحّة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مترتّبا </w:t>
      </w:r>
      <w:r>
        <w:rPr>
          <w:rStyle w:val="FootnoteAnchor"/>
          <w:rtl w:val="true"/>
        </w:rPr>
        <w:footnoteReference w:id="1477"/>
      </w:r>
      <w:r>
        <w:rPr>
          <w:rFonts w:ascii="Amiri" w:hAnsi="Amiri" w:eastAsia="Amiri" w:cs="Amiri"/>
          <w:color w:val="111111"/>
          <w:sz w:val="28"/>
          <w:sz w:val="28"/>
          <w:szCs w:val="28"/>
          <w:rtl w:val="true"/>
          <w:lang w:bidi="ar-SA"/>
        </w:rPr>
        <w:t xml:space="preserve">على عدم المانع بلا واسطة ، بل بواسطة الوصول الذي هو </w:t>
      </w:r>
      <w:r>
        <w:rPr>
          <w:rStyle w:val="FootnoteAnchor"/>
          <w:rtl w:val="true"/>
        </w:rPr>
        <w:footnoteReference w:id="1478"/>
      </w:r>
      <w:r>
        <w:rPr>
          <w:rFonts w:ascii="Amiri" w:hAnsi="Amiri" w:eastAsia="Amiri" w:cs="Amiri"/>
          <w:color w:val="111111"/>
          <w:sz w:val="28"/>
          <w:sz w:val="28"/>
          <w:szCs w:val="28"/>
          <w:rtl w:val="true"/>
          <w:lang w:bidi="ar-SA"/>
        </w:rPr>
        <w:t>لازم عاديّ لعدم المانع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أنّ موكّلا وكّل شخصا في عقد بيع أو نكاح أو في طلاق زوجته على وجه لو لم يمنعه مانع عن إيقاع العقد أو الطلاق لكان قد أوقعه قطعا ، فإنّ بأصالة عدم المانع لا يرتّبون </w:t>
      </w:r>
      <w:r>
        <w:rPr>
          <w:rStyle w:val="FootnoteAnchor"/>
          <w:rtl w:val="true"/>
        </w:rPr>
        <w:footnoteReference w:id="1479"/>
      </w:r>
      <w:r>
        <w:rPr>
          <w:rFonts w:ascii="Amiri" w:hAnsi="Amiri" w:eastAsia="Amiri" w:cs="Amiri"/>
          <w:color w:val="111111"/>
          <w:sz w:val="28"/>
          <w:sz w:val="28"/>
          <w:szCs w:val="28"/>
          <w:rtl w:val="true"/>
          <w:lang w:bidi="ar-SA"/>
        </w:rPr>
        <w:t>آثار الملك على المبيع المفروض من جواز التصرّف فيه بنقله إلى الغير أو الوصيّة به لوارثه ، ولا يحكمون بتوارث ورثته فيه ، ولا أحكام الزوجية من جواز الوطي ووجوب النفقة والتوارث ونحوها ، ولا أحكام الأجنبية ؛ إذ ليس تلك الأحكام مترتّبة على نفس العدم المستصحب في عدم المانع ، بل بواسطة مقدّمة عاديّة وهو وقوع العقد البيعي أو النكاحي أو وقوع الطلاق عادة عند عدم المانع ، وتلك الآثار أحكام لتلك المقدّمة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هناك كرّ من الماء موجودا ، ثمّ شكّ في وجوده وعدمه من أصل ، فباستصحاب بقاء ذلك الكرّ لا يحكمون بطهارة شيء لاقاه لو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الحكم في الأمثلة المفروضة كلّها عدم تلك الأحكام استصحابا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جملة من موارد المسائل الفرعية </w:t>
      </w:r>
      <w:r>
        <w:rPr>
          <w:rStyle w:val="FootnoteAnchor"/>
          <w:rtl w:val="true"/>
        </w:rPr>
        <w:footnoteReference w:id="1480"/>
      </w:r>
      <w:r>
        <w:rPr>
          <w:rFonts w:ascii="Amiri" w:hAnsi="Amiri" w:eastAsia="Amiri" w:cs="Amiri"/>
          <w:color w:val="111111"/>
          <w:sz w:val="28"/>
          <w:sz w:val="28"/>
          <w:szCs w:val="28"/>
          <w:rtl w:val="true"/>
          <w:lang w:bidi="ar-SA"/>
        </w:rPr>
        <w:t>الفقهية استناد جملة منهم فيها إلى تلك الأصول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شكّ في مانعية وسخ قليل عن وصول الماء إلى البشرة في مواضع الوضوء أو الغسل ، فإنّهم يترتّبون </w:t>
      </w:r>
      <w:r>
        <w:rPr>
          <w:rStyle w:val="FootnoteAnchor"/>
          <w:rtl w:val="true"/>
        </w:rPr>
        <w:footnoteReference w:id="1481"/>
      </w:r>
      <w:r>
        <w:rPr>
          <w:rFonts w:ascii="Amiri" w:hAnsi="Amiri" w:eastAsia="Amiri" w:cs="Amiri"/>
          <w:color w:val="111111"/>
          <w:sz w:val="28"/>
          <w:sz w:val="28"/>
          <w:szCs w:val="28"/>
          <w:rtl w:val="true"/>
          <w:lang w:bidi="ar-SA"/>
        </w:rPr>
        <w:t xml:space="preserve">على أصالة عدم المانعية صحّة الوضوء والغسل مع أنّه لا فرق بينه وبين ما عرفت من مثال الجورب ، ولعلّ كاشف الغطاء قد اعتبر </w:t>
      </w:r>
    </w:p>
    <w:p>
      <w:pPr>
        <w:pStyle w:val="BookText"/>
        <w:rPr/>
      </w:pPr>
      <w:r>
        <w:rPr>
          <w:rFonts w:ascii="Amiri" w:hAnsi="Amiri" w:eastAsia="Amiri" w:cs="Amiri"/>
          <w:color w:val="111111"/>
          <w:sz w:val="28"/>
          <w:sz w:val="28"/>
          <w:szCs w:val="28"/>
          <w:rtl w:val="true"/>
          <w:lang w:bidi="ar-SA"/>
        </w:rPr>
        <w:t>الظنّ بالوصول في المثال المفروض تفصّيا عن مثل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وابن حمزة في الوسيلة والعلاّمة والمحقّق والشهيدان والمحقّق الثاني </w:t>
      </w:r>
      <w:r>
        <w:rPr>
          <w:rStyle w:val="FootnoteAnchor"/>
          <w:rtl w:val="true"/>
        </w:rPr>
        <w:footnoteReference w:id="1482"/>
      </w:r>
      <w:r>
        <w:rPr>
          <w:rFonts w:ascii="Amiri" w:hAnsi="Amiri" w:eastAsia="Amiri" w:cs="Amiri"/>
          <w:color w:val="111111"/>
          <w:sz w:val="28"/>
          <w:sz w:val="28"/>
          <w:szCs w:val="28"/>
          <w:rtl w:val="true"/>
          <w:lang w:bidi="ar-SA"/>
        </w:rPr>
        <w:t>في جملة من موارد التداعي فيما تمسّكوا بأصالة تأخّر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المحكي عنه </w:t>
      </w:r>
      <w:r>
        <w:rPr>
          <w:rStyle w:val="FootnoteAnchor"/>
          <w:rtl w:val="true"/>
        </w:rPr>
        <w:footnoteReference w:id="14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المسلم عن ذميين </w:t>
      </w:r>
      <w:r>
        <w:rPr>
          <w:rStyle w:val="FootnoteAnchor"/>
          <w:rtl w:val="true"/>
        </w:rPr>
        <w:footnoteReference w:id="1484"/>
      </w:r>
      <w:r>
        <w:rPr>
          <w:rFonts w:ascii="Amiri" w:hAnsi="Amiri" w:eastAsia="Amiri" w:cs="Amiri"/>
          <w:color w:val="111111"/>
          <w:sz w:val="28"/>
          <w:sz w:val="28"/>
          <w:szCs w:val="28"/>
          <w:rtl w:val="true"/>
          <w:lang w:bidi="ar-SA"/>
        </w:rPr>
        <w:t xml:space="preserve">فتصادقا على تقديم </w:t>
      </w:r>
      <w:r>
        <w:rPr>
          <w:rStyle w:val="FootnoteAnchor"/>
          <w:rtl w:val="true"/>
        </w:rPr>
        <w:footnoteReference w:id="1485"/>
      </w:r>
      <w:r>
        <w:rPr>
          <w:rFonts w:ascii="Amiri" w:hAnsi="Amiri" w:eastAsia="Amiri" w:cs="Amiri"/>
          <w:color w:val="111111"/>
          <w:sz w:val="28"/>
          <w:sz w:val="28"/>
          <w:szCs w:val="28"/>
          <w:rtl w:val="true"/>
          <w:lang w:bidi="ar-SA"/>
        </w:rPr>
        <w:t xml:space="preserve">إسلام أحدهما على موت الأب وادّعى آخر مثله فأنكر أخوه ، فالقول قول المتّفق على تقديم إسلامه مع يمينه ، وذلك إذا ادّعى عليه العلم وأنّه لا يعلم أنّ أخاه أسلم قبل موت أبيه ، وكذا لو كانا مملوكين فأعتقا واتّفقا على تقديم حرّية أحدهما واختلفا في الآخر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لو اتّفقا على أنّ أحدهما أسلم في شعبان والآخر في غرّة رمضان ، ثمّ قال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الأب قبل هلال رمضان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دخول شهر رمضان ، كان الأصل بقاء الحياة ، والتركة بينهما نصفين </w:t>
      </w:r>
      <w:r>
        <w:rPr>
          <w:rStyle w:val="FootnoteAnchor"/>
          <w:rtl w:val="true"/>
        </w:rPr>
        <w:footnoteReference w:id="1486"/>
      </w:r>
      <w:r>
        <w:rPr>
          <w:rFonts w:ascii="Amiri" w:hAnsi="Amiri" w:eastAsia="Amiri" w:cs="Amiri"/>
          <w:color w:val="111111"/>
          <w:sz w:val="28"/>
          <w:sz w:val="28"/>
          <w:szCs w:val="28"/>
          <w:rtl w:val="true"/>
          <w:lang w:bidi="ar-SA"/>
        </w:rPr>
        <w:t xml:space="preserve">، انتهت عبارته قدّس اللّه نفسه الزكية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يستفاد منه أنّ الصور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تقدّم الإسلام على الموت مع الجهل بتاريخهما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بتاريخ الموت والجهل بتاريخ الإسلام ،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w:t>
      </w:r>
      <w:r>
        <w:rPr>
          <w:rStyle w:val="FootnoteAnchor"/>
          <w:rtl w:val="true"/>
        </w:rPr>
        <w:footnoteReference w:id="1488"/>
      </w:r>
      <w:r>
        <w:rPr>
          <w:rFonts w:ascii="Amiri" w:hAnsi="Amiri" w:eastAsia="Amiri" w:cs="Amiri"/>
          <w:color w:val="111111"/>
          <w:sz w:val="28"/>
          <w:sz w:val="28"/>
          <w:szCs w:val="28"/>
          <w:rtl w:val="true"/>
          <w:lang w:bidi="ar-SA"/>
        </w:rPr>
        <w:t>بأن يعلم تاريخ الإسلام والجهل بتاريخ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باستقلال المتقدّم في الإسلام ؛ إذ لم يعلم باستحقاق المدّعي لتأخّر الموت ، ولا يكفي فيه القول بأنّ الكفر مانع وبعد وجود المقتضي للتوارث وهو التوالد يحكم بالإرث بينهما ؛ إذ بعد التسليم عن ذلك بالغضّ عن كون الإسلام شرطا لا أنّ الكفر مانع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مستصحب الوجود ؛ لأنّ الكفر كان معلوما ، نعم لو كان المانع غير معلوم كان القول على التقدير </w:t>
      </w:r>
      <w:r>
        <w:rPr>
          <w:rStyle w:val="FootnoteAnchor"/>
          <w:rtl w:val="true"/>
        </w:rPr>
        <w:footnoteReference w:id="1489"/>
      </w:r>
      <w:r>
        <w:rPr>
          <w:rFonts w:ascii="Amiri" w:hAnsi="Amiri" w:eastAsia="Amiri" w:cs="Amiri"/>
          <w:color w:val="111111"/>
          <w:sz w:val="28"/>
          <w:sz w:val="28"/>
          <w:szCs w:val="28"/>
          <w:rtl w:val="true"/>
          <w:lang w:bidi="ar-SA"/>
        </w:rPr>
        <w:t>المذكور موجّها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بانتصاف المال بينهما نصفين ؛ لأنّ الأصل تأخّر الموت عن إسلامه </w:t>
      </w:r>
      <w:r>
        <w:rPr>
          <w:rStyle w:val="FootnoteAnchor"/>
          <w:rtl w:val="true"/>
        </w:rPr>
        <w:footnoteReference w:id="1490"/>
      </w:r>
      <w:r>
        <w:rPr>
          <w:rFonts w:ascii="Amiri" w:hAnsi="Amiri" w:eastAsia="Amiri" w:cs="Amiri"/>
          <w:color w:val="111111"/>
          <w:sz w:val="28"/>
          <w:sz w:val="28"/>
          <w:szCs w:val="28"/>
          <w:rtl w:val="true"/>
          <w:lang w:bidi="ar-SA"/>
        </w:rPr>
        <w:t>، ومن المعلوم أنّ توارثه وانتصاف المال نصفين إنّما يترتّب على كونه مسلما حال حياته لا على تأخّر موته عن إسلامه ، فهو من أحكام المتقدّم ، واستصحاب تأخّر الموت لا يثمر في إثبات تقدّم الإسلام إلاّ عادة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فموارد أصالة التأخّر غالبا من هذا القبيل ، فلا بدّ إمّا من توجيه لكلماتهم في مواردها ، وإمّا من الأخذ بمقتضى الدليل ، ولا ينبغي التوحّش من الانفراد بعد مساعدة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فيمكن توجيه بعض موارد النقض في كلماتهم ولو بنوع من العناية كأن يقال في المثال المفروض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حصول </w:t>
      </w:r>
      <w:r>
        <w:rPr>
          <w:rStyle w:val="FootnoteAnchor"/>
          <w:rtl w:val="true"/>
        </w:rPr>
        <w:footnoteReference w:id="1491"/>
      </w:r>
      <w:r>
        <w:rPr>
          <w:rFonts w:ascii="Amiri" w:hAnsi="Amiri" w:eastAsia="Amiri" w:cs="Amiri"/>
          <w:color w:val="111111"/>
          <w:sz w:val="28"/>
          <w:sz w:val="28"/>
          <w:szCs w:val="28"/>
          <w:rtl w:val="true"/>
          <w:lang w:bidi="ar-SA"/>
        </w:rPr>
        <w:t xml:space="preserve">علقة التوارث إنّما هو </w:t>
      </w:r>
      <w:r>
        <w:rPr>
          <w:rStyle w:val="FootnoteAnchor"/>
          <w:rtl w:val="true"/>
        </w:rPr>
        <w:footnoteReference w:id="1492"/>
      </w:r>
      <w:r>
        <w:rPr>
          <w:rFonts w:ascii="Amiri" w:hAnsi="Amiri" w:eastAsia="Amiri" w:cs="Amiri"/>
          <w:color w:val="111111"/>
          <w:sz w:val="28"/>
          <w:sz w:val="28"/>
          <w:szCs w:val="28"/>
          <w:rtl w:val="true"/>
          <w:lang w:bidi="ar-SA"/>
        </w:rPr>
        <w:t xml:space="preserve">من الآثار الشرعية المترتّبة على نفس الحياة من غير توسّط شيء آخر ، كما أنّ توارثه من قريبه إنّما هو لواحق حياته ، فلو شكّ في ذلك بعد العلم بموت قريبه والشكّ في تأخّر موته عنه ، نحكم </w:t>
      </w:r>
      <w:r>
        <w:rPr>
          <w:rStyle w:val="FootnoteAnchor"/>
          <w:rtl w:val="true"/>
        </w:rPr>
        <w:footnoteReference w:id="1493"/>
      </w:r>
      <w:r>
        <w:rPr>
          <w:rFonts w:ascii="Amiri" w:hAnsi="Amiri" w:eastAsia="Amiri" w:cs="Amiri"/>
          <w:color w:val="111111"/>
          <w:sz w:val="28"/>
          <w:sz w:val="28"/>
          <w:szCs w:val="28"/>
          <w:rtl w:val="true"/>
          <w:lang w:bidi="ar-SA"/>
        </w:rPr>
        <w:t xml:space="preserve">بتوارثه من مال قريبه باستصحاب حياته ؛ لكونه من أحكامه شرعا بلا واسطة ، وبمثله نقول في المثال المذكور فلا حاجة في انتصاف المال بين الأخوين إلى إحراز موته بعد إسلامه على وجه يصدق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عن مسلمين ، بل يكفي في ذلك استصحاب حياته مع العلم بإسلامه ، كذا أفاد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إنّ توجيه بعض الأمثلة ليس ممّا يجدي في أصل المسألة فالأولى صرف عنان الهمّة إلى بيان ضابطة جامعة بين الموارد </w:t>
      </w:r>
      <w:r>
        <w:rPr>
          <w:rStyle w:val="FootnoteAnchor"/>
          <w:rtl w:val="true"/>
        </w:rPr>
        <w:footnoteReference w:id="1494"/>
      </w:r>
      <w:r>
        <w:rPr>
          <w:rFonts w:ascii="Amiri" w:hAnsi="Amiri" w:eastAsia="Amiri" w:cs="Amiri"/>
          <w:color w:val="111111"/>
          <w:sz w:val="28"/>
          <w:sz w:val="28"/>
          <w:szCs w:val="28"/>
          <w:rtl w:val="true"/>
          <w:lang w:bidi="ar-SA"/>
        </w:rPr>
        <w:t>فإنّها هي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الاستناد إلى الأصول المثبتة للآثار الشرعية بواسطة أمور غير شرعية ، والتعويل عليها لعلّه من باب الركون إليها بواسطة إفادتها الظنّ كما عليه بناء العقلاء ؛ إذ قد عرفت أنّه على تقدير إفادة الاستصحاب الظنّ كما هو المأخذ لبناء العقلاء في العمل به لا فرق بين الآثار الشرعية والعقلية والعاديّة ، فبعد </w:t>
      </w:r>
      <w:r>
        <w:rPr>
          <w:rStyle w:val="FootnoteAnchor"/>
          <w:rtl w:val="true"/>
        </w:rPr>
        <w:footnoteReference w:id="1495"/>
      </w:r>
      <w:r>
        <w:rPr>
          <w:rFonts w:ascii="Amiri" w:hAnsi="Amiri" w:eastAsia="Amiri" w:cs="Amiri"/>
          <w:color w:val="111111"/>
          <w:sz w:val="28"/>
          <w:sz w:val="28"/>
          <w:szCs w:val="28"/>
          <w:rtl w:val="true"/>
          <w:lang w:bidi="ar-SA"/>
        </w:rPr>
        <w:t xml:space="preserve">وجود موضوعات تلك الآثار الشرعية </w:t>
      </w:r>
      <w:r>
        <w:rPr>
          <w:rStyle w:val="FootnoteAnchor"/>
          <w:rtl w:val="true"/>
        </w:rPr>
        <w:footnoteReference w:id="1496"/>
      </w:r>
      <w:r>
        <w:rPr>
          <w:rFonts w:ascii="Amiri" w:hAnsi="Amiri" w:eastAsia="Amiri" w:cs="Amiri"/>
          <w:color w:val="111111"/>
          <w:sz w:val="28"/>
          <w:sz w:val="28"/>
          <w:szCs w:val="28"/>
          <w:rtl w:val="true"/>
          <w:lang w:bidi="ar-SA"/>
        </w:rPr>
        <w:t xml:space="preserve">المترتّبة على الآثار العقلية ولو ظنّا لا مانع من ترتيب تلك الآثار ؛ لأنّ الظنّ بالملزوم هو الظنّ باللازم على التحقيق ، أو يلازمه كما هو مذاق البعض ، وعلى تقدير اعتبار الظنّ الاستصحابي في الملزوم أو في اللازم لا وجه لإنكاره ، وقد عرفت أيضا في الهداية الحنفية </w:t>
      </w:r>
      <w:r>
        <w:rPr>
          <w:rStyle w:val="FootnoteAnchor"/>
          <w:rtl w:val="true"/>
        </w:rPr>
        <w:footnoteReference w:id="1497"/>
      </w:r>
      <w:r>
        <w:rPr>
          <w:rFonts w:ascii="Amiri" w:hAnsi="Amiri" w:eastAsia="Amiri" w:cs="Amiri"/>
          <w:color w:val="111111"/>
          <w:sz w:val="28"/>
          <w:sz w:val="28"/>
          <w:szCs w:val="28"/>
          <w:rtl w:val="true"/>
          <w:lang w:bidi="ar-SA"/>
        </w:rPr>
        <w:t xml:space="preserve">أنّ بناء السلف من أصحابنا كالمفيد وأضرابه قبل ظهور دلالة الأخبار عليه على العمل بالاستصحاب ، كما يظهر من استدلال المحقّق </w:t>
      </w:r>
      <w:r>
        <w:rPr>
          <w:rStyle w:val="FootnoteAnchor"/>
          <w:rtl w:val="true"/>
        </w:rPr>
        <w:footnoteReference w:id="1498"/>
      </w:r>
      <w:r>
        <w:rPr>
          <w:rFonts w:ascii="Amiri" w:hAnsi="Amiri" w:eastAsia="Amiri" w:cs="Amiri"/>
          <w:color w:val="111111"/>
          <w:sz w:val="28"/>
          <w:sz w:val="28"/>
          <w:szCs w:val="28"/>
          <w:rtl w:val="true"/>
          <w:lang w:bidi="ar-SA"/>
        </w:rPr>
        <w:t xml:space="preserve">من حيث استقرار بناء العقلاء عليه و </w:t>
      </w:r>
      <w:r>
        <w:rPr>
          <w:rStyle w:val="FootnoteAnchor"/>
          <w:rtl w:val="true"/>
        </w:rPr>
        <w:footnoteReference w:id="1499"/>
      </w:r>
      <w:r>
        <w:rPr>
          <w:rFonts w:ascii="Amiri" w:hAnsi="Amiri" w:eastAsia="Amiri" w:cs="Amiri"/>
          <w:color w:val="111111"/>
          <w:sz w:val="28"/>
          <w:sz w:val="28"/>
          <w:szCs w:val="28"/>
          <w:rtl w:val="true"/>
          <w:lang w:bidi="ar-SA"/>
        </w:rPr>
        <w:t>إفادته الظنّ إلاّ أنّ ذلك ليس مطّردا ؛ لعدم الفرق بين الموارد التي لا يعتمدون على الأصول المثبتة والموارد التي يعوّلون عليها من هذه الجهة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أيضا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الواسطة التي يترتّب عليها الحكم الشرعي في موارد الأصول المثبتة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يعدّ في العرف واسطة بل الحكم الشرعي في أنظارهم مترتّب على نفس المستصحب وإن كان بعد التدقيق والتحقيق مترتّبا على الواسطة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الواسطة جليّة لا يمكن الإغماض عنها ولو بحسب متفاهم العرف ، فعلى الأوّل يحكمون بترتّب الآثار الشرعية على المستصحب ، وعلى </w:t>
      </w:r>
    </w:p>
    <w:p>
      <w:pPr>
        <w:pStyle w:val="BookText"/>
        <w:rPr/>
      </w:pPr>
      <w:r>
        <w:rPr>
          <w:rFonts w:ascii="Amiri" w:hAnsi="Amiri" w:eastAsia="Amiri" w:cs="Amiri"/>
          <w:color w:val="111111"/>
          <w:sz w:val="28"/>
          <w:sz w:val="28"/>
          <w:szCs w:val="28"/>
          <w:rtl w:val="true"/>
          <w:lang w:bidi="ar-SA"/>
        </w:rPr>
        <w:t>الثاني لا يحكمون بذلك ، وحسبان ترتّب الحكم الشرعي المترتّب على الواسطة عليه إمّا بملاحظة خفائها ، وإمّا بواسطة اتّحاد الواسطة والمستصحب وجودا وإن كانا مختلفين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وينطبق على الأوّل بعض الموارد المذكورة ، كما إذا شكّ في مانعية وسخ من وصول الماء إلى محال الوضوء والغسل ، فإنّ استصحاب عدم المانع لا يترتّب عليه حصول الطهارة الشرعية إلاّ بواسطة عاديّة هي وصول الماء إلى البشرة وكما إذا لاقى شيئا يابسا </w:t>
      </w:r>
      <w:r>
        <w:rPr>
          <w:rStyle w:val="FootnoteAnchor"/>
          <w:rtl w:val="true"/>
        </w:rPr>
        <w:footnoteReference w:id="1501"/>
      </w:r>
      <w:r>
        <w:rPr>
          <w:rFonts w:ascii="Amiri" w:hAnsi="Amiri" w:eastAsia="Amiri" w:cs="Amiri"/>
          <w:color w:val="111111"/>
          <w:sz w:val="28"/>
          <w:sz w:val="28"/>
          <w:szCs w:val="28"/>
          <w:rtl w:val="true"/>
          <w:lang w:bidi="ar-SA"/>
        </w:rPr>
        <w:t xml:space="preserve">لرطوبة نجسة مستصحبة فإنّهم يحكمون بترتّب </w:t>
      </w:r>
      <w:r>
        <w:rPr>
          <w:rStyle w:val="FootnoteAnchor"/>
          <w:rtl w:val="true"/>
        </w:rPr>
        <w:footnoteReference w:id="1502"/>
      </w:r>
      <w:r>
        <w:rPr>
          <w:rFonts w:ascii="Amiri" w:hAnsi="Amiri" w:eastAsia="Amiri" w:cs="Amiri"/>
          <w:color w:val="111111"/>
          <w:sz w:val="28"/>
          <w:sz w:val="28"/>
          <w:szCs w:val="28"/>
          <w:rtl w:val="true"/>
          <w:lang w:bidi="ar-SA"/>
        </w:rPr>
        <w:t>نجاسة الملاقي على استصحاب الرطوبة النجسة مع أنّ ذلك لا يثمر إلاّ بواسطة تأثيرها في الملاقي وتأثّرها منها من حيث خفاء الواسطة ، بخلاف ما إذا كانت الواسطة جليّة كما في مثال مانعية الجورب أو مانعية الشمعة من وصول الماء على البشرة كما لا يخفى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وينطبق على الثاني بعض الموارد الأخر كاستصحاب الكرّية في وجه ، وتوضيحه أنّ استصحاب الكرّية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وجه لا مجرى له عند التحقيق إلاّ بالمسامحة في الموضوع ، كما إذا استصحبنا وصف الكرّية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الفلاني كان كرّا في الأمس وبعد انتصاف الماء في اليوم لا نعلم بعدمها وارتفاعها ، والأصل بقاء الكرّية ، وليس هذا الأصل من الأصول المثبتة لطهارة ملاقيه ، فإنّ من الأحكام الشرعية التي يترتّب على الكرّية ذلك ، إلاّ أنّ الكلام في جريان ذلك الاستصحاب ، لأنّ الكرّية المعلومة في الأمس إنّما كانت متعلّقة بموضوع قد ارتفع قطعا ، فلا يجري الاستصحاب إلاّ بعد المسامحة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وجه آخر يجري الاستصحاب إلاّ أنّه لا يترتّب عليه طهارة الملاقي ، كما إذا استصحبنا بقاء الكرّ في الحوض بعد ما كان وجوده معلوما ، فإنّ طهارة الملاقي ليس من الآثار المترتّبة على بقاء الكرّ في الحوض ، </w:t>
      </w:r>
    </w:p>
    <w:p>
      <w:pPr>
        <w:pStyle w:val="BookText"/>
        <w:rPr/>
      </w:pPr>
      <w:r>
        <w:rPr>
          <w:rFonts w:ascii="Amiri" w:hAnsi="Amiri" w:eastAsia="Amiri" w:cs="Amiri"/>
          <w:color w:val="111111"/>
          <w:sz w:val="28"/>
          <w:sz w:val="28"/>
          <w:szCs w:val="28"/>
          <w:rtl w:val="true"/>
          <w:lang w:bidi="ar-SA"/>
        </w:rPr>
        <w:t xml:space="preserve">نعم لو نذر شيئا </w:t>
      </w:r>
      <w:r>
        <w:rPr>
          <w:rStyle w:val="FootnoteAnchor"/>
          <w:rtl w:val="true"/>
        </w:rPr>
        <w:footnoteReference w:id="1503"/>
      </w:r>
      <w:r>
        <w:rPr>
          <w:rFonts w:ascii="Amiri" w:hAnsi="Amiri" w:eastAsia="Amiri" w:cs="Amiri"/>
          <w:color w:val="111111"/>
          <w:sz w:val="28"/>
          <w:sz w:val="28"/>
          <w:szCs w:val="28"/>
          <w:rtl w:val="true"/>
          <w:lang w:bidi="ar-SA"/>
        </w:rPr>
        <w:t xml:space="preserve">على تقدير بقاء الكرّ في الحوض يترتّب عليه ، وإنّما الطهارة مترتّبة على كرّية هذا الماء وهذا العنوان وإن كان مخالفا لبقاء الكرّ ولا يترتّب عليه إلاّ بواسطة ملازمة عقلية كأن يقال بعد استصحاب بقاء الكرّ في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ماء إلاّ هذا الماء ،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الماء كرّ ، إلاّ أنّه لمّا كان متّحدا في الوجود مع بقاء الكرّ المستصحب لا يعدّ في عداد الوسائط ، فيسامحون في ترتيب آثار </w:t>
      </w:r>
      <w:r>
        <w:rPr>
          <w:rStyle w:val="FootnoteAnchor"/>
          <w:rtl w:val="true"/>
        </w:rPr>
        <w:footnoteReference w:id="1504"/>
      </w:r>
      <w:r>
        <w:rPr>
          <w:rFonts w:ascii="IRNazanin" w:hAnsi="IRNazanin" w:eastAsia="IRNazanin"/>
          <w:color w:val="111111"/>
          <w:sz w:val="28"/>
          <w:sz w:val="28"/>
          <w:szCs w:val="28"/>
          <w:rtl w:val="true"/>
          <w:lang w:bidi="fa-IR"/>
        </w:rPr>
        <w:t>عنوان على عنوان آخر ، لاتّحادهما وجودا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يجدي في جميع الموارد بمعنى عدم اطّراده ، فربّما يعتمدون بتلك الأصول مع جلاء الواسطة واختلاف الوجود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الثاني غير منعكس أيضا ؛ إذ قد تكون الواسطة منتزعة </w:t>
      </w:r>
      <w:r>
        <w:rPr>
          <w:rStyle w:val="FootnoteAnchor"/>
          <w:rtl w:val="true"/>
        </w:rPr>
        <w:footnoteReference w:id="1505"/>
      </w:r>
      <w:r>
        <w:rPr>
          <w:rFonts w:ascii="Amiri" w:hAnsi="Amiri" w:eastAsia="Amiri" w:cs="Amiri"/>
          <w:color w:val="111111"/>
          <w:sz w:val="28"/>
          <w:sz w:val="28"/>
          <w:szCs w:val="28"/>
          <w:rtl w:val="true"/>
          <w:lang w:bidi="ar-SA"/>
        </w:rPr>
        <w:t xml:space="preserve">من المستصحب ولا يعوّلون </w:t>
      </w:r>
      <w:r>
        <w:rPr>
          <w:rStyle w:val="FootnoteAnchor"/>
          <w:rtl w:val="true"/>
        </w:rPr>
        <w:footnoteReference w:id="1506"/>
      </w:r>
      <w:r>
        <w:rPr>
          <w:rFonts w:ascii="Amiri" w:hAnsi="Amiri" w:eastAsia="Amiri" w:cs="Amiri"/>
          <w:color w:val="111111"/>
          <w:sz w:val="28"/>
          <w:sz w:val="28"/>
          <w:szCs w:val="28"/>
          <w:rtl w:val="true"/>
          <w:lang w:bidi="ar-SA"/>
        </w:rPr>
        <w:t>على الاستصحاب ، كما إذا فرضنا وجود زيد في الدار وكان مهدور الدم ، ثمّ شككنا في بقائه فيها مع العلم بوجود شخص غير معلوم في الدار ، فاستصحاب وجود زيد في الدار لا يجدي في قتله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اختلاف الأحكام باختلاف العنوان ممّا لا ريب فيه وإن اتّحد المعنون ، فمجرّد الاتّحاد الوجودي مع اختلاف عناوين الوجود غير مجد ، وعدم التفات العرف إلى مثل ذلك غير مضرّ ؛ لعدم مدخلية العرف في أمثال ذلك كما لا يخفى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يفصّل في العمل بالاستصحاب المثبت في مثال الوضوء والغسل بين أن يكون الشكّ في وجود المانع ، أو مانعية الموجود ، ففي الثاني لا عبرة به </w:t>
      </w:r>
      <w:r>
        <w:rPr>
          <w:rStyle w:val="FootnoteAnchor"/>
          <w:rtl w:val="true"/>
        </w:rPr>
        <w:footnoteReference w:id="1507"/>
      </w:r>
      <w:r>
        <w:rPr>
          <w:rFonts w:ascii="Amiri" w:hAnsi="Amiri" w:eastAsia="Amiri" w:cs="Amiri"/>
          <w:color w:val="111111"/>
          <w:sz w:val="28"/>
          <w:sz w:val="28"/>
          <w:szCs w:val="28"/>
          <w:rtl w:val="true"/>
          <w:lang w:bidi="ar-SA"/>
        </w:rPr>
        <w:t xml:space="preserve">، وفي الأوّل يعتمد عليه ، كما عن بعض مشايخنا المعاصرين أدام اللّه إفاداته </w:t>
      </w:r>
      <w:r>
        <w:rPr>
          <w:rStyle w:val="FootnoteAnchor"/>
          <w:rtl w:val="true"/>
        </w:rPr>
        <w:footnoteReference w:id="1508"/>
      </w:r>
      <w:r>
        <w:rPr>
          <w:rFonts w:ascii="Amiri" w:hAnsi="Amiri" w:eastAsia="Amiri" w:cs="Amiri"/>
          <w:color w:val="111111"/>
          <w:sz w:val="28"/>
          <w:sz w:val="28"/>
          <w:szCs w:val="28"/>
          <w:rtl w:val="true"/>
          <w:lang w:bidi="ar-SA"/>
        </w:rPr>
        <w:t xml:space="preserve">، وتفصّى عن إثبات الأصل بالسيرة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بذلك البعيد </w:t>
      </w:r>
      <w:r>
        <w:rPr>
          <w:rStyle w:val="FootnoteAnchor"/>
          <w:rtl w:val="true"/>
        </w:rPr>
        <w:footnoteReference w:id="1510"/>
      </w:r>
      <w:r>
        <w:rPr>
          <w:rFonts w:ascii="IRNazanin" w:hAnsi="IRNazanin" w:eastAsia="IRNazanin"/>
          <w:color w:val="111111"/>
          <w:sz w:val="28"/>
          <w:sz w:val="28"/>
          <w:szCs w:val="28"/>
          <w:rtl w:val="true"/>
          <w:lang w:bidi="fa-IR"/>
        </w:rPr>
        <w:t xml:space="preserve">إلاّ أنّه خارج عن المفروض ، وقد عرفت </w:t>
      </w:r>
      <w:r>
        <w:rPr>
          <w:rStyle w:val="FootnoteAnchor"/>
          <w:rtl w:val="true"/>
        </w:rPr>
        <w:footnoteReference w:id="1511"/>
      </w:r>
      <w:r>
        <w:rPr>
          <w:rFonts w:ascii="Amiri" w:hAnsi="Amiri" w:eastAsia="Amiri" w:cs="Amiri"/>
          <w:color w:val="111111"/>
          <w:sz w:val="28"/>
          <w:sz w:val="28"/>
          <w:szCs w:val="28"/>
          <w:rtl w:val="true"/>
          <w:lang w:bidi="ar-SA"/>
        </w:rPr>
        <w:t>اعتبار الظنّ بعدم المانع عن كاشف الغطاء تفصّيا عن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غالب الموارد التي يتمسّك فيها بتلك الأصول إنّما هو في مواضع </w:t>
      </w:r>
      <w:r>
        <w:rPr>
          <w:rStyle w:val="FootnoteAnchor"/>
          <w:rtl w:val="true"/>
        </w:rPr>
        <w:footnoteReference w:id="1512"/>
      </w:r>
      <w:r>
        <w:rPr>
          <w:rFonts w:ascii="Amiri" w:hAnsi="Amiri" w:eastAsia="Amiri" w:cs="Amiri"/>
          <w:color w:val="111111"/>
          <w:sz w:val="28"/>
          <w:sz w:val="28"/>
          <w:szCs w:val="28"/>
          <w:rtl w:val="true"/>
          <w:lang w:bidi="ar-SA"/>
        </w:rPr>
        <w:t xml:space="preserve">التداعي كما فيما حكيناه عن المحقّق </w:t>
      </w:r>
      <w:r>
        <w:rPr>
          <w:rStyle w:val="FootnoteAnchor"/>
          <w:rtl w:val="true"/>
        </w:rPr>
        <w:footnoteReference w:id="1513"/>
      </w:r>
      <w:r>
        <w:rPr>
          <w:rFonts w:ascii="Amiri" w:hAnsi="Amiri" w:eastAsia="Amiri" w:cs="Amiri"/>
          <w:color w:val="111111"/>
          <w:sz w:val="28"/>
          <w:sz w:val="28"/>
          <w:szCs w:val="28"/>
          <w:rtl w:val="true"/>
          <w:lang w:bidi="ar-SA"/>
        </w:rPr>
        <w:t xml:space="preserve">، ولا ريب أنّ المتداعيين يختلف تقاديرهم في تحرير الدعوى عند الحاكم ، فربّما يكون تشاجرهم في شيء بحيث لو أثبته المدّعي بإقامة بيّنة شرعية أو حلف عليه كان ما هو المقصود من التشاجر راجعا إليه وإن لم يكن البيّنة وافية بإثبات المقصود ، لتسالمهم في الأمر الآخر ، فكأنّ مقصود المدّعي مركّب </w:t>
      </w:r>
      <w:r>
        <w:rPr>
          <w:rStyle w:val="FootnoteAnchor"/>
          <w:rtl w:val="true"/>
        </w:rPr>
        <w:footnoteReference w:id="1514"/>
      </w:r>
      <w:r>
        <w:rPr>
          <w:rFonts w:ascii="Amiri" w:hAnsi="Amiri" w:eastAsia="Amiri" w:cs="Amiri"/>
          <w:color w:val="111111"/>
          <w:sz w:val="28"/>
          <w:sz w:val="28"/>
          <w:szCs w:val="28"/>
          <w:rtl w:val="true"/>
          <w:lang w:bidi="ar-SA"/>
        </w:rPr>
        <w:t xml:space="preserve">من أمرين أحدهما ثابت بالبيّنة والآخر بالتسليم </w:t>
      </w:r>
      <w:r>
        <w:rPr>
          <w:rStyle w:val="FootnoteAnchor"/>
          <w:rtl w:val="true"/>
        </w:rPr>
        <w:footnoteReference w:id="1515"/>
      </w:r>
      <w:r>
        <w:rPr>
          <w:rFonts w:ascii="Amiri" w:hAnsi="Amiri" w:eastAsia="Amiri" w:cs="Amiri"/>
          <w:color w:val="111111"/>
          <w:sz w:val="28"/>
          <w:sz w:val="28"/>
          <w:szCs w:val="28"/>
          <w:rtl w:val="true"/>
          <w:lang w:bidi="ar-SA"/>
        </w:rPr>
        <w:t xml:space="preserve">من الآخر ، وكذا الكلام في جانب المنكر فإنّ مطابقة قوله للأصل ربّما يكون من جهة مجرّد تشخيص المدّعي والمنكر بإجراء أحكامهما عليهما ، فلا يعتبر في ذلك أن يكون الأصل المطابق لقوله وافيا بتمام مقصوده فقد لا يكون كذلك ، وأمّا ترتّب المقصود على ذلك إنّما هو بواسطة التسالم بينهما كما يظهر ذلك في تقديمهم قول مدّعي الصحّة في عقد يدّعي أحد المتعاقدين وقوعه على عوض غير مملوك كالخمر والخنزير ، والآخر على ألفي دينار مثلا ، فإنّ أصالة الصحّة لا تقضي </w:t>
      </w:r>
      <w:r>
        <w:rPr>
          <w:rStyle w:val="FootnoteAnchor"/>
          <w:rtl w:val="true"/>
        </w:rPr>
        <w:footnoteReference w:id="1516"/>
      </w:r>
      <w:r>
        <w:rPr>
          <w:rFonts w:ascii="Amiri" w:hAnsi="Amiri" w:eastAsia="Amiri" w:cs="Amiri"/>
          <w:color w:val="111111"/>
          <w:sz w:val="28"/>
          <w:sz w:val="28"/>
          <w:szCs w:val="28"/>
          <w:rtl w:val="true"/>
          <w:lang w:bidi="ar-SA"/>
        </w:rPr>
        <w:t xml:space="preserve">بوقوع العقد على ألفين وإنّما قضيّة ذلك عدم كون الخمر والخنزير أحد العوضين ، فالحكم باشتغال ذمّة الآخر بالمبلغ المزبور بعد الحكم </w:t>
      </w:r>
    </w:p>
    <w:p>
      <w:pPr>
        <w:pStyle w:val="BookText"/>
        <w:rPr/>
      </w:pPr>
      <w:r>
        <w:rPr>
          <w:rFonts w:ascii="Amiri" w:hAnsi="Amiri" w:eastAsia="Amiri" w:cs="Amiri"/>
          <w:color w:val="111111"/>
          <w:sz w:val="28"/>
          <w:sz w:val="28"/>
          <w:szCs w:val="28"/>
          <w:rtl w:val="true"/>
          <w:lang w:bidi="ar-SA"/>
        </w:rPr>
        <w:t>بالصحّة إنّما هو مستند إلى تسليم ذلك عند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في كلام الشرائع </w:t>
      </w:r>
      <w:r>
        <w:rPr>
          <w:rStyle w:val="FootnoteAnchor"/>
          <w:rtl w:val="true"/>
        </w:rPr>
        <w:footnoteReference w:id="15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تأخّر الموت بنفسه مستصحب ولا يتفاوت فيه الحال ؛ لكونه من مجاري الأصل حقيقة ، وأمّا تأخّره عن إسلامه فهو من الأمور المتسالمة بينهما على تقدير استصحاب تأخّر الموت كما في تسالمهم على وقوع العقد </w:t>
      </w:r>
      <w:r>
        <w:rPr>
          <w:rStyle w:val="FootnoteAnchor"/>
          <w:rtl w:val="true"/>
        </w:rPr>
        <w:footnoteReference w:id="1518"/>
      </w:r>
      <w:r>
        <w:rPr>
          <w:rFonts w:ascii="Amiri" w:hAnsi="Amiri" w:eastAsia="Amiri" w:cs="Amiri"/>
          <w:color w:val="111111"/>
          <w:sz w:val="28"/>
          <w:sz w:val="28"/>
          <w:szCs w:val="28"/>
          <w:rtl w:val="true"/>
          <w:lang w:bidi="ar-SA"/>
        </w:rPr>
        <w:t xml:space="preserve">على تقدير الصحّة على ألفي دينار ،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مطابقة القول للأصل لا يجدي في إثبات المقصود إلاّ بعد اليمين وهي كالبيّنة من الطرق الواقعية ، وقد عرفت أنّ الطرق الواقعية ممّا يوجد بجميع لوازمها الواقعية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الموارد التي يتمسّك فيها بتلك الأصول في الغالب هو مواضع التداعي كما في استصحاب تأخّر الموت ، ولا شكّ في اعتبار هذا الاستصحاب بالنسبة إلى الأحكام التي تترتّب </w:t>
      </w:r>
      <w:r>
        <w:rPr>
          <w:rStyle w:val="FootnoteAnchor"/>
          <w:rtl w:val="true"/>
        </w:rPr>
        <w:footnoteReference w:id="1519"/>
      </w:r>
      <w:r>
        <w:rPr>
          <w:rFonts w:ascii="Amiri" w:hAnsi="Amiri" w:eastAsia="Amiri" w:cs="Amiri"/>
          <w:color w:val="111111"/>
          <w:sz w:val="28"/>
          <w:sz w:val="28"/>
          <w:szCs w:val="28"/>
          <w:rtl w:val="true"/>
          <w:lang w:bidi="ar-SA"/>
        </w:rPr>
        <w:t>على نفس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الآثار اللاحقة لكون الموت متأخّرا عن الإسلام فلا عبرة بهذا الاستصحاب فيها ، فالأخذ بتلك الآثار لأحد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تسالمهما على أنّ الوراثة بعد إثبات التأخّر الذي هو مجرى الأصل ومفاده ممّا لا كلام فيه ، فكأنّ المدّعي لمقارنة الموت للإسلام أو تقدّمه عليه مقرّ بكونه وارثا بمجرّد ثبوت تأخّر الموت وإن لم يفد إثبات تأخّره عنه ، فالاستناد إلى الأصل إنّما هو لإثبات هذا الجزء ولا غبار عليه من هذه الجهة ؛ لعدم كونه مثبتا له بل هو عين مفاده ، كما في أصالة الصحّة فيما إذا اختلف المتعاقدان في وقوع العقد على ثمن غير مملوك شرعا كالخمر والخنزير أو على عوض آخر ، فإنّ قضيّة الصحّة لا تزيد على مجرّد الصحّة ولا يثبت بها خصوصية الثمن الآخر كما هو المدّعى به في كلام الآخر ، ومع ذلك فالحكم باشتغال ذمّة المشتري بخصوصية العوض مستند إلى تسالم المتبايعين في أنّه </w:t>
      </w:r>
      <w:r>
        <w:rPr>
          <w:rStyle w:val="FootnoteAnchor"/>
          <w:rtl w:val="true"/>
        </w:rPr>
        <w:footnoteReference w:id="1520"/>
      </w:r>
      <w:r>
        <w:rPr>
          <w:rFonts w:ascii="Amiri" w:hAnsi="Amiri" w:eastAsia="Amiri" w:cs="Amiri"/>
          <w:color w:val="111111"/>
          <w:sz w:val="28"/>
          <w:sz w:val="28"/>
          <w:szCs w:val="28"/>
          <w:rtl w:val="true"/>
          <w:lang w:bidi="ar-SA"/>
        </w:rPr>
        <w:t xml:space="preserve">بعد إحراز الصحّة فالعوض هو هذا الشيء الخاصّ كما لا يخفى ، وأمّا </w:t>
      </w:r>
    </w:p>
    <w:p>
      <w:pPr>
        <w:pStyle w:val="BookText"/>
        <w:rPr/>
      </w:pPr>
      <w:r>
        <w:rPr>
          <w:rFonts w:ascii="Amiri" w:hAnsi="Amiri" w:eastAsia="Amiri" w:cs="Amiri"/>
          <w:color w:val="111111"/>
          <w:sz w:val="28"/>
          <w:sz w:val="28"/>
          <w:szCs w:val="28"/>
          <w:rtl w:val="true"/>
          <w:lang w:bidi="ar-SA"/>
        </w:rPr>
        <w:t>في جهة ثبوت الواقع باليمين فإنّها أيضا كسائر الطرق الاجتهادية مثبتة للواقع كالبيّنة نظرا إلى الأمر بالتصديق للحالف في الدليل الدالّ عليه ، ومن المعلوم أنّ بعد فرض واقعية اليمين يترتّب عليها تمام أحكام الواقع كما في غيرها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الاستناد إلى الأصل فلا يثمر إلاّ في تشخيص المدّعي والمنكر عند القاضي ، ولا يلزم أن يكون الأصل الموافق لقول المنكر وافيا بإثبات مرامه بتمام أجزائه ، فأصالة تأخّر الموت إنّما تجدي </w:t>
      </w:r>
      <w:r>
        <w:rPr>
          <w:rStyle w:val="FootnoteAnchor"/>
          <w:rtl w:val="true"/>
        </w:rPr>
        <w:footnoteReference w:id="1521"/>
      </w:r>
      <w:r>
        <w:rPr>
          <w:rFonts w:ascii="Amiri" w:hAnsi="Amiri" w:eastAsia="Amiri" w:cs="Amiri"/>
          <w:color w:val="111111"/>
          <w:sz w:val="28"/>
          <w:sz w:val="28"/>
          <w:szCs w:val="28"/>
          <w:rtl w:val="true"/>
          <w:lang w:bidi="ar-SA"/>
        </w:rPr>
        <w:t xml:space="preserve">في كون المدّعي لذلك </w:t>
      </w:r>
      <w:r>
        <w:rPr>
          <w:rStyle w:val="FootnoteAnchor"/>
          <w:rtl w:val="true"/>
        </w:rPr>
        <w:footnoteReference w:id="1522"/>
      </w:r>
      <w:r>
        <w:rPr>
          <w:rFonts w:ascii="Amiri" w:hAnsi="Amiri" w:eastAsia="Amiri" w:cs="Amiri"/>
          <w:color w:val="111111"/>
          <w:sz w:val="28"/>
          <w:sz w:val="28"/>
          <w:szCs w:val="28"/>
          <w:rtl w:val="true"/>
          <w:lang w:bidi="ar-SA"/>
        </w:rPr>
        <w:t>منكرا فعليه اليمين ، ثمّ يترتّب على اليمين تأخّر الموت عن الإسلام ، ثمّ بعد ثبوت ذلك باليمين ينتصف المال بينهما ، نعم يتمّ النقض بذلك لو قلنا بكونه وارثا مع عدم اليمين بمجرّد الأصل ومع عدم التسالم ، ودون القول بذلك حينئذ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يقتضيه الجليل </w:t>
      </w:r>
      <w:r>
        <w:rPr>
          <w:rStyle w:val="FootnoteAnchor"/>
          <w:rtl w:val="true"/>
        </w:rPr>
        <w:footnoteReference w:id="1523"/>
      </w:r>
      <w:r>
        <w:rPr>
          <w:rFonts w:ascii="IRNazanin" w:hAnsi="IRNazanin" w:eastAsia="IRNazanin"/>
          <w:color w:val="111111"/>
          <w:sz w:val="28"/>
          <w:sz w:val="28"/>
          <w:szCs w:val="28"/>
          <w:rtl w:val="true"/>
          <w:lang w:bidi="fa-IR"/>
        </w:rPr>
        <w:t xml:space="preserve">من النظر </w:t>
      </w:r>
      <w:r>
        <w:rPr>
          <w:rStyle w:val="FootnoteAnchor"/>
          <w:rtl w:val="true"/>
        </w:rPr>
        <w:footnoteReference w:id="1524"/>
      </w:r>
      <w:r>
        <w:rPr>
          <w:rFonts w:ascii="Amiri" w:hAnsi="Amiri" w:eastAsia="Amiri" w:cs="Amiri"/>
          <w:color w:val="111111"/>
          <w:sz w:val="28"/>
          <w:sz w:val="28"/>
          <w:szCs w:val="28"/>
          <w:rtl w:val="true"/>
          <w:lang w:bidi="ar-SA"/>
        </w:rPr>
        <w:t xml:space="preserve">وأمّا دقيق النظر </w:t>
      </w:r>
      <w:r>
        <w:rPr>
          <w:rStyle w:val="FootnoteAnchor"/>
          <w:rtl w:val="true"/>
        </w:rPr>
        <w:footnoteReference w:id="1525"/>
      </w:r>
      <w:r>
        <w:rPr>
          <w:rFonts w:ascii="Amiri" w:hAnsi="Amiri" w:eastAsia="Amiri" w:cs="Amiri"/>
          <w:color w:val="111111"/>
          <w:sz w:val="28"/>
          <w:sz w:val="28"/>
          <w:szCs w:val="28"/>
          <w:rtl w:val="true"/>
          <w:lang w:bidi="ar-SA"/>
        </w:rPr>
        <w:t>فلا يرى استقامته أيضا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دعوى ترتّب الأحكام التي هي من لواحق تأخّر الموت عن الإسلام كوراثة </w:t>
      </w:r>
      <w:r>
        <w:rPr>
          <w:rStyle w:val="FootnoteAnchor"/>
          <w:rtl w:val="true"/>
        </w:rPr>
        <w:footnoteReference w:id="1526"/>
      </w:r>
      <w:r>
        <w:rPr>
          <w:rFonts w:ascii="Amiri" w:hAnsi="Amiri" w:eastAsia="Amiri" w:cs="Amiri"/>
          <w:color w:val="111111"/>
          <w:sz w:val="28"/>
          <w:sz w:val="28"/>
          <w:szCs w:val="28"/>
          <w:rtl w:val="true"/>
          <w:lang w:bidi="ar-SA"/>
        </w:rPr>
        <w:t xml:space="preserve">المدّعي للتأخّر ونحوها على تسالمهما ، مكابرة صرفة ومجازفة محضة ؛ للقطع بأنّ الآخر في الأغلب ممّا لا يرضى بذلك أبدا وهو ينفي استحقاقه للإرث رأسا ، فقد يكون بعض الدعاوي مترتّبا على بعض آخر وإظهار البعض ربّما يكون مقدّمة لإظهار الآخر ، فكيف يقال بالتسالم؟ ولو فرض إقراره أحيانا بذلك فلا يمكن الأخذ بإقراره أيضا ؛ إذ الغالب إنّما هو من باب التعليق </w:t>
      </w:r>
      <w:r>
        <w:rPr>
          <w:rStyle w:val="FootnoteAnchor"/>
          <w:rtl w:val="true"/>
        </w:rPr>
        <w:footnoteReference w:id="1527"/>
      </w:r>
      <w:r>
        <w:rPr>
          <w:rFonts w:ascii="Amiri" w:hAnsi="Amiri" w:eastAsia="Amiri" w:cs="Amiri"/>
          <w:color w:val="111111"/>
          <w:sz w:val="28"/>
          <w:sz w:val="28"/>
          <w:szCs w:val="28"/>
          <w:rtl w:val="true"/>
          <w:lang w:bidi="ar-SA"/>
        </w:rPr>
        <w:t>على الأمور المستحيلة ولو بحسب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التنظير بأصالة الصحّة فممّا لا يجدي أيضا ؛ لأنّ المشتري في مقام ادّعاء بطلان البيع رأسا فلا يظهر </w:t>
      </w:r>
      <w:r>
        <w:rPr>
          <w:rStyle w:val="FootnoteAnchor"/>
          <w:rtl w:val="true"/>
        </w:rPr>
        <w:footnoteReference w:id="1528"/>
      </w:r>
      <w:r>
        <w:rPr>
          <w:rFonts w:ascii="Amiri" w:hAnsi="Amiri" w:eastAsia="Amiri" w:cs="Amiri"/>
          <w:color w:val="111111"/>
          <w:sz w:val="28"/>
          <w:sz w:val="28"/>
          <w:szCs w:val="28"/>
          <w:rtl w:val="true"/>
          <w:lang w:bidi="ar-SA"/>
        </w:rPr>
        <w:t xml:space="preserve">منه تسليم كون العوض شيئا مملوكا فضلا عن </w:t>
      </w:r>
    </w:p>
    <w:p>
      <w:pPr>
        <w:pStyle w:val="BookText"/>
        <w:rPr/>
      </w:pPr>
      <w:r>
        <w:rPr>
          <w:rFonts w:ascii="Amiri" w:hAnsi="Amiri" w:eastAsia="Amiri" w:cs="Amiri"/>
          <w:color w:val="111111"/>
          <w:sz w:val="28"/>
          <w:sz w:val="28"/>
          <w:szCs w:val="28"/>
          <w:rtl w:val="true"/>
          <w:lang w:bidi="ar-SA"/>
        </w:rPr>
        <w:t xml:space="preserve">خصوصية شيء ، فكيف يتأتّى </w:t>
      </w:r>
      <w:r>
        <w:rPr>
          <w:rStyle w:val="FootnoteAnchor"/>
          <w:rtl w:val="true"/>
        </w:rPr>
        <w:footnoteReference w:id="1529"/>
      </w:r>
      <w:r>
        <w:rPr>
          <w:rFonts w:ascii="Amiri" w:hAnsi="Amiri" w:eastAsia="Amiri" w:cs="Amiri"/>
          <w:color w:val="111111"/>
          <w:sz w:val="28"/>
          <w:sz w:val="28"/>
          <w:szCs w:val="28"/>
          <w:rtl w:val="true"/>
          <w:lang w:bidi="ar-SA"/>
        </w:rPr>
        <w:t xml:space="preserve">القول بأنّه مقرّ بأنّ بعد إحراز الصحّة أحد </w:t>
      </w:r>
      <w:r>
        <w:rPr>
          <w:rStyle w:val="FootnoteAnchor"/>
          <w:rtl w:val="true"/>
        </w:rPr>
        <w:footnoteReference w:id="1530"/>
      </w:r>
      <w:r>
        <w:rPr>
          <w:rFonts w:ascii="Amiri" w:hAnsi="Amiri" w:eastAsia="Amiri" w:cs="Amiri"/>
          <w:color w:val="111111"/>
          <w:sz w:val="28"/>
          <w:sz w:val="28"/>
          <w:szCs w:val="28"/>
          <w:rtl w:val="true"/>
          <w:lang w:bidi="ar-SA"/>
        </w:rPr>
        <w:t>العوضين هو الشيء الخاصّ كما هو ظاهر؟</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اليمين من الطرق الاجتهادية كالبيّنة ونحوها في محلّ المنع ، والأمر بالتصديق ممّا لا دلالة فيه على كونه مثبتا للواقع كما لا دلالة في الأدلّة الدالّة على حمل فعل المسلم على الصحّة على ذلك ، وتفصيل الكلام فيه خارج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مجرّد مطابقة قول واحد من المتداعيين لأصل من الأصول لا يثمر في جعله منكرا ما لم يكن ذلك الأصل وافيا بتمام مطلوبه وجميع مقصوده ؛ إذ ليس حكم الإنكار والادّعاء حقيقة من الأمور التوقيفية ، بل التحقيق أنّ ما ورد من الشرع في بيان حكمهما من كون البيّنة على المدّعي واليمين على من أنكر إنّما هو مطابق لما يحكم به الوجدان الصحيح والعقل الصريح في حقّ المدّعي والمنكر ، فعدم حاجة المنكر إلى إثبات دعواه ليس إلاّ بواسطة وفاء الأصل المطابق لقوله بتمام مقصوده ، ومن ثمّ تراهم لا يحكمون بتقديم قول مدّعي سقوط الخيار في البيع على قول من يدّعي عدم سقوطه بواسطة مطابقة قول مدّعي السقوط لأصالة اللزوم في البيع ، لعدم الاعتناء بهذا الأصل في قبال أصالة عدم سقوط الخيار ، لأنّ الشكّ في اللزوم وعدمه ناش من الشكّ في إسقاط الخيار وعدمه ، وبعد إحراز عدم السقوط لا يبقى الشكّ في عدم اللزوم ؛ لأنّه مزيل له ، فليس كلّ أصل مشخّصا للمنكر ، فأصالة تأخّر الموت لا يجدي في إثبات تأخّره عن الإسلام كما هو المقصود في المقام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يختلف وجوه التقارير في تحرير الدعاوي ففي كلّ وجه يراد من الأصل المعمول فيه إثبات ذلك الوجه دون غيره ، ومصبّ الدعوى في المقام هو إثبات تأخّر الموت وهو كاف ، وأمّا تأخّره عن الإسلام فهو شيء آخر و </w:t>
      </w:r>
      <w:r>
        <w:rPr>
          <w:rStyle w:val="FootnoteAnchor"/>
          <w:rtl w:val="true"/>
        </w:rPr>
        <w:footnoteReference w:id="1531"/>
      </w:r>
      <w:r>
        <w:rPr>
          <w:rFonts w:ascii="Amiri" w:hAnsi="Amiri" w:eastAsia="Amiri" w:cs="Amiri"/>
          <w:color w:val="111111"/>
          <w:sz w:val="28"/>
          <w:sz w:val="28"/>
          <w:szCs w:val="28"/>
          <w:rtl w:val="true"/>
          <w:lang w:bidi="ar-SA"/>
        </w:rPr>
        <w:t xml:space="preserve">يحتاج إلى دعوى </w:t>
      </w:r>
    </w:p>
    <w:p>
      <w:pPr>
        <w:pStyle w:val="BookText"/>
        <w:rPr/>
      </w:pP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ولكنّه غير مجد في تلك الدعوى والمقصود ترتّبها عليه كما هو ظاهر من عبارة الشرائع </w:t>
      </w:r>
      <w:r>
        <w:rPr>
          <w:rStyle w:val="FootnoteAnchor"/>
          <w:rtl w:val="true"/>
        </w:rPr>
        <w:footnoteReference w:id="1532"/>
      </w:r>
      <w:r>
        <w:rPr>
          <w:rFonts w:ascii="Amiri" w:hAnsi="Amiri" w:eastAsia="Amiri" w:cs="Amiri"/>
          <w:color w:val="111111"/>
          <w:sz w:val="28"/>
          <w:sz w:val="28"/>
          <w:szCs w:val="28"/>
          <w:rtl w:val="true"/>
          <w:lang w:bidi="ar-SA"/>
        </w:rPr>
        <w:t xml:space="preserve">على أنّ مجرّد التغيير في العبارة ربّما لا يجدي في الإنكار والادّعاء ، فإنّ المدّعي حقيقة هو المطالب بشيء ، والمنكر هو من يطالب منه ، وإن اختلفا في التعبير على وجه يعدّ في ما يتراءى في الأنظار أن يكون المدّعي منكرا والمنكر مدّعيا ، وعلى مثل هذا بنينا في الردّ على جامع المقاصد المحقّق الثاني </w:t>
      </w:r>
      <w:r>
        <w:rPr>
          <w:rStyle w:val="FootnoteAnchor"/>
          <w:rtl w:val="true"/>
        </w:rPr>
        <w:footnoteReference w:id="1533"/>
      </w:r>
      <w:r>
        <w:rPr>
          <w:rFonts w:ascii="Amiri" w:hAnsi="Amiri" w:eastAsia="Amiri" w:cs="Amiri"/>
          <w:color w:val="111111"/>
          <w:sz w:val="28"/>
          <w:sz w:val="28"/>
          <w:szCs w:val="28"/>
          <w:rtl w:val="true"/>
          <w:lang w:bidi="ar-SA"/>
        </w:rPr>
        <w:t xml:space="preserve">فيما إذا اختلف المتعاقدان في وقوع العقد على عشرين أو ثلاثين تومانا </w:t>
      </w:r>
      <w:r>
        <w:rPr>
          <w:rStyle w:val="FootnoteAnchor"/>
          <w:rtl w:val="true"/>
        </w:rPr>
        <w:footnoteReference w:id="1534"/>
      </w:r>
      <w:r>
        <w:rPr>
          <w:rFonts w:ascii="Amiri" w:hAnsi="Amiri" w:eastAsia="Amiri" w:cs="Amiri"/>
          <w:color w:val="111111"/>
          <w:sz w:val="28"/>
          <w:sz w:val="28"/>
          <w:szCs w:val="28"/>
          <w:rtl w:val="true"/>
          <w:lang w:bidi="ar-SA"/>
        </w:rPr>
        <w:t xml:space="preserve">فضّيا </w:t>
      </w:r>
      <w:r>
        <w:rPr>
          <w:rStyle w:val="FootnoteAnchor"/>
          <w:rtl w:val="true"/>
        </w:rPr>
        <w:footnoteReference w:id="1535"/>
      </w:r>
      <w:r>
        <w:rPr>
          <w:rFonts w:ascii="Amiri" w:hAnsi="Amiri" w:eastAsia="Amiri" w:cs="Amiri"/>
          <w:color w:val="111111"/>
          <w:sz w:val="28"/>
          <w:sz w:val="28"/>
          <w:szCs w:val="28"/>
          <w:rtl w:val="true"/>
          <w:lang w:bidi="ar-SA"/>
        </w:rPr>
        <w:t xml:space="preserve">مثلا ، حيث حكم بالتداعي والتحالف ؛ إذ من الواضح أنّ المطالب بالعشرة الزائدة هو المدّعي وإن كان ادّعاؤهما </w:t>
      </w:r>
      <w:r>
        <w:rPr>
          <w:rStyle w:val="FootnoteAnchor"/>
          <w:rtl w:val="true"/>
        </w:rPr>
        <w:footnoteReference w:id="1536"/>
      </w:r>
      <w:r>
        <w:rPr>
          <w:rFonts w:ascii="Amiri" w:hAnsi="Amiri" w:eastAsia="Amiri" w:cs="Amiri"/>
          <w:color w:val="111111"/>
          <w:sz w:val="28"/>
          <w:sz w:val="28"/>
          <w:szCs w:val="28"/>
          <w:rtl w:val="true"/>
          <w:lang w:bidi="ar-SA"/>
        </w:rPr>
        <w:t>في العبارة على أمر وجودي كما لا يخفى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يمكن أن يقال في المقام ، والإنصاف أنّه لم يظهر لنا وجه في تصحيح موارد الأصول المثبتة في كلمات القوم على وجه جامع لجامع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العمدة فيها هو البناء عليها من جهة الظنّ كما ذكرنا ، فكن على بصيرة كي </w:t>
      </w:r>
      <w:r>
        <w:rPr>
          <w:rStyle w:val="FootnoteAnchor"/>
          <w:rtl w:val="true"/>
        </w:rPr>
        <w:footnoteReference w:id="1537"/>
      </w:r>
      <w:r>
        <w:rPr>
          <w:rFonts w:ascii="Amiri" w:hAnsi="Amiri" w:eastAsia="Amiri" w:cs="Amiri"/>
          <w:color w:val="111111"/>
          <w:sz w:val="28"/>
          <w:sz w:val="28"/>
          <w:szCs w:val="28"/>
          <w:rtl w:val="true"/>
          <w:lang w:bidi="ar-SA"/>
        </w:rPr>
        <w:t xml:space="preserve">لا يلتبس عليك الحال ، ثمّ إنّ ما أوردنا في المقام إنّما هو بالنسبة إلى اللوازم دون الملزومات أو المشارك في اللزوم أو المقارن ، فتدبّر فإنّه من المزالق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 xml:space="preserve">. </w:t>
      </w:r>
      <w:bookmarkStart w:id="166" w:name="pg16284_171261"/>
    </w:p>
    <w:p>
      <w:pPr>
        <w:pStyle w:val="Heading3"/>
        <w:numPr>
          <w:ilvl w:val="2"/>
          <w:numId w:val="1"/>
        </w:numPr>
        <w:rPr/>
      </w:pPr>
      <w:bookmarkStart w:id="167" w:name="__RefHeading___Toc5012126_1280447820"/>
      <w:bookmarkStart w:id="168" w:name="_Toc52"/>
      <w:bookmarkEnd w:id="166"/>
      <w:bookmarkEnd w:id="167"/>
      <w:r>
        <w:rPr>
          <w:rtl w:val="true"/>
        </w:rPr>
        <w:t xml:space="preserve">هداية </w:t>
      </w:r>
      <w:r>
        <w:rPr>
          <w:rtl w:val="true"/>
        </w:rPr>
        <w:t xml:space="preserve">[ </w:t>
      </w:r>
      <w:r>
        <w:rPr>
          <w:rtl w:val="true"/>
        </w:rPr>
        <w:t xml:space="preserve">في أصالة تأخّر الحادث </w:t>
      </w:r>
      <w:r>
        <w:rPr>
          <w:rtl w:val="true"/>
        </w:rPr>
        <w:t>]</w:t>
      </w:r>
      <w:bookmarkEnd w:id="168"/>
    </w:p>
    <w:p>
      <w:pPr>
        <w:pStyle w:val="Heading4"/>
        <w:numPr>
          <w:ilvl w:val="3"/>
          <w:numId w:val="1"/>
        </w:numPr>
        <w:rPr/>
      </w:pPr>
      <w:bookmarkStart w:id="169" w:name="__RefHeading___Toc5012128_1280447820"/>
      <w:bookmarkStart w:id="170" w:name="_Toc53"/>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قد شاع التمسّك بأصالة تأخّر الحادث عندهم وهي بظاهرها ليست في محلّها ، فإنّ الظاهر من لفظة </w:t>
      </w:r>
      <w:r>
        <w:rPr>
          <w:rStyle w:val="FootnoteAnchor"/>
          <w:rtl w:val="true"/>
        </w:rPr>
        <w:footnoteReference w:id="1539"/>
      </w:r>
      <w:r>
        <w:rPr>
          <w:rFonts w:ascii="Amiri" w:hAnsi="Amiri" w:eastAsia="Amiri" w:cs="Amiri"/>
          <w:color w:val="111111"/>
          <w:sz w:val="28"/>
          <w:sz w:val="28"/>
          <w:szCs w:val="28"/>
          <w:rtl w:val="true"/>
          <w:lang w:bidi="ar-SA"/>
        </w:rPr>
        <w:t xml:space="preserve">الأصالة هو الاستصحاب وليس التأخّر معلوما في السابق حتّى يستصحب ذلك التأخّر ، بل </w:t>
      </w:r>
      <w:r>
        <w:rPr>
          <w:rStyle w:val="FootnoteAnchor"/>
          <w:rtl w:val="true"/>
        </w:rPr>
        <w:footnoteReference w:id="1540"/>
      </w:r>
      <w:r>
        <w:rPr>
          <w:rFonts w:ascii="Amiri" w:hAnsi="Amiri" w:eastAsia="Amiri" w:cs="Amiri"/>
          <w:color w:val="111111"/>
          <w:sz w:val="28"/>
          <w:sz w:val="28"/>
          <w:szCs w:val="28"/>
          <w:rtl w:val="true"/>
          <w:lang w:bidi="ar-SA"/>
        </w:rPr>
        <w:t xml:space="preserve">لا يعقل كما هو غير خفيّ على أحد ، فالمراد منها القاعدة التي مقتضاها هو الحكم بتأخّر الحادث من استصحاب عدمه في الزمان </w:t>
      </w:r>
      <w:r>
        <w:rPr>
          <w:rStyle w:val="FootnoteAnchor"/>
          <w:rtl w:val="true"/>
        </w:rPr>
        <w:footnoteReference w:id="1541"/>
      </w:r>
      <w:r>
        <w:rPr>
          <w:rFonts w:ascii="IRNazanin" w:hAnsi="IRNazanin" w:eastAsia="IRNazanin"/>
          <w:color w:val="111111"/>
          <w:sz w:val="28"/>
          <w:sz w:val="28"/>
          <w:szCs w:val="28"/>
          <w:rtl w:val="true"/>
          <w:lang w:bidi="fa-IR"/>
        </w:rPr>
        <w:t xml:space="preserve">السابق على زمان </w:t>
      </w:r>
      <w:r>
        <w:rPr>
          <w:rStyle w:val="FootnoteAnchor"/>
          <w:rtl w:val="true"/>
        </w:rPr>
        <w:footnoteReference w:id="1542"/>
      </w:r>
      <w:r>
        <w:rPr>
          <w:rFonts w:ascii="Amiri" w:hAnsi="Amiri" w:eastAsia="Amiri" w:cs="Amiri"/>
          <w:color w:val="111111"/>
          <w:sz w:val="28"/>
          <w:sz w:val="28"/>
          <w:szCs w:val="28"/>
          <w:rtl w:val="true"/>
          <w:lang w:bidi="ar-SA"/>
        </w:rPr>
        <w:t xml:space="preserve">اليقين لو كان الحادث هو الوجود ، أو استصحاب وجوده السابق لو كان هو العدم </w:t>
      </w:r>
      <w:r>
        <w:rPr>
          <w:rStyle w:val="FootnoteAnchor"/>
          <w:rtl w:val="true"/>
        </w:rPr>
        <w:footnoteReference w:id="1543"/>
      </w:r>
      <w:r>
        <w:rPr>
          <w:rFonts w:ascii="Amiri" w:hAnsi="Amiri" w:eastAsia="Amiri" w:cs="Amiri"/>
          <w:color w:val="111111"/>
          <w:sz w:val="28"/>
          <w:sz w:val="28"/>
          <w:szCs w:val="28"/>
          <w:rtl w:val="true"/>
          <w:lang w:bidi="ar-SA"/>
        </w:rPr>
        <w:t>، إلاّ أنّ الظاهر أنّ موارد إطلاقاتهم لهذه القاعدة كما يظهر من مطاوي كلماتهم هو الأوّل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فالمطلوب من إجراء هذا الاستصحاب في موارده </w:t>
      </w:r>
      <w:r>
        <w:rPr>
          <w:rStyle w:val="FootnoteAnchor"/>
          <w:rtl w:val="true"/>
        </w:rPr>
        <w:footnoteReference w:id="1544"/>
      </w:r>
      <w:r>
        <w:rPr>
          <w:rFonts w:ascii="Amiri" w:hAnsi="Amiri" w:eastAsia="Amiri" w:cs="Amiri"/>
          <w:color w:val="111111"/>
          <w:sz w:val="28"/>
          <w:sz w:val="28"/>
          <w:szCs w:val="28"/>
          <w:rtl w:val="true"/>
          <w:lang w:bidi="ar-SA"/>
        </w:rPr>
        <w:t xml:space="preserve">إمّا إثبات تأخّر شيء حادث عن بعض أجزاء الزمان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الحادث الفلاني لا يعلم بحدوثه في الأمس أو في اليوم ، ومقتضى استصحاب عدمه في الأمس تأخّر وجوده عنه ، وإمّا إثبات تأخّر حادث عن حادث آخر مثله ، كما إذا كان هناك حادثان ولم يعلم سبق أحدهما على الآخر ، فيحكم بمقتضى استصحاب عدمهما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اختلاف </w:t>
      </w:r>
      <w:bookmarkStart w:id="171" w:name="pg16284_171262"/>
    </w:p>
    <w:p>
      <w:pPr>
        <w:pStyle w:val="BookText"/>
        <w:rPr/>
      </w:pPr>
      <w:bookmarkEnd w:id="171"/>
      <w:r>
        <w:rPr>
          <w:rFonts w:ascii="IRNazanin" w:hAnsi="IRNazanin" w:eastAsia="IRNazanin"/>
          <w:color w:val="111111"/>
          <w:sz w:val="28"/>
          <w:sz w:val="28"/>
          <w:szCs w:val="28"/>
          <w:rtl w:val="true"/>
          <w:lang w:bidi="fa-IR"/>
        </w:rPr>
        <w:t xml:space="preserve">المقامات على ما 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بالتأخّر ، فإذا لنا مقامان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5012130_1280447820"/>
      <w:bookmarkStart w:id="173" w:name="_Toc54"/>
      <w:bookmarkEnd w:id="172"/>
      <w:r>
        <w:rPr>
          <w:rtl w:val="true"/>
        </w:rPr>
        <w:t xml:space="preserve">[ </w:t>
      </w:r>
      <w:r>
        <w:rPr>
          <w:rtl w:val="true"/>
        </w:rPr>
        <w:t xml:space="preserve">المقام </w:t>
      </w:r>
      <w:r>
        <w:rPr>
          <w:rtl w:val="true"/>
        </w:rPr>
        <w:t xml:space="preserve">] </w:t>
      </w:r>
      <w:r>
        <w:rPr>
          <w:rtl w:val="true"/>
        </w:rPr>
        <w:t>الأوّل</w:t>
      </w:r>
      <w:bookmarkEnd w:id="17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خفاء في أنّ الأحكام الشرعية المترتّبة على نفس التأخّر بمعنى عدمه السابق على زمان اليقين فيما إذا كان الحادث وجوديا ، ووجوده السابق فيما إذا كان عدميا يترتّب على العدم في الأوّل والوجود في الثاني على تقدير استجماع الشرائط المعتبرة في الاستصحاب كما هو ظاهر ، كما لا إشكال في أنّه </w:t>
      </w:r>
      <w:r>
        <w:rPr>
          <w:rStyle w:val="FootnoteAnchor"/>
          <w:rtl w:val="true"/>
        </w:rPr>
        <w:footnoteReference w:id="1546"/>
      </w:r>
      <w:r>
        <w:rPr>
          <w:rFonts w:ascii="Amiri" w:hAnsi="Amiri" w:eastAsia="Amiri" w:cs="Amiri"/>
          <w:color w:val="111111"/>
          <w:sz w:val="28"/>
          <w:sz w:val="28"/>
          <w:szCs w:val="28"/>
          <w:rtl w:val="true"/>
          <w:lang w:bidi="ar-SA"/>
        </w:rPr>
        <w:t xml:space="preserve">بعد العلم بالوجود في الأوّل والعلم بالعدم في الثاني يترتّب عليهما أحكام مطلق الوجود والعدم ، وهل يترتّب على </w:t>
      </w:r>
      <w:r>
        <w:rPr>
          <w:rStyle w:val="FootnoteAnchor"/>
          <w:rtl w:val="true"/>
        </w:rPr>
        <w:footnoteReference w:id="1547"/>
      </w:r>
      <w:r>
        <w:rPr>
          <w:rFonts w:ascii="Amiri" w:hAnsi="Amiri" w:eastAsia="Amiri" w:cs="Amiri"/>
          <w:color w:val="111111"/>
          <w:sz w:val="28"/>
          <w:sz w:val="28"/>
          <w:szCs w:val="28"/>
          <w:rtl w:val="true"/>
          <w:lang w:bidi="ar-SA"/>
        </w:rPr>
        <w:t xml:space="preserve">الأحكام التي تترتّب </w:t>
      </w:r>
      <w:r>
        <w:rPr>
          <w:rStyle w:val="FootnoteAnchor"/>
          <w:rtl w:val="true"/>
        </w:rPr>
        <w:footnoteReference w:id="1548"/>
      </w:r>
      <w:r>
        <w:rPr>
          <w:rFonts w:ascii="Amiri" w:hAnsi="Amiri" w:eastAsia="Amiri" w:cs="Amiri"/>
          <w:color w:val="111111"/>
          <w:sz w:val="28"/>
          <w:sz w:val="28"/>
          <w:szCs w:val="28"/>
          <w:rtl w:val="true"/>
          <w:lang w:bidi="ar-SA"/>
        </w:rPr>
        <w:t xml:space="preserve">على محض الحدوث الذي هو عبارة عن وجود غير مسبوق بالوجود فيما كان المستصحب عدما ، وعن عدم غير مسبوق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المستصحب وجودا ، أو لا؟ التحقيق هو الأوّل ؛ لأنّ الحدوث على هذا المعنى له 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المطلق أو الوجود كذلك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غير مسبوق بمثله وجودا وعدما ، والأوّل معلوم بالوجدان كما هو المفروض ، والثاني و </w:t>
      </w:r>
      <w:r>
        <w:rPr>
          <w:rStyle w:val="FootnoteAnchor"/>
          <w:rtl w:val="true"/>
        </w:rPr>
        <w:footnoteReference w:id="1549"/>
      </w:r>
      <w:r>
        <w:rPr>
          <w:rFonts w:ascii="Amiri" w:hAnsi="Amiri" w:eastAsia="Amiri" w:cs="Amiri"/>
          <w:color w:val="111111"/>
          <w:sz w:val="28"/>
          <w:sz w:val="28"/>
          <w:szCs w:val="28"/>
          <w:rtl w:val="true"/>
          <w:lang w:bidi="ar-SA"/>
        </w:rPr>
        <w:t xml:space="preserve">هو الجزء العدمي فيهما معلوم بالاستصحاب ولا غائلة فيه ؛ لعدم كونه من الأصول المثبتة كما قرّرنا في موارد جمّة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الأقلّية فيما دار الأمر بينها وبين الأكثر ؛ إذ ليس الأقلّ عنوانا وجوديا لازما لعدم الجزئية مثلا ، بل مجرى الأصل ومفاده هو هذا العنوان على ما هو ظاهر ، ولا ريب في عدم ترتّب الأحكام اللاحقة بعنوان </w:t>
      </w:r>
      <w:r>
        <w:rPr>
          <w:rStyle w:val="FootnoteAnchor"/>
          <w:rtl w:val="true"/>
        </w:rPr>
        <w:footnoteReference w:id="1550"/>
      </w:r>
      <w:r>
        <w:rPr>
          <w:rFonts w:ascii="Amiri" w:hAnsi="Amiri" w:eastAsia="Amiri" w:cs="Amiri"/>
          <w:color w:val="111111"/>
          <w:sz w:val="28"/>
          <w:sz w:val="28"/>
          <w:szCs w:val="28"/>
          <w:rtl w:val="true"/>
          <w:lang w:bidi="ar-SA"/>
        </w:rPr>
        <w:t xml:space="preserve">وجودي آخر لازم للمستصحب في المقام ؛ لما عرفت في الهداية السابقة من عدم التعويل على مثل </w:t>
      </w:r>
      <w:r>
        <w:rPr>
          <w:rStyle w:val="FootnoteAnchor"/>
          <w:rtl w:val="true"/>
        </w:rPr>
        <w:footnoteReference w:id="1551"/>
      </w:r>
      <w:r>
        <w:rPr>
          <w:rFonts w:ascii="IRNazanin" w:hAnsi="IRNazanin" w:eastAsia="IRNazanin"/>
          <w:color w:val="111111"/>
          <w:sz w:val="28"/>
          <w:sz w:val="28"/>
          <w:szCs w:val="28"/>
          <w:rtl w:val="true"/>
          <w:lang w:bidi="fa-IR"/>
        </w:rPr>
        <w:t>هذه الأصول</w:t>
      </w:r>
      <w:r>
        <w:rPr>
          <w:rFonts w:eastAsia="IRNazanin" w:cs="IRNazanin"/>
          <w:color w:val="111111"/>
          <w:sz w:val="28"/>
          <w:szCs w:val="28"/>
          <w:rtl w:val="true"/>
          <w:lang w:bidi="fa-IR"/>
        </w:rPr>
        <w:t xml:space="preserve">. </w:t>
      </w:r>
      <w:bookmarkStart w:id="174" w:name="pg16284_171263"/>
    </w:p>
    <w:p>
      <w:pPr>
        <w:pStyle w:val="BookText"/>
        <w:rPr/>
      </w:pPr>
      <w:bookmarkEnd w:id="174"/>
      <w:r>
        <w:rPr>
          <w:rFonts w:ascii="Amiri" w:hAnsi="Amiri" w:eastAsia="Amiri" w:cs="Amiri"/>
          <w:color w:val="111111"/>
          <w:sz w:val="28"/>
          <w:sz w:val="28"/>
          <w:szCs w:val="28"/>
          <w:rtl w:val="true"/>
          <w:lang w:bidi="ar-SA"/>
        </w:rPr>
        <w:t xml:space="preserve">ثمّ إنّ ما ذكرنا إنّما يتمّ فيما لو كان وجود ذلك الحادث مستمرّا حتّى في زمان اليقين بالوجود أيضا ، وأمّا إذا كان الحادث المفروض أمرا غير قابل للوجود المستمرّ كأمثال </w:t>
      </w:r>
      <w:r>
        <w:rPr>
          <w:rStyle w:val="FootnoteAnchor"/>
          <w:rtl w:val="true"/>
        </w:rPr>
        <w:footnoteReference w:id="1552"/>
      </w:r>
      <w:r>
        <w:rPr>
          <w:rFonts w:ascii="Amiri" w:hAnsi="Amiri" w:eastAsia="Amiri" w:cs="Amiri"/>
          <w:color w:val="111111"/>
          <w:sz w:val="28"/>
          <w:sz w:val="28"/>
          <w:szCs w:val="28"/>
          <w:rtl w:val="true"/>
          <w:lang w:bidi="ar-SA"/>
        </w:rPr>
        <w:t xml:space="preserve">الأفعال التوليدية التدريجية كالحركة والتكلّم ونحوهما ممّا ينقضي شيئا فشيئا وممّا لا يتّصف بالوجود إلاّ في آن من الزمان ، فلا يمكن إثبات الأحكام المترتّبة على وجوده </w:t>
      </w:r>
      <w:r>
        <w:rPr>
          <w:rStyle w:val="FootnoteAnchor"/>
          <w:rtl w:val="true"/>
        </w:rPr>
        <w:footnoteReference w:id="1553"/>
      </w:r>
      <w:r>
        <w:rPr>
          <w:rFonts w:ascii="Amiri" w:hAnsi="Amiri" w:eastAsia="Amiri" w:cs="Amiri"/>
          <w:color w:val="111111"/>
          <w:sz w:val="28"/>
          <w:sz w:val="28"/>
          <w:szCs w:val="28"/>
          <w:rtl w:val="true"/>
          <w:lang w:bidi="ar-SA"/>
        </w:rPr>
        <w:t xml:space="preserve">في زمان اليقين ، كما إذا فرضنا حدوث التكلّم أو الولادة التي هي الخروج من الرحم إمّا في يوم الجمعة وإمّا في يوم السبت ؛ إذ لا يمكن استعلام بدو وجوده لعدمه في السبت أيضا ، لأنّ المفروض أنّه آني الوجود ، فكما أنّه لا يمكن إثباته في الجمعة ؛ لأنّ الأصل عدمه فيها ، فكذا لا يمكن إثباته في السبت أيضا ؛ لأنّ الأصل عدمه أيضا ، فالمقام نظير الشبهة المحصورة ؛ إذ لا فرق بين أن يكون الظرف لوجود شيء مكانا أو زمانا ، إذ نسبتهما إلى الوجود متساوية ، فالعلم الإجمالي حاصل بانتقاض أحد الأصلين ، وذلك لا يضرّ في جريانهما وتعارضهما ، على أنّ استصحاب التأخّر وعدمه في الجمعة لو أريد به إثباته في السبت ممّا لا تعويل عليه ؛ لكونه مثبتا ، وتوضح </w:t>
      </w:r>
      <w:r>
        <w:rPr>
          <w:rStyle w:val="FootnoteAnchor"/>
          <w:rtl w:val="true"/>
        </w:rPr>
        <w:footnoteReference w:id="1554"/>
      </w:r>
      <w:r>
        <w:rPr>
          <w:rFonts w:ascii="Amiri" w:hAnsi="Amiri" w:eastAsia="Amiri" w:cs="Amiri"/>
          <w:color w:val="111111"/>
          <w:sz w:val="28"/>
          <w:sz w:val="28"/>
          <w:szCs w:val="28"/>
          <w:rtl w:val="true"/>
          <w:lang w:bidi="ar-SA"/>
        </w:rPr>
        <w:t>التعارض بين الأصلين ملاحظة أن لو كان العلم الإجمالي بين وجوده في الخميس أو السبت مع العلم بعدمه في الجمعة كما لا يخفى ، ولعلّ هذا هو الوجه في حكمهم بقضاء صلوات خمسة فيما إذا قطع المكلّف بحدوث حدث منه عقيب واحد من وضوءاتها وإن كان مقتضى استصحاب عدمه على تقدير الأصول المثبتة هو الحكم بقضاء صلاة العشاء فقط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أحكام مطلق وجود ذلك الشيء فمن المعلوم ترتّبه عليه كما هو ظاهر لا سترة عليه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5012132_1280447820"/>
      <w:bookmarkStart w:id="176" w:name="_Toc55"/>
      <w:bookmarkEnd w:id="175"/>
      <w:r>
        <w:rPr>
          <w:rtl w:val="true"/>
        </w:rPr>
        <w:t>المقام الثاني</w:t>
      </w:r>
      <w:bookmarkEnd w:id="176"/>
    </w:p>
    <w:p>
      <w:pPr>
        <w:pStyle w:val="BookText"/>
        <w:rPr/>
      </w:pPr>
      <w:r>
        <w:rPr>
          <w:rFonts w:ascii="Amiri" w:hAnsi="Amiri" w:eastAsia="Amiri" w:cs="Amiri"/>
          <w:color w:val="111111"/>
          <w:sz w:val="28"/>
          <w:sz w:val="28"/>
          <w:szCs w:val="28"/>
          <w:rtl w:val="true"/>
          <w:lang w:bidi="ar-SA"/>
        </w:rPr>
        <w:t xml:space="preserve">فيما إذا كان المقصود بأصالة التأخّر تأخّر الحادث عن صاحبه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ترتّب </w:t>
      </w:r>
      <w:r>
        <w:rPr>
          <w:rStyle w:val="FootnoteAnchor"/>
          <w:rtl w:val="true"/>
        </w:rPr>
        <w:footnoteReference w:id="1555"/>
      </w:r>
      <w:r>
        <w:rPr>
          <w:rFonts w:ascii="Amiri" w:hAnsi="Amiri" w:eastAsia="Amiri" w:cs="Amiri"/>
          <w:color w:val="111111"/>
          <w:sz w:val="28"/>
          <w:sz w:val="28"/>
          <w:szCs w:val="28"/>
          <w:rtl w:val="true"/>
          <w:lang w:bidi="ar-SA"/>
        </w:rPr>
        <w:t xml:space="preserve">أحكام التأخّر مطلقا بخلاف الأحكام المترتّبة على تأخّره عن صاحبه ، ثمّ إنّ هذين الحادثين إمّا أن يكون تاريخ وجودهما مجهولا ، وإمّا أن يكون أحدهما معلوما والآخر مجهولا ، وأمّا فرض المعلومية فيهما فخارج </w:t>
      </w:r>
      <w:r>
        <w:rPr>
          <w:rStyle w:val="FootnoteAnchor"/>
          <w:rtl w:val="true"/>
        </w:rPr>
        <w:footnoteReference w:id="1556"/>
      </w:r>
      <w:r>
        <w:rPr>
          <w:rFonts w:ascii="IRNazanin" w:hAnsi="IRNazanin" w:eastAsia="IRNazanin"/>
          <w:color w:val="111111"/>
          <w:sz w:val="28"/>
          <w:sz w:val="28"/>
          <w:szCs w:val="28"/>
          <w:rtl w:val="true"/>
          <w:lang w:bidi="fa-IR"/>
        </w:rPr>
        <w:t>عن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بأحدهما ، كما في تعارض الجمعتين في بلد واحد ، أو في الغرقى والمهدوم عليهم ، والطهارة والحدث ، ونحوها </w:t>
      </w:r>
      <w:r>
        <w:rPr>
          <w:rStyle w:val="FootnoteAnchor"/>
          <w:rtl w:val="true"/>
        </w:rPr>
        <w:footnoteReference w:id="1557"/>
      </w:r>
      <w:r>
        <w:rPr>
          <w:rFonts w:ascii="Amiri" w:hAnsi="Amiri" w:eastAsia="Amiri" w:cs="Amiri"/>
          <w:color w:val="111111"/>
          <w:sz w:val="28"/>
          <w:sz w:val="28"/>
          <w:szCs w:val="28"/>
          <w:rtl w:val="true"/>
          <w:lang w:bidi="ar-SA"/>
        </w:rPr>
        <w:t xml:space="preserve">ممّا لا ضبط فيها ، وقد يقال في أمثال ذلك بتقارنهما ، فإن كان التقارن عبارة عن وجود أحدهما مصاحبا للآخر على وجه يكون أمرا وجوديا كما هو الظاهر فلا عبرة به ، وإن كان عبارة عن عدم تقدّم أحدهما على الآخر فيكون أمرا عدميا مفادا للأصل فيهما فلا غائلة فيه إلاّ أن يقال بترتّبه </w:t>
      </w:r>
      <w:r>
        <w:rPr>
          <w:rStyle w:val="FootnoteAnchor"/>
          <w:rtl w:val="true"/>
        </w:rPr>
        <w:footnoteReference w:id="1558"/>
      </w:r>
      <w:r>
        <w:rPr>
          <w:rFonts w:ascii="Amiri" w:hAnsi="Amiri" w:eastAsia="Amiri" w:cs="Amiri"/>
          <w:color w:val="111111"/>
          <w:sz w:val="28"/>
          <w:sz w:val="28"/>
          <w:szCs w:val="28"/>
          <w:rtl w:val="true"/>
          <w:lang w:bidi="ar-SA"/>
        </w:rPr>
        <w:t>على الأوّل أيضا لكون الواسطة خفيّة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مفيدا من طرف واحد ، وربّما يكون مفيدا من الطرفين </w:t>
      </w:r>
      <w:r>
        <w:rPr>
          <w:rStyle w:val="FootnoteAnchor"/>
          <w:rtl w:val="true"/>
        </w:rPr>
        <w:footnoteReference w:id="1559"/>
      </w:r>
      <w:r>
        <w:rPr>
          <w:rFonts w:ascii="Amiri" w:hAnsi="Amiri" w:eastAsia="Amiri" w:cs="Amiri"/>
          <w:color w:val="111111"/>
          <w:sz w:val="28"/>
          <w:sz w:val="28"/>
          <w:szCs w:val="28"/>
          <w:rtl w:val="true"/>
          <w:lang w:bidi="ar-SA"/>
        </w:rPr>
        <w:t>، والمعيار في ذلك أنّه كلّما كان أحد الطرفين أو كلاهما مجرى للأصل العدمي فهو مفيد لترتّب أحكام العدم والتأخّر عليه ، بخلاف ما إذا كان لازما من لوازم العدم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ما إذا كان الأصل مفيدا من طرف واحد ما إذا علمنا بحدوث كرّية الماء المفروض في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وحدوث ملاقاة اليد النجسة لهذا </w:t>
      </w:r>
      <w:r>
        <w:rPr>
          <w:rStyle w:val="FootnoteAnchor"/>
          <w:rtl w:val="true"/>
        </w:rPr>
        <w:footnoteReference w:id="1560"/>
      </w:r>
      <w:r>
        <w:rPr>
          <w:rFonts w:ascii="Amiri" w:hAnsi="Amiri" w:eastAsia="Amiri" w:cs="Amiri"/>
          <w:color w:val="111111"/>
          <w:sz w:val="28"/>
          <w:sz w:val="28"/>
          <w:szCs w:val="28"/>
          <w:rtl w:val="true"/>
          <w:lang w:bidi="ar-SA"/>
        </w:rPr>
        <w:t xml:space="preserve">الماء فإذا لم يكن أحد التاريخين معلوما فلا كلام ، وأمّا إذا كان تاريخ الكرّية معلوما كأن كان في السبت ولم يعلم تاريخ الملاقاة فاستصحاب عدم الملاقاة في الجمعة لا يثمر في استصحاب </w:t>
      </w:r>
      <w:r>
        <w:rPr>
          <w:rStyle w:val="FootnoteAnchor"/>
          <w:rtl w:val="true"/>
        </w:rPr>
        <w:footnoteReference w:id="1561"/>
      </w:r>
      <w:r>
        <w:rPr>
          <w:rFonts w:ascii="Amiri" w:hAnsi="Amiri" w:eastAsia="Amiri" w:cs="Amiri"/>
          <w:color w:val="111111"/>
          <w:sz w:val="28"/>
          <w:sz w:val="28"/>
          <w:szCs w:val="28"/>
          <w:rtl w:val="true"/>
          <w:lang w:bidi="ar-SA"/>
        </w:rPr>
        <w:t xml:space="preserve">طهارة اليد لكونه مثبتا ، إذ من لوازم الملاقاة يوم حال الكرّية هو الطهارة وليست من لوازم </w:t>
      </w:r>
    </w:p>
    <w:p>
      <w:pPr>
        <w:pStyle w:val="BookText"/>
        <w:rPr/>
      </w:pPr>
      <w:r>
        <w:rPr>
          <w:rFonts w:ascii="Amiri" w:hAnsi="Amiri" w:eastAsia="Amiri" w:cs="Amiri"/>
          <w:color w:val="111111"/>
          <w:sz w:val="28"/>
          <w:sz w:val="28"/>
          <w:szCs w:val="28"/>
          <w:rtl w:val="true"/>
          <w:lang w:bidi="ar-SA"/>
        </w:rPr>
        <w:t xml:space="preserve">عدم حدوثه في الجمعة كما هو ظاهر ، و </w:t>
      </w:r>
      <w:r>
        <w:rPr>
          <w:rStyle w:val="FootnoteAnchor"/>
          <w:rtl w:val="true"/>
        </w:rPr>
        <w:footnoteReference w:id="1562"/>
      </w:r>
      <w:r>
        <w:rPr>
          <w:rFonts w:ascii="Amiri" w:hAnsi="Amiri" w:eastAsia="Amiri" w:cs="Amiri"/>
          <w:color w:val="111111"/>
          <w:sz w:val="28"/>
          <w:sz w:val="28"/>
          <w:szCs w:val="28"/>
          <w:rtl w:val="true"/>
          <w:lang w:bidi="ar-SA"/>
        </w:rPr>
        <w:t xml:space="preserve">أمّا إذا كان تاريخ الملاقاة معلوما كأن كان في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عدم الكرّية يثمر في نجاسة الماء ؛ لأنّ عدم الكرّية من لوازمه </w:t>
      </w:r>
      <w:r>
        <w:rPr>
          <w:rStyle w:val="FootnoteAnchor"/>
          <w:rtl w:val="true"/>
        </w:rPr>
        <w:footnoteReference w:id="1563"/>
      </w:r>
      <w:r>
        <w:rPr>
          <w:rFonts w:ascii="Amiri" w:hAnsi="Amiri" w:eastAsia="Amiri" w:cs="Amiri"/>
          <w:color w:val="111111"/>
          <w:sz w:val="28"/>
          <w:sz w:val="28"/>
          <w:szCs w:val="28"/>
          <w:rtl w:val="true"/>
          <w:lang w:bidi="ar-SA"/>
        </w:rPr>
        <w:t xml:space="preserve">الشرعية انفعاله </w:t>
      </w:r>
      <w:r>
        <w:rPr>
          <w:rStyle w:val="FootnoteAnchor"/>
          <w:rtl w:val="true"/>
        </w:rPr>
        <w:footnoteReference w:id="1564"/>
      </w:r>
      <w:r>
        <w:rPr>
          <w:rFonts w:ascii="Amiri" w:hAnsi="Amiri" w:eastAsia="Amiri" w:cs="Amiri"/>
          <w:color w:val="111111"/>
          <w:sz w:val="28"/>
          <w:sz w:val="28"/>
          <w:szCs w:val="28"/>
          <w:rtl w:val="true"/>
          <w:lang w:bidi="ar-SA"/>
        </w:rPr>
        <w:t xml:space="preserve">بالنجاسة ، وليس القليل إلاّ عدم كونه كرّا كما هو ظاهر ، ولا يعارضه استصحاب طهارة الماء ؛ لكونه مزالا بالنسبة إلى هذا الاستصحاب ، ومن هذا القبيل ما فرضه المحقّق في مسألة الإرث </w:t>
      </w:r>
      <w:r>
        <w:rPr>
          <w:rStyle w:val="FootnoteAnchor"/>
          <w:rtl w:val="true"/>
        </w:rPr>
        <w:footnoteReference w:id="1565"/>
      </w:r>
      <w:r>
        <w:rPr>
          <w:rFonts w:ascii="Amiri" w:hAnsi="Amiri" w:eastAsia="Amiri" w:cs="Amiri"/>
          <w:color w:val="111111"/>
          <w:sz w:val="28"/>
          <w:sz w:val="28"/>
          <w:szCs w:val="28"/>
          <w:rtl w:val="true"/>
          <w:lang w:bidi="ar-SA"/>
        </w:rPr>
        <w:t xml:space="preserve">؛ إذ على تقدير العلم بتاريخ الإسلام </w:t>
      </w:r>
      <w:r>
        <w:rPr>
          <w:rStyle w:val="FootnoteAnchor"/>
          <w:rtl w:val="true"/>
        </w:rPr>
        <w:footnoteReference w:id="1566"/>
      </w:r>
      <w:r>
        <w:rPr>
          <w:rFonts w:ascii="Amiri" w:hAnsi="Amiri" w:eastAsia="Amiri" w:cs="Amiri"/>
          <w:color w:val="111111"/>
          <w:sz w:val="28"/>
          <w:sz w:val="28"/>
          <w:szCs w:val="28"/>
          <w:rtl w:val="true"/>
          <w:lang w:bidi="ar-SA"/>
        </w:rPr>
        <w:t xml:space="preserve">لا يثمر استصحاب تأخّر الموت في انتصاف المال بينهما ، وعلى تقدير العلم بتاريخ الموت أصالة تأخّر الإسلام يجدي في انحصار الوارث الآخر ؛ إذ الانحصار عبارة عن وجود شيء مع عدم غيره ، فكأنّ العدم فصل له </w:t>
      </w:r>
      <w:r>
        <w:rPr>
          <w:rStyle w:val="FootnoteAnchor"/>
          <w:rtl w:val="true"/>
        </w:rPr>
        <w:footnoteReference w:id="1567"/>
      </w:r>
      <w:r>
        <w:rPr>
          <w:rFonts w:ascii="IRNazanin" w:hAnsi="IRNazanin" w:eastAsia="IRNazanin"/>
          <w:color w:val="111111"/>
          <w:sz w:val="28"/>
          <w:sz w:val="28"/>
          <w:szCs w:val="28"/>
          <w:rtl w:val="true"/>
          <w:lang w:bidi="fa-IR"/>
        </w:rPr>
        <w:t xml:space="preserve">وما </w:t>
      </w:r>
      <w:r>
        <w:rPr>
          <w:rStyle w:val="FootnoteAnchor"/>
          <w:rtl w:val="true"/>
        </w:rPr>
        <w:footnoteReference w:id="1568"/>
      </w:r>
      <w:r>
        <w:rPr>
          <w:rFonts w:ascii="Amiri" w:hAnsi="Amiri" w:eastAsia="Amiri" w:cs="Amiri"/>
          <w:color w:val="111111"/>
          <w:sz w:val="28"/>
          <w:sz w:val="28"/>
          <w:szCs w:val="28"/>
          <w:rtl w:val="true"/>
          <w:lang w:bidi="ar-SA"/>
        </w:rPr>
        <w:t>هو بمنزلة الجنس فيه معلوم وجدانا ، والفصل العدمي مفاد الأصل فلا يكون مثبتا كما هو ظاهر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ما إذا كان الأصل مفيدا من الطرفين ما إذا علمنا بموت الأب والابن مع الجهل بتاريخ موت الأب والعلم بتاريخ موت الابن ، فبأصالة تأخّر موت الأب واستصحاب وجوده قبل زمان اليقين يترتّب توارثه </w:t>
      </w:r>
      <w:r>
        <w:rPr>
          <w:rStyle w:val="FootnoteAnchor"/>
          <w:rtl w:val="true"/>
        </w:rPr>
        <w:footnoteReference w:id="1569"/>
      </w:r>
      <w:r>
        <w:rPr>
          <w:rFonts w:ascii="Amiri" w:hAnsi="Amiri" w:eastAsia="Amiri" w:cs="Amiri"/>
          <w:color w:val="111111"/>
          <w:sz w:val="28"/>
          <w:sz w:val="28"/>
          <w:szCs w:val="28"/>
          <w:rtl w:val="true"/>
          <w:lang w:bidi="ar-SA"/>
        </w:rPr>
        <w:t xml:space="preserve">من مال الابن ، لكن </w:t>
      </w:r>
      <w:r>
        <w:rPr>
          <w:rStyle w:val="FootnoteAnchor"/>
          <w:rtl w:val="true"/>
        </w:rPr>
        <w:footnoteReference w:id="1570"/>
      </w:r>
      <w:r>
        <w:rPr>
          <w:rFonts w:ascii="Amiri" w:hAnsi="Amiri" w:eastAsia="Amiri" w:cs="Amiri"/>
          <w:color w:val="111111"/>
          <w:sz w:val="28"/>
          <w:sz w:val="28"/>
          <w:szCs w:val="28"/>
          <w:rtl w:val="true"/>
          <w:lang w:bidi="ar-SA"/>
        </w:rPr>
        <w:t xml:space="preserve">ذلك من أحكام نفس الحياة المستصحبة ، ومع العكس يفيد توارث الابن من مال الأب بعين </w:t>
      </w:r>
      <w:r>
        <w:rPr>
          <w:rStyle w:val="FootnoteAnchor"/>
          <w:rtl w:val="true"/>
        </w:rPr>
        <w:footnoteReference w:id="1571"/>
      </w:r>
      <w:r>
        <w:rPr>
          <w:rFonts w:ascii="Amiri" w:hAnsi="Amiri" w:eastAsia="Amiri" w:cs="Amiri"/>
          <w:color w:val="111111"/>
          <w:sz w:val="28"/>
          <w:sz w:val="28"/>
          <w:szCs w:val="28"/>
          <w:rtl w:val="true"/>
          <w:lang w:bidi="ar-SA"/>
        </w:rPr>
        <w:t xml:space="preserve">ما ذكر ، وقد لا يكون مفيدا ، كما إذا كان تاريخهما مجهولا أيضا فيما إذا فرضنا حدوث حدث وطهارة مع الشكّ في السبق واللحوق ؛ إذ لا يتفاوت الحال في ذلك مع </w:t>
      </w:r>
      <w:r>
        <w:rPr>
          <w:rStyle w:val="FootnoteAnchor"/>
          <w:rtl w:val="true"/>
        </w:rPr>
        <w:footnoteReference w:id="1572"/>
      </w:r>
      <w:r>
        <w:rPr>
          <w:rFonts w:ascii="IRNazanin" w:hAnsi="IRNazanin" w:eastAsia="IRNazanin"/>
          <w:color w:val="111111"/>
          <w:sz w:val="28"/>
          <w:sz w:val="28"/>
          <w:szCs w:val="28"/>
          <w:rtl w:val="true"/>
          <w:lang w:bidi="fa-IR"/>
        </w:rPr>
        <w:t xml:space="preserve">جهل </w:t>
      </w:r>
      <w:r>
        <w:rPr>
          <w:rStyle w:val="FootnoteAnchor"/>
          <w:rtl w:val="true"/>
        </w:rPr>
        <w:footnoteReference w:id="1573"/>
      </w:r>
      <w:r>
        <w:rPr>
          <w:rFonts w:ascii="Amiri" w:hAnsi="Amiri" w:eastAsia="Amiri" w:cs="Amiri"/>
          <w:color w:val="111111"/>
          <w:sz w:val="28"/>
          <w:sz w:val="28"/>
          <w:szCs w:val="28"/>
          <w:rtl w:val="true"/>
          <w:lang w:bidi="ar-SA"/>
        </w:rPr>
        <w:t xml:space="preserve">التاريخين أو العلم بأحدهما ، أمّا الأوّل فظاهر ، وأمّا الثاني فلأنّ استصحاب تأخّر </w:t>
      </w:r>
    </w:p>
    <w:p>
      <w:pPr>
        <w:pStyle w:val="BookText"/>
        <w:rPr/>
      </w:pPr>
      <w:r>
        <w:rPr>
          <w:rFonts w:ascii="Amiri" w:hAnsi="Amiri" w:eastAsia="Amiri" w:cs="Amiri"/>
          <w:color w:val="111111"/>
          <w:sz w:val="28"/>
          <w:sz w:val="28"/>
          <w:szCs w:val="28"/>
          <w:rtl w:val="true"/>
          <w:lang w:bidi="ar-SA"/>
        </w:rPr>
        <w:t xml:space="preserve">الحدث لا يجدي في انتقاض الطهارة ، وكذا استصحاب تأخّر الطهارة لا يجدي في حصول الطهارة ، كيف والموارد </w:t>
      </w:r>
      <w:r>
        <w:rPr>
          <w:rStyle w:val="FootnoteAnchor"/>
          <w:rtl w:val="true"/>
        </w:rPr>
        <w:footnoteReference w:id="1574"/>
      </w:r>
      <w:r>
        <w:rPr>
          <w:rFonts w:ascii="Amiri" w:hAnsi="Amiri" w:eastAsia="Amiri" w:cs="Amiri"/>
          <w:color w:val="111111"/>
          <w:sz w:val="28"/>
          <w:sz w:val="28"/>
          <w:szCs w:val="28"/>
          <w:rtl w:val="true"/>
          <w:lang w:bidi="ar-SA"/>
        </w:rPr>
        <w:t>على ما عرفت مختلفة ، فإطلاق القول بعدم الفائدة في صورتي العلم بالتاريخ والجهل به كما عن الشيخ الجليل فيلسوف القوم في كشف الغطاء ،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اللّه نفسه الزكية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العلم بحدوث الحدث والطهارة مع الشكّ في السبق واللحوق ردّا على من فصّل بين العلم بالتاريخ في أحدهما والجهل بالآخر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أصالة التأخّر إنّما قضت بالتأخّر </w:t>
      </w:r>
      <w:r>
        <w:rPr>
          <w:rStyle w:val="FootnoteAnchor"/>
          <w:rtl w:val="true"/>
        </w:rPr>
        <w:footnoteReference w:id="1576"/>
      </w:r>
      <w:r>
        <w:rPr>
          <w:rFonts w:ascii="IRNazanin" w:hAnsi="IRNazanin" w:eastAsia="IRNazanin"/>
          <w:color w:val="111111"/>
          <w:sz w:val="28"/>
          <w:sz w:val="28"/>
          <w:szCs w:val="28"/>
          <w:rtl w:val="true"/>
          <w:lang w:bidi="fa-IR"/>
        </w:rPr>
        <w:t xml:space="preserve">على الإطلاق لا بالتأخّر عن الآخر </w:t>
      </w:r>
      <w:r>
        <w:rPr>
          <w:rStyle w:val="FootnoteAnchor"/>
          <w:rtl w:val="true"/>
        </w:rPr>
        <w:footnoteReference w:id="1577"/>
      </w:r>
      <w:r>
        <w:rPr>
          <w:rFonts w:ascii="Amiri" w:hAnsi="Amiri" w:eastAsia="Amiri" w:cs="Amiri"/>
          <w:color w:val="111111"/>
          <w:sz w:val="28"/>
          <w:sz w:val="28"/>
          <w:szCs w:val="28"/>
          <w:rtl w:val="true"/>
          <w:lang w:bidi="ar-SA"/>
        </w:rPr>
        <w:t>ومسبوقيته به ؛ إذ وصف السبق حادث والأصل عدمه ، فيرجع ذلك إلى الأصول المثبتة وهي منفيّة ، فأصالة عدم الاستباحة وبقاء شغل الذمّة سالمان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أطلق الحكم فحول العلماء في مسألة الجمعتين ، ومسألة من اشتبه موته </w:t>
      </w:r>
      <w:r>
        <w:rPr>
          <w:rStyle w:val="FootnoteAnchor"/>
          <w:rtl w:val="true"/>
        </w:rPr>
        <w:footnoteReference w:id="1578"/>
      </w:r>
      <w:r>
        <w:rPr>
          <w:rFonts w:ascii="Amiri" w:hAnsi="Amiri" w:eastAsia="Amiri" w:cs="Amiri"/>
          <w:color w:val="111111"/>
          <w:sz w:val="28"/>
          <w:sz w:val="28"/>
          <w:szCs w:val="28"/>
          <w:rtl w:val="true"/>
          <w:lang w:bidi="ar-SA"/>
        </w:rPr>
        <w:t xml:space="preserve">في التقدّم وغيرهما </w:t>
      </w:r>
      <w:r>
        <w:rPr>
          <w:rStyle w:val="FootnoteAnchor"/>
          <w:rtl w:val="true"/>
        </w:rPr>
        <w:footnoteReference w:id="1579"/>
      </w:r>
      <w:r>
        <w:rPr>
          <w:rFonts w:ascii="Amiri" w:hAnsi="Amiri" w:eastAsia="Amiri" w:cs="Amiri"/>
          <w:color w:val="111111"/>
          <w:sz w:val="28"/>
          <w:sz w:val="28"/>
          <w:szCs w:val="28"/>
          <w:rtl w:val="true"/>
          <w:lang w:bidi="ar-SA"/>
        </w:rPr>
        <w:t xml:space="preserve">، وفي مسألة عقد الوكيلين وغيرها ، أو المشتبهين في سبق الكمال على العقد وتأخّره ، ولم يفصّلوا بين علم التاريخ في أحدهما وعدمه </w:t>
      </w:r>
      <w:r>
        <w:rPr>
          <w:rStyle w:val="FootnoteAnchor"/>
          <w:rtl w:val="true"/>
        </w:rPr>
        <w:footnoteReference w:id="1580"/>
      </w:r>
      <w:r>
        <w:rPr>
          <w:rFonts w:ascii="Amiri" w:hAnsi="Amiri" w:eastAsia="Amiri" w:cs="Amiri"/>
          <w:color w:val="111111"/>
          <w:sz w:val="28"/>
          <w:sz w:val="28"/>
          <w:szCs w:val="28"/>
          <w:rtl w:val="true"/>
          <w:lang w:bidi="ar-SA"/>
        </w:rPr>
        <w:t xml:space="preserve">، انتهى موضع الحاجة من كلامه رفع اللّه في الجنّة من مقامه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الحكم ربّما يترتّب على نفس التأخّر وعدم الحادث لا على تأخّره عنه ومسبوقيته به كما عرفت فيما قدّمنا لك من الأمثلة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إطلاق القول في تلك المقامات إنّما هو فيما إذا كان التاريخان مجهولين كما هو الظاهر ، ومن المعلوم عدم الفرق بينهما حينئذ ، ولنا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الإطلاق فيها بواسطة عدم الفائدة في صورتي العلم والجهل ، ولهذا </w:t>
      </w:r>
      <w:r>
        <w:rPr>
          <w:rStyle w:val="FootnoteAnchor"/>
          <w:rtl w:val="true"/>
        </w:rPr>
        <w:footnoteReference w:id="1583"/>
      </w:r>
      <w:r>
        <w:rPr>
          <w:rFonts w:ascii="Amiri" w:hAnsi="Amiri" w:eastAsia="Amiri" w:cs="Amiri"/>
          <w:color w:val="111111"/>
          <w:sz w:val="28"/>
          <w:sz w:val="28"/>
          <w:szCs w:val="28"/>
          <w:rtl w:val="true"/>
          <w:lang w:bidi="ar-SA"/>
        </w:rPr>
        <w:t xml:space="preserve">فصّلوا فيما إذا كان العلم بالتاريخ مجديا كما مرّ في مثال الإرث ، فإنّ الشيخ وجملة من أعاظم الفحول كابن حمزة والشهيدين والمحقّقين والعلاّمة فصّلوا فيه كما عرفت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يعتبر في موارد تلك الأصالة أن لا يكون الحكم المطلوب إثباته أو نفيه من لواحق عنوان آخر غير المستصحب كما نبّهنا عليه ، لكنّه قد يوجد في كلمات الفقهاء الحكم بترتّب آثار اللاحقة بعنوان لازم للمستصحب في تلك الأصالة على ما مرّ بعضها في الهداية السابقة ، ومن جملة تلك الموارد ما أورده الشهيد السعيد </w:t>
      </w:r>
      <w:r>
        <w:rPr>
          <w:rStyle w:val="FootnoteAnchor"/>
          <w:rtl w:val="true"/>
        </w:rPr>
        <w:footnoteReference w:id="1585"/>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المرتهن للراهن في البيع ورجع ، ثمّ اختلفا فقال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قبل البيع ، وقال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كان القول قول المرتهن ترجيحا لجانب الوثيقة ؛ إذ الدعويان متكافئتان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الراهن يدّعي تقدّم البيع على الرجوع والأصل عدمه ، والمرتهن يدّعي تقدّم الرجوع على البيع والأصل عدم تقدّمه أيضا ، فتكافأ الأصلان فيتساقطان ، ويبقى حكم الرهن على العين باقيا وهو ترجيح جانب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إطلاق الحكم بذلك بحث آخر وهو أنّ ذلك كلّه إنّما يتمّ حيث يطلقان الدعويين من غير اتّفاق منهما على زمان معيّن للبيع أو الرجوع ، أو مع اتّفاقهما إلى وقت واحد ؛ لتحقّق الأصول المذكورة ، أمّا لو اتّفقا على زمان أحدهما واختلفا في تقدّم الآخر ، فإنّ الأصل مع مدّعي التأخّر ليس إلاّ ، ووجه ذلك أنّهما لو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 البيع يوم الجمعة وادّعى المرتهن الرجوع قبله من غير تعيين زمان ، فالأصل </w:t>
      </w:r>
      <w:bookmarkStart w:id="177" w:name="pg16284_171268"/>
    </w:p>
    <w:p>
      <w:pPr>
        <w:pStyle w:val="BookText"/>
        <w:rPr/>
      </w:pPr>
      <w:bookmarkEnd w:id="177"/>
      <w:r>
        <w:rPr>
          <w:rFonts w:ascii="Amiri" w:hAnsi="Amiri" w:eastAsia="Amiri" w:cs="Amiri"/>
          <w:color w:val="111111"/>
          <w:sz w:val="28"/>
          <w:sz w:val="28"/>
          <w:szCs w:val="28"/>
          <w:rtl w:val="true"/>
          <w:lang w:bidi="ar-SA"/>
        </w:rPr>
        <w:t>يقتضي تأخّره ؛ لأنّ ذلك حكم كلّ حادث إلى أن يعلم وجوده وإنّما علم وجوده بعد البيع ، فيقدّم قول الراهن ، ولو انعكس بأن اتّفقا على وقوع الرجوع يوم الجمعة وادّعى الراهن وقوع البيع قبله من غير اتّفاق على وقت ، فالأصل يقتضي تأخّره إلى أن يعلم وجوده وإنّما علم بعد زمان الرجوع ، فيقدّم قول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اللّه روحه </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هو الأقوى وهو خيرة الدروس ، وفيما عداه يقدّم قول المرتهن كما ذكره الأصحاب ؛ لقيام الدليل على ترجيح جانب الوثيقة كما حقّقنا </w:t>
      </w:r>
      <w:r>
        <w:rPr>
          <w:rStyle w:val="FootnoteAnchor"/>
          <w:rtl w:val="true"/>
        </w:rPr>
        <w:footnoteReference w:id="1589"/>
      </w:r>
      <w:r>
        <w:rPr>
          <w:rFonts w:ascii="IRNazanin" w:hAnsi="IRNazanin" w:eastAsia="IRNazanin"/>
          <w:color w:val="111111"/>
          <w:sz w:val="28"/>
          <w:sz w:val="28"/>
          <w:szCs w:val="28"/>
          <w:rtl w:val="true"/>
          <w:lang w:bidi="fa-IR"/>
        </w:rPr>
        <w:t xml:space="preserve">، انتهى ما أفاده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الاطّلاع على ما نبّهنا </w:t>
      </w:r>
      <w:r>
        <w:rPr>
          <w:rStyle w:val="FootnoteAnchor"/>
          <w:rtl w:val="true"/>
        </w:rPr>
        <w:footnoteReference w:id="1591"/>
      </w:r>
      <w:r>
        <w:rPr>
          <w:rFonts w:ascii="Amiri" w:hAnsi="Amiri" w:eastAsia="Amiri" w:cs="Amiri"/>
          <w:color w:val="111111"/>
          <w:sz w:val="28"/>
          <w:sz w:val="28"/>
          <w:szCs w:val="28"/>
          <w:rtl w:val="true"/>
          <w:lang w:bidi="ar-SA"/>
        </w:rPr>
        <w:t>عليه في الهداية السابقة من عدم التعويل على مثل هذه الأصول ؛ لعدم دلالة دليل على اعتبارها والوجوه التي وجّهنا بها كلام القوم ، لا يخفى عليك ما فيه من وجوه الصحّة والفساد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العمدة في تلك الوجوه بعد البناء على الظنّ هو القول بأنّ ترتيب اللوازم العاديّة وأحكامها من باب التسالم ، واللّه الموفّق </w:t>
      </w:r>
      <w:r>
        <w:rPr>
          <w:rStyle w:val="FootnoteAnchor"/>
          <w:rtl w:val="true"/>
        </w:rPr>
        <w:footnoteReference w:id="1592"/>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5012134_1280447820"/>
      <w:bookmarkStart w:id="179" w:name="_Toc56"/>
      <w:bookmarkEnd w:id="178"/>
      <w:r>
        <w:rPr>
          <w:rtl w:val="true"/>
        </w:rPr>
        <w:t>تذنيب</w:t>
      </w:r>
      <w:bookmarkEnd w:id="17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الاستصحاب المذكور استصحاب </w:t>
      </w:r>
      <w:r>
        <w:rPr>
          <w:rStyle w:val="FootnoteAnchor"/>
          <w:rtl w:val="true"/>
        </w:rPr>
        <w:footnoteReference w:id="1593"/>
      </w:r>
      <w:r>
        <w:rPr>
          <w:rFonts w:ascii="Amiri" w:hAnsi="Amiri" w:eastAsia="Amiri" w:cs="Amiri"/>
          <w:color w:val="111111"/>
          <w:sz w:val="28"/>
          <w:sz w:val="28"/>
          <w:szCs w:val="28"/>
          <w:rtl w:val="true"/>
          <w:lang w:bidi="ar-SA"/>
        </w:rPr>
        <w:t xml:space="preserve">القهقرى على ما هو المعروف في لسان عوام الطلبة ، وقد نبّهنا على فساده في أوائل المبحث بهذا العنوان </w:t>
      </w:r>
      <w:r>
        <w:rPr>
          <w:rStyle w:val="FootnoteAnchor"/>
          <w:rtl w:val="true"/>
        </w:rPr>
        <w:footnoteReference w:id="1594"/>
      </w:r>
      <w:r>
        <w:rPr>
          <w:rFonts w:ascii="Amiri" w:hAnsi="Amiri" w:eastAsia="Amiri" w:cs="Amiri"/>
          <w:color w:val="111111"/>
          <w:sz w:val="28"/>
          <w:sz w:val="28"/>
          <w:szCs w:val="28"/>
          <w:rtl w:val="true"/>
          <w:lang w:bidi="ar-SA"/>
        </w:rPr>
        <w:t xml:space="preserve">؛ إذ ليس من الاستصحاب ، لاستلزامه اليقين السابق والشكّ اللاحق ، وما يراد من ذلك إثبات الوجود اللاحق في الزمن السابق المشكوك ذلك الوجود فيه ، ولا دليل على ثبوت </w:t>
      </w:r>
    </w:p>
    <w:p>
      <w:pPr>
        <w:pStyle w:val="BookText"/>
        <w:rPr/>
      </w:pPr>
      <w:r>
        <w:rPr>
          <w:rFonts w:ascii="Amiri" w:hAnsi="Amiri" w:eastAsia="Amiri" w:cs="Amiri"/>
          <w:color w:val="111111"/>
          <w:sz w:val="28"/>
          <w:sz w:val="28"/>
          <w:szCs w:val="28"/>
          <w:rtl w:val="true"/>
          <w:lang w:bidi="ar-SA"/>
        </w:rPr>
        <w:t xml:space="preserve">ذلك من العقل ولا من النقل ، وقد يعبّر عن ذلك بأصالة تشابه الأزمان وهو أيضا ممّا لا وجه له ؛ لعدم ما يقضي </w:t>
      </w:r>
      <w:r>
        <w:rPr>
          <w:rStyle w:val="FootnoteAnchor"/>
          <w:rtl w:val="true"/>
        </w:rPr>
        <w:footnoteReference w:id="1595"/>
      </w:r>
      <w:r>
        <w:rPr>
          <w:rFonts w:ascii="Amiri" w:hAnsi="Amiri" w:eastAsia="Amiri" w:cs="Amiri"/>
          <w:color w:val="111111"/>
          <w:sz w:val="28"/>
          <w:sz w:val="28"/>
          <w:szCs w:val="28"/>
          <w:rtl w:val="true"/>
          <w:lang w:bidi="ar-SA"/>
        </w:rPr>
        <w:t xml:space="preserve">بذلك على ما هو الظاهر منها </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المدرك فيها الغلبة ، فتأمّل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يكون هذا نتيجة لاستصحاب عدمي معقول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كذلك لزم حادث آخر والأصل عدمه كأصالة عدم النقل ، مثلا لو ثبت أنّ الأمر في العرف للوجوب فشكّ أنّه </w:t>
      </w:r>
      <w:r>
        <w:rPr>
          <w:rStyle w:val="FootnoteAnchor"/>
          <w:rtl w:val="true"/>
        </w:rPr>
        <w:footnoteReference w:id="1597"/>
      </w:r>
      <w:r>
        <w:rPr>
          <w:rFonts w:ascii="Amiri" w:hAnsi="Amiri" w:eastAsia="Amiri" w:cs="Amiri"/>
          <w:color w:val="111111"/>
          <w:sz w:val="28"/>
          <w:sz w:val="28"/>
          <w:szCs w:val="28"/>
          <w:rtl w:val="true"/>
          <w:lang w:bidi="ar-SA"/>
        </w:rPr>
        <w:t xml:space="preserve">في اللغة أيضا كذلك أم لا </w:t>
      </w:r>
      <w:r>
        <w:rPr>
          <w:rStyle w:val="FootnoteAnchor"/>
          <w:rtl w:val="true"/>
        </w:rPr>
        <w:footnoteReference w:id="1598"/>
      </w:r>
      <w:r>
        <w:rPr>
          <w:rFonts w:ascii="IRNazanin" w:hAnsi="IRNazanin" w:eastAsia="IRNazanin"/>
          <w:color w:val="111111"/>
          <w:sz w:val="28"/>
          <w:sz w:val="28"/>
          <w:szCs w:val="28"/>
          <w:rtl w:val="true"/>
          <w:lang w:bidi="fa-IR"/>
        </w:rPr>
        <w:t xml:space="preserve">، فلو قلنا بأنّه </w:t>
      </w:r>
      <w:r>
        <w:rPr>
          <w:rStyle w:val="FootnoteAnchor"/>
          <w:rtl w:val="true"/>
        </w:rPr>
        <w:footnoteReference w:id="1599"/>
      </w:r>
      <w:r>
        <w:rPr>
          <w:rFonts w:ascii="Amiri" w:hAnsi="Amiri" w:eastAsia="Amiri" w:cs="Amiri"/>
          <w:color w:val="111111"/>
          <w:sz w:val="28"/>
          <w:sz w:val="28"/>
          <w:szCs w:val="28"/>
          <w:rtl w:val="true"/>
          <w:lang w:bidi="ar-SA"/>
        </w:rPr>
        <w:t xml:space="preserve">في اللغة أيضا للوجوب لا يلزم حادث غير ما دلّ الدليل على وجوده وحدوثه في الحال ، ولو قلنا بعدمه يلزم أن يكون هناك أيضا حادث آخر والأصل عدمه ، ولا يعارضه أصالة تأخّر الحادث ؛ لأنّ مجرى ذلك فيما إذا كان الاستعمال في السابق معلوما على الإجمال ولم يعلم خصوصية المستعمل فيه ، وحينئذ لا يجري أصالة تأخّر الحادث ؛ للعلم بالحدوث إجمالا ، والكلام في التعدّد والاتّحاد ، والأصل يقضي </w:t>
      </w:r>
      <w:r>
        <w:rPr>
          <w:rStyle w:val="FootnoteAnchor"/>
          <w:rtl w:val="true"/>
        </w:rPr>
        <w:footnoteReference w:id="1600"/>
      </w:r>
      <w:r>
        <w:rPr>
          <w:rFonts w:ascii="Amiri" w:hAnsi="Amiri" w:eastAsia="Amiri" w:cs="Amiri"/>
          <w:color w:val="111111"/>
          <w:sz w:val="28"/>
          <w:sz w:val="28"/>
          <w:szCs w:val="28"/>
          <w:rtl w:val="true"/>
          <w:lang w:bidi="ar-SA"/>
        </w:rPr>
        <w:t xml:space="preserve">بالثاني ؛ لأصالة عدم تعدّد الوضع ، وهذا وإن كان مثبتا إلاّ أنّه من الموارد التي لا مناص من العمل بها ؛ لكونه من مباحث الألفاظ ، نعم لو كان المعنى المستعمل فيه في السابق معلوما كاللاحق وشكّ في بدو الحدوث والنقل فأصالة التأخّر تقضي </w:t>
      </w:r>
      <w:r>
        <w:rPr>
          <w:rStyle w:val="FootnoteAnchor"/>
          <w:rtl w:val="true"/>
        </w:rPr>
        <w:footnoteReference w:id="1601"/>
      </w:r>
      <w:r>
        <w:rPr>
          <w:rFonts w:ascii="Amiri" w:hAnsi="Amiri" w:eastAsia="Amiri" w:cs="Amiri"/>
          <w:color w:val="111111"/>
          <w:sz w:val="28"/>
          <w:sz w:val="28"/>
          <w:szCs w:val="28"/>
          <w:rtl w:val="true"/>
          <w:lang w:bidi="ar-SA"/>
        </w:rPr>
        <w:t xml:space="preserve">بالتأخّر ، ولا يجري فيه أصالة عدم النقل في السابق كما في الحقيقة الشرعية ، فإنّ استعمال الصلاة في اللغة معلوم وفي عرف المتشرّعة أيضا معلوم وإنّما شكّ في بدو النقل ، فبأصالة عدم النقل لا يمكن إثبات الحقيقة الشرعية بالنسبة إلى زمان النبيّ صلى‌اللّه‌عليه‌وآله ؛ إذ الأصل تأخّر الحادث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زمن اليقين بوجوده </w:t>
      </w:r>
      <w:r>
        <w:rPr>
          <w:rStyle w:val="FootnoteAnchor"/>
          <w:rtl w:val="true"/>
        </w:rPr>
        <w:footnoteReference w:id="1602"/>
      </w:r>
      <w:r>
        <w:rPr>
          <w:rFonts w:ascii="Amiri" w:hAnsi="Amiri" w:eastAsia="Amiri" w:cs="Amiri"/>
          <w:color w:val="111111"/>
          <w:sz w:val="28"/>
          <w:sz w:val="28"/>
          <w:szCs w:val="28"/>
          <w:rtl w:val="true"/>
          <w:lang w:bidi="ar-SA"/>
        </w:rPr>
        <w:t xml:space="preserve">، وإثبات الأصل ممّا لا ضير فيه على ما عرفت مرارا كما لا يخفى ، واللّه الموفّق </w:t>
      </w:r>
      <w:r>
        <w:rPr>
          <w:rStyle w:val="FootnoteAnchor"/>
          <w:rtl w:val="true"/>
        </w:rPr>
        <w:footnoteReference w:id="1603"/>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bookmarkStart w:id="180" w:name="pg16284_171271"/>
    </w:p>
    <w:p>
      <w:pPr>
        <w:pStyle w:val="Heading3"/>
        <w:numPr>
          <w:ilvl w:val="2"/>
          <w:numId w:val="1"/>
        </w:numPr>
        <w:rPr/>
      </w:pPr>
      <w:bookmarkStart w:id="181" w:name="__RefHeading___Toc5012136_1280447820"/>
      <w:bookmarkStart w:id="182" w:name="_Toc57"/>
      <w:bookmarkEnd w:id="180"/>
      <w:bookmarkEnd w:id="181"/>
      <w:r>
        <w:rPr>
          <w:rtl w:val="true"/>
        </w:rPr>
        <w:t xml:space="preserve">هداية </w:t>
      </w:r>
      <w:r>
        <w:rPr>
          <w:rtl w:val="true"/>
        </w:rPr>
        <w:t xml:space="preserve">[ </w:t>
      </w:r>
      <w:r>
        <w:rPr>
          <w:rtl w:val="true"/>
        </w:rPr>
        <w:t xml:space="preserve">في استصحاب الصحّة </w:t>
      </w:r>
      <w:r>
        <w:rPr>
          <w:rtl w:val="true"/>
        </w:rPr>
        <w:t>]</w:t>
      </w:r>
      <w:bookmarkEnd w:id="182"/>
    </w:p>
    <w:p>
      <w:pPr>
        <w:pStyle w:val="BookText"/>
        <w:rPr/>
      </w:pPr>
      <w:r>
        <w:rPr>
          <w:rFonts w:ascii="Amiri" w:hAnsi="Amiri" w:eastAsia="Amiri" w:cs="Amiri"/>
          <w:color w:val="111111"/>
          <w:sz w:val="28"/>
          <w:sz w:val="28"/>
          <w:szCs w:val="28"/>
          <w:rtl w:val="true"/>
          <w:lang w:bidi="ar-SA"/>
        </w:rPr>
        <w:t>قد تداول بينهم التمسّك باستصحاب الصحّة فيما إذا شكّ في أثناء العمل في صحّته باعتبار الشكّ في اعتبار شيء فيه وعدمه ، وتنظّر فيها بعض الأواخر ، والتحقيق عندنا عدم الاعتداد به في بعض الوجوه دون آخر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المقصد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بطلان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بواسطة انتفاء أمر معتبر فيها على وجه غير ممكن التدارك كما إذا ترك السورة في الصلاة مع الوصول إلى حدّ الركوع ، وأخرى بواسطة وجود ما يقطع به العمل </w:t>
      </w:r>
      <w:r>
        <w:rPr>
          <w:rStyle w:val="FootnoteAnchor"/>
          <w:rtl w:val="true"/>
        </w:rPr>
        <w:footnoteReference w:id="1604"/>
      </w:r>
      <w:r>
        <w:rPr>
          <w:rFonts w:ascii="Amiri" w:hAnsi="Amiri" w:eastAsia="Amiri" w:cs="Amiri"/>
          <w:color w:val="111111"/>
          <w:sz w:val="28"/>
          <w:sz w:val="28"/>
          <w:szCs w:val="28"/>
          <w:rtl w:val="true"/>
          <w:lang w:bidi="ar-SA"/>
        </w:rPr>
        <w:t>كالتكلّم في الأثناء فهو قاطع للعمل ومبطل أيضا ؛ إذ كلّ قاطع مبطل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Style w:val="FootnoteAnchor"/>
          <w:rtl w:val="true"/>
        </w:rPr>
        <w:footnoteReference w:id="1605"/>
      </w:r>
      <w:r>
        <w:rPr>
          <w:rFonts w:ascii="Amiri" w:hAnsi="Amiri" w:eastAsia="Amiri" w:cs="Amiri"/>
          <w:color w:val="111111"/>
          <w:sz w:val="28"/>
          <w:sz w:val="28"/>
          <w:szCs w:val="28"/>
          <w:rtl w:val="true"/>
          <w:lang w:bidi="ar-SA"/>
        </w:rPr>
        <w:t xml:space="preserve">فالكلام يقع في موردين ؛ إذ المستصحب للصحّة </w:t>
      </w:r>
      <w:r>
        <w:rPr>
          <w:rStyle w:val="FootnoteAnchor"/>
          <w:rtl w:val="true"/>
        </w:rPr>
        <w:footnoteReference w:id="1606"/>
      </w:r>
      <w:r>
        <w:rPr>
          <w:rFonts w:ascii="Amiri" w:hAnsi="Amiri" w:eastAsia="Amiri" w:cs="Amiri"/>
          <w:color w:val="111111"/>
          <w:sz w:val="28"/>
          <w:sz w:val="28"/>
          <w:szCs w:val="28"/>
          <w:rtl w:val="true"/>
          <w:lang w:bidi="ar-SA"/>
        </w:rPr>
        <w:t xml:space="preserve">إنّما يريد </w:t>
      </w:r>
      <w:r>
        <w:rPr>
          <w:rStyle w:val="FootnoteAnchor"/>
          <w:rtl w:val="true"/>
        </w:rPr>
        <w:footnoteReference w:id="1607"/>
      </w:r>
      <w:r>
        <w:rPr>
          <w:rFonts w:ascii="Amiri" w:hAnsi="Amiri" w:eastAsia="Amiri" w:cs="Amiri"/>
          <w:color w:val="111111"/>
          <w:sz w:val="28"/>
          <w:sz w:val="28"/>
          <w:szCs w:val="28"/>
          <w:rtl w:val="true"/>
          <w:lang w:bidi="ar-SA"/>
        </w:rPr>
        <w:t xml:space="preserve">الصحّة بالنسبة إلى الأجزاء المادّية للصلاة مثلا ، وأمّا بالنسبة إلى الجزء الصوري </w:t>
      </w:r>
      <w:r>
        <w:rPr>
          <w:rStyle w:val="FootnoteAnchor"/>
          <w:rtl w:val="true"/>
        </w:rPr>
        <w:footnoteReference w:id="1608"/>
      </w:r>
      <w:r>
        <w:rPr>
          <w:rFonts w:ascii="Amiri" w:hAnsi="Amiri" w:eastAsia="Amiri" w:cs="Amiri"/>
          <w:color w:val="111111"/>
          <w:sz w:val="28"/>
          <w:sz w:val="28"/>
          <w:szCs w:val="28"/>
          <w:rtl w:val="true"/>
          <w:lang w:bidi="ar-SA"/>
        </w:rPr>
        <w:t xml:space="preserve">لها واشتمال الصلاة على هذا الجزء الصوري إنّما يستفاد من الأخبار الواردة الدالّة على قطعها ، فيستفاد منها أنّ لها هيئة </w:t>
      </w:r>
      <w:r>
        <w:rPr>
          <w:rStyle w:val="FootnoteAnchor"/>
          <w:rtl w:val="true"/>
        </w:rPr>
        <w:footnoteReference w:id="1609"/>
      </w:r>
      <w:r>
        <w:rPr>
          <w:rFonts w:ascii="Amiri" w:hAnsi="Amiri" w:eastAsia="Amiri" w:cs="Amiri"/>
          <w:color w:val="111111"/>
          <w:sz w:val="28"/>
          <w:sz w:val="28"/>
          <w:szCs w:val="28"/>
          <w:rtl w:val="true"/>
          <w:lang w:bidi="ar-SA"/>
        </w:rPr>
        <w:t xml:space="preserve">ارتباطية تقطع بقواطعها ، كما إذا </w:t>
      </w:r>
      <w:r>
        <w:rPr>
          <w:rStyle w:val="FootnoteAnchor"/>
          <w:rtl w:val="true"/>
        </w:rPr>
        <w:footnoteReference w:id="1610"/>
      </w:r>
      <w:r>
        <w:rPr>
          <w:rFonts w:ascii="Amiri" w:hAnsi="Amiri" w:eastAsia="Amiri" w:cs="Amiri"/>
          <w:color w:val="111111"/>
          <w:sz w:val="28"/>
          <w:sz w:val="28"/>
          <w:szCs w:val="28"/>
          <w:rtl w:val="true"/>
          <w:lang w:bidi="ar-SA"/>
        </w:rPr>
        <w:t xml:space="preserve">استفدنا من لفظ النقض في </w:t>
      </w:r>
      <w:r>
        <w:rPr>
          <w:rStyle w:val="FootnoteAnchor"/>
          <w:rtl w:val="true"/>
        </w:rPr>
        <w:footnoteReference w:id="1611"/>
      </w:r>
      <w:r>
        <w:rPr>
          <w:rFonts w:ascii="Amiri" w:hAnsi="Amiri" w:eastAsia="Amiri" w:cs="Amiri"/>
          <w:color w:val="111111"/>
          <w:sz w:val="28"/>
          <w:sz w:val="28"/>
          <w:szCs w:val="28"/>
          <w:rtl w:val="true"/>
          <w:lang w:bidi="ar-SA"/>
        </w:rPr>
        <w:t xml:space="preserve">أنّها حالة مستمرّة ، وهذا </w:t>
      </w:r>
    </w:p>
    <w:p>
      <w:pPr>
        <w:pStyle w:val="BookText"/>
        <w:rPr/>
      </w:pPr>
      <w:r>
        <w:rPr>
          <w:rFonts w:ascii="Amiri" w:hAnsi="Amiri" w:eastAsia="Amiri" w:cs="Amiri"/>
          <w:color w:val="111111"/>
          <w:sz w:val="28"/>
          <w:sz w:val="28"/>
          <w:szCs w:val="28"/>
          <w:rtl w:val="true"/>
          <w:lang w:bidi="ar-SA"/>
        </w:rPr>
        <w:t>الجزء الصوري وإن كان داخلا في عنوان القسم الأوّل لأنّ انتفاءه انتفاء أمر معتبر فيها على وجه لا يمكن تداركها ، إلاّ أنّ التقسيم له فائدة أخرى تطّلع عليها بعيد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القسم الأوّل </w:t>
      </w:r>
      <w:r>
        <w:rPr>
          <w:rStyle w:val="FootnoteAnchor"/>
          <w:rtl w:val="true"/>
        </w:rPr>
        <w:footnoteReference w:id="1612"/>
      </w:r>
      <w:r>
        <w:rPr>
          <w:rFonts w:ascii="Amiri" w:hAnsi="Amiri" w:eastAsia="Amiri" w:cs="Amiri"/>
          <w:color w:val="111111"/>
          <w:sz w:val="28"/>
          <w:sz w:val="28"/>
          <w:szCs w:val="28"/>
          <w:rtl w:val="true"/>
          <w:lang w:bidi="ar-SA"/>
        </w:rPr>
        <w:t xml:space="preserve">فالصحّة المقصود إثباتها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منها موافقة الأمر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w:t>
      </w:r>
      <w:r>
        <w:rPr>
          <w:rStyle w:val="FootnoteAnchor"/>
          <w:rtl w:val="true"/>
        </w:rPr>
        <w:footnoteReference w:id="1613"/>
      </w:r>
      <w:r>
        <w:rPr>
          <w:rFonts w:ascii="Amiri" w:hAnsi="Amiri" w:eastAsia="Amiri" w:cs="Amiri"/>
          <w:color w:val="111111"/>
          <w:sz w:val="28"/>
          <w:sz w:val="28"/>
          <w:szCs w:val="28"/>
          <w:rtl w:val="true"/>
          <w:lang w:bidi="ar-SA"/>
        </w:rPr>
        <w:t xml:space="preserve">الأثر عليه على اختلاف المعنى منها ، ولا وجه لاستصحابها على التقديرين ، أمّا على الأوّل فلأنّ كون الجزء موافقا للأمر إمّا يقصد منه الأمر المستفاد من الأمر بالكلّ ، وإمّا الأمر المتعلّق بنفس الكلّ ، والثاني غير حاصل </w:t>
      </w:r>
      <w:r>
        <w:rPr>
          <w:rStyle w:val="FootnoteAnchor"/>
          <w:rtl w:val="true"/>
        </w:rPr>
        <w:footnoteReference w:id="1614"/>
      </w:r>
      <w:r>
        <w:rPr>
          <w:rFonts w:ascii="Amiri" w:hAnsi="Amiri" w:eastAsia="Amiri" w:cs="Amiri"/>
          <w:color w:val="111111"/>
          <w:sz w:val="28"/>
          <w:sz w:val="28"/>
          <w:szCs w:val="28"/>
          <w:rtl w:val="true"/>
          <w:lang w:bidi="ar-SA"/>
        </w:rPr>
        <w:t xml:space="preserve">عند فقد الكلّ كما هو المفروض ، والأوّل قطعي حال الشكّ فلا يقين بالسابق على الأوّل ، ولا شكّ في اللاحق على الثاني ، وأمّا على الثاني فلأنّ الأثر المستصحب إمّا أن يكون أثر الكلّ ، أو الأثر المترتّب على الأجزاء التي لم يأت بها ، أو أجزاء </w:t>
      </w:r>
      <w:r>
        <w:rPr>
          <w:rStyle w:val="FootnoteAnchor"/>
          <w:rtl w:val="true"/>
        </w:rPr>
        <w:footnoteReference w:id="1615"/>
      </w:r>
      <w:r>
        <w:rPr>
          <w:rFonts w:ascii="Amiri" w:hAnsi="Amiri" w:eastAsia="Amiri" w:cs="Amiri"/>
          <w:color w:val="111111"/>
          <w:sz w:val="28"/>
          <w:sz w:val="28"/>
          <w:szCs w:val="28"/>
          <w:rtl w:val="true"/>
          <w:lang w:bidi="ar-SA"/>
        </w:rPr>
        <w:t xml:space="preserve">الماهيّة </w:t>
      </w:r>
      <w:r>
        <w:rPr>
          <w:rStyle w:val="FootnoteAnchor"/>
          <w:rtl w:val="true"/>
        </w:rPr>
        <w:footnoteReference w:id="1616"/>
      </w:r>
      <w:r>
        <w:rPr>
          <w:rFonts w:ascii="Amiri" w:hAnsi="Amiri" w:eastAsia="Amiri" w:cs="Amiri"/>
          <w:color w:val="111111"/>
          <w:sz w:val="28"/>
          <w:sz w:val="28"/>
          <w:szCs w:val="28"/>
          <w:rtl w:val="true"/>
          <w:lang w:bidi="ar-SA"/>
        </w:rPr>
        <w:t xml:space="preserve">، لا معنى للأوّلين ؛ لعدم اليقين السابق فيهما ، كما أنّه لا معنى للأخير أيضا ؛ إذ الأثر المترتّب على الجزء ليس إلاّ كونه بحيث </w:t>
      </w:r>
      <w:r>
        <w:rPr>
          <w:rStyle w:val="FootnoteAnchor"/>
          <w:rtl w:val="true"/>
        </w:rPr>
        <w:footnoteReference w:id="1617"/>
      </w:r>
      <w:r>
        <w:rPr>
          <w:rFonts w:ascii="Amiri" w:hAnsi="Amiri" w:eastAsia="Amiri" w:cs="Amiri"/>
          <w:color w:val="111111"/>
          <w:sz w:val="28"/>
          <w:sz w:val="28"/>
          <w:szCs w:val="28"/>
          <w:rtl w:val="true"/>
          <w:lang w:bidi="ar-SA"/>
        </w:rPr>
        <w:t>لو انضمّ إليه الأجزاء الباقية على وجه معتبر شرعا لكان مؤثّرا في حصول الكلّ والمركّب ، ووقوعه على هذا الوجه أمر قطعي لا شكّ فيه ، وعدم ترتّب الأجزاء اللاحقة لا يوجب زوال الأثر من الأجزاء السابقة ، وهذه الصفة موجودة فيها فعلا ؛ إذ لا يزيد ذلك على حيثية تعليقية يكفي في صدقها صدق التعليق وإن كذب المتعلّقان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الأجزاء اللاحقة مؤثّرة في وقوع الأجزاء السابقة على وجه الصحّة فيشكّ في ذلك فيستصحب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قطع بالمستصحب في أوّل الأمر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حصول القطع فيمتنع زواله ؛ لأنّ ما وقع على صفة يمتنع انقلابه من تلك الصفة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يثمر في الأجزاء الباقية إذ لا يزيد ذلك على القطع الوجداني بصحّتها وعلى تقديره لا يجدي بالنسبة إليها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يقرّر الاستصحاب في هذا المقام بوجوه إلاّ أنّه لا يجدي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القابلية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وجه يصحّ أن يكون جزء فعليا للصلاة ، وبعد حدوث تلك الحادثة لا يعلم بقاؤها على هذه الصفة والأصل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كون الجزء المفروض قابلا لأن يصير جزء فعليا من الصلاة إمّا بواسطة أمر سابق على ذلك الجزء أو في نفس ذلك الجزء أو بواسطة أمر لاحق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على الأوّلين لما عرفت من القطع بذلك ، وكذا على الثالث ؛ لأنّ الشكّ إنّما هو في اللاحق ، واستصحاب كونه جزء فعليا لا يرتفع الشكّ الموجود بالنسبة إلى اللاحق ، لكونه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الإتمام ، فإنّ قبل عروض سانحة كان الواجب إتمام الصلاة ، وبعد ذلك لا يعلم به ، فيستصحب الوجوب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الإتمام معناه ضمّ الأجزاء الباقية إلى الأجزاء الماضية ليتمّ العمل والمفروض عدم العلم بالباقي والشكّ في اعتبار شيء آخر فيه ، واستصحاب وجوب الإتمام لا يجدي في ارتفاع الشكّ في أنّ الشيء </w:t>
      </w:r>
      <w:r>
        <w:rPr>
          <w:rStyle w:val="FootnoteAnchor"/>
          <w:rtl w:val="true"/>
        </w:rPr>
        <w:footnoteReference w:id="1619"/>
      </w:r>
      <w:r>
        <w:rPr>
          <w:rFonts w:ascii="Amiri" w:hAnsi="Amiri" w:eastAsia="Amiri" w:cs="Amiri"/>
          <w:color w:val="111111"/>
          <w:sz w:val="28"/>
          <w:sz w:val="28"/>
          <w:szCs w:val="28"/>
          <w:rtl w:val="true"/>
          <w:lang w:bidi="ar-SA"/>
        </w:rPr>
        <w:t>الفلاني جزء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حرمة القطع ؛ لأنّ قبل حدوث الشكّ كان يحرم على المكلّف قطع الصلاة ، وبعده يشكّ في الحرمة والأصل بقاؤها ، فيحرم عليه التكلّم أو شيء آخر من القواطع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القطع وفعل القاطع إن أريد حرمته بذاته مع قطع النظر عن اتّصافه </w:t>
      </w:r>
    </w:p>
    <w:p>
      <w:pPr>
        <w:pStyle w:val="BookText"/>
        <w:rPr/>
      </w:pPr>
      <w:r>
        <w:rPr>
          <w:rFonts w:ascii="Amiri" w:hAnsi="Amiri" w:eastAsia="Amiri" w:cs="Amiri"/>
          <w:color w:val="111111"/>
          <w:sz w:val="28"/>
          <w:sz w:val="28"/>
          <w:szCs w:val="28"/>
          <w:rtl w:val="true"/>
          <w:lang w:bidi="ar-SA"/>
        </w:rPr>
        <w:t>بالقاطعية فغير مسلّمة ؛ إذ لا دليل على حرمة التكلّم مع قطع النظر عن كونه قاطعا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حرمته بعنوان القاطعية فلا بدّ من العلم بكونه قاطعا ، وعلى تقدير الشكّ في الجزء أو الشرط في حال الترك لا يعلم انقطاع الصلاة بواسطة ذلك الشيء المتروك حتّى لا يكون التكلّم قاطعا ؛ إذ بعد الانقطاع لا يعقل القطع ولا عدم انقطاعها </w:t>
      </w:r>
      <w:r>
        <w:rPr>
          <w:rStyle w:val="FootnoteAnchor"/>
          <w:rtl w:val="true"/>
        </w:rPr>
        <w:footnoteReference w:id="1620"/>
      </w:r>
      <w:r>
        <w:rPr>
          <w:rFonts w:ascii="Amiri" w:hAnsi="Amiri" w:eastAsia="Amiri" w:cs="Amiri"/>
          <w:color w:val="111111"/>
          <w:sz w:val="28"/>
          <w:sz w:val="28"/>
          <w:szCs w:val="28"/>
          <w:rtl w:val="true"/>
          <w:lang w:bidi="ar-SA"/>
        </w:rPr>
        <w:t>بواسطة ذلك الشيء ؛ إذ المفروض كونه مشكوكا حتّى يكون قطعا ، فيكون من موارد الشبهة الموضوعية التي لا دليل على لزوم الاجتناب فيها في غير ما سبق بالعلم الإجمالي ، فالأصل البراءة فلا يحرم القطع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يحكمون بكونه قطعا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 للعرف في مثل المقام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المستند في الحكم دليلا لفظيا غير الاستصحاب كآية البطلان </w:t>
      </w:r>
      <w:r>
        <w:rPr>
          <w:rStyle w:val="FootnoteAnchor"/>
          <w:rtl w:val="true"/>
        </w:rPr>
        <w:footnoteReference w:id="1621"/>
      </w:r>
      <w:r>
        <w:rPr>
          <w:rFonts w:ascii="Amiri" w:hAnsi="Amiri" w:eastAsia="Amiri" w:cs="Amiri"/>
          <w:color w:val="111111"/>
          <w:sz w:val="28"/>
          <w:sz w:val="28"/>
          <w:szCs w:val="28"/>
          <w:rtl w:val="true"/>
          <w:lang w:bidi="ar-SA"/>
        </w:rPr>
        <w:t xml:space="preserve">كان للتمسّك بالعرف فيها وجه ، ولمّا انجرّ الكلام إلى هذا المقام فالمناسب تحقيق هذه </w:t>
      </w:r>
      <w:r>
        <w:rPr>
          <w:rStyle w:val="FootnoteAnchor"/>
          <w:rtl w:val="true"/>
        </w:rPr>
        <w:footnoteReference w:id="1622"/>
      </w:r>
      <w:r>
        <w:rPr>
          <w:rFonts w:ascii="Amiri" w:hAnsi="Amiri" w:eastAsia="Amiri" w:cs="Amiri"/>
          <w:color w:val="111111"/>
          <w:sz w:val="28"/>
          <w:sz w:val="28"/>
          <w:szCs w:val="28"/>
          <w:rtl w:val="true"/>
          <w:lang w:bidi="ar-SA"/>
        </w:rPr>
        <w:t xml:space="preserve">الآية الشريفة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استدل بها جماعة في جملة من الموارد ، منهم ابن إدريس </w:t>
      </w:r>
      <w:r>
        <w:rPr>
          <w:rStyle w:val="FootnoteAnchor"/>
          <w:rtl w:val="true"/>
        </w:rPr>
        <w:footnoteReference w:id="1624"/>
      </w:r>
      <w:r>
        <w:rPr>
          <w:rFonts w:ascii="Amiri" w:hAnsi="Amiri" w:eastAsia="Amiri" w:cs="Amiri"/>
          <w:color w:val="111111"/>
          <w:sz w:val="28"/>
          <w:sz w:val="28"/>
          <w:szCs w:val="28"/>
          <w:rtl w:val="true"/>
          <w:lang w:bidi="ar-SA"/>
        </w:rPr>
        <w:t xml:space="preserve">في إفطار قضاء الصوم قبل الزوال رادّا على الرواية الدالّة على الجواز بأنّها خبر واحد لا يقبل لتخصيص الكتاب ، ومنهم بعض آخر </w:t>
      </w:r>
      <w:r>
        <w:rPr>
          <w:rStyle w:val="FootnoteAnchor"/>
          <w:rtl w:val="true"/>
        </w:rPr>
        <w:footnoteReference w:id="1625"/>
      </w:r>
      <w:r>
        <w:rPr>
          <w:rFonts w:ascii="Amiri" w:hAnsi="Amiri" w:eastAsia="Amiri" w:cs="Amiri"/>
          <w:color w:val="111111"/>
          <w:sz w:val="28"/>
          <w:sz w:val="28"/>
          <w:szCs w:val="28"/>
          <w:rtl w:val="true"/>
          <w:lang w:bidi="ar-SA"/>
        </w:rPr>
        <w:t xml:space="preserve">في وجوب إتمام الصلاة وعدم إبطالها عند الشكّ في الجزئية والشرطية أو </w:t>
      </w:r>
      <w:r>
        <w:rPr>
          <w:rStyle w:val="FootnoteAnchor"/>
          <w:rtl w:val="true"/>
        </w:rPr>
        <w:footnoteReference w:id="1626"/>
      </w:r>
      <w:r>
        <w:rPr>
          <w:rFonts w:ascii="Amiri" w:hAnsi="Amiri" w:eastAsia="Amiri" w:cs="Amiri"/>
          <w:color w:val="111111"/>
          <w:sz w:val="28"/>
          <w:sz w:val="28"/>
          <w:szCs w:val="28"/>
          <w:rtl w:val="true"/>
          <w:lang w:bidi="ar-SA"/>
        </w:rPr>
        <w:t>المانعية ، فالآية تدلّ على عدم جواز إبطال العبادات والأعمال ، سواء كان العمل صحيحا لو لا الإبطال كالصوم المفروض في كلام ابن إدريس ، أو شكّ في صحّته كما في الصلاة عند الشكّ في الشرطية أو المانعية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على وجه شامل للإبطال فيما شكّ في بطلانه </w:t>
      </w:r>
      <w:r>
        <w:rPr>
          <w:rStyle w:val="FootnoteAnchor"/>
          <w:rtl w:val="true"/>
        </w:rPr>
        <w:footnoteReference w:id="1627"/>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w:t>
      </w:r>
    </w:p>
    <w:p>
      <w:pPr>
        <w:pStyle w:val="BookText"/>
        <w:rPr/>
      </w:pPr>
      <w:r>
        <w:rPr>
          <w:rFonts w:ascii="Amiri" w:hAnsi="Amiri" w:eastAsia="Amiri" w:cs="Amiri"/>
          <w:color w:val="111111"/>
          <w:sz w:val="28"/>
          <w:sz w:val="28"/>
          <w:szCs w:val="28"/>
          <w:rtl w:val="true"/>
          <w:lang w:bidi="ar-SA"/>
        </w:rPr>
        <w:t>بعمومها تدلّ على عدم جواز رفع اليد عن العمل ، ففيما لو لم يكن وجه للإبطال سوى ذلك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القسم </w:t>
      </w:r>
      <w:r>
        <w:rPr>
          <w:rStyle w:val="FootnoteAnchor"/>
          <w:rtl w:val="true"/>
        </w:rPr>
        <w:footnoteReference w:id="1628"/>
      </w:r>
      <w:r>
        <w:rPr>
          <w:rFonts w:ascii="Amiri" w:hAnsi="Amiri" w:eastAsia="Amiri" w:cs="Amiri"/>
          <w:color w:val="111111"/>
          <w:sz w:val="28"/>
          <w:sz w:val="28"/>
          <w:szCs w:val="28"/>
          <w:rtl w:val="true"/>
          <w:lang w:bidi="ar-SA"/>
        </w:rPr>
        <w:t>الآخر فعدم جواز رفع اليد إمّا بواسطة وجوب المضيّ في العبادة وإن كانت فاسدة ، وإمّا بواسطة صحّتها وكونها مسقطة للقضاء والإعادة ، والأوّل باطل ؛ للعلم بانتفائه عدا ما ثبت في موارد مخصوصة ،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المضيّ لا يبقي الشكّ في المانعية أو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الاستصحاب ؛ إذ التمسّك بالأدلّة الاجتهادية كالكتاب يجدي بالنسبة إلى إثبات اللوازم والملزومات كما في الاستدلال على صحّة المعاملة بوجوب الوفاء لها على ما هو المدلول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 xml:space="preserve">إذ قد يمكن استكشاف بعض الموضوعات بعموم العامّ ، كما </w:t>
      </w:r>
      <w:r>
        <w:rPr>
          <w:rStyle w:val="FootnoteAnchor"/>
          <w:rtl w:val="true"/>
        </w:rPr>
        <w:footnoteReference w:id="1630"/>
      </w:r>
      <w:r>
        <w:rPr>
          <w:rFonts w:ascii="Amiri" w:hAnsi="Amiri" w:eastAsia="Amiri" w:cs="Amiri"/>
          <w:color w:val="111111"/>
          <w:sz w:val="28"/>
          <w:sz w:val="28"/>
          <w:szCs w:val="28"/>
          <w:rtl w:val="true"/>
          <w:lang w:bidi="ar-SA"/>
        </w:rPr>
        <w:t xml:space="preserve">إذا شكّ في كون زيد صديقا للمولى مع العلم بكونه من جيرانه بعد ما أمر المولى بإضافة جيرانه على وجه العموم مع العلم بعدم إرادة العدوّ منهم ، فبعموم وجوب إضافة الجيران وإكرامهم يحكم في المشكوك بكونه صديقا فيجب إضافته وإكرامه ، فنقول بمثل ذلك في المقام فإنّ حرمة الإبطال وعدم جواز رفع اليد عن العمل بعمومها </w:t>
      </w:r>
      <w:r>
        <w:rPr>
          <w:rStyle w:val="FootnoteAnchor"/>
          <w:rtl w:val="true"/>
        </w:rPr>
        <w:footnoteReference w:id="1631"/>
      </w:r>
      <w:r>
        <w:rPr>
          <w:rFonts w:ascii="Amiri" w:hAnsi="Amiri" w:eastAsia="Amiri" w:cs="Amiri"/>
          <w:color w:val="111111"/>
          <w:sz w:val="28"/>
          <w:sz w:val="28"/>
          <w:szCs w:val="28"/>
          <w:rtl w:val="true"/>
          <w:lang w:bidi="ar-SA"/>
        </w:rPr>
        <w:t>يستكشف عن صحّة العمل ، فالصحّة مستفادة من عموم النهي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عدم دلالة الآية على ذلك ؛ إذ الوجوه المحتملة فيها كثيرة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بها إحداث صفة البطلان في العمل والنهي عنه على ما يقتضيه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الإبطال وهو في اللغة ظاهر في إحداث البطلان الذي </w:t>
      </w:r>
      <w:r>
        <w:rPr>
          <w:rStyle w:val="FootnoteAnchor"/>
          <w:rtl w:val="true"/>
        </w:rPr>
        <w:footnoteReference w:id="1632"/>
      </w:r>
      <w:r>
        <w:rPr>
          <w:rFonts w:ascii="Amiri" w:hAnsi="Amiri" w:eastAsia="Amiri" w:cs="Amiri"/>
          <w:color w:val="111111"/>
          <w:sz w:val="28"/>
          <w:sz w:val="28"/>
          <w:szCs w:val="28"/>
          <w:rtl w:val="true"/>
          <w:lang w:bidi="ar-SA"/>
        </w:rPr>
        <w:t xml:space="preserve">هو المصدر المجرّد منه بعد ما كان العمل صحيحا ولم يكن باطلا ، فيختصّ بما إذا كان العمل صحيحا لو لا الإبطال ، بل الظاهر منه على المفروض أن يكون الإبطال بعد تمام العمل ووقوعه على وجه الصحّة بإحداث عمل محبط لما وقع </w:t>
      </w:r>
    </w:p>
    <w:p>
      <w:pPr>
        <w:pStyle w:val="BookText"/>
        <w:rPr/>
      </w:pPr>
      <w:r>
        <w:rPr>
          <w:rFonts w:ascii="Amiri" w:hAnsi="Amiri" w:eastAsia="Amiri" w:cs="Amiri"/>
          <w:color w:val="111111"/>
          <w:sz w:val="28"/>
          <w:sz w:val="28"/>
          <w:szCs w:val="28"/>
          <w:rtl w:val="true"/>
          <w:lang w:bidi="ar-SA"/>
        </w:rPr>
        <w:t xml:space="preserve">صحيحا كالشرك ونحوه ، ويعاضده قوله تعالى قبل الآية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وَسَيُحْبِطُ أَعْمالَهُمْ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 xml:space="preserve">ويوضحه </w:t>
      </w:r>
      <w:r>
        <w:rPr>
          <w:rStyle w:val="FootnoteAnchor"/>
          <w:rtl w:val="true"/>
        </w:rPr>
        <w:footnoteReference w:id="1634"/>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صَدَقاتِكُمْ بِالْمَنِّ وَالْأَذى </w:t>
      </w:r>
      <w:r>
        <w:rPr>
          <w:rFonts w:eastAsia="Amiri" w:cs="Amiri" w:ascii="Amiri" w:hAnsi="Amiri"/>
          <w:color w:val="111111"/>
          <w:sz w:val="28"/>
          <w:szCs w:val="28"/>
          <w:rtl w:val="true"/>
          <w:lang w:bidi="ar-SA"/>
        </w:rPr>
        <w:t xml:space="preserve">) </w:t>
      </w:r>
      <w:r>
        <w:rPr>
          <w:rStyle w:val="FootnoteAnchor"/>
          <w:rtl w:val="true"/>
        </w:rPr>
        <w:footnoteReference w:id="1635"/>
      </w:r>
      <w:r>
        <w:rPr>
          <w:rFonts w:ascii="Amiri" w:hAnsi="Amiri" w:eastAsia="Amiri" w:cs="Amiri"/>
          <w:color w:val="111111"/>
          <w:sz w:val="28"/>
          <w:sz w:val="28"/>
          <w:szCs w:val="28"/>
          <w:rtl w:val="true"/>
          <w:lang w:bidi="ar-SA"/>
        </w:rPr>
        <w:t xml:space="preserve">فإنّ الظاهر كونهما على وجه واحد ، ومن المعلوم أنّ المستفاد من الثاني النهي من إحداث صفة البطلان في الصدقات الصادرة من العباد </w:t>
      </w:r>
      <w:r>
        <w:rPr>
          <w:rStyle w:val="FootnoteAnchor"/>
          <w:rtl w:val="true"/>
        </w:rPr>
        <w:footnoteReference w:id="1636"/>
      </w:r>
      <w:r>
        <w:rPr>
          <w:rFonts w:ascii="Amiri" w:hAnsi="Amiri" w:eastAsia="Amiri" w:cs="Amiri"/>
          <w:color w:val="111111"/>
          <w:sz w:val="28"/>
          <w:sz w:val="28"/>
          <w:szCs w:val="28"/>
          <w:rtl w:val="true"/>
          <w:lang w:bidi="ar-SA"/>
        </w:rPr>
        <w:t xml:space="preserve">بالمنّ على من تصدّق بشيء له أو أذى عليه كما فيما ورد في تفسيره ، ويؤيّده تفسيره في الروايات بالشرك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أعمالكم بالشرك </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 xml:space="preserve">وقول النبيّ صلى‌اللّه‌عليه‌وآله في رواية مضمونها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غرس له في الجنّة كذا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تعجّب بعض من السامعين فقال له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ترسلوا إليها نارا فتحرقوها </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 ثمّ قرء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بالآية إحداث الموصوف بالبطلان متّصفا بهذه الصفة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لكم إيجاد الصلاة باطلا بواسطة عدم إطاعة اللّه وإطاعة رسوله من عدم تعليم </w:t>
      </w:r>
      <w:r>
        <w:rPr>
          <w:rStyle w:val="FootnoteAnchor"/>
          <w:rtl w:val="true"/>
        </w:rPr>
        <w:footnoteReference w:id="1640"/>
      </w:r>
      <w:r>
        <w:rPr>
          <w:rFonts w:ascii="Amiri" w:hAnsi="Amiri" w:eastAsia="Amiri" w:cs="Amiri"/>
          <w:color w:val="111111"/>
          <w:sz w:val="28"/>
          <w:sz w:val="28"/>
          <w:szCs w:val="28"/>
          <w:rtl w:val="true"/>
          <w:lang w:bidi="ar-SA"/>
        </w:rPr>
        <w:t xml:space="preserve">أحكام العمل وكيفياته كما يقتضيه ظاهر العطف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والأفعال المزيدة قد تستعمل في هذا المعنى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تضيّق فم الركية للفتى </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به عدم إيجاده متّصفا بهذه الصفة ، وأمثاله في العرف كثيرة ، ومنها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الإجمال صفة طارئة ، فالنهي عن الإجمال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تجمل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قولا متّصفا بعدم وضوح الدلالة ، وكذا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البيان في قبال </w:t>
      </w:r>
    </w:p>
    <w:p>
      <w:pPr>
        <w:pStyle w:val="BookText"/>
        <w:rPr/>
      </w:pPr>
      <w:r>
        <w:rPr>
          <w:rFonts w:ascii="Amiri" w:hAnsi="Amiri" w:eastAsia="Amiri" w:cs="Amiri"/>
          <w:color w:val="111111"/>
          <w:sz w:val="28"/>
          <w:sz w:val="28"/>
          <w:szCs w:val="28"/>
          <w:rtl w:val="true"/>
          <w:lang w:bidi="ar-SA"/>
        </w:rPr>
        <w:t>الإجمال وليس ممّا يطرأ اللفظ بعد الحدوث في الأغلب ، فالأمر بالبيان بيان لإيجاد بيان ظاهر الدلالة وبيّن المقصود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بها ما هو مناط الاستدلال المذكور من وجوب المضيّ على العمل وعدم جواز رفع اليد عنه ، وهو لو لم نقل بكونه خلاف الظاهر بالنسبة إلى الوجهين الأوّلين فلا أقلّ من التساوي ، سيّما الأوّل منهما ؛ لموافقته </w:t>
      </w:r>
      <w:r>
        <w:rPr>
          <w:rStyle w:val="FootnoteAnchor"/>
          <w:rtl w:val="true"/>
        </w:rPr>
        <w:footnoteReference w:id="1642"/>
      </w:r>
      <w:r>
        <w:rPr>
          <w:rFonts w:ascii="Amiri" w:hAnsi="Amiri" w:eastAsia="Amiri" w:cs="Amiri"/>
          <w:color w:val="111111"/>
          <w:sz w:val="28"/>
          <w:sz w:val="28"/>
          <w:szCs w:val="28"/>
          <w:rtl w:val="true"/>
          <w:lang w:bidi="ar-SA"/>
        </w:rPr>
        <w:t xml:space="preserve">للعرف واللغة ونظائرها في الكتاب العزيز وما قبلها والروايات الواردة فيها كما مرّ ، سلّمنا عدم المكافئة فلا يجوز الحمل على الأخير ؛ إذ لا ريب في جواز رفع اليد عن كثير من الأعمال الواجبة فكيف بالمستحبّات والمباحات ، وتخصيصها بالشرعيات مجازفة ، وعلى تقديره العمل بها فيها أيضا مكابرة ، والقول بالأخذ بعمومها خرج ما خرج ، وبقي الباقي في العامّ مجازفة في مكابرة ؛ إذ التخصيص قد يبلغ حدّا لا يجوز القول به في كلام الحكيم وإن قلنا بجواز تخصيص الأكثر ، فلا بدّ من حملها على طائفة معهودة صادقة على الصلاة </w:t>
      </w:r>
      <w:r>
        <w:rPr>
          <w:rStyle w:val="FootnoteAnchor"/>
          <w:rtl w:val="true"/>
        </w:rPr>
        <w:footnoteReference w:id="1643"/>
      </w:r>
      <w:r>
        <w:rPr>
          <w:rFonts w:ascii="Amiri" w:hAnsi="Amiri" w:eastAsia="Amiri" w:cs="Amiri"/>
          <w:color w:val="111111"/>
          <w:sz w:val="28"/>
          <w:sz w:val="28"/>
          <w:szCs w:val="28"/>
          <w:rtl w:val="true"/>
          <w:lang w:bidi="ar-SA"/>
        </w:rPr>
        <w:t xml:space="preserve">الواجبة فقط أو على الإبطال بالشرك كما ورد في الرواية ، ولا يجوز أن يكون هذا فردا منها ، فيكون البيان مختصّا ببعض </w:t>
      </w:r>
      <w:r>
        <w:rPr>
          <w:rStyle w:val="FootnoteAnchor"/>
          <w:rtl w:val="true"/>
        </w:rPr>
        <w:footnoteReference w:id="1644"/>
      </w:r>
      <w:r>
        <w:rPr>
          <w:rFonts w:ascii="Amiri" w:hAnsi="Amiri" w:eastAsia="Amiri" w:cs="Amiri"/>
          <w:color w:val="111111"/>
          <w:sz w:val="28"/>
          <w:sz w:val="28"/>
          <w:szCs w:val="28"/>
          <w:rtl w:val="true"/>
          <w:lang w:bidi="ar-SA"/>
        </w:rPr>
        <w:t xml:space="preserve">أفراده ؛ لعدم الجامع القريب بين الإبطال على الوجه المزبور ورفع اليد ، فيلزم استعمال اللفظ في أكثر من معنى واحد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فجملة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لو كان متعلّقا بما هو بمنزلة الجزء الماديّ من الصلاة كما في السورة مثلا ، فلا جريان للاستصحاب فيه على بعض الوجوه المتقدّمة ، ولا يجدي في بعض آخر ؛ إذ المدار على ارتفاع هذا الشكّ إمّا وجدانا ، وإمّا شرعا وكلاهما منفيّان ، أمّا الأوّل فبالفرض ، وأمّا الثاني فلعدم جريان استصحاب صحّة </w:t>
      </w:r>
    </w:p>
    <w:p>
      <w:pPr>
        <w:pStyle w:val="BookText"/>
        <w:rPr/>
      </w:pPr>
      <w:r>
        <w:rPr>
          <w:rFonts w:ascii="Amiri" w:hAnsi="Amiri" w:eastAsia="Amiri" w:cs="Amiri"/>
          <w:color w:val="111111"/>
          <w:sz w:val="28"/>
          <w:sz w:val="28"/>
          <w:szCs w:val="28"/>
          <w:rtl w:val="true"/>
          <w:lang w:bidi="ar-SA"/>
        </w:rPr>
        <w:t xml:space="preserve">الأجزاء السابقة ، وعدم إثبات استصحاب وجوب </w:t>
      </w:r>
      <w:r>
        <w:rPr>
          <w:rStyle w:val="FootnoteAnchor"/>
          <w:rtl w:val="true"/>
        </w:rPr>
        <w:footnoteReference w:id="1646"/>
      </w:r>
      <w:r>
        <w:rPr>
          <w:rFonts w:ascii="Amiri" w:hAnsi="Amiri" w:eastAsia="Amiri" w:cs="Amiri"/>
          <w:color w:val="111111"/>
          <w:sz w:val="28"/>
          <w:sz w:val="28"/>
          <w:szCs w:val="28"/>
          <w:rtl w:val="true"/>
          <w:lang w:bidi="ar-SA"/>
        </w:rPr>
        <w:t xml:space="preserve">الإتمام والقابلية عدم جزئية المشكوك ، وعدم العلم بالموضوع في استصحاب حرمة القطع ، وعدم دلالة الآية على حرمة القطع في هذا المقام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الكلام في القسم الثاني </w:t>
      </w:r>
      <w:r>
        <w:rPr>
          <w:rStyle w:val="FootnoteAnchor"/>
          <w:rtl w:val="true"/>
        </w:rPr>
        <w:footnoteReference w:id="1648"/>
      </w:r>
      <w:r>
        <w:rPr>
          <w:rFonts w:ascii="Amiri" w:hAnsi="Amiri" w:eastAsia="Amiri" w:cs="Amiri"/>
          <w:color w:val="111111"/>
          <w:sz w:val="28"/>
          <w:sz w:val="28"/>
          <w:szCs w:val="28"/>
          <w:rtl w:val="true"/>
          <w:lang w:bidi="ar-SA"/>
        </w:rPr>
        <w:t xml:space="preserve">وهو ما إذا كان الشكّ في الجزء الصوري للصلاة مثلا ، وبعبارة أخرى ما إذا كان الشكّ في قاطعية شيء للصلاة أو عروض القاطع ، وقد عرفت أنّ المستفاد من الأخبار الواردة في حرمة القطع أنّ الصلاة ذات هيئة ارتباطية متّصلة بعض أجزائها بالآخر </w:t>
      </w:r>
      <w:r>
        <w:rPr>
          <w:rStyle w:val="FootnoteAnchor"/>
          <w:rtl w:val="true"/>
        </w:rPr>
        <w:footnoteReference w:id="1649"/>
      </w:r>
      <w:r>
        <w:rPr>
          <w:rFonts w:ascii="Amiri" w:hAnsi="Amiri" w:eastAsia="Amiri" w:cs="Amiri"/>
          <w:color w:val="111111"/>
          <w:sz w:val="28"/>
          <w:sz w:val="28"/>
          <w:szCs w:val="28"/>
          <w:rtl w:val="true"/>
          <w:lang w:bidi="ar-SA"/>
        </w:rPr>
        <w:t>في نظر الآمر ، فالتحقيق جريان الاستصحاب فيه وكونه مفيدا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اتّصاف الأجزاء السابقة بحالة ارتباطية على وجه يمكن أن يصير جزء فعليا للصلاة فيما لو انضمّ إليها الأجزاء الأخر ، فتلك الحالة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ببقائها عند انضمام الأجزاء الباقية إليها صحيحة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بارتفاعها كما إذا عرض المصلّي حال اشتغاله بالصلاة قاطع معلوم القاطعية كالتكلّم ، وأخرى يشكّ في بقائها وارتفاعها بواسطة الشكّ في عروض القاطع كالتكلّم بكلام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قطع العارض كأن تكلّم بلفظة واحدة مفيدة كقولنا </w:t>
      </w:r>
      <w:r>
        <w:rPr>
          <w:rStyle w:val="FootnoteAnchor"/>
          <w:rtl w:val="true"/>
        </w:rPr>
        <w:footnoteReference w:id="16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مثلا ، والأصل بقاء تلك الحالة وبعد وجودها شرعا تصير مطابقة للأمر بها ويترتّب عليها آثارها ، وهو المراد بالصحّة المستصحبة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أمر نسبي لا يتحقّق إلاّ بين شيئين متحقّقين والمفروض عدم وجود الأجزاء اللاحقة ، فلا يتحقّق القطع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العلم بحصول القاطع المعلوم أيضا لا يكون الأجزاء الباقية </w:t>
      </w:r>
    </w:p>
    <w:p>
      <w:pPr>
        <w:pStyle w:val="BookText"/>
        <w:rPr/>
      </w:pPr>
      <w:r>
        <w:rPr>
          <w:rFonts w:ascii="Amiri" w:hAnsi="Amiri" w:eastAsia="Amiri" w:cs="Amiri"/>
          <w:color w:val="111111"/>
          <w:sz w:val="28"/>
          <w:sz w:val="28"/>
          <w:szCs w:val="28"/>
          <w:rtl w:val="true"/>
          <w:lang w:bidi="ar-SA"/>
        </w:rPr>
        <w:t>موجودة ، فكيف يتصوّر القطع فيه مع أنّه مسلّم عندنا؟ فما هو الجواب فيه هو الجواب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وحلّه </w:t>
      </w:r>
      <w:r>
        <w:rPr>
          <w:rStyle w:val="FootnoteAnchor"/>
          <w:rtl w:val="true"/>
        </w:rPr>
        <w:footnoteReference w:id="1651"/>
      </w:r>
      <w:r>
        <w:rPr>
          <w:rFonts w:ascii="Amiri" w:hAnsi="Amiri" w:eastAsia="Amiri" w:cs="Amiri"/>
          <w:color w:val="111111"/>
          <w:sz w:val="28"/>
          <w:sz w:val="28"/>
          <w:szCs w:val="28"/>
          <w:rtl w:val="true"/>
          <w:lang w:bidi="ar-SA"/>
        </w:rPr>
        <w:t xml:space="preserve">أنّ المقطوع هو الكون الصلاتي المترتّب بعض </w:t>
      </w:r>
      <w:r>
        <w:rPr>
          <w:rStyle w:val="FootnoteAnchor"/>
          <w:rtl w:val="true"/>
        </w:rPr>
        <w:footnoteReference w:id="1652"/>
      </w:r>
      <w:r>
        <w:rPr>
          <w:rFonts w:ascii="Amiri" w:hAnsi="Amiri" w:eastAsia="Amiri" w:cs="Amiri"/>
          <w:color w:val="111111"/>
          <w:sz w:val="28"/>
          <w:sz w:val="28"/>
          <w:szCs w:val="28"/>
          <w:rtl w:val="true"/>
          <w:lang w:bidi="ar-SA"/>
        </w:rPr>
        <w:t xml:space="preserve">أجزائها على بعض الموجود في نظر المصلّي على ما </w:t>
      </w:r>
      <w:r>
        <w:rPr>
          <w:rStyle w:val="FootnoteAnchor"/>
          <w:rtl w:val="true"/>
        </w:rPr>
        <w:footnoteReference w:id="1653"/>
      </w:r>
      <w:r>
        <w:rPr>
          <w:rFonts w:ascii="Amiri" w:hAnsi="Amiri" w:eastAsia="Amiri" w:cs="Amiri"/>
          <w:color w:val="111111"/>
          <w:sz w:val="28"/>
          <w:sz w:val="28"/>
          <w:szCs w:val="28"/>
          <w:rtl w:val="true"/>
          <w:lang w:bidi="ar-SA"/>
        </w:rPr>
        <w:t xml:space="preserve">أمر به الشارع في صورتي العلم والشكّ ، ولا يتأتّى القول بأنّ الربط بين الأجزاء </w:t>
      </w:r>
      <w:r>
        <w:rPr>
          <w:rStyle w:val="FootnoteAnchor"/>
          <w:rtl w:val="true"/>
        </w:rPr>
        <w:footnoteReference w:id="1654"/>
      </w:r>
      <w:r>
        <w:rPr>
          <w:rFonts w:ascii="Amiri" w:hAnsi="Amiri" w:eastAsia="Amiri" w:cs="Amiri"/>
          <w:color w:val="111111"/>
          <w:sz w:val="28"/>
          <w:sz w:val="28"/>
          <w:szCs w:val="28"/>
          <w:rtl w:val="true"/>
          <w:lang w:bidi="ar-SA"/>
        </w:rPr>
        <w:t>السابقة واللاحقة على هذا الوجه يكون من أوّل الأمر مشكوكا فلا يجري الاستصحاب ؛ لأنّ موارد الاستصحاب موارد الشكّ وهذا من لوازم 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الجزئية والشرطية والمانعية أيضا يلازم الشكّ في الهيئة الطارئة للأجزاء وارتفاعها والأصل بقاؤها على </w:t>
      </w:r>
      <w:r>
        <w:rPr>
          <w:rStyle w:val="FootnoteAnchor"/>
          <w:rtl w:val="true"/>
        </w:rPr>
        <w:footnoteReference w:id="1655"/>
      </w:r>
      <w:r>
        <w:rPr>
          <w:rFonts w:ascii="Amiri" w:hAnsi="Amiri" w:eastAsia="Amiri" w:cs="Amiri"/>
          <w:color w:val="111111"/>
          <w:sz w:val="28"/>
          <w:sz w:val="28"/>
          <w:szCs w:val="28"/>
          <w:rtl w:val="true"/>
          <w:lang w:bidi="ar-SA"/>
        </w:rPr>
        <w:t>تلك الحالة أيضا ، فالمقامان يجري الاستصحاب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الجزئية وإن كان يلازم الشكّ في الهيئة لانبساطها على تمام الأجزاء فالشكّ في واحد منها شكّ فيها أيضا ، إلاّ أنّ البطلان مستند إلى فقد الجزء كالسورة ، أو وجود المانع كالنجاسة الثابتة قبل الصلاة أيضا ، وارتفاع الجزء الصوري تابع لارتفاعه ، فلا يستند إلى ارتفاعها البطلان كما لا يستند إلى بقائها صحّة الصلاة من هذه الحيثية ؛ لبقاء الشكّ فيه بعد ذلك أيضا ، وقد عرفت في المقام الأوّل جريان هذا الاستصحاب وعدم جدواه ؛ لكونه مثبتا بالنسبة إلى نفي الشكّ عن المشكوك المفروض</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الربط لمّا كان في المقام مستصحبا صحّ الاستناد إليه في إثبات الصحّة التابعة لوجوده </w:t>
      </w:r>
      <w:r>
        <w:rPr>
          <w:rStyle w:val="FootnoteAnchor"/>
          <w:rtl w:val="true"/>
        </w:rPr>
        <w:footnoteReference w:id="1656"/>
      </w:r>
      <w:r>
        <w:rPr>
          <w:rFonts w:ascii="Amiri" w:hAnsi="Amiri" w:eastAsia="Amiri" w:cs="Amiri"/>
          <w:color w:val="111111"/>
          <w:sz w:val="28"/>
          <w:sz w:val="28"/>
          <w:szCs w:val="28"/>
          <w:rtl w:val="true"/>
          <w:lang w:bidi="ar-SA"/>
        </w:rPr>
        <w:t xml:space="preserve">بخلاف المقام الأوّل ، إلاّ على دعوى غير بيّنة ولا مبيّنة من أنّه كلّما وجب إبقاء </w:t>
      </w:r>
      <w:r>
        <w:rPr>
          <w:rStyle w:val="FootnoteAnchor"/>
          <w:rtl w:val="true"/>
        </w:rPr>
        <w:footnoteReference w:id="1657"/>
      </w:r>
      <w:r>
        <w:rPr>
          <w:rFonts w:ascii="Amiri" w:hAnsi="Amiri" w:eastAsia="Amiri" w:cs="Amiri"/>
          <w:color w:val="111111"/>
          <w:sz w:val="28"/>
          <w:sz w:val="28"/>
          <w:szCs w:val="28"/>
          <w:rtl w:val="true"/>
          <w:lang w:bidi="ar-SA"/>
        </w:rPr>
        <w:t xml:space="preserve">الربط الذي هو بمنزلة الجزء الصوري كان الصلاة صحيحة مطابقة </w:t>
      </w:r>
    </w:p>
    <w:p>
      <w:pPr>
        <w:pStyle w:val="BookText"/>
        <w:rPr/>
      </w:pPr>
      <w:r>
        <w:rPr>
          <w:rFonts w:ascii="Amiri" w:hAnsi="Amiri" w:eastAsia="Amiri" w:cs="Amiri"/>
          <w:color w:val="111111"/>
          <w:sz w:val="28"/>
          <w:sz w:val="28"/>
          <w:szCs w:val="28"/>
          <w:rtl w:val="true"/>
          <w:lang w:bidi="ar-SA"/>
        </w:rPr>
        <w:t>للأمر مسقطة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الوجه في استناد جملة من الفحول كالشيخ وأضرابه </w:t>
      </w:r>
      <w:r>
        <w:rPr>
          <w:rStyle w:val="FootnoteAnchor"/>
          <w:rtl w:val="true"/>
        </w:rPr>
        <w:footnoteReference w:id="1658"/>
      </w:r>
      <w:r>
        <w:rPr>
          <w:rFonts w:ascii="Amiri" w:hAnsi="Amiri" w:eastAsia="Amiri" w:cs="Amiri"/>
          <w:color w:val="111111"/>
          <w:sz w:val="28"/>
          <w:sz w:val="28"/>
          <w:szCs w:val="28"/>
          <w:rtl w:val="true"/>
          <w:lang w:bidi="ar-SA"/>
        </w:rPr>
        <w:t xml:space="preserve">باستصحاب الصحّة في موارد الشكّ ، فإنّها كلّها في هذا المقام دون المقام السابق ، ولا شكّ أيضا أنّ قاعدة الاشتغال في الشكّ في الجزئية و </w:t>
      </w:r>
      <w:r>
        <w:rPr>
          <w:rStyle w:val="FootnoteAnchor"/>
          <w:rtl w:val="true"/>
        </w:rPr>
        <w:footnoteReference w:id="1659"/>
      </w:r>
      <w:r>
        <w:rPr>
          <w:rFonts w:ascii="Amiri" w:hAnsi="Amiri" w:eastAsia="Amiri" w:cs="Amiri"/>
          <w:color w:val="111111"/>
          <w:sz w:val="28"/>
          <w:sz w:val="28"/>
          <w:szCs w:val="28"/>
          <w:rtl w:val="true"/>
          <w:lang w:bidi="ar-SA"/>
        </w:rPr>
        <w:t>الشرطية ممّا لا يجوز الاعتماد عليها بعد جريان استصحاب الصحّة ؛ لكونه واردا عليها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لا ينبغي الركون إليه في المقام الأوّل على تقدير القول بالاشتغال ؛ لعدم المدخلية في الاستصحاب بالنسبة إلى المشكوك ، فما قد يظهر من بعضهم مع مصيره إلى القول بالاشتغال من التمسّك بأصالة الصحّة واستصحابها زاعما ورودها على الاشتغال ، ممّا لا وجه له ، ولعلّ التعويل على الآية أيضا في هذا المقام ممّا لا يخلو عن قوّة ، سيّما بالنسبة إلى الأجزاء السابقة ، فتدبّر</w:t>
      </w:r>
      <w:r>
        <w:rPr>
          <w:rFonts w:eastAsia="Amiri" w:cs="Amiri" w:ascii="Amiri" w:hAnsi="Amiri"/>
          <w:color w:val="111111"/>
          <w:sz w:val="28"/>
          <w:szCs w:val="28"/>
          <w:rtl w:val="true"/>
          <w:lang w:bidi="ar-SA"/>
        </w:rPr>
        <w:t xml:space="preserve">. </w:t>
      </w:r>
      <w:bookmarkStart w:id="183" w:name="pg16284_171281"/>
    </w:p>
    <w:p>
      <w:pPr>
        <w:pStyle w:val="Heading3"/>
        <w:numPr>
          <w:ilvl w:val="2"/>
          <w:numId w:val="1"/>
        </w:numPr>
        <w:rPr/>
      </w:pPr>
      <w:bookmarkStart w:id="184" w:name="__RefHeading___Toc5012138_1280447820"/>
      <w:bookmarkStart w:id="185" w:name="_Toc58"/>
      <w:bookmarkEnd w:id="183"/>
      <w:bookmarkEnd w:id="184"/>
      <w:r>
        <w:rPr>
          <w:rtl w:val="true"/>
        </w:rPr>
        <w:t xml:space="preserve">هداية </w:t>
      </w:r>
      <w:r>
        <w:rPr>
          <w:rtl w:val="true"/>
        </w:rPr>
        <w:t xml:space="preserve">[ </w:t>
      </w:r>
      <w:r>
        <w:rPr>
          <w:rtl w:val="true"/>
        </w:rPr>
        <w:t xml:space="preserve">في استصحاب الاشتغال </w:t>
      </w:r>
      <w:r>
        <w:rPr>
          <w:rtl w:val="true"/>
        </w:rPr>
        <w:t>]</w:t>
      </w:r>
      <w:bookmarkEnd w:id="185"/>
    </w:p>
    <w:p>
      <w:pPr>
        <w:pStyle w:val="Heading4"/>
        <w:numPr>
          <w:ilvl w:val="3"/>
          <w:numId w:val="1"/>
        </w:numPr>
        <w:rPr/>
      </w:pPr>
      <w:bookmarkStart w:id="186" w:name="__RefHeading___Toc5012140_1280447820"/>
      <w:bookmarkStart w:id="187" w:name="_Toc59"/>
      <w:bookmarkEnd w:id="186"/>
      <w:r>
        <w:rPr>
          <w:rtl w:val="true"/>
        </w:rPr>
        <w:t>اشارة</w:t>
      </w:r>
      <w:bookmarkEnd w:id="18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بينهم التمسّك باستصحاب الاشتغال في موارد كثيرة ، وتحقيق القول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البراءة والاشتغال تارة بواسطة الشكّ في حصول المبرئ المعلوم المبرئية ، كما إذا علمنا بالتكليف المعلوم المبيّن كوجوب صلاة الظهر وشككنا في الإتيان بها ، وتارة بواسطة الشكّ في مبرئية الفعل الموجود ، كما إذا سلّم على جماعة شخص فتبرّع في الجواب عنه ثالث خارج منهم أو واحد من الجماعة فشككنا في براءة الباقي وإسقاط تكليفهم بحصول هذا الفعل من الشريك أو المتبرّع ، وكما إذا صلّى على الميّت صبيّ مراهق على القول بشرعية عباداته فشككنا في سقوط الوجوب بفعله عن غيرهم ، وكما إذا تبرّع في زكاة فطر الضيف أجنبي أو الضيف بنفسه زكّى فشككنا في سقوط وجوب الزكاة عن صاحب الضيف ، وكما إذا التقطنا شيئا فشككنا في سقوط وجوب التعريف بفعل الوكيل ، ونحوها ممّا لا يعدّ ولا يحصى ، وتارة بواسطة الشكّ في أصل التكليف وكيفياته بعد العلم به إجمالا ، كما إذا علمنا بوجوب الصلاة في الجمعة ولم نعلم المكلّف به تفصيلا هل هو الظهر أو الجمعة؟ في الشبهات الحكمية بأقسامها ، وكما إذا اشتبهت القبلة بين الجهات أو الجهتين في الشبهات الموضوعية على ما مرّ تفاصيلها ، ولنورد الكلام في هذه الأقسام في مقامين </w:t>
      </w:r>
      <w:r>
        <w:rPr>
          <w:rFonts w:eastAsia="Amiri" w:cs="Amiri" w:ascii="Amiri" w:hAnsi="Amiri"/>
          <w:color w:val="111111"/>
          <w:sz w:val="28"/>
          <w:szCs w:val="28"/>
          <w:rtl w:val="true"/>
          <w:lang w:bidi="ar-SA"/>
        </w:rPr>
        <w:t xml:space="preserve">: </w:t>
      </w:r>
      <w:bookmarkStart w:id="188" w:name="pg16284_171282"/>
    </w:p>
    <w:p>
      <w:pPr>
        <w:pStyle w:val="Heading4"/>
        <w:numPr>
          <w:ilvl w:val="3"/>
          <w:numId w:val="1"/>
        </w:numPr>
        <w:rPr/>
      </w:pPr>
      <w:bookmarkStart w:id="189" w:name="__RefHeading___Toc5012142_1280447820"/>
      <w:bookmarkStart w:id="190" w:name="_Toc60"/>
      <w:bookmarkEnd w:id="188"/>
      <w:bookmarkEnd w:id="189"/>
      <w:r>
        <w:rPr>
          <w:rtl w:val="true"/>
        </w:rPr>
        <w:t>المقام الأوّل</w:t>
      </w:r>
      <w:bookmarkEnd w:id="190"/>
    </w:p>
    <w:p>
      <w:pPr>
        <w:pStyle w:val="BookText"/>
        <w:rPr/>
      </w:pPr>
      <w:r>
        <w:rPr>
          <w:rFonts w:ascii="Amiri" w:hAnsi="Amiri" w:eastAsia="Amiri" w:cs="Amiri"/>
          <w:color w:val="111111"/>
          <w:sz w:val="28"/>
          <w:sz w:val="28"/>
          <w:szCs w:val="28"/>
          <w:rtl w:val="true"/>
          <w:lang w:bidi="ar-SA"/>
        </w:rPr>
        <w:t xml:space="preserve">في القسمين الأوّلين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r>
        <w:rPr>
          <w:rStyle w:val="FootnoteAnchor"/>
          <w:rtl w:val="true"/>
        </w:rPr>
        <w:footnoteReference w:id="1660"/>
      </w:r>
      <w:r>
        <w:rPr>
          <w:rFonts w:ascii="Amiri" w:hAnsi="Amiri" w:eastAsia="Amiri" w:cs="Amiri"/>
          <w:color w:val="111111"/>
          <w:sz w:val="28"/>
          <w:sz w:val="28"/>
          <w:szCs w:val="28"/>
          <w:rtl w:val="true"/>
          <w:lang w:bidi="ar-SA"/>
        </w:rPr>
        <w:t>عدم الاحتياج إلى الاستصحاب فيهما ، وعلى تقديره فلا يجدي فيما هو المطلوب عند الشكّ في البراءة والاشتغال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الحاجة إلى الاستصحاب إنّما هو فيما إذا كان المستصحب مشكوك البقاء أو الحكم المترتّب عليه ، وجودا كان المستصحب أو عدما ، فعند ذلك يحكم ببقاء ذلك المستصحب إمّا بواسطة إثبات نفسه ، وإمّا بواسطة إثبات الحكم المتفرّع عليه ، والمقام ليس منه ، إذ ليس المقصود إثبات نفس المستصحب بدون أن يترتّب عليه شيء ، وأمّا الأحكام المترتّبة على المستصحب فهي مترتّبة على ما هو مقدّم طبعا على الاستصحاب وهو مجرّد الشكّ المعتبر في محلّ الاستصحاب ومجراه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أحكام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كان أو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يختلف مع الأحكام المترتّبة على عدم العلم به والشكّ فيه كما </w:t>
      </w:r>
      <w:r>
        <w:rPr>
          <w:rStyle w:val="FootnoteAnchor"/>
          <w:rtl w:val="true"/>
        </w:rPr>
        <w:footnoteReference w:id="1661"/>
      </w:r>
      <w:r>
        <w:rPr>
          <w:rFonts w:ascii="Amiri" w:hAnsi="Amiri" w:eastAsia="Amiri" w:cs="Amiri"/>
          <w:color w:val="111111"/>
          <w:sz w:val="28"/>
          <w:sz w:val="28"/>
          <w:szCs w:val="28"/>
          <w:rtl w:val="true"/>
          <w:lang w:bidi="ar-SA"/>
        </w:rPr>
        <w:t xml:space="preserve">في استصحاب وجود زيد وعدمه ، فإنّ ما يترتّب على الوجود المحكوم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بعدم جواز نكاح حليلته ، ووجوب النفقة عليه ، ووجوب انعزال نصيبه من مال مورّثه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يترتّب على عدم العلم بوجوده ، فمجرّد عدم العلم مع عدم العلم بالحالة السابقة الوجودية لا يجدي في ترتيب هذه الأحكام ، وقد يتّحد مع الأحكام المترتّبة على عدم العلم بذلك </w:t>
      </w:r>
      <w:r>
        <w:rPr>
          <w:rStyle w:val="FootnoteAnchor"/>
          <w:rtl w:val="true"/>
        </w:rPr>
        <w:footnoteReference w:id="1662"/>
      </w:r>
      <w:r>
        <w:rPr>
          <w:rFonts w:ascii="Amiri" w:hAnsi="Amiri" w:eastAsia="Amiri" w:cs="Amiri"/>
          <w:color w:val="111111"/>
          <w:sz w:val="28"/>
          <w:sz w:val="28"/>
          <w:szCs w:val="28"/>
          <w:rtl w:val="true"/>
          <w:lang w:bidi="ar-SA"/>
        </w:rPr>
        <w:t xml:space="preserve">المستصحب ، فإذا لا حاجة في الحكم بترتيب هذه الآثار على إحراز وجود المستصحب أو عدمه ، بل يكفي في ذلك مجرّد عدم العلم ، كما فيما إذا شككنا في حجّية شيء كالظنّ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يترتّب على عدمها إنّما يترتّب على نفس الشكّ فيها ، كما نبّهنا على ذلك فيما تقدّم في مباحث الظنّ </w:t>
      </w:r>
      <w:r>
        <w:rPr>
          <w:rStyle w:val="FootnoteAnchor"/>
          <w:rtl w:val="true"/>
        </w:rPr>
        <w:footnoteReference w:id="1663"/>
      </w:r>
      <w:r>
        <w:rPr>
          <w:rFonts w:ascii="Amiri" w:hAnsi="Amiri" w:eastAsia="Amiri" w:cs="Amiri"/>
          <w:color w:val="111111"/>
          <w:sz w:val="28"/>
          <w:sz w:val="28"/>
          <w:szCs w:val="28"/>
          <w:rtl w:val="true"/>
          <w:lang w:bidi="ar-SA"/>
        </w:rPr>
        <w:t xml:space="preserve">حيث تمسّك بعضهم في مقام تأصيل الأصل بأصالة عدم الحجّية ، وما </w:t>
      </w:r>
    </w:p>
    <w:p>
      <w:pPr>
        <w:pStyle w:val="BookText"/>
        <w:rPr/>
      </w:pPr>
      <w:r>
        <w:rPr>
          <w:rFonts w:ascii="Amiri" w:hAnsi="Amiri" w:eastAsia="Amiri" w:cs="Amiri"/>
          <w:color w:val="111111"/>
          <w:sz w:val="28"/>
          <w:sz w:val="28"/>
          <w:szCs w:val="28"/>
          <w:rtl w:val="true"/>
          <w:lang w:bidi="ar-SA"/>
        </w:rPr>
        <w:t xml:space="preserve">نحن فيه من قبيل الثاني فإنّ وجوب الإتيان بالمأمور به عند الشكّ في الامتثال مترتّب على مجرّد الشكّ في الامتثال ولا بدّ من البراءة اليقينية ، 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الاشتغال اليقيني يقتضي البراءة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إحراز القيد وهو تحصيل اليقين ، ولا يجوز الاقتناع بالشكّ ، فإنّ المناط في ذلك هو لزوم دفع الضرر على ما هو صريح العقل القاطع كما في نظائره من وجوب شكر المنعم ونحوه ، ومجرّد حصول المناط كاف في الحكم بآثاره المترتّبة عليه ولا حاجة في ذلك إلى إحراز المستصحب بالاستصحاب لترتيب هذه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لو سلّمنا الاحتياج إلى إحراز المستصحب وجودا أو عدما في المقام حتّى يترتّب عليه الآثار المطلوبة فتلك الآثار ممّا لا يترتّب </w:t>
      </w:r>
      <w:r>
        <w:rPr>
          <w:rStyle w:val="FootnoteAnchor"/>
          <w:rtl w:val="true"/>
        </w:rPr>
        <w:footnoteReference w:id="1664"/>
      </w:r>
      <w:r>
        <w:rPr>
          <w:rFonts w:ascii="Amiri" w:hAnsi="Amiri" w:eastAsia="Amiri" w:cs="Amiri"/>
          <w:color w:val="111111"/>
          <w:sz w:val="28"/>
          <w:sz w:val="28"/>
          <w:szCs w:val="28"/>
          <w:rtl w:val="true"/>
          <w:lang w:bidi="ar-SA"/>
        </w:rPr>
        <w:t>على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أنّ الاشتغال عبارة عن صفة منتزعة من الإنشاء والطلب بالنسبة إلى المكلّف بمعنى أنّ الطالب بعد ما أنشأ الطلب التكليفي بالقول أو كشف عنه بعد إيجاده في نفسه بواسطة القول على اختلاف القولين ، يمكن أن ينتزع </w:t>
      </w:r>
      <w:r>
        <w:rPr>
          <w:rStyle w:val="FootnoteAnchor"/>
          <w:rtl w:val="true"/>
        </w:rPr>
        <w:footnoteReference w:id="1665"/>
      </w:r>
      <w:r>
        <w:rPr>
          <w:rFonts w:ascii="Amiri" w:hAnsi="Amiri" w:eastAsia="Amiri" w:cs="Amiri"/>
          <w:color w:val="111111"/>
          <w:sz w:val="28"/>
          <w:sz w:val="28"/>
          <w:szCs w:val="28"/>
          <w:rtl w:val="true"/>
          <w:lang w:bidi="ar-SA"/>
        </w:rPr>
        <w:t xml:space="preserve">من المكلّف صفة يعبّر عنها بالاشتغال كما ينتزع من الفعل كونه مطلوبا ، وبذلك يصحّ إطلاق الطالب على الآمر أيضا ، وهاهنا </w:t>
      </w:r>
      <w:r>
        <w:rPr>
          <w:rStyle w:val="FootnoteAnchor"/>
          <w:rtl w:val="true"/>
        </w:rPr>
        <w:footnoteReference w:id="1666"/>
      </w:r>
      <w:r>
        <w:rPr>
          <w:rFonts w:ascii="Amiri" w:hAnsi="Amiri" w:eastAsia="Amiri" w:cs="Amiri"/>
          <w:color w:val="111111"/>
          <w:sz w:val="28"/>
          <w:sz w:val="28"/>
          <w:szCs w:val="28"/>
          <w:rtl w:val="true"/>
          <w:lang w:bidi="ar-SA"/>
        </w:rPr>
        <w:t xml:space="preserve">معنى آخر يعبّر عنه بالوجوب تارة وبالإيجاب أخرى على اختلاف الاعتبارات ، وهو المراد بالحكم الشرعي ومرجعه إلى أحد الأخيرين ، وليس هذا الإنشاء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الإرادة الجازمة والكراهة الثابتة بناء على أنّ الطلب هو عين الإرادة لا ما يستتبعه وإن كان مغايرا له ، ولا أمر آخر مفارق له كما زعمه الأشاعرة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الذي هو حكم شرعي يكون في عرض الاشتغال إن فرضنا الوجوب بالنسبة إلى الفعل ، وهما معلولان حينئذ لعلّة ثالثة وهو الإيجاب والطلب والإرادة ، وإن لاحظناه </w:t>
      </w:r>
      <w:r>
        <w:rPr>
          <w:rStyle w:val="FootnoteAnchor"/>
          <w:rtl w:val="true"/>
        </w:rPr>
        <w:footnoteReference w:id="1667"/>
      </w:r>
      <w:r>
        <w:rPr>
          <w:rFonts w:ascii="Amiri" w:hAnsi="Amiri" w:eastAsia="Amiri" w:cs="Amiri"/>
          <w:color w:val="111111"/>
          <w:sz w:val="28"/>
          <w:sz w:val="28"/>
          <w:szCs w:val="28"/>
          <w:rtl w:val="true"/>
          <w:lang w:bidi="ar-SA"/>
        </w:rPr>
        <w:t xml:space="preserve">بالنسبة إلى الطالب فالاشتغال مترتّب عليه عقلا ، وعلى </w:t>
      </w:r>
    </w:p>
    <w:p>
      <w:pPr>
        <w:pStyle w:val="BookText"/>
        <w:rPr/>
      </w:pPr>
      <w:r>
        <w:rPr>
          <w:rFonts w:ascii="Amiri" w:hAnsi="Amiri" w:eastAsia="Amiri" w:cs="Amiri"/>
          <w:color w:val="111111"/>
          <w:sz w:val="28"/>
          <w:sz w:val="28"/>
          <w:szCs w:val="28"/>
          <w:rtl w:val="true"/>
          <w:lang w:bidi="ar-SA"/>
        </w:rPr>
        <w:t>التقديرين لزوم الامتثال من الأحكام العقلية المترتّبة على الاشتغال فعند وجوده الحقيقي يترتّب عليه لزوم الامتثال المطلوب من استصحابه في أمثال المقام ، وأمّا عند إحراز الاشتغال بالاستصحاب لا يترتّب عليه إلاّ أحكامه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يصحّ في المقام استصحاب الوجوب الذي هو حكم شرعي ؛ إذ معنى الاستصحاب هو جعله في مقام الظاهر وإنشاؤه ، وبعد الجعل والإنشاء </w:t>
      </w:r>
      <w:r>
        <w:rPr>
          <w:rStyle w:val="FootnoteAnchor"/>
          <w:rtl w:val="true"/>
        </w:rPr>
        <w:footnoteReference w:id="1668"/>
      </w:r>
      <w:r>
        <w:rPr>
          <w:rFonts w:ascii="Amiri" w:hAnsi="Amiri" w:eastAsia="Amiri" w:cs="Amiri"/>
          <w:color w:val="111111"/>
          <w:sz w:val="28"/>
          <w:sz w:val="28"/>
          <w:szCs w:val="28"/>
          <w:rtl w:val="true"/>
          <w:lang w:bidi="ar-SA"/>
        </w:rPr>
        <w:t xml:space="preserve">يترتّب عليه </w:t>
      </w:r>
      <w:r>
        <w:rPr>
          <w:rStyle w:val="FootnoteAnchor"/>
          <w:rtl w:val="true"/>
        </w:rPr>
        <w:footnoteReference w:id="1669"/>
      </w:r>
      <w:r>
        <w:rPr>
          <w:rFonts w:ascii="Amiri" w:hAnsi="Amiri" w:eastAsia="Amiri" w:cs="Amiri"/>
          <w:color w:val="111111"/>
          <w:sz w:val="28"/>
          <w:sz w:val="28"/>
          <w:szCs w:val="28"/>
          <w:rtl w:val="true"/>
          <w:lang w:bidi="ar-SA"/>
        </w:rPr>
        <w:t>جميع لوازمه العقلية والشرعية من وجوب الامتثال وحدوث الاشتغال ، فإنّه على تقدير القول بالجعل ظاهرا حقيقي واقعي لا استصحابي ظاهري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يترتّب على استصحاب الاشتغال آثاره الشرعية المترتّبة عليه ، مثلا لو قيل بأنّ من اشتغل ذمّته بالفرائض لا يجوز له ارتكاب السنن والنوافل ، صحّ الاستناد إلى الاستصحاب في الحكم بعدم جواز ارتكاب النوافل له ، ومن اشتغل ذمّته بالظهر لا يجوز له الدخول في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في المقام بأنّ الاستصحاب مجد من وجهين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الأمر بإبقاء الاشتغال حال الشكّ عرفا هو جعل الحكم الشرعي وإنشاء طلب ظاهري ؛ إذ كما عرفت أنّ الاشتغال والوجوب من أطراف إضافة واحدة كالصفة المنتزعة من المأمور به وهي المطلوبية ، فإنّ بعد كشف الشارع والطالب عن إرادته الجازمة يمكن لنا انتزاع تلك الأوصاف من محالّها ، فالمراد بالحكم الشرعي هو الأثر الباقي بعد الإنشاء ؛ ضرورة انعدامه بعد وجوده على ما صرّح بذلك أستاد </w:t>
      </w:r>
      <w:r>
        <w:rPr>
          <w:rStyle w:val="FootnoteAnchor"/>
          <w:rtl w:val="true"/>
        </w:rPr>
        <w:footnoteReference w:id="1670"/>
      </w:r>
      <w:r>
        <w:rPr>
          <w:rFonts w:ascii="Amiri" w:hAnsi="Amiri" w:eastAsia="Amiri" w:cs="Amiri"/>
          <w:color w:val="111111"/>
          <w:sz w:val="28"/>
          <w:sz w:val="28"/>
          <w:szCs w:val="28"/>
          <w:rtl w:val="true"/>
          <w:lang w:bidi="ar-SA"/>
        </w:rPr>
        <w:t>الكلّ في رسالته المعمولة في مقدّمة الواجب ، فكما أنّ الحكم بالبقاء المستفاد من دليل الاستصحاب يعدّ عرفا جعل حكم مثله في الظاهر ، فكذلك بالنسبة إلى الصفة المنتزعة من المكلّف ، فإنّ التفرقة بينهما مكابرة</w:t>
      </w:r>
      <w:r>
        <w:rPr>
          <w:rFonts w:eastAsia="Amiri" w:cs="Amiri" w:ascii="Amiri" w:hAnsi="Amiri"/>
          <w:color w:val="111111"/>
          <w:sz w:val="28"/>
          <w:szCs w:val="28"/>
          <w:rtl w:val="true"/>
          <w:lang w:bidi="ar-SA"/>
        </w:rPr>
        <w:t xml:space="preserve">. </w:t>
      </w:r>
      <w:bookmarkStart w:id="191" w:name="pg16284_171285"/>
    </w:p>
    <w:p>
      <w:pPr>
        <w:pStyle w:val="BookText"/>
        <w:rPr/>
      </w:pPr>
      <w:bookmarkEnd w:id="191"/>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ترتّب الأحكام الشرعية المترتّبة على الاشتغال عليه بعد الاستصحاب ، كعدم جواز الدخول في العصر بعد الشكّ في الإتيان بالظهر واستصحاب بقاء الاشتغال بالظهر ، وقد يكون ذلك الحكم الشرعي المجعول في مرحلة الظاهر كما هو المستفاد </w:t>
      </w:r>
      <w:r>
        <w:rPr>
          <w:rStyle w:val="FootnoteAnchor"/>
          <w:rtl w:val="true"/>
        </w:rPr>
        <w:footnoteReference w:id="1671"/>
      </w:r>
      <w:r>
        <w:rPr>
          <w:rFonts w:ascii="Amiri" w:hAnsi="Amiri" w:eastAsia="Amiri" w:cs="Amiri"/>
          <w:color w:val="111111"/>
          <w:sz w:val="28"/>
          <w:sz w:val="28"/>
          <w:szCs w:val="28"/>
          <w:rtl w:val="true"/>
          <w:lang w:bidi="ar-SA"/>
        </w:rPr>
        <w:t>من استصحاب موضوعه ، لازما لحكم شرعي آخر ، وحينئذ فلا ريب في لزوم الأخذ بهذا الحكم الشرعي أيضا ؛ إذ بعد القول بمجعولية هذا الحكم الشرعي فيترتّب عليه جميع ما يترتّب عليه ويجب الأخذ بكلّ ما هو مستند إليه كوجوب مقدّماته ونحو ذلك ، ومن جملة مقدّمات الإتيان بالعصر إنّما هو الإتيان بالظهر قبل الإتيان به ، فالقطع ببراءة الذمّة عن صلاة العصر يتوقّف على الإتيان بالظهر حال الشكّ ، وهو من نتائج بركات بقاء الاشتغال استصحابا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استصحاب الاشتغال وقاعدته ؛ حيث إنّ كلاّ منهما موقوف على العلم السابق والشكّ اللاحق ، وقد مرّ </w:t>
      </w:r>
      <w:r>
        <w:rPr>
          <w:rStyle w:val="FootnoteAnchor"/>
          <w:rtl w:val="true"/>
        </w:rPr>
        <w:footnoteReference w:id="1672"/>
      </w:r>
      <w:r>
        <w:rPr>
          <w:rFonts w:ascii="Amiri" w:hAnsi="Amiri" w:eastAsia="Amiri" w:cs="Amiri"/>
          <w:color w:val="111111"/>
          <w:sz w:val="28"/>
          <w:sz w:val="28"/>
          <w:szCs w:val="28"/>
          <w:rtl w:val="true"/>
          <w:lang w:bidi="ar-SA"/>
        </w:rPr>
        <w:t>منّا ما يوضح به فساد ذلك ، فإنّ الحكم المترتّب على المستصحب إنّما هو مترتّب عليه ، فبانسحابه في الزمن الثاني يترتّب عليه بخلافه في قاعدة الاشتغال ؛ إذ لا حاجة فيها إلى انسحاب المعلوم كما في قاعدة البراءة واستصحابها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5012144_1280447820"/>
      <w:bookmarkStart w:id="193" w:name="_Toc61"/>
      <w:bookmarkEnd w:id="192"/>
      <w:r>
        <w:rPr>
          <w:rtl w:val="true"/>
        </w:rPr>
        <w:t>المقام الثاني</w:t>
      </w:r>
      <w:bookmarkEnd w:id="19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القسم الأخير من الأقسام المذكورة ، ونقول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الإجمال في المكلّف به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أنّ ما يمكن الامتثال به مبرئ عن الاشتغال اليقيني أو لا ، كما إذا تردّد المكلّف به بين المطلق والمقيّد بعد تعذّر المقيّد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أحد الفعلين مبرئ مع التمكّن منهما معا أو لا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الاعتداد بالقاعدة المزبورة فيهما أيضا ، أمّا الأوّل فلعين ما ذكر في المقام الأوّل من عدم الحاجة ؛ لكفاية الشكّ عن الاستصحاب بانسحاب المستصحب ، فلا بدّ من الإتيان بالمطلق كعتق الكافرة عند تعذّر المقيّد ؛ لبقاء العلّة التامّة للامتثال وهو دفع احتمال الضرر الموجود عند الشكّ في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الاشتغال هو كون المقيّد مأمورا به ، وبعد تعذّره فلا أمر به ؛ لسقوطه بسقوط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الامتثال بالمطلق على تقدير القول بالبراءة عند دوران الأمر بين المطلق والمقيّد كما هو التحقيق ؛ لوجود الأمر والتمكّن من المأمور به ، وأمّا على القول بالاشتغال فلا شكّ في </w:t>
      </w:r>
      <w:r>
        <w:rPr>
          <w:rStyle w:val="FootnoteAnchor"/>
          <w:rtl w:val="true"/>
        </w:rPr>
        <w:footnoteReference w:id="1674"/>
      </w:r>
      <w:r>
        <w:rPr>
          <w:rFonts w:ascii="Amiri" w:hAnsi="Amiri" w:eastAsia="Amiri" w:cs="Amiri"/>
          <w:color w:val="111111"/>
          <w:sz w:val="28"/>
          <w:sz w:val="28"/>
          <w:szCs w:val="28"/>
          <w:rtl w:val="true"/>
          <w:lang w:bidi="ar-SA"/>
        </w:rPr>
        <w:t xml:space="preserve">أنّ الالتزام بالمقيّد إنّما هو بواسطة دفع الضرر المحتمل في جانب المقيّد ، وذلك لا يقضي </w:t>
      </w:r>
      <w:r>
        <w:rPr>
          <w:rStyle w:val="FootnoteAnchor"/>
          <w:rtl w:val="true"/>
        </w:rPr>
        <w:footnoteReference w:id="1675"/>
      </w:r>
      <w:r>
        <w:rPr>
          <w:rFonts w:ascii="Amiri" w:hAnsi="Amiri" w:eastAsia="Amiri" w:cs="Amiri"/>
          <w:color w:val="111111"/>
          <w:sz w:val="28"/>
          <w:sz w:val="28"/>
          <w:szCs w:val="28"/>
          <w:rtl w:val="true"/>
          <w:lang w:bidi="ar-SA"/>
        </w:rPr>
        <w:t>بأنّ المأمور به هو خصوص المقيّد واقعا على وجه لو تعذّر كان الأمر ساقطا بواسطة سقوطه ، بل هو أخذ بالاحتياط ؛ لكونه جمعا بين الحقّين ، وبعد التعذّر لا بدّ من الإتيان بالمطلق دفعا للخوف ، ولا ينافي ذلك تعذّر أحد أطراف العلم الإجمالي ؛ إذ لو كان العلم حاصلا قبل التعذّر لا يتفاوت الحال بين التعذّر وعدمه ، فإنّه بمنزلة الامتثال 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العلم الإجمالي حاصلا بعد التعذّر لم يتّجه القول بالإتيان ؛ لأوله </w:t>
      </w:r>
      <w:r>
        <w:rPr>
          <w:rStyle w:val="FootnoteAnchor"/>
          <w:rtl w:val="true"/>
        </w:rPr>
        <w:footnoteReference w:id="1676"/>
      </w:r>
      <w:r>
        <w:rPr>
          <w:rFonts w:ascii="Amiri" w:hAnsi="Amiri" w:eastAsia="Amiri" w:cs="Amiri"/>
          <w:color w:val="111111"/>
          <w:sz w:val="28"/>
          <w:sz w:val="28"/>
          <w:szCs w:val="28"/>
          <w:rtl w:val="true"/>
          <w:lang w:bidi="ar-SA"/>
        </w:rPr>
        <w:t xml:space="preserve">على الشكوك البدوية كما نبّهنا عليه في الشبهة المحصورة </w:t>
      </w:r>
      <w:r>
        <w:rPr>
          <w:rStyle w:val="FootnoteAnchor"/>
          <w:rtl w:val="true"/>
        </w:rPr>
        <w:footnoteReference w:id="1677"/>
      </w:r>
      <w:r>
        <w:rPr>
          <w:rFonts w:ascii="Amiri" w:hAnsi="Amiri" w:eastAsia="Amiri" w:cs="Amiri"/>
          <w:color w:val="111111"/>
          <w:sz w:val="28"/>
          <w:sz w:val="28"/>
          <w:szCs w:val="28"/>
          <w:rtl w:val="true"/>
          <w:lang w:bidi="ar-SA"/>
        </w:rPr>
        <w:t xml:space="preserve">، وبعد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جدوى في الاستصحاب ؛ لكونه من الأصول المثبتة ، اللّهمّ إلاّ أن يدفع بأحد الوجهين على ما سبق ذكرهما </w:t>
      </w:r>
      <w:r>
        <w:rPr>
          <w:rStyle w:val="FootnoteAnchor"/>
          <w:rtl w:val="true"/>
        </w:rPr>
        <w:footnoteReference w:id="1678"/>
      </w:r>
      <w:r>
        <w:rPr>
          <w:rFonts w:ascii="IRNazanin" w:hAnsi="IRNazanin" w:eastAsia="IRNazanin"/>
          <w:color w:val="111111"/>
          <w:sz w:val="28"/>
          <w:sz w:val="28"/>
          <w:szCs w:val="28"/>
          <w:rtl w:val="true"/>
          <w:lang w:bidi="fa-IR"/>
        </w:rPr>
        <w:t xml:space="preserve">، ومنه </w:t>
      </w:r>
      <w:r>
        <w:rPr>
          <w:rStyle w:val="FootnoteAnchor"/>
          <w:rtl w:val="true"/>
        </w:rPr>
        <w:footnoteReference w:id="1679"/>
      </w:r>
      <w:r>
        <w:rPr>
          <w:rFonts w:ascii="Amiri" w:hAnsi="Amiri" w:eastAsia="Amiri" w:cs="Amiri"/>
          <w:color w:val="111111"/>
          <w:sz w:val="28"/>
          <w:sz w:val="28"/>
          <w:szCs w:val="28"/>
          <w:rtl w:val="true"/>
          <w:lang w:bidi="ar-SA"/>
        </w:rPr>
        <w:t xml:space="preserve">يظهر الكلام في الثاني أيضا ؛ لكون الأصل على تقدير الأخذ </w:t>
      </w:r>
      <w:r>
        <w:rPr>
          <w:rStyle w:val="FootnoteAnchor"/>
          <w:rtl w:val="true"/>
        </w:rPr>
        <w:footnoteReference w:id="1680"/>
      </w:r>
      <w:r>
        <w:rPr>
          <w:rFonts w:ascii="Amiri" w:hAnsi="Amiri" w:eastAsia="Amiri" w:cs="Amiri"/>
          <w:color w:val="111111"/>
          <w:sz w:val="28"/>
          <w:sz w:val="28"/>
          <w:szCs w:val="28"/>
          <w:rtl w:val="true"/>
          <w:lang w:bidi="ar-SA"/>
        </w:rPr>
        <w:t xml:space="preserve">مثبتا كما في استصحاب البراءة ولقد نبّهنا على ذلك في أصالة البراءة أيضا ، فتدبّر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 xml:space="preserve">. </w:t>
      </w:r>
      <w:bookmarkStart w:id="194" w:name="pg16284_171287"/>
    </w:p>
    <w:p>
      <w:pPr>
        <w:pStyle w:val="Heading3"/>
        <w:numPr>
          <w:ilvl w:val="2"/>
          <w:numId w:val="1"/>
        </w:numPr>
        <w:rPr/>
      </w:pPr>
      <w:bookmarkStart w:id="195" w:name="__RefHeading___Toc5012146_1280447820"/>
      <w:bookmarkStart w:id="196" w:name="_Toc62"/>
      <w:bookmarkEnd w:id="194"/>
      <w:bookmarkEnd w:id="195"/>
      <w:r>
        <w:rPr>
          <w:rtl w:val="true"/>
        </w:rPr>
        <w:t xml:space="preserve">هداية </w:t>
      </w:r>
      <w:r>
        <w:rPr>
          <w:rtl w:val="true"/>
        </w:rPr>
        <w:t xml:space="preserve">[ </w:t>
      </w:r>
      <w:r>
        <w:rPr>
          <w:rtl w:val="true"/>
        </w:rPr>
        <w:t xml:space="preserve">في استصحاب الفرد المردّد </w:t>
      </w:r>
      <w:r>
        <w:rPr>
          <w:rtl w:val="true"/>
        </w:rPr>
        <w:t>]</w:t>
      </w:r>
      <w:bookmarkEnd w:id="196"/>
    </w:p>
    <w:p>
      <w:pPr>
        <w:pStyle w:val="BookText"/>
        <w:rPr/>
      </w:pPr>
      <w:r>
        <w:rPr>
          <w:rFonts w:ascii="Amiri" w:hAnsi="Amiri" w:eastAsia="Amiri" w:cs="Amiri"/>
          <w:color w:val="111111"/>
          <w:sz w:val="28"/>
          <w:sz w:val="28"/>
          <w:szCs w:val="28"/>
          <w:rtl w:val="true"/>
          <w:lang w:bidi="ar-SA"/>
        </w:rPr>
        <w:t>إذا علمنا بحدوث حادث مردّد بين أمرين وجوديين أو عدميين أو مختلفين كما إذا علمنا بدخول شخص في الدار مردّد بين كون الداخل زيدا أو عمرا فهل في المقام أصل يرجع إليه فيهما أو في أحدهما ، أو لا؟</w:t>
      </w:r>
    </w:p>
    <w:p>
      <w:pPr>
        <w:pStyle w:val="BookText"/>
        <w:rPr/>
      </w:pPr>
      <w:r>
        <w:rPr>
          <w:rFonts w:ascii="Amiri" w:hAnsi="Amiri" w:eastAsia="Amiri" w:cs="Amiri"/>
          <w:color w:val="111111"/>
          <w:sz w:val="28"/>
          <w:sz w:val="28"/>
          <w:szCs w:val="28"/>
          <w:rtl w:val="true"/>
          <w:lang w:bidi="ar-SA"/>
        </w:rPr>
        <w:t xml:space="preserve">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المثال المذكور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 إعمال الأصل فيه إثبات عدم كون الداخل زيدا أو عمرا ليترتّب عليه أحكامه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فيه </w:t>
      </w:r>
      <w:r>
        <w:rPr>
          <w:rStyle w:val="FootnoteAnchor"/>
          <w:rtl w:val="true"/>
        </w:rPr>
        <w:footnoteReference w:id="1682"/>
      </w:r>
      <w:r>
        <w:rPr>
          <w:rFonts w:ascii="Amiri" w:hAnsi="Amiri" w:eastAsia="Amiri" w:cs="Amiri"/>
          <w:color w:val="111111"/>
          <w:sz w:val="28"/>
          <w:sz w:val="28"/>
          <w:szCs w:val="28"/>
          <w:rtl w:val="true"/>
          <w:lang w:bidi="ar-SA"/>
        </w:rPr>
        <w:t>استصحاب عدم دخول زيد أو عمرو</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مجال للاستصحاب على الأوّل ؛ لأنّه بمنزلة إثبات الفصول المعتبرة في ماهيّات الأنواع بالأصول ، كما إذا قطعنا بحدوث حيوان مردّد بين كونه ناطقا أو ناهقا ، فإنّه لا مجال لاستصحاب عدم الناطقية أو الناهقية فيه ؛ إذ لا يكون عدم الناطقية أو عدم الناهقية معلوما بالنسبة إلى هذا الموجود المردّد ، فعدم كون الداخل زيدا </w:t>
      </w:r>
      <w:r>
        <w:rPr>
          <w:rStyle w:val="FootnoteAnchor"/>
          <w:rtl w:val="true"/>
        </w:rPr>
        <w:footnoteReference w:id="1683"/>
      </w:r>
      <w:r>
        <w:rPr>
          <w:rFonts w:ascii="Amiri" w:hAnsi="Amiri" w:eastAsia="Amiri" w:cs="Amiri"/>
          <w:color w:val="111111"/>
          <w:sz w:val="28"/>
          <w:sz w:val="28"/>
          <w:szCs w:val="28"/>
          <w:rtl w:val="true"/>
          <w:lang w:bidi="ar-SA"/>
        </w:rPr>
        <w:t>لم يكن معلوما قبل فلا علم في السابق ، فينتفي الاستصحاب بانتفاء أحد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يرى في بعض كلمات العلماء من إثبات عدم السيادة بالأصل </w:t>
      </w:r>
      <w:r>
        <w:rPr>
          <w:rStyle w:val="FootnoteAnchor"/>
          <w:rtl w:val="true"/>
        </w:rPr>
        <w:footnoteReference w:id="1684"/>
      </w:r>
      <w:r>
        <w:rPr>
          <w:rFonts w:ascii="Amiri" w:hAnsi="Amiri" w:eastAsia="Amiri" w:cs="Amiri"/>
          <w:color w:val="111111"/>
          <w:sz w:val="28"/>
          <w:sz w:val="28"/>
          <w:szCs w:val="28"/>
          <w:rtl w:val="true"/>
          <w:lang w:bidi="ar-SA"/>
        </w:rPr>
        <w:t xml:space="preserve">، فمبنيّ على المسامحة ؛ إذ </w:t>
      </w:r>
    </w:p>
    <w:p>
      <w:pPr>
        <w:pStyle w:val="BookText"/>
        <w:rPr/>
      </w:pPr>
      <w:r>
        <w:rPr>
          <w:rFonts w:ascii="Amiri" w:hAnsi="Amiri" w:eastAsia="Amiri" w:cs="Amiri"/>
          <w:color w:val="111111"/>
          <w:sz w:val="28"/>
          <w:sz w:val="28"/>
          <w:szCs w:val="28"/>
          <w:rtl w:val="true"/>
          <w:lang w:bidi="ar-SA"/>
        </w:rPr>
        <w:t xml:space="preserve">المقصود استصحاب عدم تولّده من هاشم ، وعلى تقدير جريان الاستصحاب لا ينبغي الشكّ في أنّ استصحاب عدم كون الداخل زيدا لا يجدي في كون الداخل عمرا ؛ لأنّه من المقارنات الاتّفاقية وقد عرفت في الهدايات السابقة عدم إحراز المقارن باستصحاب المقارن كما مرّ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الثاني فلا ريب في جريان استصحاب عدم دخول زيد كجريانه بالنسبة إلى عمرو أيضا ، إلاّ أنّه لا يفيد أحد الاستصحابين في إثبات كون الآخر داخلا ؛ لأنّه مثبت فلا تعويل عليه ، وهل يترتّب على الاستصحابين أحكام عدم الحادثين معا أو لا؟ التحقيق التفصيل بين الموارد ، فإنّه ربّما يترتّب على الاستصحابين أحكامهما معا ، وربّما لا يترتّب شيء منهما ، وربّما يقال بترتّب حكم واحد منهما لا على سبيل التعيين ، وربّما يترتّب حكم واحد منهما على سبيل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لم يكن للعلم الإجمالي حكم لعدم لزوم المخالفة العملية </w:t>
      </w:r>
      <w:r>
        <w:rPr>
          <w:rStyle w:val="FootnoteAnchor"/>
          <w:rtl w:val="true"/>
        </w:rPr>
        <w:footnoteReference w:id="1686"/>
      </w:r>
      <w:r>
        <w:rPr>
          <w:rFonts w:ascii="Amiri" w:hAnsi="Amiri" w:eastAsia="Amiri" w:cs="Amiri"/>
          <w:color w:val="111111"/>
          <w:sz w:val="28"/>
          <w:sz w:val="28"/>
          <w:szCs w:val="28"/>
          <w:rtl w:val="true"/>
          <w:lang w:bidi="ar-SA"/>
        </w:rPr>
        <w:t>كما إذا تطهّرنا بما يحتمل كونه ماء أو بولا ، فإنّه يعلم إجمالا إمّا بزوال الحدث بواسطة الوضوء ، أو بحدوث النجاسة في محالّ الوضوء ، فإنّه يترتّب على استصحاب عدم كونه بولا عدم نجاسة المحالّ ، وعلى استصحاب عدم كونه ماء عدم حصول الطهارة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إذا كان هناك ماء غير معلوم الكرّية فلاقاه جسم نجس فإنّه يؤخذ بعدم نجاسة الماء وعدم طهارة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ذلك فيما إذا لم يكن في المقام أصل موضوعي مثل طهارة المائع في الأوّل نظرا إلى قاعدة الطهارة ، فإنّه مزيل لاستصحاب بقاء الحدث ، وكاستصحاب عدم الكرّية فيثبت بذلك النجاسة كما لا يخفى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الشبهة المحصورة ، إلاّ أنّ الكلام في المقام مع قطع النظر عن جريان الأصل الموضوعي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الاستصحاب فيما خالفه العلم الإجمالي ؛ إذ مع ذلك يمتنع حصول الظنّ من الطرفين ، وأمّا الأخبار فالظاهر منها ما إذا لم يكن في البين علم إجمالي ، فلا وجه للعمل بالاستصحاب لا عقلا ولا نقلا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w:t>
      </w:r>
      <w:r>
        <w:rPr>
          <w:rStyle w:val="FootnoteAnchor"/>
          <w:rtl w:val="true"/>
        </w:rPr>
        <w:footnoteReference w:id="1687"/>
      </w:r>
      <w:r>
        <w:rPr>
          <w:rFonts w:ascii="Amiri" w:hAnsi="Amiri" w:eastAsia="Amiri" w:cs="Amiri"/>
          <w:color w:val="111111"/>
          <w:sz w:val="28"/>
          <w:sz w:val="28"/>
          <w:szCs w:val="28"/>
          <w:rtl w:val="true"/>
          <w:lang w:bidi="ar-SA"/>
        </w:rPr>
        <w:t xml:space="preserve">أنّ بناء القوم فيه على ما استفدنا من كلماتهم فيما سبق على العمل به من باب الظنّ النوعي وهو موجود ، وأمّا الأخبار فلا نسلّم عدم شمولها للمقام </w:t>
      </w:r>
      <w:r>
        <w:rPr>
          <w:rStyle w:val="FootnoteAnchor"/>
          <w:rtl w:val="true"/>
        </w:rPr>
        <w:footnoteReference w:id="1688"/>
      </w:r>
      <w:r>
        <w:rPr>
          <w:rFonts w:ascii="Amiri" w:hAnsi="Amiri" w:eastAsia="Amiri" w:cs="Amiri"/>
          <w:color w:val="111111"/>
          <w:sz w:val="28"/>
          <w:sz w:val="28"/>
          <w:szCs w:val="28"/>
          <w:rtl w:val="true"/>
          <w:lang w:bidi="ar-SA"/>
        </w:rPr>
        <w:t xml:space="preserve">كما عرفت تفصيل الكلام فيها في محلّها </w:t>
      </w:r>
      <w:r>
        <w:rPr>
          <w:rStyle w:val="FootnoteAnchor"/>
          <w:rtl w:val="true"/>
        </w:rPr>
        <w:footnoteReference w:id="1689"/>
      </w:r>
      <w:r>
        <w:rPr>
          <w:rFonts w:ascii="Amiri" w:hAnsi="Amiri" w:eastAsia="Amiri" w:cs="Amiri"/>
          <w:color w:val="111111"/>
          <w:sz w:val="28"/>
          <w:sz w:val="28"/>
          <w:szCs w:val="28"/>
          <w:rtl w:val="true"/>
          <w:lang w:bidi="ar-SA"/>
        </w:rPr>
        <w:t>من لزوم الاجتناب وعدم التعويل على استصحاب الطهارة فيهما أو في أحدهما ؛ لانقطاع الحالة السابقة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الأصلان في موارد الشبهة المحصورة يمنع عن التعويل عليهما عدم جريانهما أو تعارضهما؟ التحقيق التفصيل </w:t>
      </w:r>
      <w:r>
        <w:rPr>
          <w:rStyle w:val="FootnoteAnchor"/>
          <w:rtl w:val="true"/>
        </w:rPr>
        <w:footnoteReference w:id="1690"/>
      </w:r>
      <w:r>
        <w:rPr>
          <w:rFonts w:ascii="Amiri" w:hAnsi="Amiri" w:eastAsia="Amiri" w:cs="Amiri"/>
          <w:color w:val="111111"/>
          <w:sz w:val="28"/>
          <w:sz w:val="28"/>
          <w:szCs w:val="28"/>
          <w:rtl w:val="true"/>
          <w:lang w:bidi="ar-SA"/>
        </w:rPr>
        <w:t>بين الموارد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جريان الاستصحاب إن كان مجرى للدليل الدالّ على لزوم الاجتناب فعدم التعويل بواسطة عدم الجريان ؛ إذ الدليل على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العقل بعد خطاب الشرع بلزوم الاجتناب عن الحرام الواقعي وعدم التصرّف في الدليل الدالّ على الواقع </w:t>
      </w:r>
      <w:r>
        <w:rPr>
          <w:rStyle w:val="FootnoteAnchor"/>
          <w:rtl w:val="true"/>
        </w:rPr>
        <w:footnoteReference w:id="1691"/>
      </w:r>
      <w:r>
        <w:rPr>
          <w:rFonts w:ascii="Amiri" w:hAnsi="Amiri" w:eastAsia="Amiri" w:cs="Amiri"/>
          <w:color w:val="111111"/>
          <w:sz w:val="28"/>
          <w:sz w:val="28"/>
          <w:szCs w:val="28"/>
          <w:rtl w:val="true"/>
          <w:lang w:bidi="ar-SA"/>
        </w:rPr>
        <w:t xml:space="preserve">كما هو مفروض الكلام من لزوم الاجتناب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اجتهادي حاكم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الاستصحاب بعد حكم العقل بخلافه وذلك فيما إذا كان الاستصحاب جاريا في حكم يخالف مقتضى حكم العقل بلزوم الاجتناب </w:t>
      </w:r>
      <w:r>
        <w:rPr>
          <w:rStyle w:val="FootnoteAnchor"/>
          <w:rtl w:val="true"/>
        </w:rPr>
        <w:footnoteReference w:id="1692"/>
      </w:r>
      <w:r>
        <w:rPr>
          <w:rFonts w:ascii="Amiri" w:hAnsi="Amiri" w:eastAsia="Amiri" w:cs="Amiri"/>
          <w:color w:val="111111"/>
          <w:sz w:val="28"/>
          <w:sz w:val="28"/>
          <w:szCs w:val="28"/>
          <w:rtl w:val="true"/>
          <w:lang w:bidi="ar-SA"/>
        </w:rPr>
        <w:t xml:space="preserve">، كما فيما إذا علمنا بحرمة أحد المالين المباحين إجمالا ، فإنّ خطاب الشارع </w:t>
      </w:r>
      <w:r>
        <w:rPr>
          <w:rStyle w:val="FootnoteAnchor"/>
          <w:rtl w:val="true"/>
        </w:rPr>
        <w:footnoteReference w:id="1693"/>
      </w:r>
      <w:r>
        <w:rPr>
          <w:rFonts w:ascii="Amiri" w:hAnsi="Amiri" w:eastAsia="Amiri" w:cs="Amiri"/>
          <w:color w:val="111111"/>
          <w:sz w:val="28"/>
          <w:sz w:val="28"/>
          <w:szCs w:val="28"/>
          <w:rtl w:val="true"/>
          <w:lang w:bidi="ar-SA"/>
        </w:rPr>
        <w:t xml:space="preserve">بحرمة التصرّف في مال الغير والغصب يقضي </w:t>
      </w:r>
      <w:r>
        <w:rPr>
          <w:rStyle w:val="FootnoteAnchor"/>
          <w:rtl w:val="true"/>
        </w:rPr>
        <w:footnoteReference w:id="1694"/>
      </w:r>
      <w:r>
        <w:rPr>
          <w:rFonts w:ascii="Amiri" w:hAnsi="Amiri" w:eastAsia="Amiri" w:cs="Amiri"/>
          <w:color w:val="111111"/>
          <w:sz w:val="28"/>
          <w:sz w:val="28"/>
          <w:szCs w:val="28"/>
          <w:rtl w:val="true"/>
          <w:lang w:bidi="ar-SA"/>
        </w:rPr>
        <w:t xml:space="preserve">بلزوم الاجتناب عنهما ، واستصحاب الحلّية والإباحة لا يجدي في قبال ذلك ، فلا مجرى للاستصحاب ؛ </w:t>
      </w:r>
    </w:p>
    <w:p>
      <w:pPr>
        <w:pStyle w:val="BookText"/>
        <w:rPr/>
      </w:pPr>
      <w:r>
        <w:rPr>
          <w:rFonts w:ascii="Amiri" w:hAnsi="Amiri" w:eastAsia="Amiri" w:cs="Amiri"/>
          <w:color w:val="111111"/>
          <w:sz w:val="28"/>
          <w:sz w:val="28"/>
          <w:szCs w:val="28"/>
          <w:rtl w:val="true"/>
          <w:lang w:bidi="ar-SA"/>
        </w:rPr>
        <w:t>لارتفاع الشكّ المأخوذ في مجراه بالدليل الاجتهادي ، وإن كان مجرى الاستصحاب أمرا آخر غير ما يجري فيه ذلك الدليل الدالّ على لزوم الاجتناب على وجه يكون الاستصحاب محقّقا لموضوع لا يجري فيه ذلك الدليل الحاكم بلزوم الاجتناب ، فعدم التعويل من باب التعارض بعد الجريان ، كما إذا علمنا بنجاسة أحد الإناءين إجمالا ، فإنّ استصحاب الطهارة وارد على ذلك الدليل بمعنى أنّه محقّق لموضوع لا يجري فيه ذلك الدليل ، فإنّ العقل يحكم باحتمال النجاسة مقدّمة بلزوم الاجتناب ، والاستصحاب يحكم بعدم الاحتمال شرعا ، فالأصلان جاريان إلاّ أنّهما متعارضان كما سبق بيانه تفصيلا في الشبهة المحصورة ، هذا ما يقتضيه جليّ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دقيق الفكر فيقضي </w:t>
      </w:r>
      <w:r>
        <w:rPr>
          <w:rStyle w:val="FootnoteAnchor"/>
          <w:rtl w:val="true"/>
        </w:rPr>
        <w:footnoteReference w:id="1695"/>
      </w:r>
      <w:r>
        <w:rPr>
          <w:rFonts w:ascii="Amiri" w:hAnsi="Amiri" w:eastAsia="Amiri" w:cs="Amiri"/>
          <w:color w:val="111111"/>
          <w:sz w:val="28"/>
          <w:sz w:val="28"/>
          <w:szCs w:val="28"/>
          <w:rtl w:val="true"/>
          <w:lang w:bidi="ar-SA"/>
        </w:rPr>
        <w:t>بعدم الفرق بين المقامين ؛ إذ الدليل الدالّ على لزوم الاجتناب ليس دليلا اجتهاديا حقيقة ، بل هو عبارة عن وجوب تحصيل الامتثال بعد العلم بالاشتغال ، والاجتناب من المالين المشتبهين من جهة المقدّمة العلمية ، والاستصحاب على أيّ تقدير حاكم على قاعدة الاشتغال ، فاستصحاب الحلّية والإباحة رافع لاحتمال أن يكون هذا الفرد هو المحرّم ، فلا يجري فيه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الأصلان في المشتبهين غير الاستصحاب كأن كانا براءتين ، فلا مجال لجريانهما في قبال قاعدة الاشتغال ؛ لورودها عليها وحكومتها بالنسبة إليها كما لا يخفى ، فتدبّر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لم يكن الموافقة القطعية بعد اعتبار العلم الإجمالي في الجملة واجبا ، كما فيمن يرى عدم وجوب الاجتناب في الشبهة المحصورة بالنسبة إلى الكلّ ، وكما إذا فرضنا حصول العلم الإجمالي بين شيئين غير مرتبطين على ما مرّ تفصيل الكلام فيهما</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إذا لم يكن للآخر حكم أو لم يكن في محلّ الابتلاء ، كما إذا علمنا بوقوع عقد مردّد بين أن يكون دائما أو منقطعا ، فإنّ أصالة عدم الدوام يحتمل بالنسبة إلى نفي توارث الزوجة من الزوج فيما لو ادّعته ، وأصالة عدم الانقطاع لا تجدي </w:t>
      </w:r>
      <w:r>
        <w:rPr>
          <w:rStyle w:val="FootnoteAnchor"/>
          <w:rtl w:val="true"/>
        </w:rPr>
        <w:footnoteReference w:id="1696"/>
      </w:r>
      <w:r>
        <w:rPr>
          <w:rFonts w:ascii="Amiri" w:hAnsi="Amiri" w:eastAsia="Amiri" w:cs="Amiri"/>
          <w:color w:val="111111"/>
          <w:sz w:val="28"/>
          <w:sz w:val="28"/>
          <w:szCs w:val="28"/>
          <w:rtl w:val="true"/>
          <w:lang w:bidi="ar-SA"/>
        </w:rPr>
        <w:t xml:space="preserve">في هذا الحكم شيئا ، وكما إذا قال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بيع العبد ، وادّعى الوكيل وكالته في بيع الجارية ، فإنّ القول قول الموكّل ؛ لأصالة عدم توكيله لبيع العبد ، فيجدي في أخذ الثمن من الوكيل ، وأصالة عدم الوكالة في بيع الجارية فيه لا يجدي </w:t>
      </w:r>
      <w:r>
        <w:rPr>
          <w:rStyle w:val="FootnoteAnchor"/>
          <w:rtl w:val="true"/>
        </w:rPr>
        <w:footnoteReference w:id="1697"/>
      </w:r>
      <w:r>
        <w:rPr>
          <w:rFonts w:ascii="Amiri" w:hAnsi="Amiri" w:eastAsia="Amiri" w:cs="Amiri"/>
          <w:color w:val="111111"/>
          <w:sz w:val="28"/>
          <w:sz w:val="28"/>
          <w:szCs w:val="28"/>
          <w:rtl w:val="true"/>
          <w:lang w:bidi="ar-SA"/>
        </w:rPr>
        <w:t xml:space="preserve">شيئا ، كما إذا ادّعى أحد المتعاقدين وقوع العقد على عشرة والآخر وقوعه </w:t>
      </w:r>
      <w:r>
        <w:rPr>
          <w:rStyle w:val="FootnoteAnchor"/>
          <w:rtl w:val="true"/>
        </w:rPr>
        <w:footnoteReference w:id="1698"/>
      </w:r>
      <w:r>
        <w:rPr>
          <w:rFonts w:ascii="Amiri" w:hAnsi="Amiri" w:eastAsia="Amiri" w:cs="Amiri"/>
          <w:color w:val="111111"/>
          <w:sz w:val="28"/>
          <w:sz w:val="28"/>
          <w:szCs w:val="28"/>
          <w:rtl w:val="true"/>
          <w:lang w:bidi="ar-SA"/>
        </w:rPr>
        <w:t xml:space="preserve">على ثمانية ، فأصالة عدم وقوعه على العشرة يجدي </w:t>
      </w:r>
      <w:r>
        <w:rPr>
          <w:rStyle w:val="FootnoteAnchor"/>
          <w:rtl w:val="true"/>
        </w:rPr>
        <w:footnoteReference w:id="1699"/>
      </w:r>
      <w:r>
        <w:rPr>
          <w:rFonts w:ascii="Amiri" w:hAnsi="Amiri" w:eastAsia="Amiri" w:cs="Amiri"/>
          <w:color w:val="111111"/>
          <w:sz w:val="28"/>
          <w:sz w:val="28"/>
          <w:szCs w:val="28"/>
          <w:rtl w:val="true"/>
          <w:lang w:bidi="ar-SA"/>
        </w:rPr>
        <w:t xml:space="preserve">في أخذ الزائد ، ولا يجدي في هذا الحكم نفيا ولا إثباتا أصالة عدم وقوعه على الثمانية ، وكما إذا شكّ في ولادة شخص من هاشم ، فأصالة عدم تولّده من هاشم يثمر في عدم استحقاقه الخمس ، ولا يثمر أصالة عدم تولّده من غيره في نفي هذا الحكم ، وكما إذا شكّ في كون مكان مسجدا أو دارا ، فأصالة عدم كونه مسجدا يجدي في اللبث فيه جنبا ، ولا يضرّ في ذلك أصالة عدم كونه دارا ، وكما إذا شكّ في كون القرينة صارفة أو مؤكّدة ، فأصالة عدم الصرف يجدي في حمل اللفظ على المعنى الحقيقي ، ولا يضرّ في ذلك عدم كونها مؤكّدة إلاّ على تقدير أن يكون أصالة عدم التأكيد مثبتا </w:t>
      </w:r>
      <w:r>
        <w:rPr>
          <w:rStyle w:val="FootnoteAnchor"/>
          <w:rtl w:val="true"/>
        </w:rPr>
        <w:footnoteReference w:id="1700"/>
      </w:r>
      <w:r>
        <w:rPr>
          <w:rFonts w:ascii="Amiri" w:hAnsi="Amiri" w:eastAsia="Amiri" w:cs="Amiri"/>
          <w:color w:val="111111"/>
          <w:sz w:val="28"/>
          <w:sz w:val="28"/>
          <w:szCs w:val="28"/>
          <w:rtl w:val="true"/>
          <w:lang w:bidi="ar-SA"/>
        </w:rPr>
        <w:t>؛ لكونها صارفة ، وذلك جار في الكلّ ، وقد عرفت عدم الاعتداد بهذه الأصول ، ومن هنا يظهر أنّ ما أفاده بعضهم من أنّه لو شكّ في القرينة الحالية لا يجوز التمسّك بالأصل في نفيها لوجود الحال قطعا بين المتكلّم والمخاطب ، ممّا لا وجه له ؛ إذ أصالة عدم كون الحال قرينة تجدي في حمل اللفظ على المعنى الحقيقي ، وأصالة عدم كونها غير قرينة ، لا يضرّ في ذلك</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شئت قلت في تلك الأمثلة وما يضاهيها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إنّما يجري في اللوازم والآثار إلاّ أنّه لا يجدي في اللوازم المتجدّدة ، فكن على بصيرة من الأمر كي لا تشتبه </w:t>
      </w:r>
      <w:r>
        <w:rPr>
          <w:rStyle w:val="FootnoteAnchor"/>
          <w:rtl w:val="true"/>
        </w:rPr>
        <w:footnoteReference w:id="1701"/>
      </w:r>
      <w:r>
        <w:rPr>
          <w:rFonts w:ascii="Amiri" w:hAnsi="Amiri" w:eastAsia="Amiri" w:cs="Amiri"/>
          <w:color w:val="111111"/>
          <w:sz w:val="28"/>
          <w:sz w:val="28"/>
          <w:szCs w:val="28"/>
          <w:rtl w:val="true"/>
          <w:lang w:bidi="ar-SA"/>
        </w:rPr>
        <w:t>عليك حقيقة الحال في الموارد</w:t>
      </w:r>
      <w:r>
        <w:rPr>
          <w:rFonts w:eastAsia="Amiri" w:cs="Amiri" w:ascii="Amiri" w:hAnsi="Amiri"/>
          <w:color w:val="111111"/>
          <w:sz w:val="28"/>
          <w:szCs w:val="28"/>
          <w:rtl w:val="true"/>
          <w:lang w:bidi="ar-SA"/>
        </w:rPr>
        <w:t xml:space="preserve">. </w:t>
      </w:r>
      <w:bookmarkStart w:id="197" w:name="pg16284_171293"/>
    </w:p>
    <w:p>
      <w:pPr>
        <w:pStyle w:val="Heading3"/>
        <w:numPr>
          <w:ilvl w:val="2"/>
          <w:numId w:val="1"/>
        </w:numPr>
        <w:rPr/>
      </w:pPr>
      <w:bookmarkStart w:id="198" w:name="__RefHeading___Toc5012148_1280447820"/>
      <w:bookmarkStart w:id="199" w:name="_Toc63"/>
      <w:bookmarkEnd w:id="197"/>
      <w:bookmarkEnd w:id="198"/>
      <w:r>
        <w:rPr>
          <w:rtl w:val="true"/>
        </w:rPr>
        <w:t xml:space="preserve">هداية </w:t>
      </w:r>
      <w:r>
        <w:rPr>
          <w:rtl w:val="true"/>
        </w:rPr>
        <w:t xml:space="preserve">[ </w:t>
      </w:r>
      <w:r>
        <w:rPr>
          <w:rtl w:val="true"/>
        </w:rPr>
        <w:t xml:space="preserve">في الاستصحاب في الأجزاء بعد تعذّر الكلّ </w:t>
      </w:r>
      <w:r>
        <w:rPr>
          <w:rtl w:val="true"/>
        </w:rPr>
        <w:t>]</w:t>
      </w:r>
      <w:bookmarkEnd w:id="199"/>
    </w:p>
    <w:p>
      <w:pPr>
        <w:pStyle w:val="BookText"/>
        <w:rPr/>
      </w:pPr>
      <w:r>
        <w:rPr>
          <w:rFonts w:ascii="Amiri" w:hAnsi="Amiri" w:eastAsia="Amiri" w:cs="Amiri"/>
          <w:color w:val="111111"/>
          <w:sz w:val="28"/>
          <w:sz w:val="28"/>
          <w:szCs w:val="28"/>
          <w:rtl w:val="true"/>
          <w:lang w:bidi="ar-SA"/>
        </w:rPr>
        <w:t xml:space="preserve">إذا تعذّر الإتيان بالكلّ بعد التمكّن منه فلإجراء حكم الكلّ في الأجزاء الباقية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بالعمومات الدالّة على عدم سقوط الميسور بالمعسور ووجوب الإتيان بما هو المقدور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 xml:space="preserve">على ما سبق منّا تحقيق القول فيها في بعض المباحث الماضية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فإنّه قد يوجد في كلمات البعض دعوى مطلوبية الأجزاء الباقية بعد تعذّر المركّب في أمثال المركّبات الشرعية ، وليس بتلك المكانة من البعد إلاّ أنّه لا يثمر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كما أنّه أحد وجهي كلامي المحقّق والعلاّمة في مسألة وضوء الأقطع في المعتبر والمنتهى </w:t>
      </w:r>
      <w:r>
        <w:rPr>
          <w:rStyle w:val="FootnoteAnchor"/>
          <w:rtl w:val="true"/>
        </w:rPr>
        <w:footnoteReference w:id="1707"/>
      </w:r>
      <w:r>
        <w:rPr>
          <w:rFonts w:ascii="Amiri" w:hAnsi="Amiri" w:eastAsia="Amiri" w:cs="Amiri"/>
          <w:color w:val="111111"/>
          <w:sz w:val="28"/>
          <w:sz w:val="28"/>
          <w:szCs w:val="28"/>
          <w:rtl w:val="true"/>
          <w:lang w:bidi="ar-SA"/>
        </w:rPr>
        <w:t>، والوجه الآخر في كلامهما احتمال الاستناد إلى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w:t>
      </w:r>
      <w:r>
        <w:rPr>
          <w:rStyle w:val="FootnoteAnchor"/>
          <w:rtl w:val="true"/>
        </w:rPr>
        <w:footnoteReference w:id="1708"/>
      </w:r>
      <w:r>
        <w:rPr>
          <w:rFonts w:ascii="Amiri" w:hAnsi="Amiri" w:eastAsia="Amiri" w:cs="Amiri"/>
          <w:color w:val="111111"/>
          <w:sz w:val="28"/>
          <w:sz w:val="28"/>
          <w:szCs w:val="28"/>
          <w:rtl w:val="true"/>
          <w:lang w:bidi="ar-SA"/>
        </w:rPr>
        <w:t xml:space="preserve">كان ، فللمستصحب أن يقرّره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تعلّق التكليف بالكلّ عند التمكّن منه على ما هو المفروض في عنوان الهداية فهو بحيث لو كان المكلّف آتيا به كان التكليف ساقطا قطعا ، وبعد التعذّر شكّ في سقوط التكليف والأصل بقاؤه وعدم سقوطه ، فيجب </w:t>
      </w:r>
      <w:r>
        <w:rPr>
          <w:rStyle w:val="FootnoteAnchor"/>
          <w:rtl w:val="true"/>
        </w:rPr>
        <w:footnoteReference w:id="1709"/>
      </w:r>
      <w:r>
        <w:rPr>
          <w:rFonts w:ascii="Amiri" w:hAnsi="Amiri" w:eastAsia="Amiri" w:cs="Amiri"/>
          <w:color w:val="111111"/>
          <w:sz w:val="28"/>
          <w:sz w:val="28"/>
          <w:szCs w:val="28"/>
          <w:rtl w:val="true"/>
          <w:lang w:bidi="ar-SA"/>
        </w:rPr>
        <w:t>الإتيان بالأجزاء الباقية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المستصحب استصحاب وجوب </w:t>
      </w:r>
      <w:r>
        <w:rPr>
          <w:rStyle w:val="FootnoteAnchor"/>
          <w:rtl w:val="true"/>
        </w:rPr>
        <w:footnoteReference w:id="1710"/>
      </w:r>
      <w:r>
        <w:rPr>
          <w:rFonts w:ascii="Amiri" w:hAnsi="Amiri" w:eastAsia="Amiri" w:cs="Amiri"/>
          <w:color w:val="111111"/>
          <w:sz w:val="28"/>
          <w:sz w:val="28"/>
          <w:szCs w:val="28"/>
          <w:rtl w:val="true"/>
          <w:lang w:bidi="ar-SA"/>
        </w:rPr>
        <w:t>الكلّ فقد ارتفع قطعا ، وإن أراد استصحاب الأجزاء الباقية فلم يعلم وجوبها قبل ،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دأب المناظر في ميدان المناظرة صرف عنان الكلام إلى تعيين ما هو المستصحب في المقام ، بل عليه أن يلاحظ فيما هو المرام من الاستصحاب كما لا يخفى على من تأمّل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w:t>
      </w:r>
      <w:r>
        <w:rPr>
          <w:rStyle w:val="FootnoteAnchor"/>
          <w:rtl w:val="true"/>
        </w:rPr>
        <w:footnoteReference w:id="1712"/>
      </w:r>
      <w:r>
        <w:rPr>
          <w:rFonts w:ascii="Amiri" w:hAnsi="Amiri" w:eastAsia="Amiri" w:cs="Amiri"/>
          <w:color w:val="111111"/>
          <w:sz w:val="28"/>
          <w:sz w:val="28"/>
          <w:szCs w:val="28"/>
          <w:rtl w:val="true"/>
          <w:lang w:bidi="ar-SA"/>
        </w:rPr>
        <w:t>شقّ ثالث وهو اختيار بقاء التكليف المردّد بين كونه على وجه يرتفع بعد التعذّر قطعا وبين كونه على وجه لا يرتفع كأن يكون المكلّف به هو القدر المشترك بين الكلّ وغيره ، واستصحاب أمثال الأمور المردّدة ممّا لا ضير فيه ؛ لصدق الحدّ عليه وشمول الدليل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لا بدّ من ملاحظة أن لا يكون المقصود من إثبات المردّد بالاستصحاب إجراء أحكام أحد الأطراف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ليس من موارد الاشتغال ؛ إذ ما هو معلوم الوجوب غير ممكن الامتثال ، وما هو ممكن الامتثال غير معلوم الوجوب ، فالأصل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إمكان الكلّ لا يضرّ في استصحاب وجوب الباقي كما في المطلق والمقيّد ، فإنّ قضيّة مطلق الاشتغال وجوب الامتثال بالمطلق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الأخذ بالمقيّد لم يكن أخذا بما هو المكلّف به في الواقع وإنّما كان من وجوه الاحتياط ، بخلاف الإتيان بالكلّ في المقام فإنّ الأخذ به بعد </w:t>
      </w:r>
      <w:r>
        <w:rPr>
          <w:rStyle w:val="FootnoteAnchor"/>
          <w:rtl w:val="true"/>
        </w:rPr>
        <w:footnoteReference w:id="1713"/>
      </w:r>
      <w:r>
        <w:rPr>
          <w:rFonts w:ascii="Amiri" w:hAnsi="Amiri" w:eastAsia="Amiri" w:cs="Amiri"/>
          <w:color w:val="111111"/>
          <w:sz w:val="28"/>
          <w:sz w:val="28"/>
          <w:szCs w:val="28"/>
          <w:rtl w:val="true"/>
          <w:lang w:bidi="ar-SA"/>
        </w:rPr>
        <w:t>التمكّن منه والإتيان به إنّما هو الأخذ بما هو المكلّف به واقعا وليس من موارد الاحتياط ، فإنّه هو المتعيّن في حقّ المتمكّن ، وبعد تعذّر الكلّ لا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استصحاب المطلق بعد تعذّر المقيّد وبين استصحاب الباقي بعد تعذّر الكلّ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الواجبات الموسّعة ما لا يختلف أفراده إلاّ باعتبار اختلاف الأزمنة التي يقع الفعل فيها مع مماثلتها واتّحادها نوعا ، ومنها ما يختلف أفراده باعتبارات أخر أيضا ، كما في الصلاة بالنسبة إلى أحوال المكلّفين من الأمور التي تختلف عناوين الأحكام باختلافها كالسفر والحضر أو وجدان الماء وتعذّره والصحّة والمرض والعجز والقدرة ونحوها ، فإنّ الصلاة بالنسبة إلى كلّ من المسافر والحاضر شيء ، وبالنسبة إلى الواجد والفاقد شيء ، وبالنسبة إلى المريض والصحيح شيء ، وكذا العاجز والقادر </w:t>
      </w:r>
      <w:r>
        <w:rPr>
          <w:rStyle w:val="FootnoteAnchor"/>
          <w:rtl w:val="true"/>
        </w:rPr>
        <w:footnoteReference w:id="1714"/>
      </w:r>
      <w:r>
        <w:rPr>
          <w:rFonts w:ascii="Amiri" w:hAnsi="Amiri" w:eastAsia="Amiri" w:cs="Amiri"/>
          <w:color w:val="111111"/>
          <w:sz w:val="28"/>
          <w:sz w:val="28"/>
          <w:szCs w:val="28"/>
          <w:rtl w:val="true"/>
          <w:lang w:bidi="ar-SA"/>
        </w:rPr>
        <w:t xml:space="preserve">، فالمتّصف بالوجوب الموسّع هو القدر المشترك بين تلك الأفراد المختلفة شخصا ونوعا المتّحدة في كونها صلاة ، وليس خصوص صلاة الحاضر واجبا موسّعا ؛ ضرورة عدم وجوبها على المسافر ، ولا واجبا مضيّقا ؛ ضرورة حصول </w:t>
      </w:r>
    </w:p>
    <w:p>
      <w:pPr>
        <w:pStyle w:val="BookText"/>
        <w:rPr/>
      </w:pPr>
      <w:r>
        <w:rPr>
          <w:rFonts w:ascii="Amiri" w:hAnsi="Amiri" w:eastAsia="Amiri" w:cs="Amiri"/>
          <w:color w:val="111111"/>
          <w:sz w:val="28"/>
          <w:sz w:val="28"/>
          <w:szCs w:val="28"/>
          <w:rtl w:val="true"/>
          <w:lang w:bidi="ar-SA"/>
        </w:rPr>
        <w:t>الامتثال بغيرها عند لحوق ما يقضي بذلك الغير وهذا ظاهر لا سترة عليه ، فالأمر بوجوب الإتيان بالكلّ كأقيموا الصلاة إنّما قيّد إطلاقه حال الإمكان بأن يأتي المكلّف بالسورة مثلا أو على وجه خاصّ وكيفية مخصوصة ، والإتيان بالمأمور به على هذا الوجه ليس أمرا متيقّنا حتّى يؤخذ به ويدفع الباقي بالأصل ، بل هو مردّد بين أن يكون المطلوب هو خصوص المقيّد على وجه لو انتفى القيد انتفى التكليف رأسا ، وبين أن يكون المطلوب هو المطلق ولكن قيّد إطلاقه بكذا في حال كذا على وجه لو انتفى القيد لم ينتف التكليف بالمطلق ؛ لاحتمال أن يكون المطلوب هو القدر المشترك بين الكلّ والأجزاء الباقية ، فعلى التقديرين المطلوب عند التمكّن هو المقيّد وإنّما المجمل هو وجه التكليف به ، ومنه جاء الاشتغال كدوران الأمر بين المتباينين كما في الظهر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فمعلومية المكلّف به عند التمكّن ليس باعتبار أنّه المكلّف به حقيقة على وجه لو انتفى القيد ينتفي التكليف ، بل يحتمل أن يكون بواسطة أنّه كلّ فهو مطلوب بنفسه ، وأن يكون بواسطة </w:t>
      </w:r>
      <w:r>
        <w:rPr>
          <w:rStyle w:val="FootnoteAnchor"/>
          <w:rtl w:val="true"/>
        </w:rPr>
        <w:footnoteReference w:id="1715"/>
      </w:r>
      <w:r>
        <w:rPr>
          <w:rFonts w:ascii="Amiri" w:hAnsi="Amiri" w:eastAsia="Amiri" w:cs="Amiri"/>
          <w:color w:val="111111"/>
          <w:sz w:val="28"/>
          <w:sz w:val="28"/>
          <w:szCs w:val="28"/>
          <w:rtl w:val="true"/>
          <w:lang w:bidi="ar-SA"/>
        </w:rPr>
        <w:t xml:space="preserve">أنّه </w:t>
      </w:r>
      <w:r>
        <w:rPr>
          <w:rStyle w:val="FootnoteAnchor"/>
          <w:rtl w:val="true"/>
        </w:rPr>
        <w:footnoteReference w:id="1716"/>
      </w:r>
      <w:r>
        <w:rPr>
          <w:rFonts w:ascii="IRNazanin" w:hAnsi="IRNazanin" w:eastAsia="IRNazanin"/>
          <w:color w:val="111111"/>
          <w:sz w:val="28"/>
          <w:sz w:val="28"/>
          <w:szCs w:val="28"/>
          <w:rtl w:val="true"/>
          <w:lang w:bidi="fa-IR"/>
        </w:rPr>
        <w:t xml:space="preserve">أحد </w:t>
      </w:r>
      <w:r>
        <w:rPr>
          <w:rStyle w:val="FootnoteAnchor"/>
          <w:rtl w:val="true"/>
        </w:rPr>
        <w:footnoteReference w:id="1717"/>
      </w:r>
      <w:r>
        <w:rPr>
          <w:rFonts w:ascii="Amiri" w:hAnsi="Amiri" w:eastAsia="Amiri" w:cs="Amiri"/>
          <w:color w:val="111111"/>
          <w:sz w:val="28"/>
          <w:sz w:val="28"/>
          <w:szCs w:val="28"/>
          <w:rtl w:val="true"/>
          <w:lang w:bidi="ar-SA"/>
        </w:rPr>
        <w:t>أفراد الواجب الموسّع فلا يرتفع التكليف بعد ارتفاعه كما لا يخفى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يمكن أن ينتصر للمستدلّ في المقام ، إلاّ أنّه بعد ذلك أيضا ممّا لا يستقيم </w:t>
      </w:r>
      <w:r>
        <w:rPr>
          <w:rStyle w:val="FootnoteAnchor"/>
          <w:rtl w:val="true"/>
        </w:rPr>
        <w:footnoteReference w:id="1718"/>
      </w:r>
      <w:r>
        <w:rPr>
          <w:rFonts w:ascii="Amiri" w:hAnsi="Amiri" w:eastAsia="Amiri" w:cs="Amiri"/>
          <w:color w:val="111111"/>
          <w:sz w:val="28"/>
          <w:sz w:val="28"/>
          <w:szCs w:val="28"/>
          <w:rtl w:val="true"/>
          <w:lang w:bidi="ar-SA"/>
        </w:rPr>
        <w:t xml:space="preserve">بعد الغضّ عن جريان قاعدة الاشتغال ، فإنّها هي مبنى </w:t>
      </w:r>
      <w:r>
        <w:rPr>
          <w:rStyle w:val="FootnoteAnchor"/>
          <w:rtl w:val="true"/>
        </w:rPr>
        <w:footnoteReference w:id="1719"/>
      </w:r>
      <w:r>
        <w:rPr>
          <w:rFonts w:ascii="Amiri" w:hAnsi="Amiri" w:eastAsia="Amiri" w:cs="Amiri"/>
          <w:color w:val="111111"/>
          <w:sz w:val="28"/>
          <w:sz w:val="28"/>
          <w:szCs w:val="28"/>
          <w:rtl w:val="true"/>
          <w:lang w:bidi="ar-SA"/>
        </w:rPr>
        <w:t xml:space="preserve">الاستصحاب كما لا يخفى ؛ لأنّ استصحاب </w:t>
      </w:r>
      <w:r>
        <w:rPr>
          <w:rStyle w:val="FootnoteAnchor"/>
          <w:rtl w:val="true"/>
        </w:rPr>
        <w:footnoteReference w:id="1720"/>
      </w:r>
      <w:r>
        <w:rPr>
          <w:rFonts w:ascii="Amiri" w:hAnsi="Amiri" w:eastAsia="Amiri" w:cs="Amiri"/>
          <w:color w:val="111111"/>
          <w:sz w:val="28"/>
          <w:sz w:val="28"/>
          <w:szCs w:val="28"/>
          <w:rtl w:val="true"/>
          <w:lang w:bidi="ar-SA"/>
        </w:rPr>
        <w:t xml:space="preserve">الوجوب المردّد كما هو المفروض لا يجدي في الحكم بوجوب الأجزاء الباقية التي هي إحدى </w:t>
      </w:r>
      <w:r>
        <w:rPr>
          <w:rStyle w:val="FootnoteAnchor"/>
          <w:rtl w:val="true"/>
        </w:rPr>
        <w:footnoteReference w:id="1721"/>
      </w:r>
      <w:r>
        <w:rPr>
          <w:rFonts w:ascii="Amiri" w:hAnsi="Amiri" w:eastAsia="Amiri" w:cs="Amiri"/>
          <w:color w:val="111111"/>
          <w:sz w:val="28"/>
          <w:sz w:val="28"/>
          <w:szCs w:val="28"/>
          <w:rtl w:val="true"/>
          <w:lang w:bidi="ar-SA"/>
        </w:rPr>
        <w:t>طرفي الترديد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بالاستصحاب </w:t>
      </w:r>
      <w:r>
        <w:rPr>
          <w:rStyle w:val="FootnoteAnchor"/>
          <w:rtl w:val="true"/>
        </w:rPr>
        <w:footnoteReference w:id="1722"/>
      </w:r>
      <w:r>
        <w:rPr>
          <w:rFonts w:ascii="Amiri" w:hAnsi="Amiri" w:eastAsia="Amiri" w:cs="Amiri"/>
          <w:color w:val="111111"/>
          <w:sz w:val="28"/>
          <w:sz w:val="28"/>
          <w:szCs w:val="28"/>
          <w:rtl w:val="true"/>
          <w:lang w:bidi="ar-SA"/>
        </w:rPr>
        <w:t xml:space="preserve">هو الحكم بوجوب الأجزاء الباقية التي هي إحدى </w:t>
      </w:r>
      <w:r>
        <w:rPr>
          <w:rStyle w:val="FootnoteAnchor"/>
          <w:rtl w:val="true"/>
        </w:rPr>
        <w:footnoteReference w:id="1723"/>
      </w:r>
      <w:r>
        <w:rPr>
          <w:rFonts w:ascii="Amiri" w:hAnsi="Amiri" w:eastAsia="Amiri" w:cs="Amiri"/>
          <w:color w:val="111111"/>
          <w:sz w:val="28"/>
          <w:sz w:val="28"/>
          <w:szCs w:val="28"/>
          <w:rtl w:val="true"/>
          <w:lang w:bidi="ar-SA"/>
        </w:rPr>
        <w:t xml:space="preserve">طرفي الترديد وهذا ممّا لا يترتّب على استصحاب الأمر المجمل إلاّ أن يكون الأصل مثبتا ، أو قلنا باستثناء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خفاء الواسطة أو اتّحادها وجودا مع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المثبتة ، فإنّ بقاء الوجوب وإن كان يغاير وجوب الباقي مفهوما إلاّ أنّه </w:t>
      </w:r>
      <w:r>
        <w:rPr>
          <w:rStyle w:val="FootnoteAnchor"/>
          <w:rtl w:val="true"/>
        </w:rPr>
        <w:footnoteReference w:id="1724"/>
      </w:r>
      <w:r>
        <w:rPr>
          <w:rFonts w:ascii="Amiri" w:hAnsi="Amiri" w:eastAsia="Amiri" w:cs="Amiri"/>
          <w:color w:val="111111"/>
          <w:sz w:val="28"/>
          <w:sz w:val="28"/>
          <w:szCs w:val="28"/>
          <w:rtl w:val="true"/>
          <w:lang w:bidi="ar-SA"/>
        </w:rPr>
        <w:t>لا مصداق للمستصحب إلاّ أن يكون الباقي واجبا كما في مثال بقاء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الأجزاء التي شكّ في وجوبها كانت واجبة في السابق عند التمكّن ، فيستصحب وجوبها إلى أن يحصل القطع بالارتفاع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الواجب في جريان الاستصحاب كما مرّ غير مرّة اتّحاد القضيّة المشكوكة والقضيّة المتيقّنة موضوعا ومحمولا ، فلو اختلف عنوان الموضوع أو المحمول فلا يجري فيه الاستصحاب ، والمقام ممّا يغيّر فيه الموضوع والمحمول كلاهما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المتّصف بالوجوب من هذه الأجزاء لم يكن ذواتها ، بل هي بعنوان أنّها أجزاء كانت متّصفة بالوجوب ، وقد تبدّل ذلك العنوان فإنّها قد صارت معنونة بعنوان الكلّية ؛ إذ ليس </w:t>
      </w:r>
      <w:r>
        <w:rPr>
          <w:rStyle w:val="FootnoteAnchor"/>
          <w:rtl w:val="true"/>
        </w:rPr>
        <w:footnoteReference w:id="1725"/>
      </w:r>
      <w:r>
        <w:rPr>
          <w:rFonts w:ascii="Amiri" w:hAnsi="Amiri" w:eastAsia="Amiri" w:cs="Amiri"/>
          <w:color w:val="111111"/>
          <w:sz w:val="28"/>
          <w:sz w:val="28"/>
          <w:szCs w:val="28"/>
          <w:rtl w:val="true"/>
          <w:lang w:bidi="ar-SA"/>
        </w:rPr>
        <w:t>الكلّ حينئذ إلاّ تلك الأجزاء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الوجوب المحمول على تلك الأجزاء ، عند التمكّن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مقدّميا تبعيا وقد تبدّل بالوجوب النفسي ، ولا فرق في ذلك بين أن يكون الأجزاء مطلوبة بأوامر متعدّدة مستقلّة ، وبين أن يكون الأمر بها مستفادا من الأمر بالكلّ ؛ إذ على تقديره لا يزيد على إفادة كونها مطلوبة للغير ، إذ احتمال المطلوبية النفسية عند الشكّ مدفوع بأصالة البراءة كما هو ظاهر ، فإثبات وجوب تلك الأجزاء وجوبا نفسيا باستصحاب وجوبها عند التمكّن ليس إلاّ كإثبات قعود عمرو </w:t>
      </w:r>
    </w:p>
    <w:p>
      <w:pPr>
        <w:pStyle w:val="BookText"/>
        <w:rPr/>
      </w:pPr>
      <w:r>
        <w:rPr>
          <w:rFonts w:ascii="Amiri" w:hAnsi="Amiri" w:eastAsia="Amiri" w:cs="Amiri"/>
          <w:color w:val="111111"/>
          <w:sz w:val="28"/>
          <w:sz w:val="28"/>
          <w:szCs w:val="28"/>
          <w:rtl w:val="true"/>
          <w:lang w:bidi="ar-SA"/>
        </w:rPr>
        <w:t>باستصحاب قيام زيد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ما يقتضيه مذاق التحقيق ، وأمّا على مشرب القوم فلا ينهض هذا الجواب بدفع الاستصحاب وإن أفاده </w:t>
      </w:r>
      <w:r>
        <w:rPr>
          <w:rStyle w:val="FootnoteAnchor"/>
          <w:rtl w:val="true"/>
        </w:rPr>
        <w:footnoteReference w:id="1726"/>
      </w:r>
      <w:r>
        <w:rPr>
          <w:rFonts w:ascii="Amiri" w:hAnsi="Amiri" w:eastAsia="Amiri" w:cs="Amiri"/>
          <w:color w:val="111111"/>
          <w:sz w:val="28"/>
          <w:sz w:val="28"/>
          <w:szCs w:val="28"/>
          <w:rtl w:val="true"/>
          <w:lang w:bidi="ar-SA"/>
        </w:rPr>
        <w:t xml:space="preserve">غير واحد منهم كالمحقّق الخوانساري </w:t>
      </w:r>
      <w:r>
        <w:rPr>
          <w:rStyle w:val="FootnoteAnchor"/>
          <w:rtl w:val="true"/>
        </w:rPr>
        <w:footnoteReference w:id="1727"/>
      </w:r>
      <w:r>
        <w:rPr>
          <w:rFonts w:ascii="Amiri" w:hAnsi="Amiri" w:eastAsia="Amiri" w:cs="Amiri"/>
          <w:color w:val="111111"/>
          <w:sz w:val="28"/>
          <w:sz w:val="28"/>
          <w:szCs w:val="28"/>
          <w:rtl w:val="true"/>
          <w:lang w:bidi="ar-SA"/>
        </w:rPr>
        <w:t xml:space="preserve">والمحقّق القمي </w:t>
      </w:r>
      <w:r>
        <w:rPr>
          <w:rStyle w:val="FootnoteAnchor"/>
          <w:rtl w:val="true"/>
        </w:rPr>
        <w:footnoteReference w:id="1728"/>
      </w:r>
      <w:r>
        <w:rPr>
          <w:rFonts w:ascii="IRNazanin" w:hAnsi="IRNazanin" w:eastAsia="IRNazanin"/>
          <w:color w:val="111111"/>
          <w:sz w:val="28"/>
          <w:sz w:val="28"/>
          <w:szCs w:val="28"/>
          <w:rtl w:val="true"/>
          <w:lang w:bidi="fa-IR"/>
        </w:rPr>
        <w:t xml:space="preserve">ونقله الأستاد دام شرفه </w:t>
      </w:r>
      <w:r>
        <w:rPr>
          <w:rStyle w:val="FootnoteAnchor"/>
          <w:rtl w:val="true"/>
        </w:rPr>
        <w:footnoteReference w:id="1729"/>
      </w:r>
      <w:r>
        <w:rPr>
          <w:rFonts w:ascii="Amiri" w:hAnsi="Amiri" w:eastAsia="Amiri" w:cs="Amiri"/>
          <w:color w:val="111111"/>
          <w:sz w:val="28"/>
          <w:sz w:val="28"/>
          <w:szCs w:val="28"/>
          <w:rtl w:val="true"/>
          <w:lang w:bidi="ar-SA"/>
        </w:rPr>
        <w:t xml:space="preserve">عن شيخه الشريف </w:t>
      </w:r>
      <w:r>
        <w:rPr>
          <w:rStyle w:val="FootnoteAnchor"/>
          <w:rtl w:val="true"/>
        </w:rPr>
        <w:footnoteReference w:id="1730"/>
      </w:r>
      <w:r>
        <w:rPr>
          <w:rFonts w:ascii="Amiri" w:hAnsi="Amiri" w:eastAsia="Amiri" w:cs="Amiri"/>
          <w:color w:val="111111"/>
          <w:sz w:val="28"/>
          <w:sz w:val="28"/>
          <w:szCs w:val="28"/>
          <w:rtl w:val="true"/>
          <w:lang w:bidi="ar-SA"/>
        </w:rPr>
        <w:t xml:space="preserve">، وهو بمكان من البعد منهم ؛ إذ بعد ما يظهر منهم من المسامحة في أمر الاستصحاب موضوعا ومحمولا حتّى أنّهم قد استصحبوا الكرّية في الماء الموجود في الحوض بعد انتصافه فيه فلا مانع من الأخذ بمقتضى الاستصحاب في أمثال المقام ، سيّما بعد ملاحظة أنّ العرف ربّما لا يفرّقون بين نوعي الوجوب ويفهمون من الوجوب أمرا جامعا بين النفسي والغيري ، وكيف </w:t>
      </w:r>
      <w:r>
        <w:rPr>
          <w:rStyle w:val="FootnoteAnchor"/>
          <w:rtl w:val="true"/>
        </w:rPr>
        <w:footnoteReference w:id="1731"/>
      </w:r>
      <w:r>
        <w:rPr>
          <w:rFonts w:ascii="Amiri" w:hAnsi="Amiri" w:eastAsia="Amiri" w:cs="Amiri"/>
          <w:color w:val="111111"/>
          <w:sz w:val="28"/>
          <w:sz w:val="28"/>
          <w:szCs w:val="28"/>
          <w:rtl w:val="true"/>
          <w:lang w:bidi="ar-SA"/>
        </w:rPr>
        <w:t>كان فعلى مشربهم لا ينبغي التردّد في جريان هذا الاستصحاب ، ولعلّ ذلك منهم غريب</w:t>
      </w:r>
      <w:r>
        <w:rPr>
          <w:rFonts w:eastAsia="Amiri" w:cs="Amiri" w:ascii="Amiri" w:hAnsi="Amiri"/>
          <w:color w:val="111111"/>
          <w:sz w:val="28"/>
          <w:szCs w:val="28"/>
          <w:rtl w:val="true"/>
          <w:lang w:bidi="ar-SA"/>
        </w:rPr>
        <w:t xml:space="preserve">. </w:t>
      </w:r>
      <w:bookmarkStart w:id="200" w:name="pg16284_171299"/>
    </w:p>
    <w:p>
      <w:pPr>
        <w:pStyle w:val="Heading3"/>
        <w:numPr>
          <w:ilvl w:val="2"/>
          <w:numId w:val="1"/>
        </w:numPr>
        <w:rPr/>
      </w:pPr>
      <w:bookmarkStart w:id="201" w:name="__RefHeading___Toc5012150_1280447820"/>
      <w:bookmarkStart w:id="202" w:name="_Toc64"/>
      <w:bookmarkEnd w:id="200"/>
      <w:bookmarkEnd w:id="201"/>
      <w:r>
        <w:rPr>
          <w:rtl w:val="true"/>
        </w:rPr>
        <w:t xml:space="preserve">هداية </w:t>
      </w:r>
      <w:r>
        <w:rPr>
          <w:rtl w:val="true"/>
        </w:rPr>
        <w:t xml:space="preserve">[ </w:t>
      </w:r>
      <w:r>
        <w:rPr>
          <w:rtl w:val="true"/>
        </w:rPr>
        <w:t xml:space="preserve">في قاعدة اليقين </w:t>
      </w:r>
      <w:r>
        <w:rPr>
          <w:rtl w:val="true"/>
        </w:rPr>
        <w:t>]</w:t>
      </w:r>
      <w:bookmarkEnd w:id="202"/>
    </w:p>
    <w:p>
      <w:pPr>
        <w:pStyle w:val="Heading4"/>
        <w:numPr>
          <w:ilvl w:val="3"/>
          <w:numId w:val="1"/>
        </w:numPr>
        <w:rPr/>
      </w:pPr>
      <w:bookmarkStart w:id="203" w:name="__RefHeading___Toc5012152_1280447820"/>
      <w:bookmarkStart w:id="204" w:name="_Toc65"/>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قد ذكرنا فيما مهّدناه لتحديد الاستصحاب في أوّل الباب أنّه استفعال من صحب ، وهو لغة أخذ الشيء مصاحبا ، وعدم صدقه على ما إذا سرى الشكّ إلى زمن اليقين ممّا لا ريب فيه ؛ ضرورة توقّفه على تحقّق المستصحب كما هو ظاهر ، واصطلاحا فعلى </w:t>
      </w:r>
      <w:r>
        <w:rPr>
          <w:rStyle w:val="FootnoteAnchor"/>
          <w:rtl w:val="true"/>
        </w:rPr>
        <w:footnoteReference w:id="1732"/>
      </w:r>
      <w:r>
        <w:rPr>
          <w:rFonts w:ascii="Amiri" w:hAnsi="Amiri" w:eastAsia="Amiri" w:cs="Amiri"/>
          <w:color w:val="111111"/>
          <w:sz w:val="28"/>
          <w:sz w:val="28"/>
          <w:szCs w:val="28"/>
          <w:rtl w:val="true"/>
          <w:lang w:bidi="ar-SA"/>
        </w:rPr>
        <w:t xml:space="preserve">ما مرّ من وجوه اختلاف تحديداته يستفاد منها اعتبار تحقّق المستصحب في زمن اليقين وكان الشكّ في بقائه وارتفاعه بعد ما كان التحقّق في زمان معلوما ، وهذا كما ترى تنحصر موارده </w:t>
      </w:r>
      <w:r>
        <w:rPr>
          <w:rStyle w:val="FootnoteAnchor"/>
          <w:rtl w:val="true"/>
        </w:rPr>
        <w:footnoteReference w:id="1733"/>
      </w:r>
      <w:r>
        <w:rPr>
          <w:rFonts w:ascii="Amiri" w:hAnsi="Amiri" w:eastAsia="Amiri" w:cs="Amiri"/>
          <w:color w:val="111111"/>
          <w:sz w:val="28"/>
          <w:sz w:val="28"/>
          <w:szCs w:val="28"/>
          <w:rtl w:val="true"/>
          <w:lang w:bidi="ar-SA"/>
        </w:rPr>
        <w:t xml:space="preserve">في الشكوك الطارئة فيه لا عليه ، فما قد يوجد في بعض الكلمات من عدم حجّية الاستصحاب في الشكّ الساري ينبغي أن يحمل على عدم تعقّل الاستصحاب فيه وخروجه عن </w:t>
      </w:r>
      <w:r>
        <w:rPr>
          <w:rStyle w:val="FootnoteAnchor"/>
          <w:rtl w:val="true"/>
        </w:rPr>
        <w:footnoteReference w:id="1734"/>
      </w:r>
      <w:r>
        <w:rPr>
          <w:rFonts w:ascii="Amiri" w:hAnsi="Amiri" w:eastAsia="Amiri" w:cs="Amiri"/>
          <w:color w:val="111111"/>
          <w:sz w:val="28"/>
          <w:sz w:val="28"/>
          <w:szCs w:val="28"/>
          <w:rtl w:val="true"/>
          <w:lang w:bidi="ar-SA"/>
        </w:rPr>
        <w:t>أفراده ، بل ولو فرض اعتباره وحجّيته فلا يسمّى استصحابا ، مضافا إلى عدم دلالة شيء من أخبار الباب على اعتبار هذا الاستصحاب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735"/>
      </w:r>
      <w:r>
        <w:rPr>
          <w:rFonts w:ascii="Amiri" w:hAnsi="Amiri" w:eastAsia="Amiri" w:cs="Amiri"/>
          <w:color w:val="111111"/>
          <w:sz w:val="28"/>
          <w:sz w:val="28"/>
          <w:szCs w:val="28"/>
          <w:rtl w:val="true"/>
          <w:lang w:bidi="ar-SA"/>
        </w:rPr>
        <w:t xml:space="preserve">، ظاهر بعض منها كرواية الخصال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دلالته على اعتباره مطلقا كما هو أحد احتماليها على ما احتملناه </w:t>
      </w:r>
      <w:bookmarkStart w:id="205" w:name="pg16284_171300"/>
    </w:p>
    <w:p>
      <w:pPr>
        <w:pStyle w:val="BookText"/>
        <w:rPr/>
      </w:pPr>
      <w:bookmarkEnd w:id="205"/>
      <w:r>
        <w:rPr>
          <w:rFonts w:ascii="Amiri" w:hAnsi="Amiri" w:eastAsia="Amiri" w:cs="Amiri"/>
          <w:color w:val="111111"/>
          <w:sz w:val="28"/>
          <w:sz w:val="28"/>
          <w:szCs w:val="28"/>
          <w:rtl w:val="true"/>
          <w:lang w:bidi="ar-SA"/>
        </w:rPr>
        <w:t xml:space="preserve">في ردّ الاستدلال بها على الاستصحاب كما ذكرها غوّاص بحار الأنوار </w:t>
      </w:r>
      <w:r>
        <w:rPr>
          <w:rStyle w:val="FootnoteAnchor"/>
          <w:rtl w:val="true"/>
        </w:rPr>
        <w:footnoteReference w:id="1737"/>
      </w:r>
      <w:r>
        <w:rPr>
          <w:rFonts w:ascii="Amiri" w:hAnsi="Amiri" w:eastAsia="Amiri" w:cs="Amiri"/>
          <w:color w:val="111111"/>
          <w:sz w:val="28"/>
          <w:sz w:val="28"/>
          <w:szCs w:val="28"/>
          <w:rtl w:val="true"/>
          <w:lang w:bidi="ar-SA"/>
        </w:rPr>
        <w:t xml:space="preserve">في جملة أدلّة الاستصحاب عند ذكر القواعد المشتركة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تفطّن بذلك الشيخ الأجلّ كاشف الغطاء فيمن تيقّن بالطهارة وشكّ فى الحدث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سبق العلم بتقدّم شيء أو تأخّره ، ثمّ طرأ الشكّ غير متذكّر لسبب العلم ، بنى على علمه على إشكال ، وإن ذكر سببه ورأى أنّه غير قابل لترتّب العلم فلا بناء عليه ؛ لأنّ المراد بعدم نقض اليقين بالشكّ عدم النقض بالشكّ الطارئ بعده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اقترن بسبب الاستدامة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الطارئ عليه</w:t>
      </w:r>
      <w:r>
        <w:rPr>
          <w:rFonts w:eastAsia="Amiri" w:cs="Amiri" w:ascii="Amiri" w:hAnsi="Amiri"/>
          <w:color w:val="111111"/>
          <w:sz w:val="28"/>
          <w:szCs w:val="28"/>
          <w:rtl w:val="true"/>
          <w:lang w:bidi="ar-SA"/>
        </w:rPr>
        <w:t>. ]</w:t>
      </w:r>
      <w:r>
        <w:rPr>
          <w:rStyle w:val="FootnoteAnchor"/>
          <w:rtl w:val="true"/>
        </w:rPr>
        <w:footnoteReference w:id="1739"/>
      </w:r>
      <w:r>
        <w:rPr>
          <w:rFonts w:ascii="Amiri" w:hAnsi="Amiri" w:eastAsia="Amiri" w:cs="Amiri"/>
          <w:color w:val="111111"/>
          <w:sz w:val="28"/>
          <w:sz w:val="28"/>
          <w:szCs w:val="28"/>
          <w:rtl w:val="true"/>
          <w:lang w:bidi="ar-SA"/>
        </w:rPr>
        <w:t xml:space="preserve">وأومأ إليه أيضا المحقّق القمي </w:t>
      </w:r>
      <w:r>
        <w:rPr>
          <w:rStyle w:val="FootnoteAnchor"/>
          <w:rtl w:val="true"/>
        </w:rPr>
        <w:footnoteReference w:id="1740"/>
      </w:r>
      <w:r>
        <w:rPr>
          <w:rFonts w:ascii="Amiri" w:hAnsi="Amiri" w:eastAsia="Amiri" w:cs="Amiri"/>
          <w:color w:val="111111"/>
          <w:sz w:val="28"/>
          <w:sz w:val="28"/>
          <w:szCs w:val="28"/>
          <w:rtl w:val="true"/>
          <w:lang w:bidi="ar-SA"/>
        </w:rPr>
        <w:t>في بحث حجّية العامّ بعد التخصيص حيث استصحب بعضهم الحجّية في مقام الاستدلال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ممّا لا ريب فيه ولا شبهة تعتريه ولا يهمّنا إطالة الكلام فيه ، بل المقصود إنّما هو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في المقام هو بيان أنّ الأعمال المترتّبة على المعلوم السابق هل هي ممضاة شرعا أو لا بدّ من استئنافها؟ وهل يمكن إجراء تلك الأحكام بالنسبة إلى الأعمال المستقبلة أو لا؟ فتحقيق الكلام في مقامين </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5012154_1280447820"/>
      <w:bookmarkStart w:id="207" w:name="_Toc66"/>
      <w:bookmarkEnd w:id="206"/>
      <w:r>
        <w:rPr>
          <w:rtl w:val="true"/>
        </w:rPr>
        <w:t xml:space="preserve">[ </w:t>
      </w:r>
      <w:r>
        <w:rPr>
          <w:rtl w:val="true"/>
        </w:rPr>
        <w:t xml:space="preserve">المقام </w:t>
      </w:r>
      <w:r>
        <w:rPr>
          <w:rtl w:val="true"/>
        </w:rPr>
        <w:t xml:space="preserve">] </w:t>
      </w:r>
      <w:r>
        <w:rPr>
          <w:rtl w:val="true"/>
        </w:rPr>
        <w:t xml:space="preserve">الأوّل </w:t>
      </w:r>
      <w:r>
        <w:rPr>
          <w:rtl w:val="true"/>
        </w:rPr>
        <w:t>:</w:t>
      </w:r>
      <w:bookmarkEnd w:id="2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حكم الأعمال السابقة في أمثال هذه الوقائع ، مثلا لو اعتقد عدالة زيد فصلّى معه ، أو طلّق حليلته وهو بمسمع منه ، أو اعتقد عدم جزئية السورة في الصلاة بواسطة إخباره عن مجتهده ، أو استنبطه المجتهد عن </w:t>
      </w:r>
      <w:r>
        <w:rPr>
          <w:rStyle w:val="FootnoteAnchor"/>
          <w:rtl w:val="true"/>
        </w:rPr>
        <w:footnoteReference w:id="1741"/>
      </w:r>
      <w:r>
        <w:rPr>
          <w:rFonts w:ascii="Amiri" w:hAnsi="Amiri" w:eastAsia="Amiri" w:cs="Amiri"/>
          <w:color w:val="111111"/>
          <w:sz w:val="28"/>
          <w:sz w:val="28"/>
          <w:szCs w:val="28"/>
          <w:rtl w:val="true"/>
          <w:lang w:bidi="ar-SA"/>
        </w:rPr>
        <w:t xml:space="preserve">دليل ، ثمّ شكّ في عدالته في الزمان </w:t>
      </w:r>
    </w:p>
    <w:p>
      <w:pPr>
        <w:pStyle w:val="BookText"/>
        <w:rPr/>
      </w:pPr>
      <w:r>
        <w:rPr>
          <w:rFonts w:ascii="Amiri" w:hAnsi="Amiri" w:eastAsia="Amiri" w:cs="Amiri"/>
          <w:color w:val="111111"/>
          <w:sz w:val="28"/>
          <w:sz w:val="28"/>
          <w:szCs w:val="28"/>
          <w:rtl w:val="true"/>
          <w:lang w:bidi="ar-SA"/>
        </w:rPr>
        <w:t xml:space="preserve">الأوّل وفي دلالته فهل يحكم بصحّة صلاته وعدم لزوم الإعادة في الوقت والقضاء في خارجه </w:t>
      </w:r>
      <w:r>
        <w:rPr>
          <w:rStyle w:val="FootnoteAnchor"/>
          <w:rtl w:val="true"/>
        </w:rPr>
        <w:footnoteReference w:id="1742"/>
      </w:r>
      <w:r>
        <w:rPr>
          <w:rFonts w:ascii="Amiri" w:hAnsi="Amiri" w:eastAsia="Amiri" w:cs="Amiri"/>
          <w:color w:val="111111"/>
          <w:sz w:val="28"/>
          <w:sz w:val="28"/>
          <w:szCs w:val="28"/>
          <w:rtl w:val="true"/>
          <w:lang w:bidi="ar-SA"/>
        </w:rPr>
        <w:t>، وعدم وجوب نفقة الزوجة عليه فيما مضى ، إلى غير ذلك من الأحكام الماضية أو لا؟</w:t>
      </w:r>
    </w:p>
    <w:p>
      <w:pPr>
        <w:pStyle w:val="BookText"/>
        <w:rPr/>
      </w:pPr>
      <w:r>
        <w:rPr>
          <w:rFonts w:ascii="Amiri" w:hAnsi="Amiri" w:eastAsia="Amiri" w:cs="Amiri"/>
          <w:color w:val="111111"/>
          <w:sz w:val="28"/>
          <w:sz w:val="28"/>
          <w:szCs w:val="28"/>
          <w:rtl w:val="true"/>
          <w:lang w:bidi="ar-SA"/>
        </w:rPr>
        <w:t xml:space="preserve">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الأحكام إمّا أن يكون موضوعها نفس الاعتقاد ، وإمّا أن يكون الاعتقاد طريقا إلى ما هو الموضوع حقيقة وهو الواقع أو جزء منه وهو الواقع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كلام في صحّة تلك الأعمال ؛ لوقوعها عن أهلها في محلّها ، لكن حيثما كان الموضوع مجرّد الاعتقاد ولو في وقت ما يعني وقت الاشتغال بالعمل كما في مثال الاقتداء مع الإمام المعلوم عدالته حال الاقتداء على وجه ، وأمّا لو كان الموضوع هو دوام الاعتقاد فلا إشكال في فساد العمل أيضا ؛ لانتفاء موضوعه بمعنى أنّ تبدّل الاعتقاد يكشف عن عدم تحقّق الموضوع وقت الاشتغال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وهو ما إذا كان الموضوع مجرّد الواقع أو مع العلم فالشكّ إمّا أن يكون شكّا في الموضوع كما في مثال العدالة ، وإمّا أن يكون شكّا في الحكم كما في مثال جزئية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قضيّة القواعد الأوّلية عدم صحّة الأعمال ، بل لا بدّ من الأخذ بما يقتضيه الأدلّة فيما لم يكن هذا الاعتقاد حاصلا ، مثلا لو كان العدالة الواقعية معتبرة في واقعة الطلاق فصحّة الطلاق موقوفة </w:t>
      </w:r>
      <w:r>
        <w:rPr>
          <w:rStyle w:val="FootnoteAnchor"/>
          <w:rtl w:val="true"/>
        </w:rPr>
        <w:footnoteReference w:id="1743"/>
      </w:r>
      <w:r>
        <w:rPr>
          <w:rFonts w:ascii="Amiri" w:hAnsi="Amiri" w:eastAsia="Amiri" w:cs="Amiri"/>
          <w:color w:val="111111"/>
          <w:sz w:val="28"/>
          <w:sz w:val="28"/>
          <w:szCs w:val="28"/>
          <w:rtl w:val="true"/>
          <w:lang w:bidi="ar-SA"/>
        </w:rPr>
        <w:t>على إحرازها والمفروض عدم العلم بها ، فلا بدّ من الأخذ ببقاء الزوجية وأصالة عدم وقوع الطلاق والمباينة كما هو ظاهر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أمثال المقام قاعدة أخرى تقضي بالإجزاء والاكتفاء وصحّة الأعمال الماضية على تقدير نهوضها فيما نحن بصدده وهي قاعدة الشكّ بعد الفراغ عن العمل المدلول عليها بجملة من الأخبار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شككت في شيء من الوضوء وقد دخلت في غيره </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 xml:space="preserve">إلخ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قد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 xml:space="preserve">فإنّ مقتضي هذه القاعدة عدم الاعتناء بالشكّ والقول بصحّة الصلاة والإجزاء بها ، إلاّ أنّ شمولها للمقام ممّا لا يخلو عن شيء فإنّ الشكّ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بإحداث البطلان في العمل الماضي عمدا ، وتارة بترك شيء منه نسيانا أو سهوا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Style w:val="FootnoteAnchor"/>
          <w:rtl w:val="true"/>
        </w:rPr>
        <w:footnoteReference w:id="1746"/>
      </w:r>
      <w:r>
        <w:rPr>
          <w:rFonts w:ascii="Amiri" w:hAnsi="Amiri" w:eastAsia="Amiri" w:cs="Amiri"/>
          <w:color w:val="111111"/>
          <w:sz w:val="28"/>
          <w:sz w:val="28"/>
          <w:szCs w:val="28"/>
          <w:rtl w:val="true"/>
          <w:lang w:bidi="ar-SA"/>
        </w:rPr>
        <w:t xml:space="preserve">بإيجاد نفس العمل وعدم إيجاده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Style w:val="FootnoteAnchor"/>
          <w:rtl w:val="true"/>
        </w:rPr>
        <w:footnoteReference w:id="1747"/>
      </w:r>
      <w:r>
        <w:rPr>
          <w:rFonts w:ascii="Amiri" w:hAnsi="Amiri" w:eastAsia="Amiri" w:cs="Amiri"/>
          <w:color w:val="111111"/>
          <w:sz w:val="28"/>
          <w:sz w:val="28"/>
          <w:szCs w:val="28"/>
          <w:rtl w:val="true"/>
          <w:lang w:bidi="ar-SA"/>
        </w:rPr>
        <w:t>بصحّة الاعتقاد بما هو معتبر في العمل ، لا إشكال في شمولها للأوّلين ، ويحتمل شمولها للثالث على أفسد الاحتمالين ، وأمّا الرابع فشمول تلك الأخبار لمثل هذا الشكّ في غاية الإشكال والحكم به في نهاية الصعوبة ، سيّما فيما لو بنينا على اعتبار تلك القاعدة من حيث الظهور فإنّ عدم ظهور الأخبار الدالّة عليه في مثل المقام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القول بذلك على تقدير التعبّد ، وستعرف </w:t>
      </w:r>
      <w:r>
        <w:rPr>
          <w:rStyle w:val="FootnoteAnchor"/>
          <w:rtl w:val="true"/>
        </w:rPr>
        <w:footnoteReference w:id="1748"/>
      </w:r>
      <w:r>
        <w:rPr>
          <w:rFonts w:ascii="Amiri" w:hAnsi="Amiri" w:eastAsia="Amiri" w:cs="Amiri"/>
          <w:color w:val="111111"/>
          <w:sz w:val="28"/>
          <w:sz w:val="28"/>
          <w:szCs w:val="28"/>
          <w:rtl w:val="true"/>
          <w:lang w:bidi="ar-SA"/>
        </w:rPr>
        <w:t xml:space="preserve">لذلك زيادة تحقيق في محلّه </w:t>
      </w:r>
      <w:r>
        <w:rPr>
          <w:rStyle w:val="FootnoteAnchor"/>
          <w:rtl w:val="true"/>
        </w:rPr>
        <w:footnoteReference w:id="1749"/>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فساد الأعمال الماضية ، سواء فرض في المقلّد أو في المجتهد ؛ لعدم ما يقضي </w:t>
      </w:r>
      <w:r>
        <w:rPr>
          <w:rStyle w:val="FootnoteAnchor"/>
          <w:rtl w:val="true"/>
        </w:rPr>
        <w:footnoteReference w:id="1750"/>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القاعدة المذكورة فقرائن اختصاصها بما إذا كان الشكّ في الموضوع دون الأحكام على منار كما توضحه </w:t>
      </w:r>
      <w:r>
        <w:rPr>
          <w:rStyle w:val="FootnoteAnchor"/>
          <w:rtl w:val="true"/>
        </w:rPr>
        <w:footnoteReference w:id="1751"/>
      </w:r>
      <w:r>
        <w:rPr>
          <w:rFonts w:ascii="Amiri" w:hAnsi="Amiri" w:eastAsia="Amiri" w:cs="Amiri"/>
          <w:color w:val="111111"/>
          <w:sz w:val="28"/>
          <w:sz w:val="28"/>
          <w:szCs w:val="28"/>
          <w:rtl w:val="true"/>
          <w:lang w:bidi="ar-SA"/>
        </w:rPr>
        <w:t xml:space="preserve">ملاحظة الأخبار الواردة في هذا المضمار ، بل لا يكاد يذهب إليه وهم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شيء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إلى غير ذلك ممّا لا يخفى على المتدبّر</w:t>
      </w:r>
      <w:r>
        <w:rPr>
          <w:rFonts w:eastAsia="Amiri" w:cs="Amiri" w:ascii="Amiri" w:hAnsi="Amiri"/>
          <w:color w:val="111111"/>
          <w:sz w:val="28"/>
          <w:szCs w:val="28"/>
          <w:rtl w:val="true"/>
          <w:lang w:bidi="ar-SA"/>
        </w:rPr>
        <w:t xml:space="preserve">. </w:t>
      </w:r>
      <w:bookmarkStart w:id="208" w:name="pg16284_171303"/>
    </w:p>
    <w:p>
      <w:pPr>
        <w:pStyle w:val="BookText"/>
        <w:rPr/>
      </w:pPr>
      <w:bookmarkEnd w:id="208"/>
      <w:r>
        <w:rPr>
          <w:rFonts w:ascii="Amiri" w:hAnsi="Amiri" w:eastAsia="Amiri" w:cs="Amiri"/>
          <w:color w:val="111111"/>
          <w:sz w:val="28"/>
          <w:sz w:val="28"/>
          <w:szCs w:val="28"/>
          <w:rtl w:val="true"/>
          <w:lang w:bidi="ar-SA"/>
        </w:rPr>
        <w:t>ثمّ إنّ ما ذكرنا إنّما هو بالنسبة إلى قاعدة كلّية مطّردة ، وإلاّ فقد يكون في بعض الموارد أدلّة خاصّة تدلّ على عدم اعتبار الشكّ بعد الفراغ من أيّ وجه كان في الأحكام أيضا كما في خصوص الصلاة لرواية خاصّة</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5012156_1280447820"/>
      <w:bookmarkStart w:id="210" w:name="_Toc67"/>
      <w:bookmarkEnd w:id="209"/>
      <w:r>
        <w:rPr>
          <w:rtl w:val="true"/>
        </w:rPr>
        <w:t>المقام الثاني</w:t>
      </w:r>
      <w:bookmarkEnd w:id="210"/>
    </w:p>
    <w:p>
      <w:pPr>
        <w:pStyle w:val="BookText"/>
        <w:rPr/>
      </w:pPr>
      <w:r>
        <w:rPr>
          <w:rFonts w:ascii="Amiri" w:hAnsi="Amiri" w:eastAsia="Amiri" w:cs="Amiri"/>
          <w:color w:val="111111"/>
          <w:sz w:val="28"/>
          <w:sz w:val="28"/>
          <w:szCs w:val="28"/>
          <w:rtl w:val="true"/>
          <w:lang w:bidi="ar-SA"/>
        </w:rPr>
        <w:t xml:space="preserve">في بيان الحال في تلك الواقعة بالنسبة إلى الوقائع المستقبلة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الاستناد في المضيّ على الآثار الماضية بالنسبة إلى زمن المستقبل بأحد الأمرين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يظهر من الشيخ الأجلّ كاشف الغطاء </w:t>
      </w:r>
      <w:r>
        <w:rPr>
          <w:rStyle w:val="FootnoteAnchor"/>
          <w:rtl w:val="true"/>
        </w:rPr>
        <w:footnoteReference w:id="1753"/>
      </w:r>
      <w:r>
        <w:rPr>
          <w:rFonts w:ascii="Amiri" w:hAnsi="Amiri" w:eastAsia="Amiri" w:cs="Amiri"/>
          <w:color w:val="111111"/>
          <w:sz w:val="28"/>
          <w:sz w:val="28"/>
          <w:szCs w:val="28"/>
          <w:rtl w:val="true"/>
          <w:lang w:bidi="ar-SA"/>
        </w:rPr>
        <w:t xml:space="preserve">فيمن شكّ في الوضوء بين الظهر والعصر حيث استظهر جواز الدخول في العصر بالوضوء المشكوك فيه ، ونقل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أجلّة معاصريه الفتوى بذلك أيضا ، والوجه فيه أنّ المستفاد من الأدلّة الدالّة على لزوم حمل الفعل على الصحّة إنّما هو الحكم بإحراز ما يحتمل الفساد بتركه وترك ما يحتمله بفعله واقعا ، وبعد ذلك فلا فرق بين الأعمال الماضية والمستقبلة ، كما في الاستصحاب فإنّ الطهارة المستصحبة كما تجري بالنسبة إلى الصلاة الماضية كذلك تجري بالنسبة إلى ما يشتغل بها المكلّف بعد ذلك أيضا ، مثلا لو شكّ في الوضوء بعد صلاة الظهر فالشارع حكم </w:t>
      </w:r>
      <w:r>
        <w:rPr>
          <w:rStyle w:val="FootnoteAnchor"/>
          <w:rtl w:val="true"/>
        </w:rPr>
        <w:footnoteReference w:id="1754"/>
      </w:r>
      <w:r>
        <w:rPr>
          <w:rFonts w:ascii="Amiri" w:hAnsi="Amiri" w:eastAsia="Amiri" w:cs="Amiri"/>
          <w:color w:val="111111"/>
          <w:sz w:val="28"/>
          <w:sz w:val="28"/>
          <w:szCs w:val="28"/>
          <w:rtl w:val="true"/>
          <w:lang w:bidi="ar-SA"/>
        </w:rPr>
        <w:t xml:space="preserve">بإلغاء الشكّ ، والحكم بأنّ الشاكّ متطهّر واقعا بمعنى </w:t>
      </w:r>
      <w:r>
        <w:rPr>
          <w:rStyle w:val="FootnoteAnchor"/>
          <w:rtl w:val="true"/>
        </w:rPr>
        <w:footnoteReference w:id="1755"/>
      </w:r>
      <w:r>
        <w:rPr>
          <w:rFonts w:ascii="Amiri" w:hAnsi="Amiri" w:eastAsia="Amiri" w:cs="Amiri"/>
          <w:color w:val="111111"/>
          <w:sz w:val="28"/>
          <w:sz w:val="28"/>
          <w:szCs w:val="28"/>
          <w:rtl w:val="true"/>
          <w:lang w:bidi="ar-SA"/>
        </w:rPr>
        <w:t xml:space="preserve">لزوم ترتيب </w:t>
      </w:r>
      <w:r>
        <w:rPr>
          <w:rStyle w:val="FootnoteAnchor"/>
          <w:rtl w:val="true"/>
        </w:rPr>
        <w:footnoteReference w:id="1756"/>
      </w:r>
      <w:r>
        <w:rPr>
          <w:rFonts w:ascii="Amiri" w:hAnsi="Amiri" w:eastAsia="Amiri" w:cs="Amiri"/>
          <w:color w:val="111111"/>
          <w:sz w:val="28"/>
          <w:sz w:val="28"/>
          <w:szCs w:val="28"/>
          <w:rtl w:val="true"/>
          <w:lang w:bidi="ar-SA"/>
        </w:rPr>
        <w:t>الطهارة الواقعية عليه ومن جملة ذلك جواز الدخول فيما هو مشروط بالطهارة واقعا كالصلاة والطواف ونحوهما ، هذا وقد استشكل فيه مرّة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الشيخ الجليل أيضا في بعض فروع الكشف </w:t>
      </w:r>
      <w:r>
        <w:rPr>
          <w:rStyle w:val="FootnoteAnchor"/>
          <w:rtl w:val="true"/>
        </w:rPr>
        <w:footnoteReference w:id="1757"/>
      </w:r>
      <w:r>
        <w:rPr>
          <w:rFonts w:ascii="Amiri" w:hAnsi="Amiri" w:eastAsia="Amiri" w:cs="Amiri"/>
          <w:color w:val="111111"/>
          <w:sz w:val="28"/>
          <w:sz w:val="28"/>
          <w:szCs w:val="28"/>
          <w:rtl w:val="true"/>
          <w:lang w:bidi="ar-SA"/>
        </w:rPr>
        <w:t xml:space="preserve">من أنّ أفعال المسلم محمولة على الصحّة ، وقضيّة ذلك عامّة بالنسبة إلى أفعال الجوارح والأعمال القلبية وما يطرأ للإنسان من الحالات والملكات ، ففيما لو شكّ في صحّة الاعتقاد فالأصل يقضي </w:t>
      </w:r>
      <w:r>
        <w:rPr>
          <w:rStyle w:val="FootnoteAnchor"/>
          <w:rtl w:val="true"/>
        </w:rPr>
        <w:footnoteReference w:id="1758"/>
      </w:r>
      <w:r>
        <w:rPr>
          <w:rFonts w:ascii="Amiri" w:hAnsi="Amiri" w:eastAsia="Amiri" w:cs="Amiri"/>
          <w:color w:val="111111"/>
          <w:sz w:val="28"/>
          <w:sz w:val="28"/>
          <w:szCs w:val="28"/>
          <w:rtl w:val="true"/>
          <w:lang w:bidi="ar-SA"/>
        </w:rPr>
        <w:t xml:space="preserve">بصحّته ومطابقته للواقع كصحّة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حمل اعتقاده على الصحّة وحكم حكما شرعيا بواقعية ما اعتقده فلا يفرق في ذلك الأعمال السابقة والأفعال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وشيء </w:t>
      </w:r>
      <w:r>
        <w:rPr>
          <w:rStyle w:val="FootnoteAnchor"/>
          <w:rtl w:val="true"/>
        </w:rPr>
        <w:footnoteReference w:id="1759"/>
      </w:r>
      <w:r>
        <w:rPr>
          <w:rFonts w:ascii="Amiri" w:hAnsi="Amiri" w:eastAsia="Amiri" w:cs="Amiri"/>
          <w:color w:val="111111"/>
          <w:sz w:val="28"/>
          <w:sz w:val="28"/>
          <w:szCs w:val="28"/>
          <w:rtl w:val="true"/>
          <w:lang w:bidi="ar-SA"/>
        </w:rPr>
        <w:t xml:space="preserve">من الوجهين لا يكاد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الصحّة المستفادة من الأخبار لا تزيد على الصحّة في الأعمال السابقة التي قد انقضى محلّها ، وأمّا الأعمال الآتية فمحلّها باق ولا يزيد مفادها على عدم المؤاخذة بالأفعال الماضية ، وأمّا ثبوت الواقع بواسطة الحمل فممّا لا دليل عليه ، فعلى هذا فلا بدّ في الأعمال اللاحقة من العمل على ما يقتضيه القواعد فيما لو فرضنا انتفاء ذلك الاعتقاد وإن قدّر بناء العمل على الآثار الماضية أيضا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صحّة الاعتقاد كصحّة القول والاجتهاد لها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تقصير المعتقد كالقائل والمجتهد في تحصيل اعتقاده وقوله واجتهاده ، فالفاسد منها </w:t>
      </w:r>
      <w:r>
        <w:rPr>
          <w:rStyle w:val="FootnoteAnchor"/>
          <w:rtl w:val="true"/>
        </w:rPr>
        <w:footnoteReference w:id="1761"/>
      </w:r>
      <w:r>
        <w:rPr>
          <w:rFonts w:ascii="Amiri" w:hAnsi="Amiri" w:eastAsia="Amiri" w:cs="Amiri"/>
          <w:color w:val="111111"/>
          <w:sz w:val="28"/>
          <w:sz w:val="28"/>
          <w:szCs w:val="28"/>
          <w:rtl w:val="true"/>
          <w:lang w:bidi="ar-SA"/>
        </w:rPr>
        <w:t xml:space="preserve">ما لم يتفحّص المعتقد في تحصيله ، وعمد القائل بالكذب ، وقصّر المجتهد في الاجتهاد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قوله واعتقاده واجتهاده للواقع ، فالفاسد منها ما يخالف الواقع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المستدلّ من قاعدة الصحّة في الاعتقاد ما يعمّ الثاني أيضا فهو وإن كان يجدي فيما رامه إلاّ أنّه ممّا لا دليل عليه ؛ لعدم إفادة الأدلّة فيما عدا الصحّة </w:t>
      </w:r>
      <w:bookmarkStart w:id="211" w:name="pg16284_171305"/>
    </w:p>
    <w:p>
      <w:pPr>
        <w:pStyle w:val="BookText"/>
        <w:rPr/>
      </w:pPr>
      <w:bookmarkEnd w:id="211"/>
      <w:r>
        <w:rPr>
          <w:rFonts w:ascii="IRNazanin" w:hAnsi="IRNazanin" w:eastAsia="IRNazanin"/>
          <w:color w:val="111111"/>
          <w:sz w:val="28"/>
          <w:sz w:val="28"/>
          <w:szCs w:val="28"/>
          <w:rtl w:val="true"/>
          <w:lang w:bidi="fa-IR"/>
        </w:rPr>
        <w:t xml:space="preserve">بالوجه </w:t>
      </w:r>
      <w:r>
        <w:rPr>
          <w:rStyle w:val="FootnoteAnchor"/>
          <w:rtl w:val="true"/>
        </w:rPr>
        <w:footnoteReference w:id="1762"/>
      </w:r>
      <w:r>
        <w:rPr>
          <w:rFonts w:ascii="Amiri" w:hAnsi="Amiri" w:eastAsia="Amiri" w:cs="Amiri"/>
          <w:color w:val="111111"/>
          <w:sz w:val="28"/>
          <w:sz w:val="28"/>
          <w:szCs w:val="28"/>
          <w:rtl w:val="true"/>
          <w:lang w:bidi="ar-SA"/>
        </w:rPr>
        <w:t xml:space="preserve">الأوّل ، فإنّ وجوب تكذيب السمع والبصر على تقدير شمول مثله للأفعال الصادرة عن الفاعل الجاهل ، ممّا ليس فيه دلالة على كون القول أو </w:t>
      </w:r>
      <w:r>
        <w:rPr>
          <w:rStyle w:val="FootnoteAnchor"/>
          <w:rtl w:val="true"/>
        </w:rPr>
        <w:footnoteReference w:id="1763"/>
      </w:r>
      <w:r>
        <w:rPr>
          <w:rFonts w:ascii="Amiri" w:hAnsi="Amiri" w:eastAsia="Amiri" w:cs="Amiri"/>
          <w:color w:val="111111"/>
          <w:sz w:val="28"/>
          <w:sz w:val="28"/>
          <w:szCs w:val="28"/>
          <w:rtl w:val="true"/>
          <w:lang w:bidi="ar-SA"/>
        </w:rPr>
        <w:t xml:space="preserve">الاعتقاد أو الاجتهاد مطابقا للواقع ، بل ولا أظنّ أنّ أحدا يقول بذلك فيما إذا كان مدرك الاعتقاد و </w:t>
      </w:r>
      <w:r>
        <w:rPr>
          <w:rStyle w:val="FootnoteAnchor"/>
          <w:rtl w:val="true"/>
        </w:rPr>
        <w:footnoteReference w:id="1764"/>
      </w:r>
      <w:r>
        <w:rPr>
          <w:rFonts w:ascii="Amiri" w:hAnsi="Amiri" w:eastAsia="Amiri" w:cs="Amiri"/>
          <w:color w:val="111111"/>
          <w:sz w:val="28"/>
          <w:sz w:val="28"/>
          <w:szCs w:val="28"/>
          <w:rtl w:val="true"/>
          <w:lang w:bidi="ar-SA"/>
        </w:rPr>
        <w:t xml:space="preserve">الاجتهاد موجودا حاضرا لدى المعتقد والمجتهد ، مثلا لو فرضنا أنّ المجتهد إنّما قطع بجزئية السورة في الصلاة بواسطة رواية مرسلة ضعيفة الدلالة فتذكّر بعدم إفادة مثلها القطع في العادة فشكّ في نفس الحكم الذي أفتى به من </w:t>
      </w:r>
      <w:r>
        <w:rPr>
          <w:rStyle w:val="FootnoteAnchor"/>
          <w:rtl w:val="true"/>
        </w:rPr>
        <w:footnoteReference w:id="1765"/>
      </w:r>
      <w:r>
        <w:rPr>
          <w:rFonts w:ascii="Amiri" w:hAnsi="Amiri" w:eastAsia="Amiri" w:cs="Amiri"/>
          <w:color w:val="111111"/>
          <w:sz w:val="28"/>
          <w:sz w:val="28"/>
          <w:szCs w:val="28"/>
          <w:rtl w:val="true"/>
          <w:lang w:bidi="ar-SA"/>
        </w:rPr>
        <w:t xml:space="preserve">أوّل الأمر ، فلا يعقل الحكم بواسطة أصالة الصحّة بالمطابقة كما هو ظاهر ، حتّى أنّ الشيخ </w:t>
      </w:r>
      <w:r>
        <w:rPr>
          <w:rStyle w:val="FootnoteAnchor"/>
          <w:rtl w:val="true"/>
        </w:rPr>
        <w:footnoteReference w:id="1766"/>
      </w:r>
      <w:r>
        <w:rPr>
          <w:rFonts w:ascii="Amiri" w:hAnsi="Amiri" w:eastAsia="Amiri" w:cs="Amiri"/>
          <w:color w:val="111111"/>
          <w:sz w:val="28"/>
          <w:sz w:val="28"/>
          <w:szCs w:val="28"/>
          <w:rtl w:val="true"/>
          <w:lang w:bidi="ar-SA"/>
        </w:rPr>
        <w:t xml:space="preserve">أيضا </w:t>
      </w:r>
      <w:r>
        <w:rPr>
          <w:rStyle w:val="FootnoteAnchor"/>
          <w:rtl w:val="true"/>
        </w:rPr>
        <w:footnoteReference w:id="1767"/>
      </w:r>
      <w:r>
        <w:rPr>
          <w:rFonts w:ascii="Amiri" w:hAnsi="Amiri" w:eastAsia="Amiri" w:cs="Amiri"/>
          <w:color w:val="111111"/>
          <w:sz w:val="28"/>
          <w:sz w:val="28"/>
          <w:szCs w:val="28"/>
          <w:rtl w:val="true"/>
          <w:lang w:bidi="ar-SA"/>
        </w:rPr>
        <w:t>إنّما يستفاد من بعض تضاعيف كلماته تقييده بخفاء المدرك ، وكلامه إنّما هو في مجرّد الاعتقاد مع قطع النظر عن مدرك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صحّة الاعتقاد على الوجه الأوّل فهو حقّ لكنّه لا يفيد </w:t>
      </w:r>
      <w:r>
        <w:rPr>
          <w:rStyle w:val="FootnoteAnchor"/>
          <w:rtl w:val="true"/>
        </w:rPr>
        <w:footnoteReference w:id="1768"/>
      </w:r>
      <w:r>
        <w:rPr>
          <w:rFonts w:ascii="Amiri" w:hAnsi="Amiri" w:eastAsia="Amiri" w:cs="Amiri"/>
          <w:color w:val="111111"/>
          <w:sz w:val="28"/>
          <w:sz w:val="28"/>
          <w:szCs w:val="28"/>
          <w:rtl w:val="true"/>
          <w:lang w:bidi="ar-SA"/>
        </w:rPr>
        <w:t xml:space="preserve">فيما رامه ؛ إذ غايته عدم تقصيره وعصيانه في تحصيل الاعتقاد والاجتهاد وعدم تعمّده </w:t>
      </w:r>
      <w:r>
        <w:rPr>
          <w:rStyle w:val="FootnoteAnchor"/>
          <w:rtl w:val="true"/>
        </w:rPr>
        <w:footnoteReference w:id="1769"/>
      </w:r>
      <w:r>
        <w:rPr>
          <w:rFonts w:ascii="Amiri" w:hAnsi="Amiri" w:eastAsia="Amiri" w:cs="Amiri"/>
          <w:color w:val="111111"/>
          <w:sz w:val="28"/>
          <w:sz w:val="28"/>
          <w:szCs w:val="28"/>
          <w:rtl w:val="true"/>
          <w:lang w:bidi="ar-SA"/>
        </w:rPr>
        <w:t xml:space="preserve">بالكذب ، وأين </w:t>
      </w:r>
      <w:r>
        <w:rPr>
          <w:rStyle w:val="FootnoteAnchor"/>
          <w:rtl w:val="true"/>
        </w:rPr>
        <w:footnoteReference w:id="1770"/>
      </w:r>
      <w:r>
        <w:rPr>
          <w:rFonts w:ascii="Amiri" w:hAnsi="Amiri" w:eastAsia="Amiri" w:cs="Amiri"/>
          <w:color w:val="111111"/>
          <w:sz w:val="28"/>
          <w:sz w:val="28"/>
          <w:szCs w:val="28"/>
          <w:rtl w:val="true"/>
          <w:lang w:bidi="ar-SA"/>
        </w:rPr>
        <w:t xml:space="preserve">هو من مطابقة قوله واعتقاده واجتهاده للواقع </w:t>
      </w:r>
      <w:r>
        <w:rPr>
          <w:rStyle w:val="FootnoteAnchor"/>
          <w:rtl w:val="true"/>
        </w:rPr>
        <w:footnoteReference w:id="1771"/>
      </w:r>
      <w:r>
        <w:rPr>
          <w:rFonts w:ascii="IRNazanin" w:hAnsi="IRNazanin" w:eastAsia="IRNazanin"/>
          <w:color w:val="111111"/>
          <w:sz w:val="28"/>
          <w:sz w:val="28"/>
          <w:szCs w:val="28"/>
          <w:rtl w:val="true"/>
          <w:lang w:bidi="fa-IR"/>
        </w:rPr>
        <w:t>؟</w:t>
      </w:r>
    </w:p>
    <w:p>
      <w:pPr>
        <w:pStyle w:val="Heading4"/>
        <w:numPr>
          <w:ilvl w:val="3"/>
          <w:numId w:val="1"/>
        </w:numPr>
        <w:rPr/>
      </w:pPr>
      <w:bookmarkStart w:id="212" w:name="__RefHeading___Toc5012158_1280447820"/>
      <w:bookmarkStart w:id="213" w:name="_Toc68"/>
      <w:bookmarkEnd w:id="212"/>
      <w:r>
        <w:rPr>
          <w:rtl w:val="true"/>
        </w:rPr>
        <w:t>تنبيه</w:t>
      </w:r>
      <w:bookmarkEnd w:id="21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بعض من لا تحقيق له شمول أخبار الاستصحاب للشكوك السارية أيضا ؛ لأنّ قضيّة الأخبار عامّة شاملة للمقامين ، إذ المناط فيها على مجرّد الشكّ واليقين وهو حاصل فيهما ، وحيث إنّ بعض من لا درية </w:t>
      </w:r>
      <w:r>
        <w:rPr>
          <w:rStyle w:val="FootnoteAnchor"/>
          <w:rtl w:val="true"/>
        </w:rPr>
        <w:footnoteReference w:id="1772"/>
      </w:r>
      <w:r>
        <w:rPr>
          <w:rFonts w:ascii="IRNazanin" w:hAnsi="IRNazanin" w:eastAsia="IRNazanin"/>
          <w:color w:val="111111"/>
          <w:sz w:val="28"/>
          <w:sz w:val="28"/>
          <w:szCs w:val="28"/>
          <w:rtl w:val="true"/>
          <w:lang w:bidi="fa-IR"/>
        </w:rPr>
        <w:t xml:space="preserve">له قد تفصّى عن مثله بعدم انصراف </w:t>
      </w:r>
    </w:p>
    <w:p>
      <w:pPr>
        <w:pStyle w:val="BookText"/>
        <w:rPr/>
      </w:pPr>
      <w:r>
        <w:rPr>
          <w:rFonts w:ascii="Amiri" w:hAnsi="Amiri" w:eastAsia="Amiri" w:cs="Amiri"/>
          <w:color w:val="111111"/>
          <w:sz w:val="28"/>
          <w:sz w:val="28"/>
          <w:szCs w:val="28"/>
          <w:rtl w:val="true"/>
          <w:lang w:bidi="ar-SA"/>
        </w:rPr>
        <w:t xml:space="preserve">الأخبار إلى الشكوك السارية فاعترضه بأنّ الانصراف إنّما يتمّ </w:t>
      </w:r>
      <w:r>
        <w:rPr>
          <w:rStyle w:val="FootnoteAnchor"/>
          <w:rtl w:val="true"/>
        </w:rPr>
        <w:footnoteReference w:id="1773"/>
      </w:r>
      <w:r>
        <w:rPr>
          <w:rFonts w:ascii="Amiri" w:hAnsi="Amiri" w:eastAsia="Amiri" w:cs="Amiri"/>
          <w:color w:val="111111"/>
          <w:sz w:val="28"/>
          <w:sz w:val="28"/>
          <w:szCs w:val="28"/>
          <w:rtl w:val="true"/>
          <w:lang w:bidi="ar-SA"/>
        </w:rPr>
        <w:t xml:space="preserve">فيما لو سلّمناه عند إطلاق الدليل والمفروض على ما بيّن في محلّه عموم أخبار الباب ، فلا وجه لدعوى الانصراف فيه ، ولقد أغرب بعضهم فادّعى أنّ مورد الأخبار المذكورة في الشكوك السارية ، وهو غريب عجيب </w:t>
      </w:r>
      <w:r>
        <w:rPr>
          <w:rStyle w:val="FootnoteAnchor"/>
          <w:rtl w:val="true"/>
        </w:rPr>
        <w:footnoteReference w:id="1774"/>
      </w:r>
      <w:r>
        <w:rPr>
          <w:rFonts w:ascii="Amiri" w:hAnsi="Amiri" w:eastAsia="Amiri" w:cs="Amiri"/>
          <w:color w:val="111111"/>
          <w:sz w:val="28"/>
          <w:sz w:val="28"/>
          <w:szCs w:val="28"/>
          <w:rtl w:val="true"/>
          <w:lang w:bidi="ar-SA"/>
        </w:rPr>
        <w:t>؛ إذ ليس فيها منها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الارتباط بينهما ، وتوضيحه يتوقّف على بيان وجوه الفرق بين المقامين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يفترق مع الشكّ الساري مفهوما وموردا وثمرة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المعتبر في الاستصحاب هو الوجود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معلوما في السابق ، بل لو علمنا </w:t>
      </w:r>
      <w:r>
        <w:rPr>
          <w:rStyle w:val="FootnoteAnchor"/>
          <w:rtl w:val="true"/>
        </w:rPr>
        <w:footnoteReference w:id="1775"/>
      </w:r>
      <w:r>
        <w:rPr>
          <w:rFonts w:ascii="Amiri" w:hAnsi="Amiri" w:eastAsia="Amiri" w:cs="Amiri"/>
          <w:color w:val="111111"/>
          <w:sz w:val="28"/>
          <w:sz w:val="28"/>
          <w:szCs w:val="28"/>
          <w:rtl w:val="true"/>
          <w:lang w:bidi="ar-SA"/>
        </w:rPr>
        <w:t xml:space="preserve">بوجوده في السابق في زمان الشكّ ببقائه على وجه تقارن </w:t>
      </w:r>
      <w:r>
        <w:rPr>
          <w:rStyle w:val="FootnoteAnchor"/>
          <w:rtl w:val="true"/>
        </w:rPr>
        <w:footnoteReference w:id="1776"/>
      </w:r>
      <w:r>
        <w:rPr>
          <w:rFonts w:ascii="Amiri" w:hAnsi="Amiri" w:eastAsia="Amiri" w:cs="Amiri"/>
          <w:color w:val="111111"/>
          <w:sz w:val="28"/>
          <w:sz w:val="28"/>
          <w:szCs w:val="28"/>
          <w:rtl w:val="true"/>
          <w:lang w:bidi="ar-SA"/>
        </w:rPr>
        <w:t xml:space="preserve">الشكّ اليقين في زمان واحد كان استصحابا ، وأمّا ما هو المعروف من اعتبار اليقين السابق فمن حيث إنّ اليقين مرآة عن الوجود والتحقّق ، وليس لخصوص وصف اليقين في السابق مع قطع النظر عن استكشاف الواقع به مدخلية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اللاحق في بقاء الموجود المتحقّق سابقا وارتفاعه ، والمعتبر في الشكّ الساري هو وصف اليقين السابق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اليقين متعلّقا بموجود في اعتقاد المعتقد حال الاعتقاد إلاّ أنّ حدوث ذلك وتحقّقه غير ملحوظ في الشكّ الساري ولو في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اللاحق في صحّة ذلك اليقين ومطابقته للواقع وعدمها ، ولا ينافي القطع بارتفاعه على تقدير وجوده وصحّة اليقين أو القطع ببقائه على هذا التقدير </w:t>
      </w:r>
      <w:r>
        <w:rPr>
          <w:rStyle w:val="FootnoteAnchor"/>
          <w:rtl w:val="true"/>
        </w:rPr>
        <w:footnoteReference w:id="1777"/>
      </w:r>
      <w:r>
        <w:rPr>
          <w:rFonts w:ascii="Amiri" w:hAnsi="Amiri" w:eastAsia="Amiri" w:cs="Amiri"/>
          <w:color w:val="111111"/>
          <w:sz w:val="28"/>
          <w:sz w:val="28"/>
          <w:szCs w:val="28"/>
          <w:rtl w:val="true"/>
          <w:lang w:bidi="ar-SA"/>
        </w:rPr>
        <w:t>أو الشكّ فيه ؛ إذ لا يناط بالشكّ في الوجود في الزمن الثاني ، وإنّما مناطه الشكّ في صحّة الاعتقاد وهو لا ينافي القطع بالبقاء ؛ ضرورة إمكان حصول القطع بالملازمة مع الشكّ في وجود الملزوم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الاستصحاب في موارد الشكّ الساري بأجمعها يقضي بعدم التحقّق وعدم ثبوت الحكم ، فلا يجتمع معه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المطلوب في مورد الاستصحاب إنّما هو تصحيح الأعمال المترتّبة على الوجود بعد حدوث الشكّ ، فهو يثمر في الأعمال المستقبلة غالبا وعلاج بالنسبة إليها ، والمطلوب في مورد الشكّ الساري إنّما هو تصحيح الأعمال الماضية الصادرة حال اليقين ، وإنّما الحاجة في صحّة العمل المترتّب على ذلك اليقين والشكّ في صحّة اليقين إنّما كشف عن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تقرّر الفرق بين المقامين فليس ينبغي أن يذهب وهم إلى أنّ ما ورد في أحدهما يصلح أن يكون دليلا في الآخر ؛ إذ لا جامع بينهما إلاّ مجرّد لفظ اليقين والشكّ ، وهل يصلح ذلك بعد وجوه </w:t>
      </w:r>
      <w:r>
        <w:rPr>
          <w:rStyle w:val="FootnoteAnchor"/>
          <w:rtl w:val="true"/>
        </w:rPr>
        <w:footnoteReference w:id="1778"/>
      </w:r>
      <w:r>
        <w:rPr>
          <w:rFonts w:ascii="Amiri" w:hAnsi="Amiri" w:eastAsia="Amiri" w:cs="Amiri"/>
          <w:color w:val="111111"/>
          <w:sz w:val="28"/>
          <w:sz w:val="28"/>
          <w:szCs w:val="28"/>
          <w:rtl w:val="true"/>
          <w:lang w:bidi="ar-SA"/>
        </w:rPr>
        <w:t xml:space="preserve">الاختلاف والتباين منشأ لمثل هذا التوهّم؟ وليت شعري فهل قول أبي جعفر عليه‌السلام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على يقين من وضوئه ولا ينقض اليقين أبدا بالشكّ </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 xml:space="preserve">يمكن أن يجعل بيانا لحكم </w:t>
      </w:r>
      <w:r>
        <w:rPr>
          <w:rStyle w:val="FootnoteAnchor"/>
          <w:rtl w:val="true"/>
        </w:rPr>
        <w:footnoteReference w:id="1780"/>
      </w:r>
      <w:r>
        <w:rPr>
          <w:rFonts w:ascii="Amiri" w:hAnsi="Amiri" w:eastAsia="Amiri" w:cs="Amiri"/>
          <w:color w:val="111111"/>
          <w:sz w:val="28"/>
          <w:sz w:val="28"/>
          <w:szCs w:val="28"/>
          <w:rtl w:val="true"/>
          <w:lang w:bidi="ar-SA"/>
        </w:rPr>
        <w:t xml:space="preserve">الشكّ في صحّة اليقين بعد سؤال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أتوجب الخفقة؟ فإنّ السؤال إنّما هو عن حكم المتيقّن بعد الوجود والشكّ في بقائه وارتفاعه ، ولا ربط بينه وبين حكم الشكّ في صحّة اليقين وتحقّق المتيقّن ، وهل يمكن أن يكون المراد به أعمّ من الشكّين بعد انتفاء الجامع بين متعلّق الشكّين واليقينين </w:t>
      </w:r>
      <w:r>
        <w:rPr>
          <w:rStyle w:val="FootnoteAnchor"/>
          <w:rtl w:val="true"/>
        </w:rPr>
        <w:footnoteReference w:id="1781"/>
      </w:r>
      <w:r>
        <w:rPr>
          <w:rFonts w:ascii="Amiri" w:hAnsi="Amiri" w:eastAsia="Amiri" w:cs="Amiri"/>
          <w:color w:val="111111"/>
          <w:sz w:val="28"/>
          <w:sz w:val="28"/>
          <w:szCs w:val="28"/>
          <w:rtl w:val="true"/>
          <w:lang w:bidi="ar-SA"/>
        </w:rPr>
        <w:t xml:space="preserve">؟ كما أنّه لم يذهب وهم إلى أنّ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Style w:val="FootnoteAnchor"/>
          <w:rtl w:val="true"/>
        </w:rPr>
        <w:footnoteReference w:id="1782"/>
      </w:r>
      <w:r>
        <w:rPr>
          <w:rFonts w:ascii="Amiri" w:hAnsi="Amiri" w:eastAsia="Amiri" w:cs="Amiri"/>
          <w:color w:val="111111"/>
          <w:sz w:val="28"/>
          <w:sz w:val="28"/>
          <w:szCs w:val="28"/>
          <w:rtl w:val="true"/>
          <w:lang w:bidi="ar-SA"/>
        </w:rPr>
        <w:t>يعمّ الشكّ في وجود المشكوك فيه وعدمه بعد العلم بوجوده في الجملة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نبّهنا </w:t>
      </w:r>
      <w:r>
        <w:rPr>
          <w:rStyle w:val="FootnoteAnchor"/>
          <w:rtl w:val="true"/>
        </w:rPr>
        <w:footnoteReference w:id="1783"/>
      </w:r>
      <w:r>
        <w:rPr>
          <w:rFonts w:ascii="Amiri" w:hAnsi="Amiri" w:eastAsia="Amiri" w:cs="Amiri"/>
          <w:color w:val="111111"/>
          <w:sz w:val="28"/>
          <w:sz w:val="28"/>
          <w:szCs w:val="28"/>
          <w:rtl w:val="true"/>
          <w:lang w:bidi="ar-SA"/>
        </w:rPr>
        <w:t xml:space="preserve">على ما يظهر من رواية الخصال في أحد احتماليه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bookmarkStart w:id="214" w:name="pg16284_171308"/>
    </w:p>
    <w:p>
      <w:pPr>
        <w:pStyle w:val="BookText"/>
        <w:rPr/>
      </w:pPr>
      <w:bookmarkEnd w:id="214"/>
      <w:r>
        <w:rPr>
          <w:rFonts w:ascii="Amiri" w:hAnsi="Amiri" w:eastAsia="Amiri" w:cs="Amiri"/>
          <w:color w:val="111111"/>
          <w:sz w:val="28"/>
          <w:sz w:val="28"/>
          <w:szCs w:val="28"/>
          <w:rtl w:val="true"/>
          <w:lang w:bidi="ar-SA"/>
        </w:rPr>
        <w:t xml:space="preserve">كان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به من كان وصف اليقين حاصلا له </w:t>
      </w:r>
      <w:r>
        <w:rPr>
          <w:rStyle w:val="FootnoteAnchor"/>
          <w:rtl w:val="true"/>
        </w:rPr>
        <w:footnoteReference w:id="1784"/>
      </w:r>
      <w:r>
        <w:rPr>
          <w:rFonts w:ascii="Amiri" w:hAnsi="Amiri" w:eastAsia="Amiri" w:cs="Amiri"/>
          <w:color w:val="111111"/>
          <w:sz w:val="28"/>
          <w:sz w:val="28"/>
          <w:szCs w:val="28"/>
          <w:rtl w:val="true"/>
          <w:lang w:bidi="ar-SA"/>
        </w:rPr>
        <w:t xml:space="preserve">ثمّ شكّ في صحّة ذلك اليقين فليمض على يقينه ويحكم بصحّة يقينه ، ويحتمل أن يراد من كان له متيقّن موجود </w:t>
      </w:r>
      <w:r>
        <w:rPr>
          <w:rStyle w:val="FootnoteAnchor"/>
          <w:rtl w:val="true"/>
        </w:rPr>
        <w:footnoteReference w:id="1785"/>
      </w:r>
      <w:r>
        <w:rPr>
          <w:rFonts w:ascii="Amiri" w:hAnsi="Amiri" w:eastAsia="Amiri" w:cs="Amiri"/>
          <w:color w:val="111111"/>
          <w:sz w:val="28"/>
          <w:sz w:val="28"/>
          <w:szCs w:val="28"/>
          <w:rtl w:val="true"/>
          <w:lang w:bidi="ar-SA"/>
        </w:rPr>
        <w:t xml:space="preserve">معلوم على أن يكون اليقين جهة للقضيّة لا موضوعا فيها ثمّ شكّ في بقائه وارتفاعه فليمض على يقينه ويحكم بوجود المتيقّن بترتيب آثاره عليه ، فعلى الأوّل يصير دليلا للشكّ الساري ، وعلى الثاني دليلا للاستصحاب ، إلاّ أنّ الثاني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 لبعده </w:t>
      </w:r>
      <w:r>
        <w:rPr>
          <w:rStyle w:val="FootnoteAnchor"/>
          <w:rtl w:val="true"/>
        </w:rPr>
        <w:footnoteReference w:id="1786"/>
      </w:r>
      <w:r>
        <w:rPr>
          <w:rFonts w:ascii="Amiri" w:hAnsi="Amiri" w:eastAsia="Amiri" w:cs="Amiri"/>
          <w:color w:val="111111"/>
          <w:sz w:val="28"/>
          <w:sz w:val="28"/>
          <w:szCs w:val="28"/>
          <w:rtl w:val="true"/>
          <w:lang w:bidi="ar-SA"/>
        </w:rPr>
        <w:t xml:space="preserve">بالنسبة إلى الأوّل كما </w:t>
      </w:r>
      <w:r>
        <w:rPr>
          <w:rStyle w:val="FootnoteAnchor"/>
          <w:rtl w:val="true"/>
        </w:rPr>
        <w:footnoteReference w:id="1787"/>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5012160_1280447820"/>
      <w:bookmarkStart w:id="216" w:name="_Toc69"/>
      <w:bookmarkEnd w:id="215"/>
      <w:r>
        <w:rPr>
          <w:rtl w:val="true"/>
        </w:rPr>
        <w:t>تذنيب</w:t>
      </w:r>
      <w:bookmarkEnd w:id="216"/>
    </w:p>
    <w:p>
      <w:pPr>
        <w:pStyle w:val="BookText"/>
        <w:rPr/>
      </w:pPr>
      <w:r>
        <w:rPr>
          <w:rFonts w:ascii="Amiri" w:hAnsi="Amiri" w:eastAsia="Amiri" w:cs="Amiri"/>
          <w:color w:val="111111"/>
          <w:sz w:val="28"/>
          <w:sz w:val="28"/>
          <w:szCs w:val="28"/>
          <w:rtl w:val="true"/>
          <w:lang w:bidi="ar-SA"/>
        </w:rPr>
        <w:t xml:space="preserve">قد يظهر من بعضهم التمسّك في موارد سريان الشكّ باستصحاب الحكم الظاهري ، مثلا فيما لو اعتقد المجتهد حلّية العصير العنبي أو طهارته ، ثمّ طرأ الشكّ عليه ، فقبل طريان الشكّ على </w:t>
      </w:r>
      <w:r>
        <w:rPr>
          <w:rStyle w:val="FootnoteAnchor"/>
          <w:rtl w:val="true"/>
        </w:rPr>
        <w:footnoteReference w:id="1788"/>
      </w:r>
      <w:r>
        <w:rPr>
          <w:rFonts w:ascii="Amiri" w:hAnsi="Amiri" w:eastAsia="Amiri" w:cs="Amiri"/>
          <w:color w:val="111111"/>
          <w:sz w:val="28"/>
          <w:sz w:val="28"/>
          <w:szCs w:val="28"/>
          <w:rtl w:val="true"/>
          <w:lang w:bidi="ar-SA"/>
        </w:rPr>
        <w:t>صحّة الاعتقاد كان العصير في مرحلة الظاهر بحسب ما أدّى إليه نظر المجتهد حلالا وطاهرا ، وبعد الشكّ يستصحب الحلّية الظاهرية والطهارة الثابتة في مرحلة الظاهر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محلّه ؛ لأنّه من الاستصحاب العرضي وهو ليس معتبرا </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أنّه إذا كان للفعل أو الشيء المستصحب جهتان يترتّب على إحداهما حكم قطعا ، وترتّبه على الأخرى مشكوك من أوّل الأمر ابتداء ، ثمّ بعد ارتفاع الجهة المعلومة لا يمكن استصحاب ذلك الحكم ؛ إذ ثبوت الحكم بالنسبة إلى الجهة المشكوكة غير معلوم وبالنسبة إلى الجهة المعلومة معلوم الارتفاع ، مثلا فيما لو فرضنا حيوانا متولّدا من الكلب والغنم ولم يعلم إلحاقه بأحد عموديه عرفا ، فمقتضى القاعدة الحكم بطهارته </w:t>
      </w:r>
    </w:p>
    <w:p>
      <w:pPr>
        <w:pStyle w:val="BookText"/>
        <w:rPr/>
      </w:pPr>
      <w:r>
        <w:rPr>
          <w:rFonts w:ascii="Amiri" w:hAnsi="Amiri" w:eastAsia="Amiri" w:cs="Amiri"/>
          <w:color w:val="111111"/>
          <w:sz w:val="28"/>
          <w:sz w:val="28"/>
          <w:szCs w:val="28"/>
          <w:rtl w:val="true"/>
          <w:lang w:bidi="ar-SA"/>
        </w:rPr>
        <w:t xml:space="preserve">نظرا إلى أصالة الطهارة ، إلاّ أنّه ربّما يغالط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الحيوان المتولّد من الكلب باعتبار ملاقاته لباطن الكلب أو بواسطة تلطّخه بدم النفاس كان نجسا قطعا ، وبعد ما زالت النجاسة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w:t>
      </w:r>
      <w:r>
        <w:rPr>
          <w:rStyle w:val="FootnoteAnchor"/>
          <w:rtl w:val="true"/>
        </w:rPr>
        <w:footnoteReference w:id="1790"/>
      </w:r>
      <w:r>
        <w:rPr>
          <w:rFonts w:ascii="Amiri" w:hAnsi="Amiri" w:eastAsia="Amiri" w:cs="Amiri"/>
          <w:color w:val="111111"/>
          <w:sz w:val="28"/>
          <w:sz w:val="28"/>
          <w:szCs w:val="28"/>
          <w:rtl w:val="true"/>
          <w:lang w:bidi="ar-SA"/>
        </w:rPr>
        <w:t xml:space="preserve">في بقاء النجاسة وارتفاعها فتستصحب </w:t>
      </w:r>
      <w:r>
        <w:rPr>
          <w:rStyle w:val="FootnoteAnchor"/>
          <w:rtl w:val="true"/>
        </w:rPr>
        <w:footnoteReference w:id="1791"/>
      </w:r>
      <w:r>
        <w:rPr>
          <w:rFonts w:ascii="Amiri" w:hAnsi="Amiri" w:eastAsia="Amiri" w:cs="Amiri"/>
          <w:color w:val="111111"/>
          <w:sz w:val="28"/>
          <w:sz w:val="28"/>
          <w:szCs w:val="28"/>
          <w:rtl w:val="true"/>
          <w:lang w:bidi="ar-SA"/>
        </w:rPr>
        <w:t>النجاسة ، وفساده ممّا لا يكاد يخفى على أوائل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جملة من موارد الاستصحاب وقد مرّ الإشارة إلى بعضها ، كما في استصحاب وجوب الأجزاء بعد تعذّر الكلّ ، ومنه ما غالط به بعض الأخبارية على ما نقل عنه في ردّ العمل بالاستصحاب في الأحكام من أنّ العمل به قبل الفحص حرام قطعا ، وبعده يشكّ فيها ، والاستصحاب يقضي بحرمته ، ومنه ما تمسّك به بعضهم </w:t>
      </w:r>
      <w:r>
        <w:rPr>
          <w:rStyle w:val="FootnoteAnchor"/>
          <w:rtl w:val="true"/>
        </w:rPr>
        <w:footnoteReference w:id="1792"/>
      </w:r>
      <w:r>
        <w:rPr>
          <w:rFonts w:ascii="Amiri" w:hAnsi="Amiri" w:eastAsia="Amiri" w:cs="Amiri"/>
          <w:color w:val="111111"/>
          <w:sz w:val="28"/>
          <w:sz w:val="28"/>
          <w:szCs w:val="28"/>
          <w:rtl w:val="true"/>
          <w:lang w:bidi="ar-SA"/>
        </w:rPr>
        <w:t xml:space="preserve">في إثبات حجّية العامّ المخصّص باستصحاب حجّيته قبل التخصيص بعده ، فإنّ الكلّ على حدّ سواء في عدم الاعتداد بالاستصحاب فيها </w:t>
      </w:r>
      <w:r>
        <w:rPr>
          <w:rStyle w:val="FootnoteAnchor"/>
          <w:rtl w:val="true"/>
        </w:rPr>
        <w:footnoteReference w:id="1793"/>
      </w:r>
      <w:r>
        <w:rPr>
          <w:rFonts w:ascii="Amiri" w:hAnsi="Amiri" w:eastAsia="Amiri" w:cs="Amiri"/>
          <w:color w:val="111111"/>
          <w:sz w:val="28"/>
          <w:sz w:val="28"/>
          <w:szCs w:val="28"/>
          <w:rtl w:val="true"/>
          <w:lang w:bidi="ar-SA"/>
        </w:rPr>
        <w:t xml:space="preserve">؛ لأنّ الحكم اللاحق للعنوان باعتبار أمر طار عليه قد ارتفع قطعا ، إذ لا ريب في انتفاء الاعتقاد بالحلّية أو الطهارة بالنسبة إلى المثال الأوّل ، فإنّه كان هو المنشأ لتخيّل الحكم الظاهري ولم يكن حكما ظاهريا أيضا كما لا يخفى ، والحكم اللاحق للعنوان باعتبار أمر </w:t>
      </w:r>
      <w:r>
        <w:rPr>
          <w:rStyle w:val="FootnoteAnchor"/>
          <w:rtl w:val="true"/>
        </w:rPr>
        <w:footnoteReference w:id="1794"/>
      </w:r>
      <w:r>
        <w:rPr>
          <w:rFonts w:ascii="Amiri" w:hAnsi="Amiri" w:eastAsia="Amiri" w:cs="Amiri"/>
          <w:color w:val="111111"/>
          <w:sz w:val="28"/>
          <w:sz w:val="28"/>
          <w:szCs w:val="28"/>
          <w:rtl w:val="true"/>
          <w:lang w:bidi="ar-SA"/>
        </w:rPr>
        <w:t>آخر غير معلوم الثبوت ابتداء ، فلا يتحقّق الاستصحاب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فالاستصحاب في هذه الموارد بالنسبة إلى الجهة المشكوكة يكون من الاستصحاب في الشكوك السارية ، وبالنسبة إلى الجهة المعلومة من الاستصحاب في الشكوك العرضية ، فعند التحقيق يكون الشكّ في الاستصحاب العرضي من الشكّ في الأقلّ والأكثر لا على وجه الارتباط بين الأقلّ والأكثر ، بل الأقلّ بعنوانه معلوم تفصيلا والزائد غير معلوم كذلك ، وبمثل ذلك يجاب في المغالطة الأخبارية فإنّ الحرمة اللازمة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w:t>
      </w:r>
      <w:r>
        <w:rPr>
          <w:rStyle w:val="FootnoteAnchor"/>
          <w:rtl w:val="true"/>
        </w:rPr>
        <w:footnoteReference w:id="1795"/>
      </w:r>
      <w:r>
        <w:rPr>
          <w:rFonts w:ascii="Amiri" w:hAnsi="Amiri" w:eastAsia="Amiri" w:cs="Amiri"/>
          <w:color w:val="111111"/>
          <w:sz w:val="28"/>
          <w:sz w:val="28"/>
          <w:szCs w:val="28"/>
          <w:rtl w:val="true"/>
          <w:lang w:bidi="ar-SA"/>
        </w:rPr>
        <w:t xml:space="preserve">الفحص قد زالت والحرمة الذاتية لم تثبت ، وكذا في العامّ المخصّص فإنّ الحجّية المستندة إلى عدم التخصيص قد ارتفعت ، وغيرها مشكوكة من أوّل الأمر وإلاّ يلزم البداء المحال وذلك أمر واضح وإن اشتبه بعض أفراده على بعض الأفهام ، ولكن بعد ملاحظة ما ذكرنا من الأمثلة لا يكاد يشتبه الأمر على أحد ، وأوضح فسادا من الكلّ ما 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حيوان خلق إبداعا وشكّ في طهارته ونجاسته ، فإنّ المغالط قد ينجّسه بنجاسة عرضية كأن يبول عليه أحد ، ثمّ بعد زوال تلك النجاسة العرضية يستصحب النجاسة لإثبات النجاسة الذاتية ، فكن على بصيرة من الأمر وتأمّل واغتنم واللّه الموفّق الهادي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 xml:space="preserve">. </w:t>
      </w:r>
      <w:bookmarkStart w:id="217" w:name="pg16284_171311"/>
    </w:p>
    <w:p>
      <w:pPr>
        <w:pStyle w:val="Heading3"/>
        <w:numPr>
          <w:ilvl w:val="2"/>
          <w:numId w:val="1"/>
        </w:numPr>
        <w:rPr/>
      </w:pPr>
      <w:bookmarkStart w:id="218" w:name="__RefHeading___Toc5012162_1280447820"/>
      <w:bookmarkStart w:id="219" w:name="_Toc70"/>
      <w:bookmarkEnd w:id="217"/>
      <w:bookmarkEnd w:id="218"/>
      <w:r>
        <w:rPr>
          <w:rtl w:val="true"/>
        </w:rPr>
        <w:t xml:space="preserve">هداية </w:t>
      </w:r>
      <w:r>
        <w:rPr>
          <w:rtl w:val="true"/>
        </w:rPr>
        <w:t xml:space="preserve">[ </w:t>
      </w:r>
      <w:r>
        <w:rPr>
          <w:rtl w:val="true"/>
        </w:rPr>
        <w:t xml:space="preserve">في الاستصحاب التعليقي </w:t>
      </w:r>
      <w:r>
        <w:rPr>
          <w:rtl w:val="true"/>
        </w:rPr>
        <w:t>]</w:t>
      </w:r>
      <w:bookmarkEnd w:id="219"/>
    </w:p>
    <w:p>
      <w:pPr>
        <w:pStyle w:val="BookText"/>
        <w:rPr/>
      </w:pPr>
      <w:r>
        <w:rPr>
          <w:rFonts w:ascii="Amiri" w:hAnsi="Amiri" w:eastAsia="Amiri" w:cs="Amiri"/>
          <w:color w:val="111111"/>
          <w:sz w:val="28"/>
          <w:sz w:val="28"/>
          <w:szCs w:val="28"/>
          <w:rtl w:val="true"/>
          <w:lang w:bidi="ar-SA"/>
        </w:rPr>
        <w:t xml:space="preserve">قد اصطلح بعض الأواخر على تسمية بعض أقسام الاستصحاب بالاستصحاب التعليقي ، وربّما يتراءى في بعض الأنظار </w:t>
      </w:r>
      <w:r>
        <w:rPr>
          <w:rStyle w:val="FootnoteAnchor"/>
          <w:rtl w:val="true"/>
        </w:rPr>
        <w:footnoteReference w:id="1797"/>
      </w:r>
      <w:r>
        <w:rPr>
          <w:rFonts w:ascii="IRNazanin" w:hAnsi="IRNazanin" w:eastAsia="IRNazanin"/>
          <w:color w:val="111111"/>
          <w:sz w:val="28"/>
          <w:sz w:val="28"/>
          <w:szCs w:val="28"/>
          <w:rtl w:val="true"/>
          <w:lang w:bidi="fa-IR"/>
        </w:rPr>
        <w:t>عدم الاعتداد بهذا القسم من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الحكم قد يكون الماهيّة المجرّدة عن الوجودين كما في لوازم الماهيّة مثل </w:t>
      </w:r>
      <w:r>
        <w:rPr>
          <w:rStyle w:val="FootnoteAnchor"/>
          <w:rtl w:val="true"/>
        </w:rPr>
        <w:footnoteReference w:id="1798"/>
      </w:r>
      <w:r>
        <w:rPr>
          <w:rFonts w:ascii="Amiri" w:hAnsi="Amiri" w:eastAsia="Amiri" w:cs="Amiri"/>
          <w:color w:val="111111"/>
          <w:sz w:val="28"/>
          <w:sz w:val="28"/>
          <w:szCs w:val="28"/>
          <w:rtl w:val="true"/>
          <w:lang w:bidi="ar-SA"/>
        </w:rPr>
        <w:t xml:space="preserve">زوجية الأربعة ونحوها كما في الأحكام الطلبية فإنّ الوجوب إنّما هو من لواحق الماهيّة كالمطلوبية ؛ إذ بعد الوجود فلا وجه لوجوبه ومطلوبيته ، لاستحالة تحصيل الحاصل ، غايته أنّ الطالب إنّما يلاحظ الماهيّة الموجودة في الذهن بعنوان وجودها في الخارج فيلحقها وصف المطلوبية ومن هذه الجهة تفترق الزوجية اللازمة للأربعة ، ولهذا ترى </w:t>
      </w:r>
      <w:r>
        <w:rPr>
          <w:rStyle w:val="FootnoteAnchor"/>
          <w:rtl w:val="true"/>
        </w:rPr>
        <w:footnoteReference w:id="1799"/>
      </w:r>
      <w:r>
        <w:rPr>
          <w:rFonts w:ascii="Amiri" w:hAnsi="Amiri" w:eastAsia="Amiri" w:cs="Amiri"/>
          <w:color w:val="111111"/>
          <w:sz w:val="28"/>
          <w:sz w:val="28"/>
          <w:szCs w:val="28"/>
          <w:rtl w:val="true"/>
          <w:lang w:bidi="ar-SA"/>
        </w:rPr>
        <w:t>أنّ المتصوّر لماهيّة الصلاة لا يعدّ ممتثلا للأمر بها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الماهيّة </w:t>
      </w:r>
      <w:r>
        <w:rPr>
          <w:rStyle w:val="FootnoteAnchor"/>
          <w:rtl w:val="true"/>
        </w:rPr>
        <w:footnoteReference w:id="1800"/>
      </w:r>
      <w:r>
        <w:rPr>
          <w:rFonts w:ascii="Amiri" w:hAnsi="Amiri" w:eastAsia="Amiri" w:cs="Amiri"/>
          <w:color w:val="111111"/>
          <w:sz w:val="28"/>
          <w:sz w:val="28"/>
          <w:szCs w:val="28"/>
          <w:rtl w:val="true"/>
          <w:lang w:bidi="ar-SA"/>
        </w:rPr>
        <w:t xml:space="preserve">الموجودة في الخارج ، فالوجود الخارجي ليس إلاّ جزء من موضوع الحكم ، فهو متعلّق به لا أن يكون معلّقا عليه ، كما في نجاسة الكلب فإنّ النجاسة إنّما هي من ملحقات الموجود </w:t>
      </w:r>
      <w:r>
        <w:rPr>
          <w:rStyle w:val="FootnoteAnchor"/>
          <w:rtl w:val="true"/>
        </w:rPr>
        <w:footnoteReference w:id="1801"/>
      </w:r>
      <w:r>
        <w:rPr>
          <w:rFonts w:ascii="Amiri" w:hAnsi="Amiri" w:eastAsia="Amiri" w:cs="Amiri"/>
          <w:color w:val="111111"/>
          <w:sz w:val="28"/>
          <w:sz w:val="28"/>
          <w:szCs w:val="28"/>
          <w:rtl w:val="true"/>
          <w:lang w:bidi="ar-SA"/>
        </w:rPr>
        <w:t xml:space="preserve">الخارجي وليست النجاسة معلّقة على وجود </w:t>
      </w:r>
    </w:p>
    <w:p>
      <w:pPr>
        <w:pStyle w:val="BookText"/>
        <w:rPr/>
      </w:pPr>
      <w:r>
        <w:rPr>
          <w:rFonts w:ascii="Amiri" w:hAnsi="Amiri" w:eastAsia="Amiri" w:cs="Amiri"/>
          <w:color w:val="111111"/>
          <w:sz w:val="28"/>
          <w:sz w:val="28"/>
          <w:szCs w:val="28"/>
          <w:rtl w:val="true"/>
          <w:lang w:bidi="ar-SA"/>
        </w:rPr>
        <w:t xml:space="preserve">الكلب في الخارج ، نعم لو كان الموضوع هو نفس الماهيّة </w:t>
      </w:r>
      <w:r>
        <w:rPr>
          <w:rStyle w:val="FootnoteAnchor"/>
          <w:rtl w:val="true"/>
        </w:rPr>
        <w:footnoteReference w:id="1802"/>
      </w:r>
      <w:r>
        <w:rPr>
          <w:rFonts w:ascii="Amiri" w:hAnsi="Amiri" w:eastAsia="Amiri" w:cs="Amiri"/>
          <w:color w:val="111111"/>
          <w:sz w:val="28"/>
          <w:sz w:val="28"/>
          <w:szCs w:val="28"/>
          <w:rtl w:val="true"/>
          <w:lang w:bidi="ar-SA"/>
        </w:rPr>
        <w:t>كما في المثال المتقدّم صحّ التعليق بالوجود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الموضوع هو الموجود الخارجي لكن تعلّق الحكم به معلّق على حصول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المقامين واضح فإنّ انتفاء الحكم على تقدير عدم المعلّق عليه بواسطة انتفائه وإن كان الموضوع موجودا على الأخير ، وانتفائه على تقدير عدم الموضوع بواسطة انتفاء الموضوع ، فعدم النجاسة فيما لو قدّر عدم الكلب بواسطة عدم الكلب ، فنجاسة الكلب منفيّة لا أنّ النجاسة عن الكلب منفيّة ، بخلاف ما إذا كان الحكم معلّقا على أمر آخر كما في وجوب الحجّ فإنّ الوجوب عن المكلّف منفيّ عند انتفاء الاستطاعة كما لا يخفى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المتعلّق على موضوع خاصّ ليس معلّقا على وجود الموضوع فيما لو كان الموضوع هو الموجود ، وإلاّ فلم يبق لنا حكم تنجيزي أصلا ، فالمراد بالاستصحاب التعليقي هو استصحاب الحكم المعلّق على وجود أمر عند احتمال زوال ذلك الحكم ، مثلا إنّ نجاسة العصير العنبي معلّق على غليان ذلك العصير واشتداده وعدم ذهاب ثلثيه ، وهذه عبارة عن قضيّة تعليقية وهي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العصير إنّما هو على وجه لو غلى واشتدّ ولم يذهب ثلثاه كان نجسا ، فالشكّ في هذه القضيّة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ببقاء الملازمة في الوقت الثاني وارتفاعها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السببية المستفادة من اقتران الشرط في جملة المقدّم بأداة الشرط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جريان الاستصحاب على الأوّلين ؛ لعدم المانع منه وليس من الاستصحاب التعليقي </w:t>
      </w:r>
    </w:p>
    <w:p>
      <w:pPr>
        <w:pStyle w:val="BookText"/>
        <w:rPr/>
      </w:pPr>
      <w:r>
        <w:rPr>
          <w:rFonts w:ascii="Amiri" w:hAnsi="Amiri" w:eastAsia="Amiri" w:cs="Amiri"/>
          <w:color w:val="111111"/>
          <w:sz w:val="28"/>
          <w:sz w:val="28"/>
          <w:szCs w:val="28"/>
          <w:rtl w:val="true"/>
          <w:lang w:bidi="ar-SA"/>
        </w:rPr>
        <w:t xml:space="preserve">في شيء منهما ، وإنّما الكلام في استصحاب الحكم المعلّق عليه ، كما إذا شكّ في نجاسة العصير المأخوذ من الزبيب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عصيره فيما لو غلى واشتدّ ولم يذهب ثلثاه نجس قطعا ، وبعد ما صار زبيبا يشكّ في نجاسة عصيره وعدمها ، فيستصحب الحكم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المرأة قبل الوقت عند بياضها كانت بحيث لو دخل الوقت يجب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دخول الوقت يشكّ </w:t>
      </w:r>
      <w:r>
        <w:rPr>
          <w:rStyle w:val="FootnoteAnchor"/>
          <w:rtl w:val="true"/>
        </w:rPr>
        <w:footnoteReference w:id="1804"/>
      </w:r>
      <w:r>
        <w:rPr>
          <w:rFonts w:ascii="Amiri" w:hAnsi="Amiri" w:eastAsia="Amiri" w:cs="Amiri"/>
          <w:color w:val="111111"/>
          <w:sz w:val="28"/>
          <w:sz w:val="28"/>
          <w:szCs w:val="28"/>
          <w:rtl w:val="true"/>
          <w:lang w:bidi="ar-SA"/>
        </w:rPr>
        <w:t xml:space="preserve">في الوجوب بواسطة احمرار وجدتها </w:t>
      </w:r>
      <w:r>
        <w:rPr>
          <w:rStyle w:val="FootnoteAnchor"/>
          <w:rtl w:val="true"/>
        </w:rPr>
        <w:footnoteReference w:id="1805"/>
      </w:r>
      <w:r>
        <w:rPr>
          <w:rFonts w:ascii="Amiri" w:hAnsi="Amiri" w:eastAsia="Amiri" w:cs="Amiri"/>
          <w:color w:val="111111"/>
          <w:sz w:val="28"/>
          <w:sz w:val="28"/>
          <w:szCs w:val="28"/>
          <w:rtl w:val="true"/>
          <w:lang w:bidi="ar-SA"/>
        </w:rPr>
        <w:t>غير معلوم الحيضية ، فيستصحب الوجوب المعلّق على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وجوب الحجّ فإنّ المكلّف قبل الاستطاعة كان بحيث لو استطاع وجب عليه الحجّ ، ثمّ شكّ في الوجوب المعلّق على الاستطاعة عند الخوف من العدوّ الذي يحتاج دفعه إلى بذل بعض من المال ، فيستصحب الوجوب المعلّق ، ولا ضير في هذا الاستصحاب أيضا من جهة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الحكم المعلّق دائما معارض باستصحاب عدم الحكم المنجّز عند فقد المعلّق عليه ، مثلا استصحاب وجوب الحجّ معارض باستصحاب عدم وجوب الحجّ المنجّز عند عدم الاستطاعة ، وكذا استصحاب وجوب الصلاة معارض باستصحاب عدم وجوب الصلاة قبل ، فلا يجدي استصحاب الوجوب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الشكّ في الوجوب وعدمه بعد حصول المعلّق عليه مسبّب عن الشكّ في بقاء الحكم المعلّق عليه ، وبعد استصحاب الحكم المعلّق فلا يبقى للشكّ في الوجوب مجال ، فلا تعارض ؛ لأنّه مزيل بالنسبة إليه ، فلا إشكال في جريان الاستصحاب من حيث إنّ المستصحب معلّق </w:t>
      </w:r>
      <w:r>
        <w:rPr>
          <w:rStyle w:val="FootnoteAnchor"/>
          <w:rtl w:val="true"/>
        </w:rPr>
        <w:footnoteReference w:id="1806"/>
      </w:r>
      <w:r>
        <w:rPr>
          <w:rFonts w:ascii="Amiri" w:hAnsi="Amiri" w:eastAsia="Amiri" w:cs="Amiri"/>
          <w:color w:val="111111"/>
          <w:sz w:val="28"/>
          <w:sz w:val="28"/>
          <w:szCs w:val="28"/>
          <w:rtl w:val="true"/>
          <w:lang w:bidi="ar-SA"/>
        </w:rPr>
        <w:t xml:space="preserve">، نعم لا بدّ من ملاحظة شيء آخر في أمثال هذه الموارد وهو أنّ سبب الشكّ قد يكون من أجزاء المقدّم والتالي في القضيّة التعليقية فلا بدّ من إحراز هذه المقدّمة ، فالملازمة إنّما هي </w:t>
      </w:r>
      <w:r>
        <w:rPr>
          <w:rStyle w:val="FootnoteAnchor"/>
          <w:rtl w:val="true"/>
        </w:rPr>
        <w:footnoteReference w:id="1807"/>
      </w:r>
      <w:r>
        <w:rPr>
          <w:rFonts w:ascii="Amiri" w:hAnsi="Amiri" w:eastAsia="Amiri" w:cs="Amiri"/>
          <w:color w:val="111111"/>
          <w:sz w:val="28"/>
          <w:sz w:val="28"/>
          <w:szCs w:val="28"/>
          <w:rtl w:val="true"/>
          <w:lang w:bidi="ar-SA"/>
        </w:rPr>
        <w:t xml:space="preserve">بين المقدّم والتالي لكن بعد </w:t>
      </w:r>
    </w:p>
    <w:p>
      <w:pPr>
        <w:pStyle w:val="BookText"/>
        <w:rPr/>
      </w:pPr>
      <w:r>
        <w:rPr>
          <w:rFonts w:ascii="Amiri" w:hAnsi="Amiri" w:eastAsia="Amiri" w:cs="Amiri"/>
          <w:color w:val="111111"/>
          <w:sz w:val="28"/>
          <w:sz w:val="28"/>
          <w:szCs w:val="28"/>
          <w:rtl w:val="true"/>
          <w:lang w:bidi="ar-SA"/>
        </w:rPr>
        <w:t>الأخذ بجميع ما يعتبر في الطرفين ، ففيما لو علمنا بذلك فلا شكّ في عدم جريان الاستصحاب ؛ إذ عدم الحكم على تقدير قطعي وثبوته على تقدير مشكوك أصلا ، وقد عرفت عدم جريان الاستصحاب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لو شككنا في جزئية شيء للمقدّم أو للتالي إلاّ أن يستفاد من ظهور اللفظ الوارد في مقام التعليق شرطية الشيء الخاصّ مع قطع النظر عمّا عداه ، فإنّ المناط في تشخيص هذه الأمور على الرجوع إلى الأدلّة الدالّة على هذه الأحكام التعليقية ، فربّما يستفاد منها شرطية شيء خاصّ ، وربّما يستفاد انضمام شيء آخر إليه ، وهذا هو الوجه في خلافهم في وجوب الحجّ على المستطيع فيما لو توقّف دفع العدوّ على دفع بعض المال الذي يبقى معه الاستطاعة ، وربّما يتسامح في بعض ما يحتمل كونه جزء من المقدّم كالوصف أو الحال أو الزمان فيلاحظ </w:t>
      </w:r>
      <w:r>
        <w:rPr>
          <w:rStyle w:val="FootnoteAnchor"/>
          <w:rtl w:val="true"/>
        </w:rPr>
        <w:footnoteReference w:id="1808"/>
      </w:r>
      <w:r>
        <w:rPr>
          <w:rFonts w:ascii="Amiri" w:hAnsi="Amiri" w:eastAsia="Amiri" w:cs="Amiri"/>
          <w:color w:val="111111"/>
          <w:sz w:val="28"/>
          <w:sz w:val="28"/>
          <w:szCs w:val="28"/>
          <w:rtl w:val="true"/>
          <w:lang w:bidi="ar-SA"/>
        </w:rPr>
        <w:t xml:space="preserve">فيها كونها ظرفا لا قيدا لأحد الطرفين ، مثلا في قولنا الماء المتغيّر فيما لو كان مقدّما في قضيّة تعليقية قد يعتبر مركّبا فبانتفاء أحد جزئية ينتفي التالي ، وقد يعتبر المقدّم هو الماء في حال التغيّر على وجه لا يكون التغيّر مناطا في الملازمة </w:t>
      </w:r>
      <w:r>
        <w:rPr>
          <w:rStyle w:val="FootnoteAnchor"/>
          <w:rtl w:val="true"/>
        </w:rPr>
        <w:footnoteReference w:id="1809"/>
      </w:r>
      <w:r>
        <w:rPr>
          <w:rFonts w:ascii="Amiri" w:hAnsi="Amiri" w:eastAsia="Amiri" w:cs="Amiri"/>
          <w:color w:val="111111"/>
          <w:sz w:val="28"/>
          <w:sz w:val="28"/>
          <w:szCs w:val="28"/>
          <w:rtl w:val="true"/>
          <w:lang w:bidi="ar-SA"/>
        </w:rPr>
        <w:t xml:space="preserve">، فعلى الأوّل لا معنى للاستصحاب ، وعلى الثاني يجري الاستصحاب ، إلاّ أنّه لا يخفى على أحد أنّه </w:t>
      </w:r>
      <w:r>
        <w:rPr>
          <w:rStyle w:val="FootnoteAnchor"/>
          <w:rtl w:val="true"/>
        </w:rPr>
        <w:footnoteReference w:id="1810"/>
      </w:r>
      <w:r>
        <w:rPr>
          <w:rFonts w:ascii="Amiri" w:hAnsi="Amiri" w:eastAsia="Amiri" w:cs="Amiri"/>
          <w:color w:val="111111"/>
          <w:sz w:val="28"/>
          <w:sz w:val="28"/>
          <w:szCs w:val="28"/>
          <w:rtl w:val="true"/>
          <w:lang w:bidi="ar-SA"/>
        </w:rPr>
        <w:t xml:space="preserve">بعد إحراز أنّ السبب والعلّة التامّة للحكم وحدوثه </w:t>
      </w:r>
      <w:r>
        <w:rPr>
          <w:rStyle w:val="FootnoteAnchor"/>
          <w:rtl w:val="true"/>
        </w:rPr>
        <w:footnoteReference w:id="1811"/>
      </w:r>
      <w:r>
        <w:rPr>
          <w:rFonts w:ascii="Amiri" w:hAnsi="Amiri" w:eastAsia="Amiri" w:cs="Amiri"/>
          <w:color w:val="111111"/>
          <w:sz w:val="28"/>
          <w:sz w:val="28"/>
          <w:szCs w:val="28"/>
          <w:rtl w:val="true"/>
          <w:lang w:bidi="ar-SA"/>
        </w:rPr>
        <w:t xml:space="preserve">هو الماء في حال التغيّر والمفروض وجوده في الحال أيضا ، فالشكّ في البقاء والارتفاع غير معقول إلاّ على تقدير احتمال أن لا تكون </w:t>
      </w:r>
      <w:r>
        <w:rPr>
          <w:rStyle w:val="FootnoteAnchor"/>
          <w:rtl w:val="true"/>
        </w:rPr>
        <w:footnoteReference w:id="1812"/>
      </w:r>
      <w:r>
        <w:rPr>
          <w:rFonts w:ascii="Amiri" w:hAnsi="Amiri" w:eastAsia="Amiri" w:cs="Amiri"/>
          <w:color w:val="111111"/>
          <w:sz w:val="28"/>
          <w:sz w:val="28"/>
          <w:szCs w:val="28"/>
          <w:rtl w:val="true"/>
          <w:lang w:bidi="ar-SA"/>
        </w:rPr>
        <w:t xml:space="preserve">العلّة المبقية هي </w:t>
      </w:r>
      <w:r>
        <w:rPr>
          <w:rStyle w:val="FootnoteAnchor"/>
          <w:rtl w:val="true"/>
        </w:rPr>
        <w:footnoteReference w:id="1813"/>
      </w:r>
      <w:r>
        <w:rPr>
          <w:rFonts w:ascii="Amiri" w:hAnsi="Amiri" w:eastAsia="Amiri" w:cs="Amiri"/>
          <w:color w:val="111111"/>
          <w:sz w:val="28"/>
          <w:sz w:val="28"/>
          <w:szCs w:val="28"/>
          <w:rtl w:val="true"/>
          <w:lang w:bidi="ar-SA"/>
        </w:rPr>
        <w:t>العلّة المحدثة ، فالشكّ في البقاء والارتفاع معقول على هذا الوجه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فبالحقيقة الاستصحاب التعليقي ليس إلاّ كالاستصحاب التنجيزي ، فكما أنّ جريان الاستصحاب التنجيزي عند التحقيق يتوقّف على اتّحاد القضيّة المشكوكة </w:t>
      </w:r>
    </w:p>
    <w:p>
      <w:pPr>
        <w:pStyle w:val="BookText"/>
        <w:rPr/>
      </w:pPr>
      <w:r>
        <w:rPr>
          <w:rFonts w:ascii="Amiri" w:hAnsi="Amiri" w:eastAsia="Amiri" w:cs="Amiri"/>
          <w:color w:val="111111"/>
          <w:sz w:val="28"/>
          <w:sz w:val="28"/>
          <w:szCs w:val="28"/>
          <w:rtl w:val="true"/>
          <w:lang w:bidi="ar-SA"/>
        </w:rPr>
        <w:t>والمتيقّنة ، فكذا جريان التعليقي أيضا يتوقّف على الاتّحاد بين القضيّة التعليقية المشكوكة وبين معلومها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الجملة الشرطية هو أنّ المقدّم علّة لوجود التالي وإن كان الواقع شرطا </w:t>
      </w:r>
      <w:r>
        <w:rPr>
          <w:rStyle w:val="FootnoteAnchor"/>
          <w:rtl w:val="true"/>
        </w:rPr>
        <w:footnoteReference w:id="1814"/>
      </w:r>
      <w:r>
        <w:rPr>
          <w:rFonts w:ascii="Amiri" w:hAnsi="Amiri" w:eastAsia="Amiri" w:cs="Amiri"/>
          <w:color w:val="111111"/>
          <w:sz w:val="28"/>
          <w:sz w:val="28"/>
          <w:szCs w:val="28"/>
          <w:rtl w:val="true"/>
          <w:lang w:bidi="ar-SA"/>
        </w:rPr>
        <w:t>من العلل الناقصة كأن يكون شرطا أصوليا مثلا ، فعند وجود المعلّق عليه لا معنى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يكون التعليق مستفادا من ظواهر الألفاظ الواردة في المقام ؛ لإمكان استفادته من أمر لبّي ، فلا ظهور فيه ، ومع ذلك فالشكّ ممكن بواسطة احتمال ارتفاع أحد أجزاء </w:t>
      </w:r>
      <w:r>
        <w:rPr>
          <w:rStyle w:val="FootnoteAnchor"/>
          <w:rtl w:val="true"/>
        </w:rPr>
        <w:footnoteReference w:id="1815"/>
      </w:r>
      <w:r>
        <w:rPr>
          <w:rFonts w:ascii="Amiri" w:hAnsi="Amiri" w:eastAsia="Amiri" w:cs="Amiri"/>
          <w:color w:val="111111"/>
          <w:sz w:val="28"/>
          <w:sz w:val="28"/>
          <w:szCs w:val="28"/>
          <w:rtl w:val="true"/>
          <w:lang w:bidi="ar-SA"/>
        </w:rPr>
        <w:t xml:space="preserve">العلّة </w:t>
      </w:r>
      <w:r>
        <w:rPr>
          <w:rStyle w:val="FootnoteAnchor"/>
          <w:rtl w:val="true"/>
        </w:rPr>
        <w:footnoteReference w:id="1816"/>
      </w:r>
      <w:r>
        <w:rPr>
          <w:rFonts w:ascii="Amiri" w:hAnsi="Amiri" w:eastAsia="Amiri" w:cs="Amiri"/>
          <w:color w:val="111111"/>
          <w:sz w:val="28"/>
          <w:sz w:val="28"/>
          <w:szCs w:val="28"/>
          <w:rtl w:val="true"/>
          <w:lang w:bidi="ar-SA"/>
        </w:rPr>
        <w:t>التامّة للحكم المعلّق عليه ولا ينافيه ظهور اللفظ في العلّية ؛ إذ ربّما يتّفق اجتماع الأجزاء عدا الجزء المعلّق عليه فيصحّ التعليق على وجوده أو بواسطة ارتفاع ما يمكن أن يكون من العلّة ، ويحتمل أن يكون من أجزائها ، فيستصحب الحكم المعلّق عليه عند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1817"/>
      </w:r>
      <w:r>
        <w:rPr>
          <w:rFonts w:ascii="Amiri" w:hAnsi="Amiri" w:eastAsia="Amiri" w:cs="Amiri"/>
          <w:color w:val="111111"/>
          <w:sz w:val="28"/>
          <w:sz w:val="28"/>
          <w:szCs w:val="28"/>
          <w:rtl w:val="true"/>
          <w:lang w:bidi="ar-SA"/>
        </w:rPr>
        <w:t>قبل زمان الشكّ كانت العلّة التامّة موجودة عدا الجزء المعلّق عليه ، وبعد وجوده والشكّ في ارتفاع بعض الأجزاء أو ارتفاع ما يحتمل الجزئية يستصحب العلّة التامّة ، فيترتّب عليها المعلول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ولكنّه لا بدّ أن يعلم أنّه على تقدير احتمال ارتفاع بعض أجزاء العلّة ، كما إذا علمنا بأنّ التغيّر في مثال الماء من أجزاء العلّة ثمّ شككنا في ارتفاعه وبقائه يستصحب العلّة التامّة ، ولا حاجة إلى استصحاب الحكم المعلّق عليه ، لترتّبه على العلّة ، كما أنّ بعد فرض جريان الاستصحاب في الموضوع لم يبق شكّ في الحكم ولا معنى لاستصحابه ولو مع قطع النظر عنه ، وعلى تقدير ارتفاع ما يحتمل كونه من العلّة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الأصل مثبتا ، مثلا لو زال التغيّر قطعا واحتملنا أن تكون </w:t>
      </w:r>
      <w:r>
        <w:rPr>
          <w:rStyle w:val="FootnoteAnchor"/>
          <w:rtl w:val="true"/>
        </w:rPr>
        <w:footnoteReference w:id="1818"/>
      </w:r>
      <w:r>
        <w:rPr>
          <w:rFonts w:ascii="Amiri" w:hAnsi="Amiri" w:eastAsia="Amiri" w:cs="Amiri"/>
          <w:color w:val="111111"/>
          <w:sz w:val="28"/>
          <w:sz w:val="28"/>
          <w:szCs w:val="28"/>
          <w:rtl w:val="true"/>
          <w:lang w:bidi="ar-SA"/>
        </w:rPr>
        <w:t xml:space="preserve">العلّة مركّبة منه ومن غيره فأصالة بقاء العلّة لا يترتّب عليها </w:t>
      </w:r>
      <w:r>
        <w:rPr>
          <w:rStyle w:val="FootnoteAnchor"/>
          <w:rtl w:val="true"/>
        </w:rPr>
        <w:footnoteReference w:id="1819"/>
      </w:r>
      <w:r>
        <w:rPr>
          <w:rFonts w:ascii="Amiri" w:hAnsi="Amiri" w:eastAsia="Amiri" w:cs="Amiri"/>
          <w:color w:val="111111"/>
          <w:sz w:val="28"/>
          <w:sz w:val="28"/>
          <w:szCs w:val="28"/>
          <w:rtl w:val="true"/>
          <w:lang w:bidi="ar-SA"/>
        </w:rPr>
        <w:t>أنّ الموجود هي العلّة إلاّ بملازمة عقلية وقد عرفت عدم الاعتداد بمثله ، فتدبّر</w:t>
      </w:r>
      <w:r>
        <w:rPr>
          <w:rFonts w:eastAsia="Amiri" w:cs="Amiri" w:ascii="Amiri" w:hAnsi="Amiri"/>
          <w:color w:val="111111"/>
          <w:sz w:val="28"/>
          <w:szCs w:val="28"/>
          <w:rtl w:val="true"/>
          <w:lang w:bidi="ar-SA"/>
        </w:rPr>
        <w:t xml:space="preserve">. </w:t>
      </w:r>
      <w:bookmarkStart w:id="220" w:name="pg16284_171317"/>
    </w:p>
    <w:p>
      <w:pPr>
        <w:pStyle w:val="Heading3"/>
        <w:numPr>
          <w:ilvl w:val="2"/>
          <w:numId w:val="1"/>
        </w:numPr>
        <w:rPr/>
      </w:pPr>
      <w:bookmarkStart w:id="221" w:name="__RefHeading___Toc5012164_1280447820"/>
      <w:bookmarkStart w:id="222" w:name="_Toc71"/>
      <w:bookmarkEnd w:id="220"/>
      <w:bookmarkEnd w:id="221"/>
      <w:r>
        <w:rPr>
          <w:rtl w:val="true"/>
        </w:rPr>
        <w:t xml:space="preserve">هداية </w:t>
      </w:r>
      <w:r>
        <w:rPr>
          <w:rtl w:val="true"/>
        </w:rPr>
        <w:t xml:space="preserve">[ </w:t>
      </w:r>
      <w:r>
        <w:rPr>
          <w:rtl w:val="true"/>
        </w:rPr>
        <w:t xml:space="preserve">في بيان استصحاب الحكم المخصّص </w:t>
      </w:r>
      <w:r>
        <w:rPr>
          <w:rtl w:val="true"/>
        </w:rPr>
        <w:t>]</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استصحاب الحكم المخصّص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إذا ثبت في الشريعة حكم بدليل عامّ عموما أزمانيا ثمّ ثبت بدليل مخصّص لذلك العامّ ارتفاع ذلك الحكم في قطعة من الزمان ففي زمان الشكّ هل يؤخذ بعموم العامّ أو باستصحاب حكم </w:t>
      </w:r>
      <w:r>
        <w:rPr>
          <w:rStyle w:val="FootnoteAnchor"/>
          <w:rtl w:val="true"/>
        </w:rPr>
        <w:footnoteReference w:id="1821"/>
      </w:r>
      <w:r>
        <w:rPr>
          <w:rFonts w:ascii="IRNazanin" w:hAnsi="IRNazanin" w:eastAsia="IRNazanin"/>
          <w:color w:val="111111"/>
          <w:sz w:val="28"/>
          <w:sz w:val="28"/>
          <w:szCs w:val="28"/>
          <w:rtl w:val="true"/>
          <w:lang w:bidi="fa-IR"/>
        </w:rPr>
        <w:t xml:space="preserve">الخاصّ؟ وجهان بل 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يظهر من ثاني المحقّقين في جامع المقاصد </w:t>
      </w:r>
      <w:r>
        <w:rPr>
          <w:rStyle w:val="FootnoteAnchor"/>
          <w:rtl w:val="true"/>
        </w:rPr>
        <w:footnoteReference w:id="1822"/>
      </w:r>
      <w:r>
        <w:rPr>
          <w:rFonts w:ascii="Amiri" w:hAnsi="Amiri" w:eastAsia="Amiri" w:cs="Amiri"/>
          <w:color w:val="111111"/>
          <w:sz w:val="28"/>
          <w:sz w:val="28"/>
          <w:szCs w:val="28"/>
          <w:rtl w:val="true"/>
          <w:lang w:bidi="ar-SA"/>
        </w:rPr>
        <w:t xml:space="preserve">في تلقّي الركبان فيما إذا شكّ في بقاء الخيار وارتفاعه تحكيم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823"/>
      </w:r>
      <w:r>
        <w:rPr>
          <w:rFonts w:ascii="Amiri" w:hAnsi="Amiri" w:eastAsia="Amiri" w:cs="Amiri"/>
          <w:color w:val="111111"/>
          <w:sz w:val="28"/>
          <w:sz w:val="28"/>
          <w:szCs w:val="28"/>
          <w:rtl w:val="true"/>
          <w:lang w:bidi="ar-SA"/>
        </w:rPr>
        <w:t xml:space="preserve">على استصحاب الخيار </w:t>
      </w:r>
      <w:r>
        <w:rPr>
          <w:rStyle w:val="FootnoteAnchor"/>
          <w:rtl w:val="true"/>
        </w:rPr>
        <w:footnoteReference w:id="1824"/>
      </w:r>
      <w:r>
        <w:rPr>
          <w:rFonts w:ascii="Amiri" w:hAnsi="Amiri" w:eastAsia="Amiri" w:cs="Amiri"/>
          <w:color w:val="111111"/>
          <w:sz w:val="28"/>
          <w:sz w:val="28"/>
          <w:szCs w:val="28"/>
          <w:rtl w:val="true"/>
          <w:lang w:bidi="ar-SA"/>
        </w:rPr>
        <w:t xml:space="preserve">، ويظهر من الشهيد </w:t>
      </w:r>
      <w:r>
        <w:rPr>
          <w:rStyle w:val="FootnoteAnchor"/>
          <w:rtl w:val="true"/>
        </w:rPr>
        <w:footnoteReference w:id="1825"/>
      </w:r>
      <w:r>
        <w:rPr>
          <w:rFonts w:ascii="Amiri" w:hAnsi="Amiri" w:eastAsia="Amiri" w:cs="Amiri"/>
          <w:color w:val="111111"/>
          <w:sz w:val="28"/>
          <w:sz w:val="28"/>
          <w:szCs w:val="28"/>
          <w:rtl w:val="true"/>
          <w:lang w:bidi="ar-SA"/>
        </w:rPr>
        <w:t xml:space="preserve">في عدّة مواضع من المسالك </w:t>
      </w:r>
      <w:r>
        <w:rPr>
          <w:rStyle w:val="FootnoteAnchor"/>
          <w:rtl w:val="true"/>
        </w:rPr>
        <w:footnoteReference w:id="1826"/>
      </w:r>
      <w:r>
        <w:rPr>
          <w:rFonts w:ascii="IRNazanin" w:hAnsi="IRNazanin" w:eastAsia="IRNazanin"/>
          <w:color w:val="111111"/>
          <w:sz w:val="28"/>
          <w:sz w:val="28"/>
          <w:szCs w:val="28"/>
          <w:rtl w:val="true"/>
          <w:lang w:bidi="fa-IR"/>
        </w:rPr>
        <w:t xml:space="preserve">الأخذ بالاستصحاب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828"/>
      </w:r>
      <w:r>
        <w:rPr>
          <w:rFonts w:ascii="Amiri" w:hAnsi="Amiri" w:eastAsia="Amiri" w:cs="Amiri"/>
          <w:color w:val="111111"/>
          <w:sz w:val="28"/>
          <w:sz w:val="28"/>
          <w:szCs w:val="28"/>
          <w:rtl w:val="true"/>
          <w:lang w:bidi="ar-SA"/>
        </w:rPr>
        <w:t xml:space="preserve">الدليل الدالّ على الحكم المخالف للاستصحاب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مهملا بالنسبة إلى الأزمنة التي تقع فيها الأفراد ،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ملاحظا فيها عموم الأفراد فقط من غير مدخلية الزمان في ذلك الحكم ، فلا يختلف الوجوب باختلاف الأزمنة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عامّا </w:t>
      </w:r>
      <w:r>
        <w:rPr>
          <w:rStyle w:val="FootnoteAnchor"/>
          <w:rtl w:val="true"/>
        </w:rPr>
        <w:footnoteReference w:id="1829"/>
      </w:r>
      <w:r>
        <w:rPr>
          <w:rFonts w:ascii="Amiri" w:hAnsi="Amiri" w:eastAsia="Amiri" w:cs="Amiri"/>
          <w:color w:val="111111"/>
          <w:sz w:val="28"/>
          <w:sz w:val="28"/>
          <w:szCs w:val="28"/>
          <w:rtl w:val="true"/>
          <w:lang w:bidi="ar-SA"/>
        </w:rPr>
        <w:t xml:space="preserve">بالنسبة إليها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الحكم ثابتا في تمام الزمان فيكون كلّ واحد من أجزاء الزمان جزء لا فردا </w:t>
      </w:r>
      <w:r>
        <w:rPr>
          <w:rStyle w:val="FootnoteAnchor"/>
          <w:rtl w:val="true"/>
        </w:rPr>
        <w:footnoteReference w:id="1830"/>
      </w:r>
      <w:r>
        <w:rPr>
          <w:rFonts w:ascii="Amiri" w:hAnsi="Amiri" w:eastAsia="Amiri" w:cs="Amiri"/>
          <w:color w:val="111111"/>
          <w:sz w:val="28"/>
          <w:sz w:val="28"/>
          <w:szCs w:val="28"/>
          <w:rtl w:val="true"/>
          <w:lang w:bidi="ar-SA"/>
        </w:rPr>
        <w:t xml:space="preserve">،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يكون الحكم ثابتا في كلّ واحد من أفراد الزمان فيكون كلّ جزء من الزمان ملحوظا في نظر الآمر فردا مغايرا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الدليل مشكوكا فيه إهمالا وعموما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جريان الاستصحاب على الأوّل ؛ لعدم المانع منه بعد وجود أركانه من اليقين السابق والشكّ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جريانه على الأوّل من الثاني ؛ لأنّ المفروض خروج القطعة المفروضة المخصّصة من العامّ ، وخروجها عن العامّ في زمن اليقين والشكّ بالنسبة إلى لزوم التخصيص في العامّ مساو لعدم ملحوظية الزمان فيه إلاّ على هذا الوجه الذي لا يفرق فيه الخروج في الزمانين ، وذلك ليس من تخصيص العامّ في شيء ، بل لو فرض عدم اعتبار الاستصحاب أيضا لم يكن الأخذ بالعامّ وجيها ؛ لعدم دلالته على أفراد الزمان ، بل لا بدّ من الأخذ بسائر الأصول كما إذا لم يكن في ذلك المورد عموم ولا استصحاب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مسألة الخيار فإنّ ما يظهر لنا بعد التأمّل الصادق عدم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 xml:space="preserve">على عموم زماني يكون كلّ جزء من أجزاء الزمان ملحوظا في نظر الشارع مقصودا له في وجوب الإمضاء بمضمون العقد ولزوم الوفاء به ، فلو تساهل من له الخيار في الأخذ بخياره على وجه لم يصدق فيه الغرر </w:t>
      </w:r>
      <w:r>
        <w:rPr>
          <w:rStyle w:val="FootnoteAnchor"/>
          <w:rtl w:val="true"/>
        </w:rPr>
        <w:footnoteReference w:id="1832"/>
      </w:r>
      <w:r>
        <w:rPr>
          <w:rFonts w:ascii="Amiri" w:hAnsi="Amiri" w:eastAsia="Amiri" w:cs="Amiri"/>
          <w:color w:val="111111"/>
          <w:sz w:val="28"/>
          <w:sz w:val="28"/>
          <w:szCs w:val="28"/>
          <w:rtl w:val="true"/>
          <w:lang w:bidi="ar-SA"/>
        </w:rPr>
        <w:t xml:space="preserve">العرفي صحّ استصحاب حكم الخاصّ والأخذ بالخيار في ثاني الزمان ، ووافقنا في ذلك جماعة من </w:t>
      </w:r>
    </w:p>
    <w:p>
      <w:pPr>
        <w:pStyle w:val="BookText"/>
        <w:rPr/>
      </w:pPr>
      <w:r>
        <w:rPr>
          <w:rFonts w:ascii="Amiri" w:hAnsi="Amiri" w:eastAsia="Amiri" w:cs="Amiri"/>
          <w:color w:val="111111"/>
          <w:sz w:val="28"/>
          <w:sz w:val="28"/>
          <w:szCs w:val="28"/>
          <w:rtl w:val="true"/>
          <w:lang w:bidi="ar-SA"/>
        </w:rPr>
        <w:t xml:space="preserve">الأعاظم منهم سيّد الرياض </w:t>
      </w:r>
      <w:r>
        <w:rPr>
          <w:rStyle w:val="FootnoteAnchor"/>
          <w:rtl w:val="true"/>
        </w:rPr>
        <w:footnoteReference w:id="1833"/>
      </w:r>
      <w:r>
        <w:rPr>
          <w:rFonts w:ascii="Amiri" w:hAnsi="Amiri" w:eastAsia="Amiri" w:cs="Amiri"/>
          <w:color w:val="111111"/>
          <w:sz w:val="28"/>
          <w:sz w:val="28"/>
          <w:szCs w:val="28"/>
          <w:rtl w:val="true"/>
          <w:lang w:bidi="ar-SA"/>
        </w:rPr>
        <w:t>إلاّ أنّه قيّد الحكم بما إذا كان الحكم الخياري مدركه الإجماع ، وأمّا لو كان الوجه في ثبوت الخيار هو نفي الضرر والضرار فلا يجري فيه الاستصحاب ؛ لاستناد الحكم فيه إلى علّة معلومة الارتفاع كما في استصحاب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المحقّق الثاني من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لو لم يكن عامّا بالنسبة إلى الزمان لم ينتفع </w:t>
      </w:r>
      <w:r>
        <w:rPr>
          <w:rStyle w:val="FootnoteAnchor"/>
          <w:rtl w:val="true"/>
        </w:rPr>
        <w:footnoteReference w:id="1835"/>
      </w:r>
      <w:r>
        <w:rPr>
          <w:rFonts w:ascii="Amiri" w:hAnsi="Amiri" w:eastAsia="Amiri" w:cs="Amiri"/>
          <w:color w:val="111111"/>
          <w:sz w:val="28"/>
          <w:sz w:val="28"/>
          <w:szCs w:val="28"/>
          <w:rtl w:val="true"/>
          <w:lang w:bidi="ar-SA"/>
        </w:rPr>
        <w:t>بعمومه ، فهو في غاية الجودة ، إلاّ أنّه لا يجديه فإنّ من الظاهر أنّ عموم الزمان الملحوظ فيه لا يجب أن يكون على الوجه الثاني كما لا يخفى ، هذا إذا كان عموم الدليل في مجموع الزمان على ما هو القسم الأوّل من التقسيم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وهو ما كان عموم الدليل بالنسبة إلى الأزمنة عموما متناولا لكلّ جزء من أجزائه بحيث يكون كلّ واحد منها فردا برأسه ملحوظا للآمر </w:t>
      </w:r>
      <w:r>
        <w:rPr>
          <w:rStyle w:val="FootnoteAnchor"/>
          <w:rtl w:val="true"/>
        </w:rPr>
        <w:footnoteReference w:id="1836"/>
      </w:r>
      <w:r>
        <w:rPr>
          <w:rFonts w:ascii="Amiri" w:hAnsi="Amiri" w:eastAsia="Amiri" w:cs="Amiri"/>
          <w:color w:val="111111"/>
          <w:sz w:val="28"/>
          <w:sz w:val="28"/>
          <w:szCs w:val="28"/>
          <w:rtl w:val="true"/>
          <w:lang w:bidi="ar-SA"/>
        </w:rPr>
        <w:t>، فلا يجري فيه الاستصحاب على بعض الوجوه ويجري على بعض آخر ، ويكشف عن العموم على هذا الوجه إمّا ملاحظة عنوان العامّ كأن يكون مشتملا على أداة استغراق بالنسبة إلى الزمان أيضا كما في قولنا أكرم العلماء في كلّ زمان زمان ، وإمّا يستفاد ذلك من عنوان المخصّص فإنّه دليل على المستثنى منه كالمستثنى في ملاحظة الزمان فيه قيدا ؛ لأنّ الظاهر منه الاتّصال ، ولا يفرق في ذلك بين أن يكون العموم مستفادا على الوجه المذكور من اللفظ أو العقل بمعونة حذف المتعلّق ونحوه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ففيما لو وجد مثل هذا العامّ في الأدلّة فإمّا أن يكون الحكم في دليل المخصّص معلّقا على موضوع موجود في بعض الأفراد الملحوظة في ذلك العامّ ، كما إذا أمر المولى بلزوم الإتيان بالصلاة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كان مريضا أو مسافرا </w:t>
      </w:r>
    </w:p>
    <w:p>
      <w:pPr>
        <w:pStyle w:val="BookText"/>
        <w:rPr/>
      </w:pPr>
      <w:r>
        <w:rPr>
          <w:rFonts w:ascii="Amiri" w:hAnsi="Amiri" w:eastAsia="Amiri" w:cs="Amiri"/>
          <w:color w:val="111111"/>
          <w:sz w:val="28"/>
          <w:sz w:val="28"/>
          <w:szCs w:val="28"/>
          <w:rtl w:val="true"/>
          <w:lang w:bidi="ar-SA"/>
        </w:rPr>
        <w:t xml:space="preserve">مثلا ، فعند الشكّ في ارتفاع ذلك الموضوع لا إشكال في جريان الاستصحاب في نفس ذلك الموضوع ، ويلازمه عدم الاعتداد بالعموم على ما هو الظاهر ، كما إذا شكّ في حصول الحدّ في الفرد الخارج من عموم الزمان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في كلّ يوم إلاّ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انتهائه مثلا ، وإن كان بينهما فرق </w:t>
      </w:r>
      <w:r>
        <w:rPr>
          <w:rStyle w:val="FootnoteAnchor"/>
          <w:rtl w:val="true"/>
        </w:rPr>
        <w:footnoteReference w:id="1837"/>
      </w:r>
      <w:r>
        <w:rPr>
          <w:rFonts w:ascii="Amiri" w:hAnsi="Amiri" w:eastAsia="Amiri" w:cs="Amiri"/>
          <w:color w:val="111111"/>
          <w:sz w:val="28"/>
          <w:sz w:val="28"/>
          <w:szCs w:val="28"/>
          <w:rtl w:val="true"/>
          <w:lang w:bidi="ar-SA"/>
        </w:rPr>
        <w:t>آخر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يكون كذلك ، كما إذا شكّ في المثال المذكور في وجوب الإكرام في الجمعة فلا بدّ من الأخذ بعموم العامّ فيه ، ولا وجه للأخذ بالاستصحاب في مثله وإن فرضنا عدم عموم العامّ ؛ لأنّ المفروض أنّ الزمان قيد للحكم فبملاحظة اختلافه يختلف أفراد الحكم ولا يصحّ إجراء حكم فرد وانسحابه في آخر بالاستصحاب ، وليس هذا بواسطة أنّ العامّ دليل اجتهادي ولا يعارضه الاستصحاب العملي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فرضنا إهمالا في عنوان المخصّص ولم يكن عموم العامّ كاشفا عن اعتبار الزمان في المخصّص على الوجه المعتبر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أنّ المخصّص يكشف عن عموم العامّ قد يكون عموم العامّ أيضا كاشفا للمخصّص كما إذا ثبت عدم وجوب إكرام العلماء في الخميس لا على 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فيه الاستصحاب ، وإنّما يمنع منه عموم العامّ فلو لا العامّ كان الاستصحاب هو المرجع ، بخلاف الأوّل فإنّه على هذا التقدير لا يصحّ الأخذ بالاستصحاب ، بل لا بدّ فيه </w:t>
      </w:r>
      <w:r>
        <w:rPr>
          <w:rStyle w:val="FootnoteAnchor"/>
          <w:rtl w:val="true"/>
        </w:rPr>
        <w:footnoteReference w:id="1838"/>
      </w:r>
      <w:r>
        <w:rPr>
          <w:rFonts w:ascii="Amiri" w:hAnsi="Amiri" w:eastAsia="Amiri" w:cs="Amiri"/>
          <w:color w:val="111111"/>
          <w:sz w:val="28"/>
          <w:sz w:val="28"/>
          <w:szCs w:val="28"/>
          <w:rtl w:val="true"/>
          <w:lang w:bidi="ar-SA"/>
        </w:rPr>
        <w:t>من الرجوع إلى ما يقتضيه سائر القواعد الممهّدة لبيان مواضع الشكّ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كلام المحقّق الثاني والشهيد إن كان في خصوص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يظهر لنا مخالفتهم لما أوردناه من التحقيق وإن صعب الأمر في </w:t>
      </w:r>
      <w:r>
        <w:rPr>
          <w:rStyle w:val="FootnoteAnchor"/>
          <w:rtl w:val="true"/>
        </w:rPr>
        <w:footnoteReference w:id="1839"/>
      </w:r>
      <w:r>
        <w:rPr>
          <w:rFonts w:ascii="Amiri" w:hAnsi="Amiri" w:eastAsia="Amiri" w:cs="Amiri"/>
          <w:color w:val="111111"/>
          <w:sz w:val="28"/>
          <w:sz w:val="28"/>
          <w:szCs w:val="28"/>
          <w:rtl w:val="true"/>
          <w:lang w:bidi="ar-SA"/>
        </w:rPr>
        <w:t xml:space="preserve">بعض المصاديق من المفهوم المذكور كما عرفت في خصوص المثال على حذو ما سبق ، وإن كان ذلك من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جهة إطلاق القول بحكومة العامّ الزماني على الاستصحاب أو ورود الاستصحاب على العامّ ، ففساده ممّا لا يكاد يخفى بعد ما أوردنا </w:t>
      </w:r>
      <w:r>
        <w:rPr>
          <w:rStyle w:val="FootnoteAnchor"/>
          <w:rtl w:val="true"/>
        </w:rPr>
        <w:footnoteReference w:id="1840"/>
      </w:r>
      <w:r>
        <w:rPr>
          <w:rFonts w:ascii="Amiri" w:hAnsi="Amiri" w:eastAsia="Amiri" w:cs="Amiri"/>
          <w:color w:val="111111"/>
          <w:sz w:val="28"/>
          <w:sz w:val="28"/>
          <w:szCs w:val="28"/>
          <w:rtl w:val="true"/>
          <w:lang w:bidi="ar-SA"/>
        </w:rPr>
        <w:t xml:space="preserve">لك من التحقيق ، وأنت بعد ما أحطت خبرا بما قد سلف ذكره تقدر على الاحتجاج بكلّ من الوجهين وإبطاله ، فلا نطول بذكره ، إلاّ أنّ هاهنا كلاما أفاده بعض أفاضل السادات </w:t>
      </w:r>
      <w:r>
        <w:rPr>
          <w:rStyle w:val="FootnoteAnchor"/>
          <w:rtl w:val="true"/>
        </w:rPr>
        <w:footnoteReference w:id="1841"/>
      </w:r>
      <w:r>
        <w:rPr>
          <w:rFonts w:ascii="Amiri" w:hAnsi="Amiri" w:eastAsia="Amiri" w:cs="Amiri"/>
          <w:color w:val="111111"/>
          <w:sz w:val="28"/>
          <w:sz w:val="28"/>
          <w:szCs w:val="28"/>
          <w:rtl w:val="true"/>
          <w:lang w:bidi="ar-SA"/>
        </w:rPr>
        <w:t xml:space="preserve">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بنقله تتميما للمبحث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استصحاب الحكم المخالف للأصل دليل شرعي مخصّص للعمومات ، ولا ينافيه عموم أدلّة حجّيته من أخبار الباب الدالّة على عدم جواز النقض بغير </w:t>
      </w:r>
      <w:r>
        <w:rPr>
          <w:rStyle w:val="FootnoteAnchor"/>
          <w:rtl w:val="true"/>
        </w:rPr>
        <w:footnoteReference w:id="1842"/>
      </w:r>
      <w:r>
        <w:rPr>
          <w:rFonts w:ascii="Amiri" w:hAnsi="Amiri" w:eastAsia="Amiri" w:cs="Amiri"/>
          <w:color w:val="111111"/>
          <w:sz w:val="28"/>
          <w:sz w:val="28"/>
          <w:szCs w:val="28"/>
          <w:rtl w:val="true"/>
          <w:lang w:bidi="ar-SA"/>
        </w:rPr>
        <w:t xml:space="preserve">اليقين </w:t>
      </w:r>
      <w:r>
        <w:rPr>
          <w:rStyle w:val="FootnoteAnchor"/>
          <w:rtl w:val="true"/>
        </w:rPr>
        <w:footnoteReference w:id="1843"/>
      </w:r>
      <w:r>
        <w:rPr>
          <w:rFonts w:ascii="Amiri" w:hAnsi="Amiri" w:eastAsia="Amiri" w:cs="Amiri"/>
          <w:color w:val="111111"/>
          <w:sz w:val="28"/>
          <w:sz w:val="28"/>
          <w:szCs w:val="28"/>
          <w:rtl w:val="true"/>
          <w:lang w:bidi="ar-SA"/>
        </w:rPr>
        <w:t xml:space="preserve">؛ إذ ليس العبرة في العموم والخصوص بدليل الدليل ، وإلاّ لم يتحقّق لنا في الأدلّة دليل خاصّ ؛ لانتهاء </w:t>
      </w:r>
      <w:r>
        <w:rPr>
          <w:rStyle w:val="FootnoteAnchor"/>
          <w:rtl w:val="true"/>
        </w:rPr>
        <w:footnoteReference w:id="1844"/>
      </w:r>
      <w:r>
        <w:rPr>
          <w:rFonts w:ascii="Amiri" w:hAnsi="Amiri" w:eastAsia="Amiri" w:cs="Amiri"/>
          <w:color w:val="111111"/>
          <w:sz w:val="28"/>
          <w:sz w:val="28"/>
          <w:szCs w:val="28"/>
          <w:rtl w:val="true"/>
          <w:lang w:bidi="ar-SA"/>
        </w:rPr>
        <w:t xml:space="preserve">كلّ دليل إلى أدلّة عامّة ، بل العبرة بنفس الدليل ، ولا ريب أنّ الاستصحاب الجاري في كلّ مورد خاصّ </w:t>
      </w:r>
      <w:r>
        <w:rPr>
          <w:rStyle w:val="FootnoteAnchor"/>
          <w:rtl w:val="true"/>
        </w:rPr>
        <w:footnoteReference w:id="1845"/>
      </w:r>
      <w:r>
        <w:rPr>
          <w:rFonts w:ascii="Amiri" w:hAnsi="Amiri" w:eastAsia="Amiri" w:cs="Amiri"/>
          <w:color w:val="111111"/>
          <w:sz w:val="28"/>
          <w:sz w:val="28"/>
          <w:szCs w:val="28"/>
          <w:rtl w:val="true"/>
          <w:lang w:bidi="ar-SA"/>
        </w:rPr>
        <w:t xml:space="preserve">لا يتعدّاه إلى غيره فيقدّم على العامّ كما يقدّم على غيره من الأدلّة </w:t>
      </w:r>
      <w:r>
        <w:rPr>
          <w:rStyle w:val="FootnoteAnchor"/>
          <w:rtl w:val="true"/>
        </w:rPr>
        <w:footnoteReference w:id="1846"/>
      </w:r>
      <w:r>
        <w:rPr>
          <w:rFonts w:ascii="IRNazanin" w:hAnsi="IRNazanin" w:eastAsia="IRNazanin"/>
          <w:color w:val="111111"/>
          <w:sz w:val="28"/>
          <w:sz w:val="28"/>
          <w:szCs w:val="28"/>
          <w:rtl w:val="true"/>
          <w:lang w:bidi="fa-IR"/>
        </w:rPr>
        <w:t xml:space="preserve">، ولذا ترى </w:t>
      </w:r>
      <w:r>
        <w:rPr>
          <w:rStyle w:val="FootnoteAnchor"/>
          <w:rtl w:val="true"/>
        </w:rPr>
        <w:footnoteReference w:id="1847"/>
      </w:r>
      <w:r>
        <w:rPr>
          <w:rFonts w:ascii="Amiri" w:hAnsi="Amiri" w:eastAsia="Amiri" w:cs="Amiri"/>
          <w:color w:val="111111"/>
          <w:sz w:val="28"/>
          <w:sz w:val="28"/>
          <w:szCs w:val="28"/>
          <w:rtl w:val="true"/>
          <w:lang w:bidi="ar-SA"/>
        </w:rPr>
        <w:t xml:space="preserve">أنّ الفقهاء يستدلّون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w:t>
      </w:r>
      <w:r>
        <w:rPr>
          <w:rFonts w:eastAsia="Amiri" w:cs="Amiri" w:ascii="Amiri" w:hAnsi="Amiri"/>
          <w:color w:val="111111"/>
          <w:sz w:val="28"/>
          <w:szCs w:val="28"/>
          <w:rtl w:val="true"/>
          <w:lang w:bidi="ar-SA"/>
        </w:rPr>
        <w:t>]</w:t>
      </w:r>
      <w:r>
        <w:rPr>
          <w:rStyle w:val="FootnoteAnchor"/>
          <w:rtl w:val="true"/>
        </w:rPr>
        <w:footnoteReference w:id="1848"/>
      </w:r>
      <w:r>
        <w:rPr>
          <w:rFonts w:ascii="Amiri" w:hAnsi="Amiri" w:eastAsia="Amiri" w:cs="Amiri"/>
          <w:color w:val="111111"/>
          <w:sz w:val="28"/>
          <w:sz w:val="28"/>
          <w:szCs w:val="28"/>
          <w:rtl w:val="true"/>
          <w:lang w:bidi="ar-SA"/>
        </w:rPr>
        <w:t xml:space="preserve">الشغل والنجاسة والتحريم بالاستصحاب في مقابلة ما دلّ على البراءة الأصلية وطهارة الأشياء وحلّيتها ، ومن ذلك استنادهم </w:t>
      </w:r>
      <w:r>
        <w:rPr>
          <w:rStyle w:val="FootnoteAnchor"/>
          <w:rtl w:val="true"/>
        </w:rPr>
        <w:footnoteReference w:id="1849"/>
      </w:r>
      <w:r>
        <w:rPr>
          <w:rFonts w:ascii="Amiri" w:hAnsi="Amiri" w:eastAsia="Amiri" w:cs="Amiri"/>
          <w:color w:val="111111"/>
          <w:sz w:val="28"/>
          <w:sz w:val="28"/>
          <w:szCs w:val="28"/>
          <w:rtl w:val="true"/>
          <w:lang w:bidi="ar-SA"/>
        </w:rPr>
        <w:t xml:space="preserve">إلى استصحاب النجاسة والتحريم في صورة الشكّ في ذهاب ثلثي العصير في </w:t>
      </w:r>
      <w:r>
        <w:rPr>
          <w:rStyle w:val="FootnoteAnchor"/>
          <w:rtl w:val="true"/>
        </w:rPr>
        <w:footnoteReference w:id="1850"/>
      </w:r>
      <w:r>
        <w:rPr>
          <w:rFonts w:ascii="Amiri" w:hAnsi="Amiri" w:eastAsia="Amiri" w:cs="Amiri"/>
          <w:color w:val="111111"/>
          <w:sz w:val="28"/>
          <w:sz w:val="28"/>
          <w:szCs w:val="28"/>
          <w:rtl w:val="true"/>
          <w:lang w:bidi="ar-SA"/>
        </w:rPr>
        <w:t xml:space="preserve">كون التحديد </w:t>
      </w:r>
      <w:r>
        <w:rPr>
          <w:rStyle w:val="FootnoteAnchor"/>
          <w:rtl w:val="true"/>
        </w:rPr>
        <w:footnoteReference w:id="1851"/>
      </w:r>
      <w:r>
        <w:rPr>
          <w:rFonts w:ascii="Amiri" w:hAnsi="Amiri" w:eastAsia="Amiri" w:cs="Amiri"/>
          <w:color w:val="111111"/>
          <w:sz w:val="28"/>
          <w:sz w:val="28"/>
          <w:szCs w:val="28"/>
          <w:rtl w:val="true"/>
          <w:lang w:bidi="ar-SA"/>
        </w:rPr>
        <w:t xml:space="preserve">تحقيقيا </w:t>
      </w:r>
    </w:p>
    <w:p>
      <w:pPr>
        <w:pStyle w:val="BookText"/>
        <w:rPr/>
      </w:pPr>
      <w:r>
        <w:rPr>
          <w:rFonts w:ascii="Amiri" w:hAnsi="Amiri" w:eastAsia="Amiri" w:cs="Amiri"/>
          <w:color w:val="111111"/>
          <w:sz w:val="28"/>
          <w:sz w:val="28"/>
          <w:szCs w:val="28"/>
          <w:rtl w:val="true"/>
          <w:lang w:bidi="ar-SA"/>
        </w:rPr>
        <w:t xml:space="preserve">أو تقريبيا </w:t>
      </w:r>
      <w:r>
        <w:rPr>
          <w:rStyle w:val="FootnoteAnchor"/>
          <w:rtl w:val="true"/>
        </w:rPr>
        <w:footnoteReference w:id="1852"/>
      </w:r>
      <w:r>
        <w:rPr>
          <w:rFonts w:ascii="Amiri" w:hAnsi="Amiri" w:eastAsia="Amiri" w:cs="Amiri"/>
          <w:color w:val="111111"/>
          <w:sz w:val="28"/>
          <w:sz w:val="28"/>
          <w:szCs w:val="28"/>
          <w:rtl w:val="true"/>
          <w:lang w:bidi="ar-SA"/>
        </w:rPr>
        <w:t xml:space="preserve">، وفي صيرورته </w:t>
      </w:r>
      <w:r>
        <w:rPr>
          <w:rStyle w:val="FootnoteAnchor"/>
          <w:rtl w:val="true"/>
        </w:rPr>
        <w:footnoteReference w:id="1853"/>
      </w:r>
      <w:r>
        <w:rPr>
          <w:rFonts w:ascii="Amiri" w:hAnsi="Amiri" w:eastAsia="Amiri" w:cs="Amiri"/>
          <w:color w:val="111111"/>
          <w:sz w:val="28"/>
          <w:sz w:val="28"/>
          <w:szCs w:val="28"/>
          <w:rtl w:val="true"/>
          <w:lang w:bidi="ar-SA"/>
        </w:rPr>
        <w:t xml:space="preserve">قبل ذهاب الثلثين دبسا ، إلى غير ذلك </w:t>
      </w:r>
      <w:r>
        <w:rPr>
          <w:rStyle w:val="FootnoteAnchor"/>
          <w:rtl w:val="true"/>
        </w:rPr>
        <w:footnoteReference w:id="1854"/>
      </w:r>
      <w:r>
        <w:rPr>
          <w:rFonts w:ascii="Amiri" w:hAnsi="Amiri" w:eastAsia="Amiri" w:cs="Amiri"/>
          <w:color w:val="111111"/>
          <w:sz w:val="28"/>
          <w:sz w:val="28"/>
          <w:szCs w:val="28"/>
          <w:rtl w:val="true"/>
          <w:lang w:bidi="ar-SA"/>
        </w:rPr>
        <w:t xml:space="preserve">، انتهى كلامه على ما لخّصه بعض الأجلّة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اعترض الملخّص </w:t>
      </w:r>
      <w:r>
        <w:rPr>
          <w:rStyle w:val="FootnoteAnchor"/>
          <w:rtl w:val="true"/>
        </w:rPr>
        <w:footnoteReference w:id="1856"/>
      </w:r>
      <w:r>
        <w:rPr>
          <w:rFonts w:ascii="Amiri" w:hAnsi="Amiri" w:eastAsia="Amiri" w:cs="Amiri"/>
          <w:color w:val="111111"/>
          <w:sz w:val="28"/>
          <w:sz w:val="28"/>
          <w:szCs w:val="28"/>
          <w:rtl w:val="true"/>
          <w:lang w:bidi="ar-SA"/>
        </w:rPr>
        <w:t xml:space="preserve">عليه بأنّ هاهنا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ورفع شموله لبعض ما يتناوله بالاستصحاب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حكم التخصيص بعد قيام دليله في بعض ما يتناوله العامّ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عدم حجّية الاستصحاب فيه ، سواء كان حكم العامّ موافقا للأصل أو مخالفا له </w:t>
      </w:r>
      <w:r>
        <w:rPr>
          <w:rStyle w:val="FootnoteAnchor"/>
          <w:rtl w:val="true"/>
        </w:rPr>
        <w:footnoteReference w:id="1857"/>
      </w:r>
      <w:r>
        <w:rPr>
          <w:rFonts w:ascii="Amiri" w:hAnsi="Amiri" w:eastAsia="Amiri" w:cs="Amiri"/>
          <w:color w:val="111111"/>
          <w:sz w:val="28"/>
          <w:sz w:val="28"/>
          <w:szCs w:val="28"/>
          <w:rtl w:val="true"/>
          <w:lang w:bidi="ar-SA"/>
        </w:rPr>
        <w:t xml:space="preserve">؛ لاقتصار حجّيته على صورة عدم اليقين على الخلاف وإن كان اليقين حاصلا من عموم ونحوه </w:t>
      </w:r>
      <w:r>
        <w:rPr>
          <w:rStyle w:val="FootnoteAnchor"/>
          <w:rtl w:val="true"/>
        </w:rPr>
        <w:footnoteReference w:id="1858"/>
      </w:r>
      <w:r>
        <w:rPr>
          <w:rFonts w:ascii="Amiri" w:hAnsi="Amiri" w:eastAsia="Amiri" w:cs="Amiri"/>
          <w:color w:val="111111"/>
          <w:sz w:val="28"/>
          <w:sz w:val="28"/>
          <w:szCs w:val="28"/>
          <w:rtl w:val="true"/>
          <w:lang w:bidi="ar-SA"/>
        </w:rPr>
        <w:t>ممّا يكون في أدنى درجات الاعتبار ، وإلاّ لم يوجد أمر ولا نهي ؛ لمعارضة كلّ منهما باستصحاب البراءة الأصلية ؛ إذ لا فرق بين عموم العامّ وغيره من حيث كونه دليلا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يصلح عامّا للتمسّك به في موارد الشكّ إلاّ فيما لا يجوز تطرّق التخصيص إليه من دليل خارجي ؛ لأنّ القدر الثابت بالعامّ هو ذلك البعض الذي لا يجوز أن يكون مخصّصا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حجّية الاستصحاب فيه إذا اشتمل على شرائط الحجّية وهو ممّا لا خلاف فيه وليس من تخصيص العامّ بالاستصحاب في شيء ، ومن هذا الباب ما ذكره من الأمثلة ، فإنّ عمومات البراءة إنّما دلّت على البراءة عند عدم ما يدلّ على الاشتغال ، فإذا دلّ الاستصحاب على بقاء الاشتغال أو على بقاء الموضوع يتفرّع عليه ، فشأن الاستصحاب في تلك العمومات تحقيق عنوان لا يجري فيه العمومات ، وكذلك الكلام في عموم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ممّا حقّقنا أنّ الفاضل المذكور قد خلط بين المقامين من حيث إنّ صدر كلامه يدلّ على مصيره إلى الجواز في المقام الأوّل ، وذيله على إثبات الجواز في المقام الثاني ، واتّضح أيضا ضعف دليله وعدم مساعدة ما استشهد به من كلام الأصحاب على ما أرسله ، فثبّت ولا تغفل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IRNazanin" w:hAnsi="IRNazanin" w:eastAsia="IRNazanin"/>
          <w:color w:val="111111"/>
          <w:sz w:val="28"/>
          <w:sz w:val="28"/>
          <w:szCs w:val="28"/>
          <w:rtl w:val="true"/>
          <w:lang w:bidi="fa-IR"/>
        </w:rPr>
        <w:t xml:space="preserve">، انتهى ما أورده الملخّص </w:t>
      </w:r>
      <w:r>
        <w:rPr>
          <w:rStyle w:val="FootnoteAnchor"/>
          <w:rtl w:val="true"/>
        </w:rPr>
        <w:footnoteReference w:id="1861"/>
      </w:r>
      <w:r>
        <w:rPr>
          <w:rFonts w:ascii="Amiri" w:hAnsi="Amiri" w:eastAsia="Amiri" w:cs="Amiri"/>
          <w:color w:val="111111"/>
          <w:sz w:val="28"/>
          <w:sz w:val="28"/>
          <w:szCs w:val="28"/>
          <w:rtl w:val="true"/>
          <w:lang w:bidi="ar-SA"/>
        </w:rPr>
        <w:t xml:space="preserve">في الفصول بتغيير </w:t>
      </w:r>
      <w:r>
        <w:rPr>
          <w:rStyle w:val="FootnoteAnchor"/>
          <w:rtl w:val="true"/>
        </w:rPr>
        <w:footnoteReference w:id="1862"/>
      </w:r>
      <w:r>
        <w:rPr>
          <w:rFonts w:ascii="Amiri" w:hAnsi="Amiri" w:eastAsia="Amiri" w:cs="Amiri"/>
          <w:color w:val="111111"/>
          <w:sz w:val="28"/>
          <w:sz w:val="28"/>
          <w:szCs w:val="28"/>
          <w:rtl w:val="true"/>
          <w:lang w:bidi="ar-SA"/>
        </w:rPr>
        <w:t>وإسقاط ما وتلخيص في الجملة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وهو الهادي إلى كلّ الصواب وحقّ الصواب </w:t>
      </w:r>
      <w:r>
        <w:rPr>
          <w:rStyle w:val="FootnoteAnchor"/>
          <w:rtl w:val="true"/>
        </w:rPr>
        <w:footnoteReference w:id="18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أجاد المعترض في بعض ما أورده ولكنّه ما أجاد في الكلّ ، وتوضيح المقام وتحقيقه أنّ الاستصحاب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بالنسبة إلى سائر الأصول المعمولة في موارد الشكّ من أصالة البراءة والطهارة والاشتغال ونحوها ، ولا شكّ في تقديم الاستصحاب على تلك الأصول ؛ لأنّ ما دلّ على اعتبارها مغيّا بغاية تتحقّق </w:t>
      </w:r>
      <w:r>
        <w:rPr>
          <w:rStyle w:val="FootnoteAnchor"/>
          <w:rtl w:val="true"/>
        </w:rPr>
        <w:footnoteReference w:id="1864"/>
      </w:r>
      <w:r>
        <w:rPr>
          <w:rFonts w:ascii="Amiri" w:hAnsi="Amiri" w:eastAsia="Amiri" w:cs="Amiri"/>
          <w:color w:val="111111"/>
          <w:sz w:val="28"/>
          <w:sz w:val="28"/>
          <w:szCs w:val="28"/>
          <w:rtl w:val="true"/>
          <w:lang w:bidi="ar-SA"/>
        </w:rPr>
        <w:t xml:space="preserve">بالاستصحاب كأمثال الأدلّة الاجتهادية لفظية أو غيرها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بالنسبة إلى الأدلّة الاجتهادية من العمومات المنجّزة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w:t>
      </w:r>
      <w:r>
        <w:rPr>
          <w:rStyle w:val="FootnoteAnchor"/>
          <w:rtl w:val="true"/>
        </w:rPr>
        <w:footnoteReference w:id="1865"/>
      </w:r>
      <w:r>
        <w:rPr>
          <w:rFonts w:ascii="Amiri" w:hAnsi="Amiri" w:eastAsia="Amiri" w:cs="Amiri"/>
          <w:color w:val="111111"/>
          <w:sz w:val="28"/>
          <w:sz w:val="28"/>
          <w:szCs w:val="28"/>
          <w:rtl w:val="true"/>
          <w:lang w:bidi="ar-SA"/>
        </w:rPr>
        <w:t xml:space="preserve">ونحوه من عمومات الحلّ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 xml:space="preserve">فإنّ التحقيق على ما عرفت فيما قدّمنا في أصالة الاباحة عدم دلالتها على إثبات الحلّ في مقام الشكّ والظاهر كما هو المراد بالأصل ، ومثل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 xml:space="preserve">) </w:t>
      </w:r>
      <w:r>
        <w:rPr>
          <w:rStyle w:val="FootnoteAnchor"/>
          <w:rtl w:val="true"/>
        </w:rPr>
        <w:footnoteReference w:id="1867"/>
      </w:r>
      <w:r>
        <w:rPr>
          <w:rFonts w:ascii="Amiri" w:hAnsi="Amiri" w:eastAsia="Amiri" w:cs="Amiri"/>
          <w:color w:val="111111"/>
          <w:sz w:val="28"/>
          <w:sz w:val="28"/>
          <w:szCs w:val="28"/>
          <w:rtl w:val="true"/>
          <w:lang w:bidi="ar-SA"/>
        </w:rPr>
        <w:t>ممّا يستفاد من مساقها أو من دليل خارجي من الاستثناء ونحوه استمرار الأحكام المدلول عليها بتلك العمومات ، وقد عرفت فيما مرّ من التحقيق أنّ العامّ المقصور على استغراق الأفراد ممّا لا 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المستغرق للأزمان فقد عرفت انقسامه إلى عموم دائمي استمراري ، وإلى عموم أزماني 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جريان الاستصحاب في القسم الأوّل من دون أن يكون مخصّصا للعامّ ؛ إذ التخصيص فرع الارتباط ، والمفروض عدم دلالته عليه في كلّ زمان فلا ارتباط فلا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فقد مرّ أنّ المخصّص ربّما يكون معلّقا على موضوع فيستصحب ذلك الموضوع وليس من التخصيص في شيء ، وقد يكون الشكّ في حصول الحدّ فيستصحب وليس من التخصيص في شيء ، وقد يكون عنوان المخصّص مهملا فيمكن استصحابه لو </w:t>
      </w:r>
      <w:r>
        <w:rPr>
          <w:rStyle w:val="FootnoteAnchor"/>
          <w:rtl w:val="true"/>
        </w:rPr>
        <w:footnoteReference w:id="1868"/>
      </w:r>
      <w:r>
        <w:rPr>
          <w:rFonts w:ascii="Amiri" w:hAnsi="Amiri" w:eastAsia="Amiri" w:cs="Amiri"/>
          <w:color w:val="111111"/>
          <w:sz w:val="28"/>
          <w:sz w:val="28"/>
          <w:szCs w:val="28"/>
          <w:rtl w:val="true"/>
          <w:lang w:bidi="ar-SA"/>
        </w:rPr>
        <w:t xml:space="preserve">لا العموم فلا يجري فيه الاستصحاب نظرا إلى ورود الدليل الاجتهادي على العملي كائنا ما كان ، وقد يكون الدليل عامّا شاملا لتمام أفراد الزمان على حسب ما لاحظها الآمر في مقدار الزمان ، سواء كان ذلك العموم مستفادا من عنوان العامّ أو من عقل أو نقل ونحوهما ، فلا بدّ من الأخذ بعموم العامّ وليس من مجرى الاستصحاب في شيء ؛ لأنّ المفروض كونه مقيّدا </w:t>
      </w:r>
      <w:r>
        <w:rPr>
          <w:rStyle w:val="FootnoteAnchor"/>
          <w:rtl w:val="true"/>
        </w:rPr>
        <w:footnoteReference w:id="1869"/>
      </w:r>
      <w:r>
        <w:rPr>
          <w:rFonts w:ascii="Amiri" w:hAnsi="Amiri" w:eastAsia="Amiri" w:cs="Amiri"/>
          <w:color w:val="111111"/>
          <w:sz w:val="28"/>
          <w:sz w:val="28"/>
          <w:szCs w:val="28"/>
          <w:rtl w:val="true"/>
          <w:lang w:bidi="ar-SA"/>
        </w:rPr>
        <w:t xml:space="preserve">بالزمان وبعد زوال القيد وحصول قيد آخر للحكم يصير فردا آخر قطعا ، ولا يمكن انسحاب حكم فرد قطعي المغايرة </w:t>
      </w:r>
      <w:r>
        <w:rPr>
          <w:rStyle w:val="FootnoteAnchor"/>
          <w:rtl w:val="true"/>
        </w:rPr>
        <w:footnoteReference w:id="1870"/>
      </w:r>
      <w:r>
        <w:rPr>
          <w:rFonts w:ascii="Amiri" w:hAnsi="Amiri" w:eastAsia="Amiri" w:cs="Amiri"/>
          <w:color w:val="111111"/>
          <w:sz w:val="28"/>
          <w:sz w:val="28"/>
          <w:szCs w:val="28"/>
          <w:rtl w:val="true"/>
          <w:lang w:bidi="ar-SA"/>
        </w:rPr>
        <w:t>لفرد آخر فيه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ممّا حقّقنا أنّ الفاضل المذكور إنّما خلط بين الأدلّة التعليقية الدالّة على أحكام الشكّ وبين غيرها ، وما استشهد به </w:t>
      </w:r>
      <w:r>
        <w:rPr>
          <w:rStyle w:val="FootnoteAnchor"/>
          <w:rtl w:val="true"/>
        </w:rPr>
        <w:footnoteReference w:id="1871"/>
      </w:r>
      <w:r>
        <w:rPr>
          <w:rFonts w:ascii="Amiri" w:hAnsi="Amiri" w:eastAsia="Amiri" w:cs="Amiri"/>
          <w:color w:val="111111"/>
          <w:sz w:val="28"/>
          <w:sz w:val="28"/>
          <w:szCs w:val="28"/>
          <w:rtl w:val="true"/>
          <w:lang w:bidi="ar-SA"/>
        </w:rPr>
        <w:t>من كلام الفقهاء إنّما هو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الاستشهاد بعمومات الحلّ فلعلّه مبنيّ على ما نبّهنا عليه من أنّ متمسّك البعض في مقام إثبات الإباحة الأصلية هو هذه العمومات والمعترض المذكور إنّما خلط بين الكلّ وإن أصاب بعض الحقّ في عدم جواز ورود الاستصحاب كائنا ما كان على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اللفظي الاجتهادي ، فتارة يظهر من كلامه تقديم الاستصحاب على الأدلّة التعليقية ، وأخرى تقديم الاستصحاب الموضوعي على غيره ، وقد يظهر منه عدم جريان الاستصحاب في غير العموم المعلّق حكمه على العلم وغير استصحاب الموضوع مع أنّك تحقّقت جريانه في القسم الأوّل وليس من العمومات المعلّقة على العلم حكما ، وقد يظهر منه مدافعة العامّ للاستصحاب فيما لا يجري لكونه اجتهاديا ، وليس كذلك ؛ لما عرفت من أنّه </w:t>
      </w:r>
      <w:r>
        <w:rPr>
          <w:rStyle w:val="FootnoteAnchor"/>
          <w:rtl w:val="true"/>
        </w:rPr>
        <w:footnoteReference w:id="1872"/>
      </w:r>
      <w:r>
        <w:rPr>
          <w:rFonts w:ascii="Amiri" w:hAnsi="Amiri" w:eastAsia="Amiri" w:cs="Amiri"/>
          <w:color w:val="111111"/>
          <w:sz w:val="28"/>
          <w:sz w:val="28"/>
          <w:szCs w:val="28"/>
          <w:rtl w:val="true"/>
          <w:lang w:bidi="ar-SA"/>
        </w:rPr>
        <w:t xml:space="preserve">بعد ما صار الزمان قيدا لكلّ فرد من أفراد الحكم الواقع فيه يختلف الأفراد باختلاف الأزمنة ، وبعد الاختلاف ليس من محلّ الاستصحاب في شيء حتّى يكون ارتفاعه بواسطة الدليل ، بل بواسطة عدمه لعدم </w:t>
      </w:r>
      <w:r>
        <w:rPr>
          <w:rStyle w:val="FootnoteAnchor"/>
          <w:rtl w:val="true"/>
        </w:rPr>
        <w:footnoteReference w:id="1873"/>
      </w:r>
      <w:r>
        <w:rPr>
          <w:rFonts w:ascii="Amiri" w:hAnsi="Amiri" w:eastAsia="Amiri" w:cs="Amiri"/>
          <w:color w:val="111111"/>
          <w:sz w:val="28"/>
          <w:sz w:val="28"/>
          <w:szCs w:val="28"/>
          <w:rtl w:val="true"/>
          <w:lang w:bidi="ar-SA"/>
        </w:rPr>
        <w:t xml:space="preserve">محلّه ومجراه كما </w:t>
      </w:r>
      <w:r>
        <w:rPr>
          <w:rStyle w:val="FootnoteAnchor"/>
          <w:rtl w:val="true"/>
        </w:rPr>
        <w:footnoteReference w:id="1874"/>
      </w:r>
      <w:r>
        <w:rPr>
          <w:rFonts w:ascii="IRNazanin" w:hAnsi="IRNazanin" w:eastAsia="IRNazanin"/>
          <w:color w:val="111111"/>
          <w:sz w:val="28"/>
          <w:sz w:val="28"/>
          <w:szCs w:val="28"/>
          <w:rtl w:val="true"/>
          <w:lang w:bidi="fa-IR"/>
        </w:rPr>
        <w:t xml:space="preserve">هو ظاهر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6284_171327"/>
      <w:bookmarkStart w:id="224" w:name="pg16284_171327"/>
      <w:bookmarkEnd w:id="224"/>
    </w:p>
    <w:p>
      <w:pPr>
        <w:pStyle w:val="Heading3"/>
        <w:numPr>
          <w:ilvl w:val="2"/>
          <w:numId w:val="1"/>
        </w:numPr>
        <w:rPr/>
      </w:pPr>
      <w:bookmarkStart w:id="225" w:name="pg16284_171327"/>
      <w:bookmarkStart w:id="226" w:name="__RefHeading___Toc5012166_1280447820"/>
      <w:bookmarkStart w:id="227" w:name="_Toc72"/>
      <w:bookmarkEnd w:id="225"/>
      <w:bookmarkEnd w:id="226"/>
      <w:r>
        <w:rPr>
          <w:rtl w:val="true"/>
        </w:rPr>
        <w:t xml:space="preserve">هداية </w:t>
      </w:r>
      <w:r>
        <w:rPr>
          <w:rtl w:val="true"/>
        </w:rPr>
        <w:t xml:space="preserve">[ ( </w:t>
      </w:r>
      <w:r>
        <w:rPr>
          <w:rtl w:val="true"/>
        </w:rPr>
        <w:t xml:space="preserve">في الاستصحاب </w:t>
      </w:r>
      <w:r>
        <w:rPr>
          <w:rtl w:val="true"/>
        </w:rPr>
        <w:t xml:space="preserve">) </w:t>
      </w:r>
      <w:r>
        <w:rPr>
          <w:rtl w:val="true"/>
        </w:rPr>
        <w:t xml:space="preserve">في الأمور التدريجية </w:t>
      </w:r>
      <w:r>
        <w:rPr>
          <w:rtl w:val="true"/>
        </w:rPr>
        <w:t>]</w:t>
      </w:r>
      <w:bookmarkEnd w:id="22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التدريجية </w:t>
      </w:r>
      <w:r>
        <w:rPr>
          <w:rFonts w:eastAsia="Amiri" w:cs="Amiri" w:ascii="Amiri" w:hAnsi="Amiri"/>
          <w:color w:val="111111"/>
          <w:sz w:val="28"/>
          <w:szCs w:val="28"/>
          <w:rtl w:val="true"/>
          <w:lang w:bidi="ar-SA"/>
        </w:rPr>
        <w:t xml:space="preserve">] </w:t>
      </w:r>
      <w:r>
        <w:rPr>
          <w:rStyle w:val="FootnoteAnchor"/>
          <w:rtl w:val="true"/>
        </w:rPr>
        <w:footnoteReference w:id="187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المستصحب قد يكون من الأمور التي تجتمع </w:t>
      </w:r>
      <w:r>
        <w:rPr>
          <w:rStyle w:val="FootnoteAnchor"/>
          <w:rtl w:val="true"/>
        </w:rPr>
        <w:footnoteReference w:id="1877"/>
      </w:r>
      <w:r>
        <w:rPr>
          <w:rFonts w:ascii="Amiri" w:hAnsi="Amiri" w:eastAsia="Amiri" w:cs="Amiri"/>
          <w:color w:val="111111"/>
          <w:sz w:val="28"/>
          <w:sz w:val="28"/>
          <w:szCs w:val="28"/>
          <w:rtl w:val="true"/>
          <w:lang w:bidi="ar-SA"/>
        </w:rPr>
        <w:t xml:space="preserve">أجزاؤها في الوجود الخارجي كالرطوبة </w:t>
      </w:r>
      <w:r>
        <w:rPr>
          <w:rStyle w:val="FootnoteAnchor"/>
          <w:rtl w:val="true"/>
        </w:rPr>
        <w:footnoteReference w:id="1878"/>
      </w:r>
      <w:r>
        <w:rPr>
          <w:rFonts w:ascii="Amiri" w:hAnsi="Amiri" w:eastAsia="Amiri" w:cs="Amiri"/>
          <w:color w:val="111111"/>
          <w:sz w:val="28"/>
          <w:sz w:val="28"/>
          <w:szCs w:val="28"/>
          <w:rtl w:val="true"/>
          <w:lang w:bidi="ar-SA"/>
        </w:rPr>
        <w:t xml:space="preserve">واليبوسة ونحوهما ، وقد يكون ممّا ليس له جزء </w:t>
      </w:r>
      <w:r>
        <w:rPr>
          <w:rStyle w:val="FootnoteAnchor"/>
          <w:rtl w:val="true"/>
        </w:rPr>
        <w:footnoteReference w:id="1879"/>
      </w:r>
      <w:r>
        <w:rPr>
          <w:rFonts w:ascii="Amiri" w:hAnsi="Amiri" w:eastAsia="Amiri" w:cs="Amiri"/>
          <w:color w:val="111111"/>
          <w:sz w:val="28"/>
          <w:sz w:val="28"/>
          <w:szCs w:val="28"/>
          <w:rtl w:val="true"/>
          <w:lang w:bidi="ar-SA"/>
        </w:rPr>
        <w:t xml:space="preserve">خارجي </w:t>
      </w:r>
      <w:r>
        <w:rPr>
          <w:rStyle w:val="FootnoteAnchor"/>
          <w:rtl w:val="true"/>
        </w:rPr>
        <w:footnoteReference w:id="1880"/>
      </w:r>
      <w:r>
        <w:rPr>
          <w:rFonts w:ascii="Amiri" w:hAnsi="Amiri" w:eastAsia="Amiri" w:cs="Amiri"/>
          <w:color w:val="111111"/>
          <w:sz w:val="28"/>
          <w:sz w:val="28"/>
          <w:szCs w:val="28"/>
          <w:rtl w:val="true"/>
          <w:lang w:bidi="ar-SA"/>
        </w:rPr>
        <w:t xml:space="preserve">كالطهارة والنجاسة والملكية والحلّية والحرمة ونحوها ، لا إشكال في جريان الاستصحاب في هذين القسمين على تقدير اجتماع سائر الشرائط على التفاصيل المتقدّمة ، وقد يكون ممّا لا يجتمع أجزاؤه في الوجود الخارجي كالتكلّم والمشي والجريان ممّا ينتهي إلى مقولة الحركة أو ما ينتزع منها من الأوصاف اللازمة لها كمقدارها </w:t>
      </w:r>
      <w:r>
        <w:rPr>
          <w:rStyle w:val="FootnoteAnchor"/>
          <w:rtl w:val="true"/>
        </w:rPr>
        <w:footnoteReference w:id="1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ينقضي شيئا فشيئا كالليل والنهار والشهر ونحوها ، وقد يظهر من البعض </w:t>
      </w:r>
      <w:r>
        <w:rPr>
          <w:rStyle w:val="FootnoteAnchor"/>
          <w:rtl w:val="true"/>
        </w:rPr>
        <w:footnoteReference w:id="1882"/>
      </w:r>
      <w:r>
        <w:rPr>
          <w:rFonts w:ascii="Amiri" w:hAnsi="Amiri" w:eastAsia="Amiri" w:cs="Amiri"/>
          <w:color w:val="111111"/>
          <w:sz w:val="28"/>
          <w:sz w:val="28"/>
          <w:szCs w:val="28"/>
          <w:rtl w:val="true"/>
          <w:lang w:bidi="ar-SA"/>
        </w:rPr>
        <w:t xml:space="preserve">تمثيله لذلك بالكرّية وليس في محلّه ؛ لأنّ الكرّية ليست </w:t>
      </w:r>
      <w:r>
        <w:rPr>
          <w:rStyle w:val="FootnoteAnchor"/>
          <w:rtl w:val="true"/>
        </w:rPr>
        <w:footnoteReference w:id="1883"/>
      </w:r>
      <w:r>
        <w:rPr>
          <w:rFonts w:ascii="Amiri" w:hAnsi="Amiri" w:eastAsia="Amiri" w:cs="Amiri"/>
          <w:color w:val="111111"/>
          <w:sz w:val="28"/>
          <w:sz w:val="28"/>
          <w:szCs w:val="28"/>
          <w:rtl w:val="true"/>
          <w:lang w:bidi="ar-SA"/>
        </w:rPr>
        <w:t xml:space="preserve">من الأمور التدريجية وإنّما تحصل دفعة وإن توقّف حصولها كذلك على اجتماع أجزاء متفرّقة في الأزمنة المختلفة في بعض الأوقات ، وإلاّ فيمكن </w:t>
      </w:r>
      <w:r>
        <w:rPr>
          <w:rStyle w:val="FootnoteAnchor"/>
          <w:rtl w:val="true"/>
        </w:rPr>
        <w:footnoteReference w:id="1884"/>
      </w:r>
      <w:r>
        <w:rPr>
          <w:rFonts w:ascii="Amiri" w:hAnsi="Amiri" w:eastAsia="Amiri" w:cs="Amiri"/>
          <w:color w:val="111111"/>
          <w:sz w:val="28"/>
          <w:sz w:val="28"/>
          <w:szCs w:val="28"/>
          <w:rtl w:val="true"/>
          <w:lang w:bidi="ar-SA"/>
        </w:rPr>
        <w:t xml:space="preserve">حصولها بدون ذلك أيضا ، وهل يمكن القول بجريان </w:t>
      </w:r>
    </w:p>
    <w:p>
      <w:pPr>
        <w:pStyle w:val="BookText"/>
        <w:rPr/>
      </w:pPr>
      <w:r>
        <w:rPr>
          <w:rFonts w:ascii="Amiri" w:hAnsi="Amiri" w:eastAsia="Amiri" w:cs="Amiri"/>
          <w:color w:val="111111"/>
          <w:sz w:val="28"/>
          <w:sz w:val="28"/>
          <w:szCs w:val="28"/>
          <w:rtl w:val="true"/>
          <w:lang w:bidi="ar-SA"/>
        </w:rPr>
        <w:t xml:space="preserve">الاستصحاب في هذا القسم؟ الحقّ نعم لو لم نأخذ بضبط أمر الموضوع واعتمدنا في إحرازه على المسامحة العرفية ، وأمّا إذا قلنا بالتدقيق في الموضوع فلا يجري الاستصحاب ؛ لأنّ الموجود من الأجزاء في الأمور التدريجية قد ارتفع قطعا وغير الموجود في ذلك الزمان غير معلوم الوجود ، بل قضيّة الأصل عدمه ، إلاّ أنّه لا بدّ أن يعلم من ملاحظة كلمات العلماء أخباريا وأصوليا جريان الاستصحاب في تلك الأمور عندهم فلعلّ الأمر عندهم مبنيّ على التسامح ، وليس بذلك البعيد في أمثال الأمور المفروضة كالتكلّم والمشي فإنّ الموضوع عندهم أمر اتّصالي قارّ ولو بحسب ما يؤدّي إليه أنظارهم وإن كانت قاصرة عن الوصول إلى ما هو الواقع فيها وقد يتراءى أن يكون المستصحب هو العزم على التكلّم أو المشي ، أو المادّة في جريان النهر ، وعدم الاعتداد بما يمنع عن وقوع هذه الأمور بعد إحراز العزم والمادّة ، فيكون الاستصحاب مرجعه </w:t>
      </w:r>
      <w:r>
        <w:rPr>
          <w:rStyle w:val="FootnoteAnchor"/>
          <w:rtl w:val="true"/>
        </w:rPr>
        <w:footnoteReference w:id="1885"/>
      </w:r>
      <w:r>
        <w:rPr>
          <w:rFonts w:ascii="Amiri" w:hAnsi="Amiri" w:eastAsia="Amiri" w:cs="Amiri"/>
          <w:color w:val="111111"/>
          <w:sz w:val="28"/>
          <w:sz w:val="28"/>
          <w:szCs w:val="28"/>
          <w:rtl w:val="true"/>
          <w:lang w:bidi="ar-SA"/>
        </w:rPr>
        <w:t xml:space="preserve">إلى استصحاب الأمر العدمي ولا يعقل التدريج في الأمور العدمية </w:t>
      </w:r>
      <w:r>
        <w:rPr>
          <w:rStyle w:val="FootnoteAnchor"/>
          <w:rtl w:val="true"/>
        </w:rPr>
        <w:footnoteReference w:id="1886"/>
      </w:r>
      <w:r>
        <w:rPr>
          <w:rFonts w:ascii="Amiri" w:hAnsi="Amiri" w:eastAsia="Amiri" w:cs="Amiri"/>
          <w:color w:val="111111"/>
          <w:sz w:val="28"/>
          <w:sz w:val="28"/>
          <w:szCs w:val="28"/>
          <w:rtl w:val="true"/>
          <w:lang w:bidi="ar-SA"/>
        </w:rPr>
        <w:t xml:space="preserve">، هذا إنّما يتمّ في الأمور التدريجية التي تقع </w:t>
      </w:r>
      <w:r>
        <w:rPr>
          <w:rStyle w:val="FootnoteAnchor"/>
          <w:rtl w:val="true"/>
        </w:rPr>
        <w:footnoteReference w:id="1887"/>
      </w:r>
      <w:r>
        <w:rPr>
          <w:rFonts w:ascii="Amiri" w:hAnsi="Amiri" w:eastAsia="Amiri" w:cs="Amiri"/>
          <w:color w:val="111111"/>
          <w:sz w:val="28"/>
          <w:sz w:val="28"/>
          <w:szCs w:val="28"/>
          <w:rtl w:val="true"/>
          <w:lang w:bidi="ar-SA"/>
        </w:rPr>
        <w:t>في الزمان ، وأمّا نفس الزمان فربّما يقوّى في النظر عدم جريان الاستصحاب فيه ولو بعد مراعاة المسامحة العرفية كما لا يخفى ، سيّما بعد ملاحظة ظهور أخبار الباب في مثل الزمان وعدم إمكان حصول الظنّ ببقائه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الزمان استصحاب عدمي لا غبار عليه كاستصحاب عدم وصول الشمس إلى دائرة </w:t>
      </w:r>
      <w:r>
        <w:rPr>
          <w:rStyle w:val="FootnoteAnchor"/>
          <w:rtl w:val="true"/>
        </w:rPr>
        <w:footnoteReference w:id="1888"/>
      </w:r>
      <w:r>
        <w:rPr>
          <w:rFonts w:ascii="IRNazanin" w:hAnsi="IRNazanin" w:eastAsia="IRNazanin"/>
          <w:color w:val="111111"/>
          <w:sz w:val="28"/>
          <w:sz w:val="28"/>
          <w:szCs w:val="28"/>
          <w:rtl w:val="true"/>
          <w:lang w:bidi="fa-IR"/>
        </w:rPr>
        <w:t xml:space="preserve">نصف النهار ، وعدم استتار القرص ، وعدم وصوله إلى الأفق </w:t>
      </w:r>
      <w:r>
        <w:rPr>
          <w:rStyle w:val="FootnoteAnchor"/>
          <w:rtl w:val="true"/>
        </w:rPr>
        <w:footnoteReference w:id="1889"/>
      </w:r>
      <w:r>
        <w:rPr>
          <w:rFonts w:ascii="Amiri" w:hAnsi="Amiri" w:eastAsia="Amiri" w:cs="Amiri"/>
          <w:color w:val="111111"/>
          <w:sz w:val="28"/>
          <w:sz w:val="28"/>
          <w:szCs w:val="28"/>
          <w:rtl w:val="true"/>
          <w:lang w:bidi="ar-SA"/>
        </w:rPr>
        <w:t xml:space="preserve">، ونحو ذلك كاستصحاب عدم طيّ المسافة المفروضة في البروج التي تدور الشمس في منطقتها </w:t>
      </w:r>
      <w:r>
        <w:rPr>
          <w:rStyle w:val="FootnoteAnchor"/>
          <w:rtl w:val="true"/>
        </w:rPr>
        <w:footnoteReference w:id="1890"/>
      </w:r>
      <w:r>
        <w:rPr>
          <w:rFonts w:ascii="Amiri" w:hAnsi="Amiri" w:eastAsia="Amiri" w:cs="Amiri"/>
          <w:color w:val="111111"/>
          <w:sz w:val="28"/>
          <w:sz w:val="28"/>
          <w:szCs w:val="28"/>
          <w:rtl w:val="true"/>
          <w:lang w:bidi="ar-SA"/>
        </w:rPr>
        <w:t xml:space="preserve">، إلى غير ذلك ، وقد عرفت أنّ تلك الأعدام ممّا لا يصحّ وصفها بالتدريجية ، بل هي أمور مستمرّة معلومة مستصحبة إلى زمن العلم بارتفاعها ؛ لوجود علّة الوصول إلى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الحدود من المسافة </w:t>
      </w:r>
      <w:r>
        <w:rPr>
          <w:rStyle w:val="FootnoteAnchor"/>
          <w:rtl w:val="true"/>
        </w:rPr>
        <w:footnoteReference w:id="1891"/>
      </w:r>
      <w:r>
        <w:rPr>
          <w:rFonts w:ascii="Amiri" w:hAnsi="Amiri" w:eastAsia="Amiri" w:cs="Amiri"/>
          <w:color w:val="111111"/>
          <w:sz w:val="28"/>
          <w:sz w:val="28"/>
          <w:szCs w:val="28"/>
          <w:rtl w:val="true"/>
          <w:lang w:bidi="ar-SA"/>
        </w:rPr>
        <w:t xml:space="preserve">، فلاحظ وتدبّر فإنّ الأمر بمكان من الغموض والخفاء في بعض الموارد من الزمانيات والزمان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6284_171331"/>
      <w:bookmarkStart w:id="229" w:name="pg16284_171331"/>
      <w:bookmarkEnd w:id="229"/>
    </w:p>
    <w:p>
      <w:pPr>
        <w:pStyle w:val="Heading3"/>
        <w:numPr>
          <w:ilvl w:val="2"/>
          <w:numId w:val="1"/>
        </w:numPr>
        <w:rPr/>
      </w:pPr>
      <w:bookmarkStart w:id="230" w:name="pg16284_171331"/>
      <w:bookmarkStart w:id="231" w:name="__RefHeading___Toc5012168_1280447820"/>
      <w:bookmarkStart w:id="232" w:name="_Toc73"/>
      <w:bookmarkEnd w:id="230"/>
      <w:bookmarkEnd w:id="231"/>
      <w:r>
        <w:rPr>
          <w:rtl w:val="true"/>
        </w:rPr>
        <w:t xml:space="preserve">هداية </w:t>
      </w:r>
      <w:r>
        <w:rPr>
          <w:rtl w:val="true"/>
        </w:rPr>
        <w:t xml:space="preserve">[ </w:t>
      </w:r>
      <w:r>
        <w:rPr>
          <w:rtl w:val="true"/>
        </w:rPr>
        <w:t xml:space="preserve">في استصحاب الكلّي </w:t>
      </w:r>
      <w:r>
        <w:rPr>
          <w:rtl w:val="true"/>
        </w:rPr>
        <w:t>]</w:t>
      </w:r>
      <w:bookmarkEnd w:id="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الكلّي </w:t>
      </w:r>
      <w:r>
        <w:rPr>
          <w:rFonts w:eastAsia="Amiri" w:cs="Amiri" w:ascii="Amiri" w:hAnsi="Amiri"/>
          <w:color w:val="111111"/>
          <w:sz w:val="28"/>
          <w:szCs w:val="28"/>
          <w:rtl w:val="true"/>
          <w:lang w:bidi="ar-SA"/>
        </w:rPr>
        <w:t xml:space="preserve">]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إذا شككنا في بقاء القدر المشترك والجنس بعد العلم بزوال فرد منه فهل يمكن الأخذ باستصحاب الجنس والقدر المشترك في إثبات بقائه ولو في فرد آخر أو لا؟ و </w:t>
      </w:r>
      <w:r>
        <w:rPr>
          <w:rStyle w:val="FootnoteAnchor"/>
          <w:rtl w:val="true"/>
        </w:rPr>
        <w:footnoteReference w:id="1894"/>
      </w:r>
      <w:r>
        <w:rPr>
          <w:rFonts w:ascii="Amiri" w:hAnsi="Amiri" w:eastAsia="Amiri" w:cs="Amiri"/>
          <w:color w:val="111111"/>
          <w:sz w:val="28"/>
          <w:sz w:val="28"/>
          <w:szCs w:val="28"/>
          <w:rtl w:val="true"/>
          <w:lang w:bidi="ar-SA"/>
        </w:rPr>
        <w:t xml:space="preserve">تحقيق الكلام أنّ هاهنا </w:t>
      </w:r>
      <w:r>
        <w:rPr>
          <w:rStyle w:val="FootnoteAnchor"/>
          <w:rtl w:val="true"/>
        </w:rPr>
        <w:footnoteReference w:id="1895"/>
      </w:r>
      <w:r>
        <w:rPr>
          <w:rFonts w:ascii="Amiri" w:hAnsi="Amiri" w:eastAsia="Amiri" w:cs="Amiri"/>
          <w:color w:val="111111"/>
          <w:sz w:val="28"/>
          <w:sz w:val="28"/>
          <w:szCs w:val="28"/>
          <w:rtl w:val="true"/>
          <w:lang w:bidi="ar-SA"/>
        </w:rPr>
        <w:t xml:space="preserve">صورا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الأمر المشترك غير معيّن في ضمن أحد الفردين ابتداء ، بل يكون مردّدا بين فردين أحدهما قطعي الارتفاع ، فلو كان المشترك متقوّما بقوامه فقد ارتفع قطعا ، ولو كان متحقّقا بتحقّق غيره فهو باق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وجوده معلوما في ضمن معلوم معيّن قطعي الارتفاع مع احتمال تقوّمه بفرد مماثل له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كالثانية مع احتمال تبدّله بفرد متّحد معه في الجنس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جريان الاستصحاب على المسامحة العرفية في ضبط الموضوع بالنسبة إلى القدر المشترك في الأولى من الصور ؛ لعدم مدخلية الخصوصية المعلومة الارتفاع في الحكم المترتّب على نفس الأمر المشترك بين الفردين ، فإنّ المطلوب بالاستصحاب على ما عرفت مرارا هو الأخذ بلوازم المستصحب فقط ، ففي المقام لا </w:t>
      </w:r>
    </w:p>
    <w:p>
      <w:pPr>
        <w:pStyle w:val="BookText"/>
        <w:rPr/>
      </w:pPr>
      <w:r>
        <w:rPr>
          <w:rFonts w:ascii="Amiri" w:hAnsi="Amiri" w:eastAsia="Amiri" w:cs="Amiri"/>
          <w:color w:val="111111"/>
          <w:sz w:val="28"/>
          <w:sz w:val="28"/>
          <w:szCs w:val="28"/>
          <w:rtl w:val="true"/>
          <w:lang w:bidi="ar-SA"/>
        </w:rPr>
        <w:t>وجه للأخذ بأحكام إحدى الخصوصيتين باستصحاب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كما في استصحاب كلّي الحدث المشترك بين الأصغر والأكبر فإنّه يترتّب عليه أحكام مطلق الحدث من عدم جواز الدخول في المشروط بالطهارة من صلاة أو </w:t>
      </w:r>
      <w:r>
        <w:rPr>
          <w:rStyle w:val="FootnoteAnchor"/>
          <w:rtl w:val="true"/>
        </w:rPr>
        <w:footnoteReference w:id="1896"/>
      </w:r>
      <w:r>
        <w:rPr>
          <w:rFonts w:ascii="IRNazanin" w:hAnsi="IRNazanin" w:eastAsia="IRNazanin"/>
          <w:color w:val="111111"/>
          <w:sz w:val="28"/>
          <w:sz w:val="28"/>
          <w:szCs w:val="28"/>
          <w:rtl w:val="true"/>
          <w:lang w:bidi="fa-IR"/>
        </w:rPr>
        <w:t xml:space="preserve">طواف ونحوهما </w:t>
      </w:r>
      <w:r>
        <w:rPr>
          <w:rStyle w:val="FootnoteAnchor"/>
          <w:rtl w:val="true"/>
        </w:rPr>
        <w:footnoteReference w:id="1897"/>
      </w:r>
      <w:r>
        <w:rPr>
          <w:rFonts w:ascii="Amiri" w:hAnsi="Amiri" w:eastAsia="Amiri" w:cs="Amiri"/>
          <w:color w:val="111111"/>
          <w:sz w:val="28"/>
          <w:sz w:val="28"/>
          <w:szCs w:val="28"/>
          <w:rtl w:val="true"/>
          <w:lang w:bidi="ar-SA"/>
        </w:rPr>
        <w:t xml:space="preserve">، ولا يحكم بأنّه الجنابة مثلا ، فيجوز له الجواز في أحد المساجد واللبث في غيرها ، وأمّا وجوب الغسل عليه فهو بواسطة وجوب الدخول فيما هو مشروط بالطهارة وتحصيل القطع بالطهارة الواقعية التي </w:t>
      </w:r>
      <w:r>
        <w:rPr>
          <w:rStyle w:val="FootnoteAnchor"/>
          <w:rtl w:val="true"/>
        </w:rPr>
        <w:footnoteReference w:id="1898"/>
      </w:r>
      <w:r>
        <w:rPr>
          <w:rFonts w:ascii="Amiri" w:hAnsi="Amiri" w:eastAsia="Amiri" w:cs="Amiri"/>
          <w:color w:val="111111"/>
          <w:sz w:val="28"/>
          <w:sz w:val="28"/>
          <w:szCs w:val="28"/>
          <w:rtl w:val="true"/>
          <w:lang w:bidi="ar-SA"/>
        </w:rPr>
        <w:t>لا تحصل إلاّ بعد الغسل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من موجبات الوضوء والغسل أمر حادث والأصل عدمه ، وليس الأخذ به مجديا فيما نحن بصدده إلاّ أنّ أصل </w:t>
      </w:r>
      <w:r>
        <w:rPr>
          <w:rStyle w:val="FootnoteAnchor"/>
          <w:rtl w:val="true"/>
        </w:rPr>
        <w:footnoteReference w:id="1899"/>
      </w:r>
      <w:r>
        <w:rPr>
          <w:rFonts w:ascii="Amiri" w:hAnsi="Amiri" w:eastAsia="Amiri" w:cs="Amiri"/>
          <w:color w:val="111111"/>
          <w:sz w:val="28"/>
          <w:sz w:val="28"/>
          <w:szCs w:val="28"/>
          <w:rtl w:val="true"/>
          <w:lang w:bidi="ar-SA"/>
        </w:rPr>
        <w:t xml:space="preserve">الحدث المشترك أمر معلوم والأصل بقاؤه إلى حدوث رافعه ، ووجوب الغسل عليه قد عرفت الوجه فيه ، نعم لو كان الوضوء محمولا على غير الجنب كما يظهر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على بعض الوجوه ، كان لإثبات وجوب الوضوء بعد عدم وجوب الغسل بانتفاء موضوعه بالأصل وجه ، ومن هذا القبيل استصحاب بقاء النجاسة المردّدة بين كونها ممّا ترتفع بغسلة واحدة أو بغسلتين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بقاء الاشتغال بالأمر الواقعي الواقع على الظهر أو الجمعة بعد فعل أحدهما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جريان الاستصحاب في هذه الصورة بناء على التدقيق أيضا ، وليس هذا من الاستصحاب العرضي في شيء ؛ لأنّ الحكم في الجهة المعلومة قد ارتفع </w:t>
      </w:r>
      <w:r>
        <w:rPr>
          <w:rStyle w:val="FootnoteAnchor"/>
          <w:rtl w:val="true"/>
        </w:rPr>
        <w:footnoteReference w:id="1901"/>
      </w:r>
      <w:r>
        <w:rPr>
          <w:rFonts w:ascii="Amiri" w:hAnsi="Amiri" w:eastAsia="Amiri" w:cs="Amiri"/>
          <w:color w:val="111111"/>
          <w:sz w:val="28"/>
          <w:sz w:val="28"/>
          <w:szCs w:val="28"/>
          <w:rtl w:val="true"/>
          <w:lang w:bidi="ar-SA"/>
        </w:rPr>
        <w:t>قطعا والجهة المشكوكة مشكوكة من أوّل الأمر بخلاف مثل استصحاب الاشتغال ، فإنّ المعلوم أوّلا هو القدر المشترك بين الأفراد ، فالخصوصيات خارجة عن المعلوم وانتفاؤها لا يوجب ارتفاع المعلوم ، فيستصحب إلى حصول العلم بالارتفاع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الصورة والاستصحاب العرضي متعاكسان في كيفية العلم بالمشترك والخصوصيات ، فإنّ المعلوم في الأخير هو الخصوصية كالمشكوك والمشترك معلوميته حاصل من معلومية الخصوصية ، بخلاف الصورة هذه فإنّ المعلوم أوّلا هو القدر المشترك ويتبعه الحكم بلزوم الإتيان بالفرد فيستصحب إلى أن يحصل العلم بالارتفاع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فكالأولى في جريان الاستصحاب بعد البناء على المسامحة العرفية ، وأظهر الأمثلة في ذلك ما لو تبدّل أحد أفراد الماهيّة المشكّكة المختلفة شدّة وضعفا بالآخر ، كما إذا علمنا بارتفاع السواد الشديد ، ثمّ شككنا في قيام الفرد الضعيف مقامه فإنّهم بانون في مثله على استصحاب مطلق السواد كما يظهر من استصحاب كثرة السهو فيما لو كانت قائمة على فرد شديد معلوم الارتفاع ، ثمّ يشكّ </w:t>
      </w:r>
      <w:r>
        <w:rPr>
          <w:rStyle w:val="FootnoteAnchor"/>
          <w:rtl w:val="true"/>
        </w:rPr>
        <w:footnoteReference w:id="1902"/>
      </w:r>
      <w:r>
        <w:rPr>
          <w:rFonts w:ascii="Amiri" w:hAnsi="Amiri" w:eastAsia="Amiri" w:cs="Amiri"/>
          <w:color w:val="111111"/>
          <w:sz w:val="28"/>
          <w:sz w:val="28"/>
          <w:szCs w:val="28"/>
          <w:rtl w:val="true"/>
          <w:lang w:bidi="ar-SA"/>
        </w:rPr>
        <w:t>في ارتفاع الماهيّة وانقلاب محلّه متّصفا بضدّه أو اتّصافه بفرد مماثل له في الماهيّة الضعيفة ، وكذا في استصحاب كثرة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إذا علمنا بوجود إنسان في الدار يشكّ في تبدّله حمارا </w:t>
      </w:r>
      <w:r>
        <w:rPr>
          <w:rStyle w:val="FootnoteAnchor"/>
          <w:rtl w:val="true"/>
        </w:rPr>
        <w:footnoteReference w:id="1903"/>
      </w:r>
      <w:r>
        <w:rPr>
          <w:rFonts w:ascii="Amiri" w:hAnsi="Amiri" w:eastAsia="Amiri" w:cs="Amiri"/>
          <w:color w:val="111111"/>
          <w:sz w:val="28"/>
          <w:sz w:val="28"/>
          <w:szCs w:val="28"/>
          <w:rtl w:val="true"/>
          <w:lang w:bidi="ar-SA"/>
        </w:rPr>
        <w:t xml:space="preserve">بعد القطع بارتفاعه ، فالتحقيق عدم جريان الاستصحاب فيه كما هو ظاهر بناء على الدقّة في الموضوع ، وأمّا العرف فقد </w:t>
      </w:r>
      <w:r>
        <w:rPr>
          <w:rStyle w:val="FootnoteAnchor"/>
          <w:rtl w:val="true"/>
        </w:rPr>
        <w:footnoteReference w:id="1904"/>
      </w:r>
      <w:r>
        <w:rPr>
          <w:rFonts w:ascii="Amiri" w:hAnsi="Amiri" w:eastAsia="Amiri" w:cs="Amiri"/>
          <w:color w:val="111111"/>
          <w:sz w:val="28"/>
          <w:sz w:val="28"/>
          <w:szCs w:val="28"/>
          <w:rtl w:val="true"/>
          <w:lang w:bidi="ar-SA"/>
        </w:rPr>
        <w:t>يتسامح في مثل ذلك فيحكمون ببقاء الحيوان المشترك ؛ لأنّ القدر المشترك هو ممّا لا يختلف باختلاف الأفراد والمفروض وجوده في الخارج والأصل بقاؤه إلى ثبوت رافعه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جريان الاستصحاب في بعض أقسام هذه الصورة وبعض الأمثلة فيها كاد أن يكون بطلانه من أجلى البديهيات وأعلى </w:t>
      </w:r>
      <w:r>
        <w:rPr>
          <w:rStyle w:val="FootnoteAnchor"/>
          <w:rtl w:val="true"/>
        </w:rPr>
        <w:footnoteReference w:id="1905"/>
      </w:r>
      <w:r>
        <w:rPr>
          <w:rFonts w:ascii="Amiri" w:hAnsi="Amiri" w:eastAsia="Amiri" w:cs="Amiri"/>
          <w:color w:val="111111"/>
          <w:sz w:val="28"/>
          <w:sz w:val="28"/>
          <w:szCs w:val="28"/>
          <w:rtl w:val="true"/>
          <w:lang w:bidi="ar-SA"/>
        </w:rPr>
        <w:t xml:space="preserve">الضروريات وإن كان الأستاد دام علاه مصرّا على توجيه الاستصحاب فيه مراعاة لمذاق القوم ، وغاية ما </w:t>
      </w:r>
    </w:p>
    <w:p>
      <w:pPr>
        <w:pStyle w:val="BookText"/>
        <w:rPr/>
      </w:pPr>
      <w:r>
        <w:rPr>
          <w:rFonts w:ascii="Amiri" w:hAnsi="Amiri" w:eastAsia="Amiri" w:cs="Amiri"/>
          <w:color w:val="111111"/>
          <w:sz w:val="28"/>
          <w:sz w:val="28"/>
          <w:szCs w:val="28"/>
          <w:rtl w:val="true"/>
          <w:lang w:bidi="ar-SA"/>
        </w:rPr>
        <w:t xml:space="preserve">يمكن أن يتعسّف في المقام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ربّما يتخيّلون الموضوع في هذه الاستصحابات أمرا قارّا مستمرّا غير مختلف باختلاف الأفراد ولا متفاوت </w:t>
      </w:r>
      <w:r>
        <w:rPr>
          <w:rStyle w:val="FootnoteAnchor"/>
          <w:rtl w:val="true"/>
        </w:rPr>
        <w:footnoteReference w:id="1906"/>
      </w:r>
      <w:r>
        <w:rPr>
          <w:rFonts w:ascii="Amiri" w:hAnsi="Amiri" w:eastAsia="Amiri" w:cs="Amiri"/>
          <w:color w:val="111111"/>
          <w:sz w:val="28"/>
          <w:sz w:val="28"/>
          <w:szCs w:val="28"/>
          <w:rtl w:val="true"/>
          <w:lang w:bidi="ar-SA"/>
        </w:rPr>
        <w:t xml:space="preserve">بتفاوت الآحاد ، كما يظهر من استصحاب بقاء السلسلة الفلانية والقبيلة الكذائية ، أو استصحاب بقاء النوع أو عمارة البلد أو القرية مثلا ، فكأنّ المعلوم أوّلا عندهم هو ما يقضي </w:t>
      </w:r>
      <w:r>
        <w:rPr>
          <w:rStyle w:val="FootnoteAnchor"/>
          <w:rtl w:val="true"/>
        </w:rPr>
        <w:footnoteReference w:id="1907"/>
      </w:r>
      <w:r>
        <w:rPr>
          <w:rFonts w:ascii="Amiri" w:hAnsi="Amiri" w:eastAsia="Amiri" w:cs="Amiri"/>
          <w:color w:val="111111"/>
          <w:sz w:val="28"/>
          <w:sz w:val="28"/>
          <w:szCs w:val="28"/>
          <w:rtl w:val="true"/>
          <w:lang w:bidi="ar-SA"/>
        </w:rPr>
        <w:t xml:space="preserve">بوجود ذلك النوع أو السلسلة </w:t>
      </w:r>
      <w:r>
        <w:rPr>
          <w:rStyle w:val="FootnoteAnchor"/>
          <w:rtl w:val="true"/>
        </w:rPr>
        <w:footnoteReference w:id="1908"/>
      </w:r>
      <w:r>
        <w:rPr>
          <w:rFonts w:ascii="Amiri" w:hAnsi="Amiri" w:eastAsia="Amiri" w:cs="Amiri"/>
          <w:color w:val="111111"/>
          <w:sz w:val="28"/>
          <w:sz w:val="28"/>
          <w:szCs w:val="28"/>
          <w:rtl w:val="true"/>
          <w:lang w:bidi="ar-SA"/>
        </w:rPr>
        <w:t xml:space="preserve">كما عرفت في استصحاب جريان النهر </w:t>
      </w:r>
      <w:r>
        <w:rPr>
          <w:rStyle w:val="FootnoteAnchor"/>
          <w:rtl w:val="true"/>
        </w:rPr>
        <w:footnoteReference w:id="1909"/>
      </w:r>
      <w:r>
        <w:rPr>
          <w:rFonts w:ascii="Amiri" w:hAnsi="Amiri" w:eastAsia="Amiri" w:cs="Amiri"/>
          <w:color w:val="111111"/>
          <w:sz w:val="28"/>
          <w:sz w:val="28"/>
          <w:szCs w:val="28"/>
          <w:rtl w:val="true"/>
          <w:lang w:bidi="ar-SA"/>
        </w:rPr>
        <w:t xml:space="preserve">، ومنه حكمهم باستصحاب الحيض فيما رأت الدم بعد أيّام قرئها وقبل كمال </w:t>
      </w:r>
      <w:r>
        <w:rPr>
          <w:rStyle w:val="FootnoteAnchor"/>
          <w:rtl w:val="true"/>
        </w:rPr>
        <w:footnoteReference w:id="1910"/>
      </w:r>
      <w:r>
        <w:rPr>
          <w:rFonts w:ascii="Amiri" w:hAnsi="Amiri" w:eastAsia="Amiri" w:cs="Amiri"/>
          <w:color w:val="111111"/>
          <w:sz w:val="28"/>
          <w:sz w:val="28"/>
          <w:szCs w:val="28"/>
          <w:rtl w:val="true"/>
          <w:lang w:bidi="ar-SA"/>
        </w:rPr>
        <w:t xml:space="preserve">العشرة ، ومنه الحكم باستصحاب النجاسة فيما لو زال التغيّر </w:t>
      </w:r>
      <w:r>
        <w:rPr>
          <w:rStyle w:val="FootnoteAnchor"/>
          <w:rtl w:val="true"/>
        </w:rPr>
        <w:footnoteReference w:id="1911"/>
      </w:r>
      <w:r>
        <w:rPr>
          <w:rFonts w:ascii="Amiri" w:hAnsi="Amiri" w:eastAsia="Amiri" w:cs="Amiri"/>
          <w:color w:val="111111"/>
          <w:sz w:val="28"/>
          <w:sz w:val="28"/>
          <w:szCs w:val="28"/>
          <w:rtl w:val="true"/>
          <w:lang w:bidi="ar-SA"/>
        </w:rPr>
        <w:t>في جهة مع الشكّ في حدوث التغيّر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فليس </w:t>
      </w:r>
      <w:r>
        <w:rPr>
          <w:rStyle w:val="FootnoteAnchor"/>
          <w:rtl w:val="true"/>
        </w:rPr>
        <w:footnoteReference w:id="1912"/>
      </w:r>
      <w:r>
        <w:rPr>
          <w:rFonts w:ascii="Amiri" w:hAnsi="Amiri" w:eastAsia="Amiri" w:cs="Amiri"/>
          <w:color w:val="111111"/>
          <w:sz w:val="28"/>
          <w:sz w:val="28"/>
          <w:szCs w:val="28"/>
          <w:rtl w:val="true"/>
          <w:lang w:bidi="ar-SA"/>
        </w:rPr>
        <w:t xml:space="preserve">أمر الاستصحاب عندهم مبنيّا على المداقّة حتّى أنّ من ذهب إلى تجدّد الأكوان وتبدّل الأمثال في الأعراض كالنظّام إنما يتمسّك بالاستصحاب فيما لو شكّ في بقاء الكون الموجود أو العرض </w:t>
      </w:r>
      <w:r>
        <w:rPr>
          <w:rStyle w:val="FootnoteAnchor"/>
          <w:rtl w:val="true"/>
        </w:rPr>
        <w:footnoteReference w:id="1913"/>
      </w:r>
      <w:r>
        <w:rPr>
          <w:rFonts w:ascii="Amiri" w:hAnsi="Amiri" w:eastAsia="Amiri" w:cs="Amiri"/>
          <w:color w:val="111111"/>
          <w:sz w:val="28"/>
          <w:sz w:val="28"/>
          <w:szCs w:val="28"/>
          <w:rtl w:val="true"/>
          <w:lang w:bidi="ar-SA"/>
        </w:rPr>
        <w:t>المفروض مع اختلاف الأفراد المتتالية على تقدير الوجود ، ولهذا لم نر أحدا أحال الاستصحاب على بقاء الأكوان وتجدّد الأمثال وعدمه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لنا عدم جريان الاستصحاب عند الدقّة في الصورتين الأخيرتين ؛ لأنّ المطلوب في هذا الاستصحاب وإن كان هو الأمر الكلّي الذي لا يختلف باختلاف الأفراد إلاّ أنّه لم يكن بنفسه موجودا معلوما وإنّما كان موجودا في الخارج باعتبار وجود الفرد ، فوجوده أوّلا قطعنا بارتفاعه ، وثانيا لم يعلم به ولو كان على تقدير الوجود غير مختلف مع الأوّل والأصل عدمه ، بل لو كشف الغطاء عن </w:t>
      </w:r>
    </w:p>
    <w:p>
      <w:pPr>
        <w:pStyle w:val="BookText"/>
        <w:rPr/>
      </w:pPr>
      <w:r>
        <w:rPr>
          <w:rFonts w:ascii="Amiri" w:hAnsi="Amiri" w:eastAsia="Amiri" w:cs="Amiri"/>
          <w:color w:val="111111"/>
          <w:sz w:val="28"/>
          <w:sz w:val="28"/>
          <w:szCs w:val="28"/>
          <w:rtl w:val="true"/>
          <w:lang w:bidi="ar-SA"/>
        </w:rPr>
        <w:t xml:space="preserve">وجه المطلوب لكنت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ما ذكرنا عدم جريان الاستصحاب في الصورة الأولى أيضا ، وأمّا عرفا فيختلف فيه الأمثلة في الصورتين على ما عرفت ، فربّما نقطع </w:t>
      </w:r>
      <w:r>
        <w:rPr>
          <w:rStyle w:val="FootnoteAnchor"/>
          <w:rtl w:val="true"/>
        </w:rPr>
        <w:footnoteReference w:id="1914"/>
      </w:r>
      <w:r>
        <w:rPr>
          <w:rFonts w:ascii="Amiri" w:hAnsi="Amiri" w:eastAsia="Amiri" w:cs="Amiri"/>
          <w:color w:val="111111"/>
          <w:sz w:val="28"/>
          <w:sz w:val="28"/>
          <w:szCs w:val="28"/>
          <w:rtl w:val="true"/>
          <w:lang w:bidi="ar-SA"/>
        </w:rPr>
        <w:t>بالمسامحة وربّما نقطع بعدمها ، فالأمر في تشخيص ذلك في غاية الإشكال ونهاية الصعوبة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الفاضل التوني قد أورد في الوافية كلاما يقرب ممّا ذكرنا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الشرعي المترتّب على الأمر الوضعي المستصحب ثابتا في الوقت الأوّل ويكون الحكم في الوقت الثاني فرعا لثبوته </w:t>
      </w:r>
      <w:r>
        <w:rPr>
          <w:rStyle w:val="FootnoteAnchor"/>
          <w:rtl w:val="true"/>
        </w:rPr>
        <w:footnoteReference w:id="1915"/>
      </w:r>
      <w:r>
        <w:rPr>
          <w:rFonts w:ascii="Amiri" w:hAnsi="Amiri" w:eastAsia="Amiri" w:cs="Amiri"/>
          <w:color w:val="111111"/>
          <w:sz w:val="28"/>
          <w:sz w:val="28"/>
          <w:szCs w:val="28"/>
          <w:rtl w:val="true"/>
          <w:lang w:bidi="ar-SA"/>
        </w:rPr>
        <w:t xml:space="preserve">في الأوّل ، فإذا لم يثبت في الزمان الأوّل فكيف يمكن إثباته في الزمان الثاني؟ ثمّ فرّع عليه عدم إمكان إثبات النجاسة باستصحاب عدم المذبوحية في الجلد المطروح ؛ لأنّ النجاسة لم تكن </w:t>
      </w:r>
      <w:r>
        <w:rPr>
          <w:rStyle w:val="FootnoteAnchor"/>
          <w:rtl w:val="true"/>
        </w:rPr>
        <w:footnoteReference w:id="1916"/>
      </w:r>
      <w:r>
        <w:rPr>
          <w:rFonts w:ascii="Amiri" w:hAnsi="Amiri" w:eastAsia="Amiri" w:cs="Amiri"/>
          <w:color w:val="111111"/>
          <w:sz w:val="28"/>
          <w:sz w:val="28"/>
          <w:szCs w:val="28"/>
          <w:rtl w:val="true"/>
          <w:lang w:bidi="ar-SA"/>
        </w:rPr>
        <w:t xml:space="preserve">ثابتة في وقت الحياة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أنّ عدم المذبوحية لازم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 والموت حتف أنفه ، والموجب للنجاسة ليس هذا اللازم من حيث هو هو بل ملزومه الثاني أعني الموت حتف أنفه ، فعدم المذبوحية لازم أعمّ لموجب النجاسة ، فعدم المذبوحية العارض للحياة مغاير لعدم المذبوحية العارض للموت حتف أنفه ، والمعلوم ثبوته في الزمان الأوّل هو الأوّل لا الثاني وظاهر أنّه غير باق في الزمان الثاني ، ففي الحقيقة يخرج مثل هذه الصورة من الاستصحاب ؛ إذ شرطه بقاء الموضوع وعدمه هنا </w:t>
      </w:r>
      <w:r>
        <w:rPr>
          <w:rStyle w:val="FootnoteAnchor"/>
          <w:rtl w:val="true"/>
        </w:rPr>
        <w:footnoteReference w:id="1917"/>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مثل المتمسّك بهذا الاستصحاب إلاّ مثل من تمسّك على وجود عمرو في الدار في الوقت الثاني باستصحاب بقاء الضاحك المتحقّق بوجود زيد في الدار في الوقت الأوّل ، وفساده غنيّ عن البيان </w:t>
      </w:r>
      <w:r>
        <w:rPr>
          <w:rStyle w:val="FootnoteAnchor"/>
          <w:rtl w:val="true"/>
        </w:rPr>
        <w:footnoteReference w:id="1918"/>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أجاد فيما أفاد من أصل المدّعى </w:t>
      </w:r>
      <w:r>
        <w:rPr>
          <w:rStyle w:val="FootnoteAnchor"/>
          <w:rtl w:val="true"/>
        </w:rPr>
        <w:footnoteReference w:id="1919"/>
      </w:r>
      <w:r>
        <w:rPr>
          <w:rFonts w:ascii="Amiri" w:hAnsi="Amiri" w:eastAsia="Amiri" w:cs="Amiri"/>
          <w:color w:val="111111"/>
          <w:sz w:val="28"/>
          <w:sz w:val="28"/>
          <w:szCs w:val="28"/>
          <w:rtl w:val="true"/>
          <w:lang w:bidi="ar-SA"/>
        </w:rPr>
        <w:t xml:space="preserve">وإن كان ما أجاد فيما فرّع عليه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النجاسة ليست من الأحكام المترتّبة على الموت حتف أنفه فهي من لواحق عدم التذكية كما يستفاد من حصر المحلّل في المذكّى في قوله </w:t>
      </w:r>
      <w:r>
        <w:rPr>
          <w:rStyle w:val="FootnoteAnchor"/>
          <w:rtl w:val="true"/>
        </w:rPr>
        <w:footnoteReference w:id="1920"/>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أَكَلَ السَّبُعُ إِلاَّ ما ذَكَّيْتُمْ </w:t>
      </w:r>
      <w:r>
        <w:rPr>
          <w:rFonts w:eastAsia="Amiri" w:cs="Amiri" w:ascii="Amiri" w:hAnsi="Amiri"/>
          <w:color w:val="111111"/>
          <w:sz w:val="28"/>
          <w:szCs w:val="28"/>
          <w:rtl w:val="true"/>
          <w:lang w:bidi="ar-SA"/>
        </w:rPr>
        <w:t xml:space="preserve">) </w:t>
      </w:r>
      <w:r>
        <w:rPr>
          <w:rStyle w:val="FootnoteAnchor"/>
          <w:rtl w:val="true"/>
        </w:rPr>
        <w:footnoteReference w:id="1921"/>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علمت أنّه مذكّى فهو حلال </w:t>
      </w:r>
      <w:r>
        <w:rPr>
          <w:rFonts w:eastAsia="Amiri" w:cs="Amiri" w:ascii="Amiri" w:hAnsi="Amiri"/>
          <w:color w:val="111111"/>
          <w:sz w:val="28"/>
          <w:szCs w:val="28"/>
          <w:rtl w:val="true"/>
          <w:lang w:bidi="ar-SA"/>
        </w:rPr>
        <w:t xml:space="preserve">» </w:t>
      </w:r>
      <w:r>
        <w:rPr>
          <w:rStyle w:val="FootnoteAnchor"/>
          <w:rtl w:val="true"/>
        </w:rPr>
        <w:footnoteReference w:id="1922"/>
      </w:r>
      <w:r>
        <w:rPr>
          <w:rFonts w:ascii="Amiri" w:hAnsi="Amiri" w:eastAsia="Amiri" w:cs="Amiri"/>
          <w:color w:val="111111"/>
          <w:sz w:val="28"/>
          <w:sz w:val="28"/>
          <w:szCs w:val="28"/>
          <w:rtl w:val="true"/>
          <w:lang w:bidi="ar-SA"/>
        </w:rPr>
        <w:t xml:space="preserve">فالحرمة والنجاسة إنّما هما </w:t>
      </w:r>
      <w:r>
        <w:rPr>
          <w:rStyle w:val="FootnoteAnchor"/>
          <w:rtl w:val="true"/>
        </w:rPr>
        <w:footnoteReference w:id="1923"/>
      </w:r>
      <w:r>
        <w:rPr>
          <w:rFonts w:ascii="Amiri" w:hAnsi="Amiri" w:eastAsia="Amiri" w:cs="Amiri"/>
          <w:color w:val="111111"/>
          <w:sz w:val="28"/>
          <w:sz w:val="28"/>
          <w:szCs w:val="28"/>
          <w:rtl w:val="true"/>
          <w:lang w:bidi="ar-SA"/>
        </w:rPr>
        <w:t xml:space="preserve">مترتبان في عنوان الأدلّة على عدم التذكية وضدّاهما عليها </w:t>
      </w:r>
      <w:r>
        <w:rPr>
          <w:rStyle w:val="FootnoteAnchor"/>
          <w:rtl w:val="true"/>
        </w:rPr>
        <w:footnoteReference w:id="1924"/>
      </w:r>
      <w:r>
        <w:rPr>
          <w:rFonts w:ascii="Amiri" w:hAnsi="Amiri" w:eastAsia="Amiri" w:cs="Amiri"/>
          <w:color w:val="111111"/>
          <w:sz w:val="28"/>
          <w:sz w:val="28"/>
          <w:szCs w:val="28"/>
          <w:rtl w:val="true"/>
          <w:lang w:bidi="ar-SA"/>
        </w:rPr>
        <w:t xml:space="preserve">، فاستصحاب عدم التذكية وإن كان لا يجدي في إثبات الموت حتف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نفي أحد الأضداد بالأصل لا يوجب إثبات الضد الآخر ؛ لكونه من الأصول التي لا تعويل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حاجة إلى إحراز الموت في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المذبوحية ممّا لا يختلف أبدا فهو عدم واحد مستمرّ مستصحب وهو معلوم حال الحياة ، وبعد إزهاق الروح يشكّ في رفع ذلك الأمر العدمي المعلوم ، والأصل يقضي </w:t>
      </w:r>
      <w:r>
        <w:rPr>
          <w:rStyle w:val="FootnoteAnchor"/>
          <w:rtl w:val="true"/>
        </w:rPr>
        <w:footnoteReference w:id="1925"/>
      </w:r>
      <w:r>
        <w:rPr>
          <w:rFonts w:ascii="Amiri" w:hAnsi="Amiri" w:eastAsia="Amiri" w:cs="Amiri"/>
          <w:color w:val="111111"/>
          <w:sz w:val="28"/>
          <w:sz w:val="28"/>
          <w:szCs w:val="28"/>
          <w:rtl w:val="true"/>
          <w:lang w:bidi="ar-SA"/>
        </w:rPr>
        <w:t xml:space="preserve">ببقائه ، ولا يعقل الترديد بين أن يكون ذلك العدم لازما للحياة أو </w:t>
      </w:r>
      <w:r>
        <w:rPr>
          <w:rStyle w:val="FootnoteAnchor"/>
          <w:rtl w:val="true"/>
        </w:rPr>
        <w:footnoteReference w:id="1926"/>
      </w:r>
      <w:r>
        <w:rPr>
          <w:rFonts w:ascii="Amiri" w:hAnsi="Amiri" w:eastAsia="Amiri" w:cs="Amiri"/>
          <w:color w:val="111111"/>
          <w:sz w:val="28"/>
          <w:sz w:val="28"/>
          <w:szCs w:val="28"/>
          <w:rtl w:val="true"/>
          <w:lang w:bidi="ar-SA"/>
        </w:rPr>
        <w:t xml:space="preserve">الموت حتف أنفه ؛ لعدم التمايز بين قسميه كما في سائر الأعدام ، وبعد إحرازه </w:t>
      </w:r>
      <w:r>
        <w:rPr>
          <w:rStyle w:val="FootnoteAnchor"/>
          <w:rtl w:val="true"/>
        </w:rPr>
        <w:footnoteReference w:id="1927"/>
      </w:r>
      <w:r>
        <w:rPr>
          <w:rFonts w:ascii="Amiri" w:hAnsi="Amiri" w:eastAsia="Amiri" w:cs="Amiri"/>
          <w:color w:val="111111"/>
          <w:sz w:val="28"/>
          <w:sz w:val="28"/>
          <w:szCs w:val="28"/>
          <w:rtl w:val="true"/>
          <w:lang w:bidi="ar-SA"/>
        </w:rPr>
        <w:t xml:space="preserve">بالأصل على ما هو معلوم لكونه مفادا للأصل يترتّب عليه أحكامه المترتّبة عليه ، وعدم نجاسة الجلد </w:t>
      </w:r>
      <w:r>
        <w:rPr>
          <w:rStyle w:val="FootnoteAnchor"/>
          <w:rtl w:val="true"/>
        </w:rPr>
        <w:footnoteReference w:id="1928"/>
      </w:r>
      <w:r>
        <w:rPr>
          <w:rFonts w:ascii="Amiri" w:hAnsi="Amiri" w:eastAsia="Amiri" w:cs="Amiri"/>
          <w:color w:val="111111"/>
          <w:sz w:val="28"/>
          <w:sz w:val="28"/>
          <w:szCs w:val="28"/>
          <w:rtl w:val="true"/>
          <w:lang w:bidi="ar-SA"/>
        </w:rPr>
        <w:t xml:space="preserve">حال الحياة ممّا لا دخل له في نجاسته بعد الممات وزهوق </w:t>
      </w:r>
      <w:r>
        <w:rPr>
          <w:rStyle w:val="FootnoteAnchor"/>
          <w:rtl w:val="true"/>
        </w:rPr>
        <w:footnoteReference w:id="1929"/>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الأستاد أدام اللّه إفاداته </w:t>
      </w:r>
      <w:r>
        <w:rPr>
          <w:rStyle w:val="FootnoteAnchor"/>
          <w:rtl w:val="true"/>
        </w:rPr>
        <w:footnoteReference w:id="1930"/>
      </w:r>
      <w:r>
        <w:rPr>
          <w:rFonts w:ascii="Amiri" w:hAnsi="Amiri" w:eastAsia="Amiri" w:cs="Amiri"/>
          <w:color w:val="111111"/>
          <w:sz w:val="28"/>
          <w:sz w:val="28"/>
          <w:szCs w:val="28"/>
          <w:rtl w:val="true"/>
          <w:lang w:bidi="ar-SA"/>
        </w:rPr>
        <w:t xml:space="preserve">أنّ في سالف الزمان كنّا نفصّل بين الكلّيات الذاتية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للأفراد وبين العرضية لها </w:t>
      </w:r>
      <w:r>
        <w:rPr>
          <w:rStyle w:val="FootnoteAnchor"/>
          <w:rtl w:val="true"/>
        </w:rPr>
        <w:footnoteReference w:id="1931"/>
      </w:r>
      <w:r>
        <w:rPr>
          <w:rFonts w:ascii="Amiri" w:hAnsi="Amiri" w:eastAsia="Amiri" w:cs="Amiri"/>
          <w:color w:val="111111"/>
          <w:sz w:val="28"/>
          <w:sz w:val="28"/>
          <w:szCs w:val="28"/>
          <w:rtl w:val="true"/>
          <w:lang w:bidi="ar-SA"/>
        </w:rPr>
        <w:t xml:space="preserve">في إمكان الاستصحاب وعدمه ، فلا يمكن على الأوّل بخلاف الثاني ، والحقّ الحقيق بالتصديق عدم جريان الاستصحاب حقيقة في الصورتين الأخيرتين ؛ لما قرع سمعك مرارا من أنّ الفرد المتقوّم به الكلّي ذاتيا أو عرضيا قد ارتفع </w:t>
      </w:r>
      <w:r>
        <w:rPr>
          <w:rStyle w:val="FootnoteAnchor"/>
          <w:rtl w:val="true"/>
        </w:rPr>
        <w:footnoteReference w:id="1932"/>
      </w:r>
      <w:r>
        <w:rPr>
          <w:rFonts w:ascii="Amiri" w:hAnsi="Amiri" w:eastAsia="Amiri" w:cs="Amiri"/>
          <w:color w:val="111111"/>
          <w:sz w:val="28"/>
          <w:sz w:val="28"/>
          <w:szCs w:val="28"/>
          <w:rtl w:val="true"/>
          <w:lang w:bidi="ar-SA"/>
        </w:rPr>
        <w:t xml:space="preserve">والفرد الآخر مشكوك والأصل عدمه ، والحكم بوجوده بعد ذهاب الفرد بالاستصحاب قريب من الاستصحاب العرضي وإن كان بينهما فرق في الجملة ، فإنّ الأمر مردّد بين الفرد المقطوع به المعلوم ارتفاعه وبين الشكّ في جهة أخرى مباينة </w:t>
      </w:r>
      <w:r>
        <w:rPr>
          <w:rStyle w:val="FootnoteAnchor"/>
          <w:rtl w:val="true"/>
        </w:rPr>
        <w:footnoteReference w:id="1933"/>
      </w:r>
      <w:r>
        <w:rPr>
          <w:rFonts w:ascii="Amiri" w:hAnsi="Amiri" w:eastAsia="Amiri" w:cs="Amiri"/>
          <w:color w:val="111111"/>
          <w:sz w:val="28"/>
          <w:sz w:val="28"/>
          <w:szCs w:val="28"/>
          <w:rtl w:val="true"/>
          <w:lang w:bidi="ar-SA"/>
        </w:rPr>
        <w:t xml:space="preserve">للجهة المعلومة في الاستصحاب العرضي ، وفي المقام مردّد بين الفرد المعلوم المقطوع بارتفاعه وبين الشكّ في قيام الفرد الآخر مقامه وتطوّر الكلّي بطور وراء طوره الأوّل ، وقد عرفت الفرق بين الصورة الأولى وبينه أيضا فيما تقدّم ، فتدبّر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6284_171339"/>
      <w:bookmarkStart w:id="234" w:name="pg16284_171339"/>
      <w:bookmarkEnd w:id="234"/>
    </w:p>
    <w:p>
      <w:pPr>
        <w:pStyle w:val="Heading3"/>
        <w:numPr>
          <w:ilvl w:val="2"/>
          <w:numId w:val="1"/>
        </w:numPr>
        <w:rPr/>
      </w:pPr>
      <w:bookmarkStart w:id="235" w:name="pg16284_171339"/>
      <w:bookmarkStart w:id="236" w:name="__RefHeading___Toc5012170_1280447820"/>
      <w:bookmarkStart w:id="237" w:name="_Toc74"/>
      <w:bookmarkEnd w:id="235"/>
      <w:bookmarkEnd w:id="236"/>
      <w:r>
        <w:rPr>
          <w:rtl w:val="true"/>
        </w:rPr>
        <w:t xml:space="preserve">هداية </w:t>
      </w:r>
      <w:r>
        <w:rPr>
          <w:rtl w:val="true"/>
        </w:rPr>
        <w:t xml:space="preserve">[ </w:t>
      </w:r>
      <w:r>
        <w:rPr>
          <w:rtl w:val="true"/>
        </w:rPr>
        <w:t xml:space="preserve">في استصحاب أحكام الشرائع السابقة </w:t>
      </w:r>
      <w:r>
        <w:rPr>
          <w:rtl w:val="true"/>
        </w:rPr>
        <w:t>]</w:t>
      </w:r>
      <w:bookmarkEnd w:id="237"/>
    </w:p>
    <w:p>
      <w:pPr>
        <w:pStyle w:val="Heading4"/>
        <w:numPr>
          <w:ilvl w:val="3"/>
          <w:numId w:val="1"/>
        </w:numPr>
        <w:rPr/>
      </w:pPr>
      <w:bookmarkStart w:id="238" w:name="__RefHeading___Toc5012172_1280447820"/>
      <w:bookmarkStart w:id="239" w:name="_Toc75"/>
      <w:bookmarkEnd w:id="238"/>
      <w:r>
        <w:rPr>
          <w:rtl w:val="true"/>
        </w:rPr>
        <w:t>اشارة</w:t>
      </w:r>
      <w:bookmarkEnd w:id="23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فيما تقدّم </w:t>
      </w:r>
      <w:r>
        <w:rPr>
          <w:rStyle w:val="FootnoteAnchor"/>
          <w:rtl w:val="true"/>
        </w:rPr>
        <w:footnoteReference w:id="1935"/>
      </w:r>
      <w:r>
        <w:rPr>
          <w:rFonts w:ascii="Amiri" w:hAnsi="Amiri" w:eastAsia="Amiri" w:cs="Amiri"/>
          <w:color w:val="111111"/>
          <w:sz w:val="28"/>
          <w:sz w:val="28"/>
          <w:szCs w:val="28"/>
          <w:rtl w:val="true"/>
          <w:lang w:bidi="ar-SA"/>
        </w:rPr>
        <w:t xml:space="preserve">أنّ أمين الأخبارية قد ادّعى اعتبار الاستصحاب في الأحكام الشرعية عند الشكّ في النسخ وعدمه ، بل عدّه من ضروريات الدين وإن لم يأت على ذلك بسلطان مبين ، وهل المراد به أصالة عدم التخصيص التي مرجعها إلى أحد الأصول اللفظية كأصالة عدم القرينة في المجاز وأصالة عدم المخصّص في العامّ الأفرادي ونحوهما ، أو المراد به استصحاب نفس الحكم الشرعي في محلّ الشكّ؟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اصطلح عليه القوم فيه من أنّه عبارة عن انتهاء مدّة </w:t>
      </w:r>
      <w:r>
        <w:rPr>
          <w:rStyle w:val="FootnoteAnchor"/>
          <w:rtl w:val="true"/>
        </w:rPr>
        <w:footnoteReference w:id="1936"/>
      </w:r>
      <w:r>
        <w:rPr>
          <w:rFonts w:ascii="Amiri" w:hAnsi="Amiri" w:eastAsia="Amiri" w:cs="Amiri"/>
          <w:color w:val="111111"/>
          <w:sz w:val="28"/>
          <w:sz w:val="28"/>
          <w:szCs w:val="28"/>
          <w:rtl w:val="true"/>
          <w:lang w:bidi="ar-SA"/>
        </w:rPr>
        <w:t xml:space="preserve">الحكم لا بدّ من كون الدليل الدالّ على الحكم عامّا بحسب الأزمان وإن لم نقل بوجوب كون الدليل بنفسه عامّا ؛ لإمكان استفادة العموم من الخارج ، وحينئذ لا مناص من أن يكون المراد به أصالة عدم التخصيص ، إلاّ أنّه قد يكون الحكم ثابتا للمكلّف من حيث هو مكلّف مع قطع النظر عن وقوعه في زمان دون زمان بحيث لو وجد في زمان واحد </w:t>
      </w:r>
      <w:r>
        <w:rPr>
          <w:rStyle w:val="FootnoteAnchor"/>
          <w:rtl w:val="true"/>
        </w:rPr>
        <w:footnoteReference w:id="1937"/>
      </w:r>
      <w:r>
        <w:rPr>
          <w:rFonts w:ascii="Amiri" w:hAnsi="Amiri" w:eastAsia="Amiri" w:cs="Amiri"/>
          <w:color w:val="111111"/>
          <w:sz w:val="28"/>
          <w:sz w:val="28"/>
          <w:szCs w:val="28"/>
          <w:rtl w:val="true"/>
          <w:lang w:bidi="ar-SA"/>
        </w:rPr>
        <w:t xml:space="preserve">جميع مصاديق المكلّف كان الحكم متوجّها إليهم غير مختلف بالنسبة إليهم ، فعند ذلك لو شكّ في ثبوت الحكم في الأزمنة المتأخّرة يمكن إبقاء الحكم فيها بالاستصحاب من غير أن يكون راجعا إلى أصل لفظي أصلا ، فإثبات الحكم في </w:t>
      </w:r>
    </w:p>
    <w:p>
      <w:pPr>
        <w:pStyle w:val="BookText"/>
        <w:rPr/>
      </w:pPr>
      <w:r>
        <w:rPr>
          <w:rFonts w:ascii="IRNazanin" w:hAnsi="IRNazanin" w:eastAsia="IRNazanin"/>
          <w:color w:val="111111"/>
          <w:sz w:val="28"/>
          <w:sz w:val="28"/>
          <w:szCs w:val="28"/>
          <w:rtl w:val="true"/>
          <w:lang w:bidi="fa-IR"/>
        </w:rPr>
        <w:t xml:space="preserve">الزمان </w:t>
      </w:r>
      <w:r>
        <w:rPr>
          <w:rStyle w:val="FootnoteAnchor"/>
          <w:rtl w:val="true"/>
        </w:rPr>
        <w:footnoteReference w:id="1938"/>
      </w:r>
      <w:r>
        <w:rPr>
          <w:rFonts w:ascii="Amiri" w:hAnsi="Amiri" w:eastAsia="Amiri" w:cs="Amiri"/>
          <w:color w:val="111111"/>
          <w:sz w:val="28"/>
          <w:sz w:val="28"/>
          <w:szCs w:val="28"/>
          <w:rtl w:val="true"/>
          <w:lang w:bidi="ar-SA"/>
        </w:rPr>
        <w:t xml:space="preserve">الثاني ليس تحكيما للعموم نظرا إلى أصالة العموم وعدم ورود المخصّص في أفراد الزمان ؛ لأنّ المفروض عدم العموم من حيث اللفظ وعدم ما يفيده من الخارج ، وأمّا أدلّة الاشتراك فلا يفيد عموما في الدليل كما لا يخفى ؛ إذ قضيّة الاشتراك لا يزيد على مجرّد الاشتراك كما أنّه ليس بواسطة أدلّة الاشتراك ، لأنّ المقصود جريان استصحاب عدم النسخ مع قطع النظر عن أدلّة الاشتراك ، بل إثبات الحكم المذكور في زمان الشكّ إنّما هو بالاستصحاب ، فموارد الأدلّة الدالّة على ثبوت الأحكام مع قطع النظر عن أدلّة الاشتراك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مشتملة على العموم الأزماني ولو بمعونة القرائن الخارجية ، فعند الشكّ في ثبوت تلك الأحكام المدلول عليها بهذه الأدلّة لا بدّ من الأخذ بأصالة عدم التخصيص كما هو المراد من استصحاب عدم النسخ بحسب ما اصطلحوا عليه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يشتمل </w:t>
      </w:r>
      <w:r>
        <w:rPr>
          <w:rStyle w:val="FootnoteAnchor"/>
          <w:rtl w:val="true"/>
        </w:rPr>
        <w:footnoteReference w:id="1939"/>
      </w:r>
      <w:r>
        <w:rPr>
          <w:rFonts w:ascii="Amiri" w:hAnsi="Amiri" w:eastAsia="Amiri" w:cs="Amiri"/>
          <w:color w:val="111111"/>
          <w:sz w:val="28"/>
          <w:sz w:val="28"/>
          <w:szCs w:val="28"/>
          <w:rtl w:val="true"/>
          <w:lang w:bidi="ar-SA"/>
        </w:rPr>
        <w:t>عليه بنفسه ولا يستفاد من الخارج ، فمع قطع النظر عن أدلّة الاشتراك لا بدّ من الأخذ باستصحاب ذلك الحكم والقول بعدم نسخه باختلاف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النسخ لا يجدي في هذه الأزمنة وبعد انقطاع الوحي؟ لعدم النسخ قطعا فكيف يعقل القول به في هذه الأزمنة؟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المراد عدم نسخة في زمن حياة النبيّ كأصالة عدم القرينة وإن سرى الحكم إلينا بالاستصحاب بعد عدم كون الحكم منسوخا في زمن النبيّ كما هو قضيّة الاستصحاب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ثبوت النسخ في زمن النبيّ لا يجدي في إثبات الحكم في حقّنا ؛ لاختلاف الموضوع في الاستصحاب ، لانعدام المكلّفين الموجودين وانوجاد غيرهم مع عدم العلم بثبوت الحكم في حقّهم ، فلا يجري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عدم اختلاف الموضوع ؛ لأنّ محلّ الكلام إنّما هو فيما إذا كان الحكم ثابتا لعنوان المكلّف من حيث هو مكلّف ولا يختلف هذا العنوان بالوجود والعدم ، فإنّه لو ثبت الحكم لعنوان من العناوين كالحلّية للغنم و </w:t>
      </w:r>
      <w:r>
        <w:rPr>
          <w:rStyle w:val="FootnoteAnchor"/>
          <w:rtl w:val="true"/>
        </w:rPr>
        <w:footnoteReference w:id="1940"/>
      </w:r>
      <w:r>
        <w:rPr>
          <w:rFonts w:ascii="Amiri" w:hAnsi="Amiri" w:eastAsia="Amiri" w:cs="Amiri"/>
          <w:color w:val="111111"/>
          <w:sz w:val="28"/>
          <w:sz w:val="28"/>
          <w:szCs w:val="28"/>
          <w:rtl w:val="true"/>
          <w:lang w:bidi="ar-SA"/>
        </w:rPr>
        <w:t>الحرمة للخمر فلا يختلف الحكم في الأفراد الموجودة والمعدومة ، فلو فرضنا اجتماع الأفراد في الوجود كان الحكم ثابتا لها كما أنّه لو كان الكلّ معدوما ، ففيما إذا كان البعض موجودا والآخر معدوما لا ينبغي القول بالاختلاف على ما هو المفروض ، فالشكّ إنّما هو بسبب اختلاف الأزمان الواقع فيها نوع المكلّف ، فالموجود والمعدوم مع قطع النظر عن الشكّ الزماني حالهم بالنسبة إلى شمول الدليل لهم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ذلك وعسر فهم مثل هذه الأمور الجليّة الواضحة عليك فلنلزمك </w:t>
      </w:r>
      <w:r>
        <w:rPr>
          <w:rStyle w:val="FootnoteAnchor"/>
          <w:rtl w:val="true"/>
        </w:rPr>
        <w:footnoteReference w:id="1941"/>
      </w:r>
      <w:r>
        <w:rPr>
          <w:rFonts w:ascii="Amiri" w:hAnsi="Amiri" w:eastAsia="Amiri" w:cs="Amiri"/>
          <w:color w:val="111111"/>
          <w:sz w:val="28"/>
          <w:sz w:val="28"/>
          <w:szCs w:val="28"/>
          <w:rtl w:val="true"/>
          <w:lang w:bidi="ar-SA"/>
        </w:rPr>
        <w:t xml:space="preserve">بما هو قريب من مذاقك فنفرض شخصا واجدا لزمان النبيّ وزمان غيره بعده فنثبت </w:t>
      </w:r>
      <w:r>
        <w:rPr>
          <w:rStyle w:val="FootnoteAnchor"/>
          <w:rtl w:val="true"/>
        </w:rPr>
        <w:footnoteReference w:id="1942"/>
      </w:r>
      <w:r>
        <w:rPr>
          <w:rFonts w:ascii="Amiri" w:hAnsi="Amiri" w:eastAsia="Amiri" w:cs="Amiri"/>
          <w:color w:val="111111"/>
          <w:sz w:val="28"/>
          <w:sz w:val="28"/>
          <w:szCs w:val="28"/>
          <w:rtl w:val="true"/>
          <w:lang w:bidi="ar-SA"/>
        </w:rPr>
        <w:t xml:space="preserve">الحكم في حقّه بالاستصحاب ويتمّ </w:t>
      </w:r>
      <w:r>
        <w:rPr>
          <w:rStyle w:val="FootnoteAnchor"/>
          <w:rtl w:val="true"/>
        </w:rPr>
        <w:footnoteReference w:id="1943"/>
      </w:r>
      <w:r>
        <w:rPr>
          <w:rFonts w:ascii="Amiri" w:hAnsi="Amiri" w:eastAsia="Amiri" w:cs="Amiri"/>
          <w:color w:val="111111"/>
          <w:sz w:val="28"/>
          <w:sz w:val="28"/>
          <w:szCs w:val="28"/>
          <w:rtl w:val="true"/>
          <w:lang w:bidi="ar-SA"/>
        </w:rPr>
        <w:t xml:space="preserve">في الباقي بالإجماع </w:t>
      </w:r>
      <w:r>
        <w:rPr>
          <w:rStyle w:val="FootnoteAnchor"/>
          <w:rtl w:val="true"/>
        </w:rPr>
        <w:footnoteReference w:id="1944"/>
      </w:r>
      <w:r>
        <w:rPr>
          <w:rFonts w:ascii="Amiri" w:hAnsi="Amiri" w:eastAsia="Amiri" w:cs="Amiri"/>
          <w:color w:val="111111"/>
          <w:sz w:val="28"/>
          <w:sz w:val="28"/>
          <w:szCs w:val="28"/>
          <w:rtl w:val="true"/>
          <w:lang w:bidi="ar-SA"/>
        </w:rPr>
        <w:t>المركّب ، ولا يمكن القلب استنادا إلى البراءة ؛ لورود الاستصحاب عليها ، فتأمّل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الحكم ثابتا في شريعة واحدة ، وأمّا إذا تعدّدت الشرائع فهل ينسحب الحكم الثابت في إحداها في الأخرى بالاستصحاب أو لا؟ وجهان ، بل المنقول من القوم قولان ، وفصّل محقّق القوانين </w:t>
      </w:r>
      <w:r>
        <w:rPr>
          <w:rStyle w:val="FootnoteAnchor"/>
          <w:rtl w:val="true"/>
        </w:rPr>
        <w:footnoteReference w:id="1945"/>
      </w:r>
      <w:r>
        <w:rPr>
          <w:rFonts w:ascii="Amiri" w:hAnsi="Amiri" w:eastAsia="Amiri" w:cs="Amiri"/>
          <w:color w:val="111111"/>
          <w:sz w:val="28"/>
          <w:sz w:val="28"/>
          <w:szCs w:val="28"/>
          <w:rtl w:val="true"/>
          <w:lang w:bidi="ar-SA"/>
        </w:rPr>
        <w:t xml:space="preserve">بين ما نقل في الأخرى على طريق المدح لهم ولهذه الأمّة وبين غيره ، ولعلّه ليس تفصيلا في جريان الاستصحاب ، بل هو تفصيل في مجرّد الاتّباع لحكم ثابت في الشرائع السابقة في شريعتنا كما يظهر ممّا عنون به الفصل فإنّه أعمّ من أن يكون ثبوت الحكم بالاستصحاب في شريعتنا أو بغيره ، ومع ذلك فلا يكاد يتمّ ؛ إذ لا شكّ في وجوب اتّباع ما ثبت في شريعتنا ولو بأيّ نحو كان ، والكلام </w:t>
      </w:r>
    </w:p>
    <w:p>
      <w:pPr>
        <w:pStyle w:val="BookText"/>
        <w:rPr/>
      </w:pPr>
      <w:r>
        <w:rPr>
          <w:rFonts w:ascii="Amiri" w:hAnsi="Amiri" w:eastAsia="Amiri" w:cs="Amiri"/>
          <w:color w:val="111111"/>
          <w:sz w:val="28"/>
          <w:sz w:val="28"/>
          <w:szCs w:val="28"/>
          <w:rtl w:val="true"/>
          <w:lang w:bidi="ar-SA"/>
        </w:rPr>
        <w:t>إنّما هو في اتّباع الحكم الثابت في الشريعة السابقة ووجوبه في حقّنا لا في العمل بما علمنا بكونه مشروعا في ملّتنا بواسطة نقله من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فالذي يقتضيه جليّ </w:t>
      </w:r>
      <w:r>
        <w:rPr>
          <w:rStyle w:val="FootnoteAnchor"/>
          <w:rtl w:val="true"/>
        </w:rPr>
        <w:footnoteReference w:id="1946"/>
      </w:r>
      <w:r>
        <w:rPr>
          <w:rFonts w:ascii="Amiri" w:hAnsi="Amiri" w:eastAsia="Amiri" w:cs="Amiri"/>
          <w:color w:val="111111"/>
          <w:sz w:val="28"/>
          <w:sz w:val="28"/>
          <w:szCs w:val="28"/>
          <w:rtl w:val="true"/>
          <w:lang w:bidi="ar-SA"/>
        </w:rPr>
        <w:t xml:space="preserve">النظر القول بجريان الاستصحاب </w:t>
      </w:r>
      <w:r>
        <w:rPr>
          <w:rStyle w:val="FootnoteAnchor"/>
          <w:rtl w:val="true"/>
        </w:rPr>
        <w:footnoteReference w:id="1947"/>
      </w:r>
      <w:r>
        <w:rPr>
          <w:rFonts w:ascii="Amiri" w:hAnsi="Amiri" w:eastAsia="Amiri" w:cs="Amiri"/>
          <w:color w:val="111111"/>
          <w:sz w:val="28"/>
          <w:sz w:val="28"/>
          <w:szCs w:val="28"/>
          <w:rtl w:val="true"/>
          <w:lang w:bidi="ar-SA"/>
        </w:rPr>
        <w:t xml:space="preserve">فيما إذا ثبت الحكم في تلك الشريعة لعنوان المكلّف على نحو ما فرضناه في الشريعة الواحدة ، فإنّه لا مانع من الاستصحاب فيه كما أنّه لا مانع من الأخذ بالعموم الثابت في تلك الشريعة والأخذ بأحكامه إن لم يستفد منه اختصاصه بتلك الشريعة ، كما إذا اشتمل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لعدم الفارق بين ثبوت الحكم على أحد الوجهين في الشريعة الواحدة أو في الشريعتين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وقصارى ما يتوهّم في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تبليغ الرسول ممّا له مدخل في الحكم فيختلف الحكمان باختلاف الرسول ، سواء كان الحكم الثابت في لسان أحدهما مخالفا لما ثبت من الآخر أو موافقا لاختلافه باختلاف الحيثية ، ففيما لو شككنا في ارتفاع الحكم الذي جاء به نبيّنا صلى‌اللّه‌عليه‌وآله يصحّ الأخذ بالاستصحاب في إثباته في زمن الشكّ ، بخلاف ما لو كان الحكم ثابتا في إحدى الشرائع السابقة فإنّ استصحابه ممّا لا يجدي في ثبوت الحكم في حقّنا ؛ لأنّ الأخذ بواسطة الرسول ممّا هو كجزء موضوع للحكم فلا يصغى إليه وإن قطعنا به ، فضلا من أن يكون مستصحبا ، ولا أقلّ من الشكّ في مدخلية التبليغ في الحكم ومعه لا مسرح للاستصحاب أيضا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من الأخبار ولا من غيره من طرق الاعتبار مدخلية تبليغ النبيّ في الحكم ، بل إنّما هو مرآة عن الواقع ، وبعد الوصول إلى ما هو الواقع من الأحكام الإلهية لا ينبغي التأمّل في وجوب الأخذ به كما أشبعنا الكلام فيه في المباحث الماضية ، بل ولا يعقل ذلك بعد ما عرفت من أنّ الجهات المحسّنة والمقبّحة علل تامّة وإنّما </w:t>
      </w:r>
    </w:p>
    <w:p>
      <w:pPr>
        <w:pStyle w:val="BookText"/>
        <w:rPr/>
      </w:pPr>
      <w:r>
        <w:rPr>
          <w:rFonts w:ascii="Amiri" w:hAnsi="Amiri" w:eastAsia="Amiri" w:cs="Amiri"/>
          <w:color w:val="111111"/>
          <w:sz w:val="28"/>
          <w:sz w:val="28"/>
          <w:szCs w:val="28"/>
          <w:rtl w:val="true"/>
          <w:lang w:bidi="ar-SA"/>
        </w:rPr>
        <w:t>الشارع كشف عنها ، كما استظهرنا ذلك عن اعتراض بعض المخالفين بعدم الاختيار على المفروض وجواب أصحابنا كالمحقّق الطوسي وشيخنا البهائي عنه بأنّ ترك القبيح لصارف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جريان الاستصحاب بين </w:t>
      </w:r>
      <w:r>
        <w:rPr>
          <w:rStyle w:val="FootnoteAnchor"/>
          <w:rtl w:val="true"/>
        </w:rPr>
        <w:footnoteReference w:id="1948"/>
      </w:r>
      <w:r>
        <w:rPr>
          <w:rFonts w:ascii="Amiri" w:hAnsi="Amiri" w:eastAsia="Amiri" w:cs="Amiri"/>
          <w:color w:val="111111"/>
          <w:sz w:val="28"/>
          <w:sz w:val="28"/>
          <w:szCs w:val="28"/>
          <w:rtl w:val="true"/>
          <w:lang w:bidi="ar-SA"/>
        </w:rPr>
        <w:t>القول بذاتية الصفات المستتبعة للأحكام من الحسن والقبح وبين القول باختلافها بالوجوه والاعتبار ؛ إذ على الأخير أيضا يمكن القول بجريان الاستصحاب ، بل وهذا محلّ جريانه ؛ لأنّ القول بالذاتية ينافي الاختلاف ، فيجب بقاء الأحكام وليس من الاستصحاب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محقّق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الردّ على من ذهب إلى أنّ عدم العلم بالناسخ كاف في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مبنيّ على القول بكون حسن الأشياء ذاتيا وهو ممنوع ، بل التحقيق أنّه بالوجوه والاعتبار </w:t>
      </w:r>
      <w:r>
        <w:rPr>
          <w:rStyle w:val="FootnoteAnchor"/>
          <w:rtl w:val="true"/>
        </w:rPr>
        <w:footnoteReference w:id="1949"/>
      </w:r>
      <w:r>
        <w:rPr>
          <w:rFonts w:ascii="Amiri" w:hAnsi="Amiri" w:eastAsia="Amiri" w:cs="Amiri"/>
          <w:color w:val="111111"/>
          <w:sz w:val="28"/>
          <w:sz w:val="28"/>
          <w:szCs w:val="28"/>
          <w:rtl w:val="true"/>
          <w:lang w:bidi="ar-SA"/>
        </w:rPr>
        <w:t>لكن إعمال الاستصحاب لا يمكن إلاّ مع قابلية المحلّ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لا يكاد يخفى </w:t>
      </w:r>
      <w:r>
        <w:rPr>
          <w:rStyle w:val="FootnoteAnchor"/>
          <w:rtl w:val="true"/>
        </w:rPr>
        <w:footnoteReference w:id="1950"/>
      </w:r>
      <w:r>
        <w:rPr>
          <w:rFonts w:ascii="Amiri" w:hAnsi="Amiri" w:eastAsia="Amiri" w:cs="Amiri"/>
          <w:color w:val="111111"/>
          <w:sz w:val="28"/>
          <w:sz w:val="28"/>
          <w:szCs w:val="28"/>
          <w:rtl w:val="true"/>
          <w:lang w:bidi="ar-SA"/>
        </w:rPr>
        <w:t xml:space="preserve">وجوه النظر فيه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أنّه على القول بالذاتية لا مسرح للاستصحاب ، 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القول بالاعتبار لا ينافي بقاء الحكم المتفرّع عليه لإمكان عدم تغيّره </w:t>
      </w:r>
      <w:r>
        <w:rPr>
          <w:rStyle w:val="FootnoteAnchor"/>
          <w:rtl w:val="true"/>
        </w:rPr>
        <w:footnoteReference w:id="1951"/>
      </w:r>
      <w:r>
        <w:rPr>
          <w:rFonts w:ascii="Amiri" w:hAnsi="Amiri" w:eastAsia="Amiri" w:cs="Amiri"/>
          <w:color w:val="111111"/>
          <w:sz w:val="28"/>
          <w:sz w:val="28"/>
          <w:szCs w:val="28"/>
          <w:rtl w:val="true"/>
          <w:lang w:bidi="ar-SA"/>
        </w:rPr>
        <w:t xml:space="preserve">، وإلاّ فكيف يعقل الاستصحاب فيما إذا شكّ في النسخ في شريعة واحدة؟ 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إحراز القابلية لا ينافي القول بالوجوه والاعتبار كما يظهر من مساق كلامه ، وعلى تقديره فهو مشترك الورود بين الشريعة الواحدة والشريعتين ، فتدبّر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يورد على الاستصحاب المذكور على ما يوجد في بعض كلمات بعض الأجلّة بأنّه ممّا لا يعتنى به ؛ ضرورة أنّ الحكم الثابت في حقّ جماعة لا يمكن استصحابه في </w:t>
      </w:r>
    </w:p>
    <w:p>
      <w:pPr>
        <w:pStyle w:val="BookText"/>
        <w:rPr/>
      </w:pPr>
      <w:r>
        <w:rPr>
          <w:rFonts w:ascii="Amiri" w:hAnsi="Amiri" w:eastAsia="Amiri" w:cs="Amiri"/>
          <w:color w:val="111111"/>
          <w:sz w:val="28"/>
          <w:sz w:val="28"/>
          <w:szCs w:val="28"/>
          <w:rtl w:val="true"/>
          <w:lang w:bidi="ar-SA"/>
        </w:rPr>
        <w:t xml:space="preserve">حقّ آخرين </w:t>
      </w:r>
      <w:r>
        <w:rPr>
          <w:rStyle w:val="FootnoteAnchor"/>
          <w:rtl w:val="true"/>
        </w:rPr>
        <w:footnoteReference w:id="1952"/>
      </w:r>
      <w:r>
        <w:rPr>
          <w:rFonts w:ascii="Amiri" w:hAnsi="Amiri" w:eastAsia="Amiri" w:cs="Amiri"/>
          <w:color w:val="111111"/>
          <w:sz w:val="28"/>
          <w:sz w:val="28"/>
          <w:szCs w:val="28"/>
          <w:rtl w:val="true"/>
          <w:lang w:bidi="ar-SA"/>
        </w:rPr>
        <w:t xml:space="preserve">، لتغاير الموضوع فإنّ ما ثبت في حقّهم على تقدير الاتّحاد وعدم الاختلاف فهو </w:t>
      </w:r>
      <w:r>
        <w:rPr>
          <w:rStyle w:val="FootnoteAnchor"/>
          <w:rtl w:val="true"/>
        </w:rPr>
        <w:footnoteReference w:id="1953"/>
      </w:r>
      <w:r>
        <w:rPr>
          <w:rFonts w:ascii="Amiri" w:hAnsi="Amiri" w:eastAsia="Amiri" w:cs="Amiri"/>
          <w:color w:val="111111"/>
          <w:sz w:val="28"/>
          <w:sz w:val="28"/>
          <w:szCs w:val="28"/>
          <w:rtl w:val="true"/>
          <w:lang w:bidi="ar-SA"/>
        </w:rPr>
        <w:t xml:space="preserve">مثله لا نفسه ، ولهذا يتمسّك في تسرية الأحكام الثابتة في حقّ الحاضرين أو الموجودين إلى الغائبين أو المعدومين بالإجماع والأخبار الدالّة على الشركة لا بالاستصحاب </w:t>
      </w:r>
      <w:r>
        <w:rPr>
          <w:rStyle w:val="FootnoteAnchor"/>
          <w:rtl w:val="true"/>
        </w:rPr>
        <w:footnoteReference w:id="195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بمكان من 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المسلّم عنده جريان الاستصحاب في الشريعة الواحدة مع وضوح اتّحاد الوجه فيهما فما هو الجواب هو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مفروض الكلام على ما عرفت آنفا عدم اختلاف الموضوع باختلاف المكلّفين ؛ لثبوت الحكم لنوع المكلّف من حيث هو مكلّف ، ضرورة اتّحاد الموضوع على المفروض ، فلا يزيد استصحاب حكم جماعة لجماعة </w:t>
      </w:r>
      <w:r>
        <w:rPr>
          <w:rStyle w:val="FootnoteAnchor"/>
          <w:rtl w:val="true"/>
        </w:rPr>
        <w:footnoteReference w:id="1955"/>
      </w:r>
      <w:r>
        <w:rPr>
          <w:rFonts w:ascii="Amiri" w:hAnsi="Amiri" w:eastAsia="Amiri" w:cs="Amiri"/>
          <w:color w:val="111111"/>
          <w:sz w:val="28"/>
          <w:sz w:val="28"/>
          <w:szCs w:val="28"/>
          <w:rtl w:val="true"/>
          <w:lang w:bidi="ar-SA"/>
        </w:rPr>
        <w:t xml:space="preserve">أخرى ، وعلى التنزّل فلا بدّ من ملاحظة حال الواجد للشريعتين واستصحابه في حقّه وإتمام الدعوى في الغير بالإجماع المركّب ، ومن هنا يظهر أنّ ما استشهد به من إثبات الحكم لجماعة أخرى وتسريته في حقّ الغير يحتاج إلى أدلّة الاشتراك ، ممّا لا يصغى إليه فيما نحن فيه ؛ لعدم الاحتياج إليها بعد الاستصحاب وإنّما الحاجة إليها فيما إذا كانت الأحكام مختصّة بجماعة من الأمّة بحسب الأدلّة الدالّة عليها كخطابات الشفاه </w:t>
      </w:r>
      <w:r>
        <w:rPr>
          <w:rStyle w:val="FootnoteAnchor"/>
          <w:rtl w:val="true"/>
        </w:rPr>
        <w:footnoteReference w:id="1956"/>
      </w:r>
      <w:r>
        <w:rPr>
          <w:rFonts w:ascii="Amiri" w:hAnsi="Amiri" w:eastAsia="Amiri" w:cs="Amiri"/>
          <w:color w:val="111111"/>
          <w:sz w:val="28"/>
          <w:sz w:val="28"/>
          <w:szCs w:val="28"/>
          <w:rtl w:val="true"/>
          <w:lang w:bidi="ar-SA"/>
        </w:rPr>
        <w:t>فإنّها على التحقيق ممّا لا يعقل شمولها للغير فيصير مختصّة بالمشافهين الحاضرين مجلس الخطاب والوحي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الحاجة إلى أدلّة الشركة في خطاب الشفاه أيضا إلاّ من حيث كشفه عن الحكم المدلول عليه بالخطاب تارة ، وبها أخرى كما لا يخفى ، فتدبّر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الوجوه الضعيفة ممّا لا ينهض بدفع الاستصحاب إلاّ أنّه في المقام </w:t>
      </w:r>
    </w:p>
    <w:p>
      <w:pPr>
        <w:pStyle w:val="BookText"/>
        <w:rPr/>
      </w:pPr>
      <w:r>
        <w:rPr>
          <w:rFonts w:ascii="Amiri" w:hAnsi="Amiri" w:eastAsia="Amiri" w:cs="Amiri"/>
          <w:color w:val="111111"/>
          <w:sz w:val="28"/>
          <w:sz w:val="28"/>
          <w:szCs w:val="28"/>
          <w:rtl w:val="true"/>
          <w:lang w:bidi="ar-SA"/>
        </w:rPr>
        <w:t xml:space="preserve">شيئان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1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ممّا لا مجرى له بعد العلم الإجمالي بورود </w:t>
      </w:r>
      <w:r>
        <w:rPr>
          <w:rStyle w:val="FootnoteAnchor"/>
          <w:rtl w:val="true"/>
        </w:rPr>
        <w:footnoteReference w:id="1958"/>
      </w:r>
      <w:r>
        <w:rPr>
          <w:rFonts w:ascii="Amiri" w:hAnsi="Amiri" w:eastAsia="Amiri" w:cs="Amiri"/>
          <w:color w:val="111111"/>
          <w:sz w:val="28"/>
          <w:sz w:val="28"/>
          <w:szCs w:val="28"/>
          <w:rtl w:val="true"/>
          <w:lang w:bidi="ar-SA"/>
        </w:rPr>
        <w:t xml:space="preserve">النسخ في الأحكام الثابتة في الشرائع السابقة ، فإنّ قضيّة ذلك عدم الاعتداد بالاستصحاب في حكم من أحكامها ، لوجوب إحراز </w:t>
      </w:r>
      <w:r>
        <w:rPr>
          <w:rStyle w:val="FootnoteAnchor"/>
          <w:rtl w:val="true"/>
        </w:rPr>
        <w:footnoteReference w:id="1959"/>
      </w:r>
      <w:r>
        <w:rPr>
          <w:rFonts w:ascii="Amiri" w:hAnsi="Amiri" w:eastAsia="Amiri" w:cs="Amiri"/>
          <w:color w:val="111111"/>
          <w:sz w:val="28"/>
          <w:sz w:val="28"/>
          <w:szCs w:val="28"/>
          <w:rtl w:val="true"/>
          <w:lang w:bidi="ar-SA"/>
        </w:rPr>
        <w:t xml:space="preserve">المعلوم بالإجمال في أطراف الشبهة وترك العمل بتمامها مقدّمة كما عرفت في الشبهة المحصورة ، فإنّ المقام أيضا منها ، فلا يمكن الأخذ بالأصل في الكلّ لمخالفته للعلم الإجمالي ، ولا الأخذ بالبعض لاستلزامه الترجيح بلا مرجّح مع التعيين ولعدم ما يقضي </w:t>
      </w:r>
      <w:r>
        <w:rPr>
          <w:rStyle w:val="FootnoteAnchor"/>
          <w:rtl w:val="true"/>
        </w:rPr>
        <w:footnoteReference w:id="1960"/>
      </w:r>
      <w:r>
        <w:rPr>
          <w:rFonts w:ascii="Amiri" w:hAnsi="Amiri" w:eastAsia="Amiri" w:cs="Amiri"/>
          <w:color w:val="111111"/>
          <w:sz w:val="28"/>
          <w:sz w:val="28"/>
          <w:szCs w:val="28"/>
          <w:rtl w:val="true"/>
          <w:lang w:bidi="ar-SA"/>
        </w:rPr>
        <w:t>بالتخيير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ذلك بأنّ المعلوم بالإجمال ممّا علم تفصيلا بوجودها في ضمن الأحكام المعلومة الموجودة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إن أريد العلم بوجود المنسوخات في الشرائع السابقة بتمامها في الأحكام الموجودة عندنا ؛ إذ على هذا التقدير لا معنى للشكّ في منسوخية الحكم المفروض في مجرى الاستصحاب على 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أنّ الموجود عندنا من الأحكام إنّما هو </w:t>
      </w:r>
      <w:r>
        <w:rPr>
          <w:rStyle w:val="FootnoteAnchor"/>
          <w:rtl w:val="true"/>
        </w:rPr>
        <w:footnoteReference w:id="1961"/>
      </w:r>
      <w:r>
        <w:rPr>
          <w:rFonts w:ascii="IRNazanin" w:hAnsi="IRNazanin" w:eastAsia="IRNazanin"/>
          <w:color w:val="111111"/>
          <w:sz w:val="28"/>
          <w:sz w:val="28"/>
          <w:szCs w:val="28"/>
          <w:rtl w:val="true"/>
          <w:lang w:bidi="fa-IR"/>
        </w:rPr>
        <w:t xml:space="preserve">القدر المعلوم لنا إجمالا لا منسوخه </w:t>
      </w:r>
      <w:r>
        <w:rPr>
          <w:rStyle w:val="FootnoteAnchor"/>
          <w:rtl w:val="true"/>
        </w:rPr>
        <w:footnoteReference w:id="1962"/>
      </w:r>
      <w:r>
        <w:rPr>
          <w:rFonts w:ascii="Amiri" w:hAnsi="Amiri" w:eastAsia="Amiri" w:cs="Amiri"/>
          <w:color w:val="111111"/>
          <w:sz w:val="28"/>
          <w:sz w:val="28"/>
          <w:szCs w:val="28"/>
          <w:rtl w:val="true"/>
          <w:lang w:bidi="ar-SA"/>
        </w:rPr>
        <w:t>وإن لم نعلم بكونه محرزا فيها ، فلا يجدي ؛ لوجوب العلم بالموافقة القطعية وترك الأطراف جميعا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إحراز المنسوخات في الأحكام الثابتة في الشرائع السابقة إنّما هو العلم </w:t>
      </w:r>
      <w:r>
        <w:rPr>
          <w:rStyle w:val="FootnoteAnchor"/>
          <w:rtl w:val="true"/>
        </w:rPr>
        <w:footnoteReference w:id="1963"/>
      </w:r>
      <w:r>
        <w:rPr>
          <w:rFonts w:ascii="Amiri" w:hAnsi="Amiri" w:eastAsia="Amiri" w:cs="Amiri"/>
          <w:color w:val="111111"/>
          <w:sz w:val="28"/>
          <w:sz w:val="28"/>
          <w:szCs w:val="28"/>
          <w:rtl w:val="true"/>
          <w:lang w:bidi="ar-SA"/>
        </w:rPr>
        <w:t xml:space="preserve">بتلك الأحكام المنسوخة على الوجه الذي صار منسوخا في شريعتنا والأخذ بنواسخها على ما هو ظاهر ، والمفروض معلومية وجوب العمل بهذه الأحكام الثابتة في شريعتنا مطلقا ، سواء كانت ناسخة لما قرّر في </w:t>
      </w:r>
    </w:p>
    <w:p>
      <w:pPr>
        <w:pStyle w:val="BookText"/>
        <w:rPr/>
      </w:pPr>
      <w:r>
        <w:rPr>
          <w:rFonts w:ascii="Amiri" w:hAnsi="Amiri" w:eastAsia="Amiri" w:cs="Amiri"/>
          <w:color w:val="111111"/>
          <w:sz w:val="28"/>
          <w:sz w:val="28"/>
          <w:szCs w:val="28"/>
          <w:rtl w:val="true"/>
          <w:lang w:bidi="ar-SA"/>
        </w:rPr>
        <w:t xml:space="preserve">سائر الشرائع أو لم تكن </w:t>
      </w:r>
      <w:r>
        <w:rPr>
          <w:rStyle w:val="FootnoteAnchor"/>
          <w:rtl w:val="true"/>
        </w:rPr>
        <w:footnoteReference w:id="1964"/>
      </w:r>
      <w:r>
        <w:rPr>
          <w:rFonts w:ascii="Amiri" w:hAnsi="Amiri" w:eastAsia="Amiri" w:cs="Amiri"/>
          <w:color w:val="111111"/>
          <w:sz w:val="28"/>
          <w:sz w:val="28"/>
          <w:szCs w:val="28"/>
          <w:rtl w:val="true"/>
          <w:lang w:bidi="ar-SA"/>
        </w:rPr>
        <w:t xml:space="preserve">فأصالة عدم المنسوخية في الأحكام التي ليست من موارد الشكّ ممّا لا يجدي ؛ لكونها في غير محلّ الابتلاء من المكلّف ، لكونه معلوما بالتفصيل من جهة أخرى وقد عرفت </w:t>
      </w:r>
      <w:r>
        <w:rPr>
          <w:rStyle w:val="FootnoteAnchor"/>
          <w:rtl w:val="true"/>
        </w:rPr>
        <w:footnoteReference w:id="1965"/>
      </w:r>
      <w:r>
        <w:rPr>
          <w:rFonts w:ascii="Amiri" w:hAnsi="Amiri" w:eastAsia="Amiri" w:cs="Amiri"/>
          <w:color w:val="111111"/>
          <w:sz w:val="28"/>
          <w:sz w:val="28"/>
          <w:szCs w:val="28"/>
          <w:rtl w:val="true"/>
          <w:lang w:bidi="ar-SA"/>
        </w:rPr>
        <w:t>فيما تقدّم عدم وجوب الاجتناب عن تمام أطراف الشبهة فيما إذا لم يكن بعضها بمحلّ الابتلاء من المكلّف ؛ لعدم تنجّز الخطاب عليه على ما عرفت تفصيل الكلام فيه ، فيجري في الطرف الأصل فيعمل به ويعتمد عليه من غير معارضة ولا غائلة ؛ لكونه من الأدلّة الشرعية ، والعلم الإجمالي ممّا لا أثر له بعد معلومية أحد أطرافه بدليل معتبر شرعا كالاستصحاب والبيّنة ونحوها من الطرق الواقعية أو الأصول العملية من غير فرق بينهما من هذه الجهة وإن كان الفرق بينهما من جهة أخرى واضحا كما هو ظاهر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العلم الإجمالي بوجود شيء بين أشياء متعدّدة لا يقضي </w:t>
      </w:r>
      <w:r>
        <w:rPr>
          <w:rStyle w:val="FootnoteAnchor"/>
          <w:rtl w:val="true"/>
        </w:rPr>
        <w:footnoteReference w:id="1966"/>
      </w:r>
      <w:r>
        <w:rPr>
          <w:rFonts w:ascii="IRNazanin" w:hAnsi="IRNazanin" w:eastAsia="IRNazanin"/>
          <w:color w:val="111111"/>
          <w:sz w:val="28"/>
          <w:sz w:val="28"/>
          <w:szCs w:val="28"/>
          <w:rtl w:val="true"/>
          <w:lang w:bidi="fa-IR"/>
        </w:rPr>
        <w:t xml:space="preserve">بوجوب إحراز </w:t>
      </w:r>
      <w:r>
        <w:rPr>
          <w:rStyle w:val="FootnoteAnchor"/>
          <w:rtl w:val="true"/>
        </w:rPr>
        <w:footnoteReference w:id="1967"/>
      </w:r>
      <w:r>
        <w:rPr>
          <w:rFonts w:ascii="Amiri" w:hAnsi="Amiri" w:eastAsia="Amiri" w:cs="Amiri"/>
          <w:color w:val="111111"/>
          <w:sz w:val="28"/>
          <w:sz w:val="28"/>
          <w:szCs w:val="28"/>
          <w:rtl w:val="true"/>
          <w:lang w:bidi="ar-SA"/>
        </w:rPr>
        <w:t xml:space="preserve">المعلوم الإجمالي وعدم جريان الأصل الموضوعي في الأطراف ، فإنّه على ما عرفت إنّما هو بواسطة لزوم المخالفة القطعية فيما لو أخذ بالأصل في الكلّ والترجيح بلا مرجّح فيما لو خصّصنا الأخذ بالبعض دون آخر كما عرفت مفصّلا في محلّه ، وليس في المقام كذلك ، فإنّا لو فرضنا الوقائع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فنعلم بأنّ تسعمائة منه منسوخة قطعا وعندنا في هذه الشريعة المقدّسة يكون على هذا المقدار أحكام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فنعلم بواسطة معلومية هذه الأحكام وجوب الأخذ بها ، ولا فرق في ذلك بين أن يكون هذه هي الأحكام المنسوخة من سائر الشرائع وبين أن لا تكون </w:t>
      </w:r>
      <w:r>
        <w:rPr>
          <w:rStyle w:val="FootnoteAnchor"/>
          <w:rtl w:val="true"/>
        </w:rPr>
        <w:footnoteReference w:id="1968"/>
      </w:r>
      <w:r>
        <w:rPr>
          <w:rFonts w:ascii="Amiri" w:hAnsi="Amiri" w:eastAsia="Amiri" w:cs="Amiri"/>
          <w:color w:val="111111"/>
          <w:sz w:val="28"/>
          <w:sz w:val="28"/>
          <w:szCs w:val="28"/>
          <w:rtl w:val="true"/>
          <w:lang w:bidi="ar-SA"/>
        </w:rPr>
        <w:t xml:space="preserve">تلك الأحكام فنعلم بوجوب العمل بهذه الأحكام تفصيلا ، والعلم الإجمالي </w:t>
      </w:r>
    </w:p>
    <w:p>
      <w:pPr>
        <w:pStyle w:val="BookText"/>
        <w:rPr/>
      </w:pPr>
      <w:r>
        <w:rPr>
          <w:rFonts w:ascii="Amiri" w:hAnsi="Amiri" w:eastAsia="Amiri" w:cs="Amiri"/>
          <w:color w:val="111111"/>
          <w:sz w:val="28"/>
          <w:sz w:val="28"/>
          <w:szCs w:val="28"/>
          <w:rtl w:val="true"/>
          <w:lang w:bidi="ar-SA"/>
        </w:rPr>
        <w:t xml:space="preserve">بمنسوخية جملة من الأحكام الواقعة </w:t>
      </w:r>
      <w:r>
        <w:rPr>
          <w:rStyle w:val="FootnoteAnchor"/>
          <w:rtl w:val="true"/>
        </w:rPr>
        <w:footnoteReference w:id="1969"/>
      </w:r>
      <w:r>
        <w:rPr>
          <w:rFonts w:ascii="Amiri" w:hAnsi="Amiri" w:eastAsia="Amiri" w:cs="Amiri"/>
          <w:color w:val="111111"/>
          <w:sz w:val="28"/>
          <w:sz w:val="28"/>
          <w:szCs w:val="28"/>
          <w:rtl w:val="true"/>
          <w:lang w:bidi="ar-SA"/>
        </w:rPr>
        <w:t xml:space="preserve">في سائر الشرائع لا يورث في هذه الأحكام شيئا آخر بعد العلم بوجوب العمل بها في هذه الشريعة ، فأصالة عدم النسخ في هذه الأحكام لا يوجب </w:t>
      </w:r>
      <w:r>
        <w:rPr>
          <w:rStyle w:val="FootnoteAnchor"/>
          <w:rtl w:val="true"/>
        </w:rPr>
        <w:footnoteReference w:id="1970"/>
      </w:r>
      <w:r>
        <w:rPr>
          <w:rFonts w:ascii="Amiri" w:hAnsi="Amiri" w:eastAsia="Amiri" w:cs="Amiri"/>
          <w:color w:val="111111"/>
          <w:sz w:val="28"/>
          <w:sz w:val="28"/>
          <w:szCs w:val="28"/>
          <w:rtl w:val="true"/>
          <w:lang w:bidi="ar-SA"/>
        </w:rPr>
        <w:t xml:space="preserve">العمل بهذه الأحكام ؛ للعلم بوجوب العمل بها تفصيلا ، بخلاف أصالة عدم النسخ في المائة الباقية فإنّها تقضي </w:t>
      </w:r>
      <w:r>
        <w:rPr>
          <w:rStyle w:val="FootnoteAnchor"/>
          <w:rtl w:val="true"/>
        </w:rPr>
        <w:footnoteReference w:id="1971"/>
      </w:r>
      <w:r>
        <w:rPr>
          <w:rFonts w:ascii="Amiri" w:hAnsi="Amiri" w:eastAsia="Amiri" w:cs="Amiri"/>
          <w:color w:val="111111"/>
          <w:sz w:val="28"/>
          <w:sz w:val="28"/>
          <w:szCs w:val="28"/>
          <w:rtl w:val="true"/>
          <w:lang w:bidi="ar-SA"/>
        </w:rPr>
        <w:t xml:space="preserve">بوجوب العمل بها ، فأطراف العلم الإجمالي ليست على حدّ سواء في جريان الأصل الموضوعي </w:t>
      </w:r>
      <w:r>
        <w:rPr>
          <w:rStyle w:val="FootnoteAnchor"/>
          <w:rtl w:val="true"/>
        </w:rPr>
        <w:footnoteReference w:id="1972"/>
      </w:r>
      <w:r>
        <w:rPr>
          <w:rFonts w:ascii="Amiri" w:hAnsi="Amiri" w:eastAsia="Amiri" w:cs="Amiri"/>
          <w:color w:val="111111"/>
          <w:sz w:val="28"/>
          <w:sz w:val="28"/>
          <w:szCs w:val="28"/>
          <w:rtl w:val="true"/>
          <w:lang w:bidi="ar-SA"/>
        </w:rPr>
        <w:t xml:space="preserve">، فيؤخذ بما يجري فيه ؛ لكونه من الأدلّة الشرعية الظاهرية ، وذلك نظير ما عرفت من أنّه لو كان أحد الأطراف في الشبهة المحصورة محكوما بحكم موافق للعلم الإجمالي تفصيلا كما إذا علمنا بحرمة أحد الأطراف من غير جهة الغصب ، ثمّ علمنا بحرمة مردّدة بينه وبين غيره من جهة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يجب الاجتناب عن الطرف الآخر ؛ لعدم إيراثه حكما جديدا </w:t>
      </w:r>
      <w:r>
        <w:rPr>
          <w:rStyle w:val="FootnoteAnchor"/>
          <w:rtl w:val="true"/>
        </w:rPr>
        <w:footnoteReference w:id="1973"/>
      </w:r>
      <w:r>
        <w:rPr>
          <w:rFonts w:ascii="Amiri" w:hAnsi="Amiri" w:eastAsia="Amiri" w:cs="Amiri"/>
          <w:color w:val="111111"/>
          <w:sz w:val="28"/>
          <w:sz w:val="28"/>
          <w:szCs w:val="28"/>
          <w:rtl w:val="true"/>
          <w:lang w:bidi="ar-SA"/>
        </w:rPr>
        <w:t xml:space="preserve">بالنسبة إلى الطرف المعلوم بالتفصيل ، وبالنسبة إلى الآخر يكون من الشكوك البدوية ؛ إذ مرجع الشكّ إلى أنّ هذه الحرمة إنّما هي بالنسبة إلى هذا </w:t>
      </w:r>
      <w:r>
        <w:rPr>
          <w:rStyle w:val="FootnoteAnchor"/>
          <w:rtl w:val="true"/>
        </w:rPr>
        <w:footnoteReference w:id="1974"/>
      </w:r>
      <w:r>
        <w:rPr>
          <w:rFonts w:ascii="Amiri" w:hAnsi="Amiri" w:eastAsia="Amiri" w:cs="Amiri"/>
          <w:color w:val="111111"/>
          <w:sz w:val="28"/>
          <w:sz w:val="28"/>
          <w:szCs w:val="28"/>
          <w:rtl w:val="true"/>
          <w:lang w:bidi="ar-SA"/>
        </w:rPr>
        <w:t xml:space="preserve">الطرف فيكون </w:t>
      </w:r>
      <w:r>
        <w:rPr>
          <w:rStyle w:val="FootnoteAnchor"/>
          <w:rtl w:val="true"/>
        </w:rPr>
        <w:footnoteReference w:id="1975"/>
      </w:r>
      <w:r>
        <w:rPr>
          <w:rFonts w:ascii="Amiri" w:hAnsi="Amiri" w:eastAsia="Amiri" w:cs="Amiri"/>
          <w:color w:val="111111"/>
          <w:sz w:val="28"/>
          <w:sz w:val="28"/>
          <w:szCs w:val="28"/>
          <w:rtl w:val="true"/>
          <w:lang w:bidi="ar-SA"/>
        </w:rPr>
        <w:t>حراما ، أو بالنسبة إلى الطرف الآخر حتّى لا يكون حراما ، فيصير من موارد البراءة على ما مرّ تفصيل الكلام فيها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وبمثل ذلك نقول فيما نحن بصدده فإنّ الوقائع في جميع الأديان على ما فرضناه ألف والمفروض أنّ تسعمائة منها معلومة لنا تفصيلا لثبوت الأحكام الواردة فيها في هذه الشريعة ، والمائة الباقية مشكوكة ، وقد علمنا إجمالا بأنّ جملة من تلك الوقائع ممّا نسخت أحكامها الثابتة في الشريعة السابقة في هذه الشريعة المقدّسة ، والعلم الإجمالي لا ثمرة فيه إلاّ العمل بأطرافه على وجه يصير المعلوم الإجمالي محرزا في ضمن </w:t>
      </w:r>
    </w:p>
    <w:p>
      <w:pPr>
        <w:pStyle w:val="BookText"/>
        <w:rPr/>
      </w:pPr>
      <w:r>
        <w:rPr>
          <w:rFonts w:ascii="Amiri" w:hAnsi="Amiri" w:eastAsia="Amiri" w:cs="Amiri"/>
          <w:color w:val="111111"/>
          <w:sz w:val="28"/>
          <w:sz w:val="28"/>
          <w:szCs w:val="28"/>
          <w:rtl w:val="true"/>
          <w:lang w:bidi="ar-SA"/>
        </w:rPr>
        <w:t xml:space="preserve">الأطراف المحتملة ، والمفروض وجوب العمل بتلك القطعة من الأحكام المعلومة تفصيلا ، فلم يفد العلم الإجمالي في هذه القطعة شيئا ، فأصالة عدم النسخ فيها لا تجدي </w:t>
      </w:r>
      <w:r>
        <w:rPr>
          <w:rStyle w:val="FootnoteAnchor"/>
          <w:rtl w:val="true"/>
        </w:rPr>
        <w:footnoteReference w:id="1976"/>
      </w:r>
      <w:r>
        <w:rPr>
          <w:rFonts w:ascii="Amiri" w:hAnsi="Amiri" w:eastAsia="Amiri" w:cs="Amiri"/>
          <w:color w:val="111111"/>
          <w:sz w:val="28"/>
          <w:sz w:val="28"/>
          <w:szCs w:val="28"/>
          <w:rtl w:val="true"/>
          <w:lang w:bidi="ar-SA"/>
        </w:rPr>
        <w:t>، للعلم بحكمها تفصيلا ، فتلك القطعة ليست بمحلّ الابتلاء من المكلّف ، وتبقى أصالة عدم النسخ في المائة الباقية سليمة عن المعارض حاكمة على قاعدة المقدّمية ، فيجب الأخذ بها ؛ لكونها دليلا شرعيا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نحن ندّعي وجود </w:t>
      </w:r>
      <w:r>
        <w:rPr>
          <w:rStyle w:val="FootnoteAnchor"/>
          <w:rtl w:val="true"/>
        </w:rPr>
        <w:footnoteReference w:id="1977"/>
      </w:r>
      <w:r>
        <w:rPr>
          <w:rFonts w:ascii="Amiri" w:hAnsi="Amiri" w:eastAsia="Amiri" w:cs="Amiri"/>
          <w:color w:val="111111"/>
          <w:sz w:val="28"/>
          <w:sz w:val="28"/>
          <w:szCs w:val="28"/>
          <w:rtl w:val="true"/>
          <w:lang w:bidi="ar-SA"/>
        </w:rPr>
        <w:t>العلم الإجمالي بين المائة الباقية أيضا ، فلا يمكن إجراء أصالة عدم النسخ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يختلف الأحكام باختلاف الموارد ، فإنّه يتصوّر النسخ في تلك المائة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w:t>
      </w:r>
      <w:r>
        <w:rPr>
          <w:rStyle w:val="FootnoteAnchor"/>
          <w:rtl w:val="true"/>
        </w:rPr>
        <w:footnoteReference w:id="1978"/>
      </w:r>
      <w:r>
        <w:rPr>
          <w:rFonts w:ascii="Amiri" w:hAnsi="Amiri" w:eastAsia="Amiri" w:cs="Amiri"/>
          <w:color w:val="111111"/>
          <w:sz w:val="28"/>
          <w:sz w:val="28"/>
          <w:szCs w:val="28"/>
          <w:rtl w:val="true"/>
          <w:lang w:bidi="ar-SA"/>
        </w:rPr>
        <w:t xml:space="preserve">بأنّ بعض الأحكام الواجبة في الشرائع السابقة قد صارت محرّمة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بأنّ بعضا </w:t>
      </w:r>
      <w:r>
        <w:rPr>
          <w:rStyle w:val="FootnoteAnchor"/>
          <w:rtl w:val="true"/>
        </w:rPr>
        <w:footnoteReference w:id="1979"/>
      </w:r>
      <w:r>
        <w:rPr>
          <w:rFonts w:ascii="Amiri" w:hAnsi="Amiri" w:eastAsia="Amiri" w:cs="Amiri"/>
          <w:color w:val="111111"/>
          <w:sz w:val="28"/>
          <w:sz w:val="28"/>
          <w:szCs w:val="28"/>
          <w:rtl w:val="true"/>
          <w:lang w:bidi="ar-SA"/>
        </w:rPr>
        <w:t xml:space="preserve">منها صارت مباحة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بأنّ بعض الأحكام المباحة في تلك الشرائع </w:t>
      </w:r>
      <w:r>
        <w:rPr>
          <w:rStyle w:val="FootnoteAnchor"/>
          <w:rtl w:val="true"/>
        </w:rPr>
        <w:footnoteReference w:id="1980"/>
      </w:r>
      <w:r>
        <w:rPr>
          <w:rFonts w:ascii="Amiri" w:hAnsi="Amiri" w:eastAsia="Amiri" w:cs="Amiri"/>
          <w:color w:val="111111"/>
          <w:sz w:val="28"/>
          <w:sz w:val="28"/>
          <w:szCs w:val="28"/>
          <w:rtl w:val="true"/>
          <w:lang w:bidi="ar-SA"/>
        </w:rPr>
        <w:t xml:space="preserve">صارت واجبة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بأنّ منها صارت محرّمة ، فلا يجري الاستصحاب على بعض الوجوه كما في الوجهين الأخيرين ؛ لأنّ الإباحة في الشريعة السابقة لا يجدي </w:t>
      </w:r>
      <w:r>
        <w:rPr>
          <w:rStyle w:val="FootnoteAnchor"/>
          <w:rtl w:val="true"/>
        </w:rPr>
        <w:footnoteReference w:id="1981"/>
      </w:r>
      <w:r>
        <w:rPr>
          <w:rFonts w:ascii="Amiri" w:hAnsi="Amiri" w:eastAsia="Amiri" w:cs="Amiri"/>
          <w:color w:val="111111"/>
          <w:sz w:val="28"/>
          <w:sz w:val="28"/>
          <w:szCs w:val="28"/>
          <w:rtl w:val="true"/>
          <w:lang w:bidi="ar-SA"/>
        </w:rPr>
        <w:t xml:space="preserve">استصحابها في قبال العلم الإجمالي بانقلابها وجوبا أو تحريما ، ويجري في الوجهين الأوّلين ؛ لأنّ الإباحة لا حكم لها ، إذ </w:t>
      </w:r>
      <w:r>
        <w:rPr>
          <w:rStyle w:val="FootnoteAnchor"/>
          <w:rtl w:val="true"/>
        </w:rPr>
        <w:footnoteReference w:id="1982"/>
      </w:r>
      <w:r>
        <w:rPr>
          <w:rFonts w:ascii="Amiri" w:hAnsi="Amiri" w:eastAsia="Amiri" w:cs="Amiri"/>
          <w:color w:val="111111"/>
          <w:sz w:val="28"/>
          <w:sz w:val="28"/>
          <w:szCs w:val="28"/>
          <w:rtl w:val="true"/>
          <w:lang w:bidi="ar-SA"/>
        </w:rPr>
        <w:t>لا مقدّمة للمباح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يجب الامتثال بأطرافه مقدّمة ، وفيما كان المباح معلوما إجماليا لا يجب إحرازه ؛ لانتفاء المقدّمة فيه كما بيّنا الوجه في ذلك فيما مرّ ، فكن على بصيرة من الأمر في الموارد وتدبّر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1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عند الأمّة سيّما نحن معاشر الإمامية أنّ نبيّنا صلى‌اللّه‌عليه‌وآله إنّما بلّغ عن ربّه غاية الإبلاغ وجاء بتمام محاويج العباد على المعتاد من غير إهمال فيه ولا تقصير منه تعالى عن ذلك ، ويدلّ على ذلك بعد مساعدة الاعتبار لكونه أفضل الأنبياء الكبار موافقة </w:t>
      </w:r>
      <w:r>
        <w:rPr>
          <w:rStyle w:val="FootnoteAnchor"/>
          <w:rtl w:val="true"/>
        </w:rPr>
        <w:footnoteReference w:id="1985"/>
      </w:r>
      <w:r>
        <w:rPr>
          <w:rFonts w:ascii="Amiri" w:hAnsi="Amiri" w:eastAsia="Amiri" w:cs="Amiri"/>
          <w:color w:val="111111"/>
          <w:sz w:val="28"/>
          <w:sz w:val="28"/>
          <w:szCs w:val="28"/>
          <w:rtl w:val="true"/>
          <w:lang w:bidi="ar-SA"/>
        </w:rPr>
        <w:t xml:space="preserve">الأخبار عن السادة الأطهار عليهم من الصلاة أفضلها ومن السلام أنماها ما دجى الليل وأضاء النهار </w:t>
      </w:r>
      <w:r>
        <w:rPr>
          <w:rStyle w:val="FootnoteAnchor"/>
          <w:rtl w:val="true"/>
        </w:rPr>
        <w:footnoteReference w:id="1986"/>
      </w:r>
      <w:r>
        <w:rPr>
          <w:rFonts w:ascii="Amiri" w:hAnsi="Amiri" w:eastAsia="Amiri" w:cs="Amiri"/>
          <w:color w:val="111111"/>
          <w:sz w:val="28"/>
          <w:sz w:val="28"/>
          <w:szCs w:val="28"/>
          <w:rtl w:val="true"/>
          <w:lang w:bidi="ar-SA"/>
        </w:rPr>
        <w:t xml:space="preserve">ومعاضدة كلمات العلماء الأخيار ولم يكلنا في حكم من الأحكام إلى </w:t>
      </w:r>
      <w:r>
        <w:rPr>
          <w:rStyle w:val="FootnoteAnchor"/>
          <w:rtl w:val="true"/>
        </w:rPr>
        <w:footnoteReference w:id="1987"/>
      </w:r>
      <w:r>
        <w:rPr>
          <w:rFonts w:ascii="Amiri" w:hAnsi="Amiri" w:eastAsia="Amiri" w:cs="Amiri"/>
          <w:color w:val="111111"/>
          <w:sz w:val="28"/>
          <w:sz w:val="28"/>
          <w:szCs w:val="28"/>
          <w:rtl w:val="true"/>
          <w:lang w:bidi="ar-SA"/>
        </w:rPr>
        <w:t xml:space="preserve">شريعة من الشرائع السابقة حتّى أرش الخدش ، ومن المعلوم أيضا عندنا أنّه </w:t>
      </w:r>
      <w:r>
        <w:rPr>
          <w:rStyle w:val="FootnoteAnchor"/>
          <w:rtl w:val="true"/>
        </w:rPr>
        <w:footnoteReference w:id="1988"/>
      </w:r>
      <w:r>
        <w:rPr>
          <w:rFonts w:ascii="Amiri" w:hAnsi="Amiri" w:eastAsia="Amiri" w:cs="Amiri"/>
          <w:color w:val="111111"/>
          <w:sz w:val="28"/>
          <w:sz w:val="28"/>
          <w:szCs w:val="28"/>
          <w:rtl w:val="true"/>
          <w:lang w:bidi="ar-SA"/>
        </w:rPr>
        <w:t xml:space="preserve">في مقام تأسيس الأحكام إنّما شرّع الأحكام الواقعية ولم يكتف بالأحكام الظاهرية في وجه ، فما كانت </w:t>
      </w:r>
      <w:r>
        <w:rPr>
          <w:rStyle w:val="FootnoteAnchor"/>
          <w:rtl w:val="true"/>
        </w:rPr>
        <w:footnoteReference w:id="1989"/>
      </w:r>
      <w:r>
        <w:rPr>
          <w:rFonts w:ascii="Amiri" w:hAnsi="Amiri" w:eastAsia="Amiri" w:cs="Amiri"/>
          <w:color w:val="111111"/>
          <w:sz w:val="28"/>
          <w:sz w:val="28"/>
          <w:szCs w:val="28"/>
          <w:rtl w:val="true"/>
          <w:lang w:bidi="ar-SA"/>
        </w:rPr>
        <w:t xml:space="preserve">فيه مصلحة الوجوب فنبّه على وجوبه ، وما كانت </w:t>
      </w:r>
      <w:r>
        <w:rPr>
          <w:rStyle w:val="FootnoteAnchor"/>
          <w:rtl w:val="true"/>
        </w:rPr>
        <w:footnoteReference w:id="1990"/>
      </w:r>
      <w:r>
        <w:rPr>
          <w:rFonts w:ascii="Amiri" w:hAnsi="Amiri" w:eastAsia="Amiri" w:cs="Amiri"/>
          <w:color w:val="111111"/>
          <w:sz w:val="28"/>
          <w:sz w:val="28"/>
          <w:szCs w:val="28"/>
          <w:rtl w:val="true"/>
          <w:lang w:bidi="ar-SA"/>
        </w:rPr>
        <w:t xml:space="preserve">فيه مفسدة الحرمة نبّه على حرمته ، فإنّ الحقّ أنّه لا يعقل الاتّكال على الأحكام الظاهرية في مقام التأسيس ، سواء كانت </w:t>
      </w:r>
      <w:r>
        <w:rPr>
          <w:rStyle w:val="FootnoteAnchor"/>
          <w:rtl w:val="true"/>
        </w:rPr>
        <w:footnoteReference w:id="1991"/>
      </w:r>
      <w:r>
        <w:rPr>
          <w:rFonts w:ascii="Amiri" w:hAnsi="Amiri" w:eastAsia="Amiri" w:cs="Amiri"/>
          <w:color w:val="111111"/>
          <w:sz w:val="28"/>
          <w:sz w:val="28"/>
          <w:szCs w:val="28"/>
          <w:rtl w:val="true"/>
          <w:lang w:bidi="ar-SA"/>
        </w:rPr>
        <w:t>براءة أو استصحابا أو غيرهما ، فكلّ ما أوجبه بخصوصه فهو واجب ، وكلّ ما حرّمه فهو حرام ، وكلّ ما ندب إليه فهو مندوب ، وكلّ ما أعرض عنه فهو مكروه ، وكلّ ما لم يكن فيه أحد الوجوه فهو مباح حقيقة وواقعا من غير شوب الظاهرية فيه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w:t>
      </w:r>
      <w:r>
        <w:rPr>
          <w:rStyle w:val="FootnoteAnchor"/>
          <w:rtl w:val="true"/>
        </w:rPr>
        <w:footnoteReference w:id="1992"/>
      </w:r>
      <w:r>
        <w:rPr>
          <w:rFonts w:ascii="Amiri" w:hAnsi="Amiri" w:eastAsia="Amiri" w:cs="Amiri"/>
          <w:color w:val="111111"/>
          <w:sz w:val="28"/>
          <w:sz w:val="28"/>
          <w:szCs w:val="28"/>
          <w:rtl w:val="true"/>
          <w:lang w:bidi="ar-SA"/>
        </w:rPr>
        <w:t xml:space="preserve">قد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وجد حكم من الأحكام الثابتة في الشريعة السابقة فالمستصحب إن أراد استصحابه من غير فحص فلا كلام في فساده ؛ لاشتراط العمل به على تقديره عند الكلّ بالفحص ، وإن أراد استصحابه بعد الفحص في شريعتنا فإن علم حكم الواقعة التي تكون من مجاري الاستصحاب في هذه الشريعة فلا كلام أيضا مخالفا أو موافقا ، وإلاّ فلا بدّ من الأخذ بأصالة البراءة ، فإنّ النبيّ إنّما </w:t>
      </w:r>
    </w:p>
    <w:p>
      <w:pPr>
        <w:pStyle w:val="BookText"/>
        <w:rPr/>
      </w:pPr>
      <w:r>
        <w:rPr>
          <w:rFonts w:ascii="Amiri" w:hAnsi="Amiri" w:eastAsia="Amiri" w:cs="Amiri"/>
          <w:color w:val="111111"/>
          <w:sz w:val="28"/>
          <w:sz w:val="28"/>
          <w:szCs w:val="28"/>
          <w:rtl w:val="true"/>
          <w:lang w:bidi="ar-SA"/>
        </w:rPr>
        <w:t>شرّع البراءة لما لم يعلم حكمه من شريعته والمقام منه ، فنحن نستكشف من الأخبار المذكورة في البراءة والمذكورة في بيان تبليغ النبيّ صلى‌اللّه‌عليه‌وآله تمام الأحكام أنّ الحكم الواقعي النفس الأمري في تلك الواقعة الخاصّة هو الإباحة فلا بدّ من الأخذ بها ، ولهذا تراهم مطبقين على إجراء البراءة في مثل هذه الموارد من غير اشتراط الفحص عن الحكم في سائر الشرائع ، ولو لا أنّ من المعلوم من هذه الشريعة المقدسة عدم الاتّكال بشيء من الشرائع السابقة وعدم جواز الرجوع في شيء من الأحكام وأخذها إليها ، لما صحّ الأخذ بالبراءة في مواردها إلاّ بعد الفحص عن الأحكام الثابتة فيها أيضا كما هو كذلك بالنسبة إلى أحكامنا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بالاستصحاب في هذه الأحكام الثابتة في سائر الشرائع إنّما هو أخذ بها من حيث دلالة الأخبار الواردة فيه ، وليس هذا إلاّ الأخذ بشريعتنا في الحقيقة ؛ لانتهاء المدرك في الأخذ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نحن </w:t>
      </w:r>
      <w:r>
        <w:rPr>
          <w:rStyle w:val="FootnoteAnchor"/>
          <w:rtl w:val="true"/>
        </w:rPr>
        <w:footnoteReference w:id="1993"/>
      </w:r>
      <w:r>
        <w:rPr>
          <w:rFonts w:ascii="Amiri" w:hAnsi="Amiri" w:eastAsia="Amiri" w:cs="Amiri"/>
          <w:color w:val="111111"/>
          <w:sz w:val="28"/>
          <w:sz w:val="28"/>
          <w:szCs w:val="28"/>
          <w:rtl w:val="true"/>
          <w:lang w:bidi="ar-SA"/>
        </w:rPr>
        <w:t xml:space="preserve">نعلم بعدم جواز الرجوع إلى الشرائع السابقة وأخذ الحكم منها ولو على هذا الوجه لا بدعوى اختصاص أخبار الاستصحاب بما إذا كان اليقين السابق حاصلا في هذه الشريعة حتّى يمنع عنها بعموم اليقين الشامل للحاصل في غيرها أيضا ، بل بدعوى العلم بأنّ الأحكام التي نحن نحتاج </w:t>
      </w:r>
      <w:r>
        <w:rPr>
          <w:rStyle w:val="FootnoteAnchor"/>
          <w:rtl w:val="true"/>
        </w:rPr>
        <w:footnoteReference w:id="1994"/>
      </w:r>
      <w:r>
        <w:rPr>
          <w:rFonts w:ascii="Amiri" w:hAnsi="Amiri" w:eastAsia="Amiri" w:cs="Amiri"/>
          <w:color w:val="111111"/>
          <w:sz w:val="28"/>
          <w:sz w:val="28"/>
          <w:szCs w:val="28"/>
          <w:rtl w:val="true"/>
          <w:lang w:bidi="ar-SA"/>
        </w:rPr>
        <w:t>إليها إنّما هو مستفاد من شريعتنا تأسيسا كما في الأحكام الواقعية ، ومعالجة كما في الأحكام الظاهرية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فالمعلوم من الشريعة عدم الاعتداد بشيء من أحكام الشرائع السابقة ، وليس هذا بواس طة مدخلية قول النبيّ صلى‌اللّه‌عليه‌وآله وإبلاغه في الحكم حتّى يقال بكونه طريقا ومرآة فلا يعقل المدخلية ، كما أشرنا إليه آنفا </w:t>
      </w:r>
      <w:r>
        <w:rPr>
          <w:rStyle w:val="FootnoteAnchor"/>
          <w:rtl w:val="true"/>
        </w:rPr>
        <w:footnoteReference w:id="1995"/>
      </w:r>
      <w:r>
        <w:rPr>
          <w:rFonts w:ascii="Amiri" w:hAnsi="Amiri" w:eastAsia="Amiri" w:cs="Amiri"/>
          <w:color w:val="111111"/>
          <w:sz w:val="28"/>
          <w:sz w:val="28"/>
          <w:szCs w:val="28"/>
          <w:rtl w:val="true"/>
          <w:lang w:bidi="ar-SA"/>
        </w:rPr>
        <w:t xml:space="preserve">، بل بواسطة دعوى العلم بإباحة كلّ ما لم يعلم حرمته أو وجوبه في شريعتنا ، وأين </w:t>
      </w:r>
      <w:r>
        <w:rPr>
          <w:rStyle w:val="FootnoteAnchor"/>
          <w:rtl w:val="true"/>
        </w:rPr>
        <w:footnoteReference w:id="1996"/>
      </w:r>
      <w:r>
        <w:rPr>
          <w:rFonts w:ascii="Amiri" w:hAnsi="Amiri" w:eastAsia="Amiri" w:cs="Amiri"/>
          <w:color w:val="111111"/>
          <w:sz w:val="28"/>
          <w:sz w:val="28"/>
          <w:szCs w:val="28"/>
          <w:rtl w:val="true"/>
          <w:lang w:bidi="ar-SA"/>
        </w:rPr>
        <w:t xml:space="preserve">هذا من دعوى المدخلية؟ فالحقّ الحقيق </w:t>
      </w:r>
      <w:bookmarkStart w:id="240" w:name="pg16284_171351"/>
    </w:p>
    <w:p>
      <w:pPr>
        <w:pStyle w:val="BookText"/>
        <w:rPr/>
      </w:pPr>
      <w:bookmarkEnd w:id="240"/>
      <w:r>
        <w:rPr>
          <w:rFonts w:ascii="Amiri" w:hAnsi="Amiri" w:eastAsia="Amiri" w:cs="Amiri"/>
          <w:color w:val="111111"/>
          <w:sz w:val="28"/>
          <w:sz w:val="28"/>
          <w:szCs w:val="28"/>
          <w:rtl w:val="true"/>
          <w:lang w:bidi="ar-SA"/>
        </w:rPr>
        <w:t xml:space="preserve">بالتصديق عدم جريان الاستصحاب في الأحكام المذكورة ، ولعلّه إلى ما ذكرنا يشير المحقّق القمي في مقام الردّ على استصحاب النبوّة وقد نبّهنا </w:t>
      </w:r>
      <w:r>
        <w:rPr>
          <w:rStyle w:val="FootnoteAnchor"/>
          <w:rtl w:val="true"/>
        </w:rPr>
        <w:footnoteReference w:id="1997"/>
      </w:r>
      <w:r>
        <w:rPr>
          <w:rFonts w:ascii="Amiri" w:hAnsi="Amiri" w:eastAsia="Amiri" w:cs="Amiri"/>
          <w:color w:val="111111"/>
          <w:sz w:val="28"/>
          <w:sz w:val="28"/>
          <w:szCs w:val="28"/>
          <w:rtl w:val="true"/>
          <w:lang w:bidi="ar-SA"/>
        </w:rPr>
        <w:t xml:space="preserve">عليه </w:t>
      </w:r>
      <w:r>
        <w:rPr>
          <w:rStyle w:val="FootnoteAnchor"/>
          <w:rtl w:val="true"/>
        </w:rPr>
        <w:footnoteReference w:id="1998"/>
      </w:r>
      <w:r>
        <w:rPr>
          <w:rFonts w:ascii="Amiri" w:hAnsi="Amiri" w:eastAsia="Amiri" w:cs="Amiri"/>
          <w:color w:val="111111"/>
          <w:sz w:val="28"/>
          <w:sz w:val="28"/>
          <w:szCs w:val="28"/>
          <w:rtl w:val="true"/>
          <w:lang w:bidi="ar-SA"/>
        </w:rPr>
        <w:t xml:space="preserve">، وعلى هذا فلا بعد فيما أفاده وقد نبّه لذلك أيضا المحقّق النراقي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5012174_1280447820"/>
      <w:bookmarkStart w:id="242" w:name="_Toc76"/>
      <w:bookmarkEnd w:id="241"/>
      <w:r>
        <w:rPr>
          <w:rtl w:val="true"/>
        </w:rPr>
        <w:t>تذنيب</w:t>
      </w:r>
      <w:bookmarkEnd w:id="242"/>
    </w:p>
    <w:p>
      <w:pPr>
        <w:pStyle w:val="BookText"/>
        <w:rPr/>
      </w:pPr>
      <w:r>
        <w:rPr>
          <w:rFonts w:ascii="Amiri" w:hAnsi="Amiri" w:eastAsia="Amiri" w:cs="Amiri"/>
          <w:color w:val="111111"/>
          <w:sz w:val="28"/>
          <w:sz w:val="28"/>
          <w:szCs w:val="28"/>
          <w:rtl w:val="true"/>
          <w:lang w:bidi="ar-SA"/>
        </w:rPr>
        <w:t xml:space="preserve">قد ذكروا في المقام ثمرات ليس شيء منها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القول بجريان الاستصحاب فالأصل في كلّ أمر مجرّد عن قرائن التعبّدية أو التوصّلية أن يكون محمولا على التعبّد ، فلا يمكن الامتثال إلاّ بعد الإخلاص ونيّة القربة ؛ لثبوت ذلك في الشرائع السابقة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وَيُقِيمُوا الصَّلاةَ وَيُؤْتُوا الزَّكاةَ </w:t>
      </w:r>
      <w:r>
        <w:rPr>
          <w:rFonts w:eastAsia="Amiri" w:cs="Amiri" w:ascii="Amiri" w:hAnsi="Amiri"/>
          <w:color w:val="111111"/>
          <w:sz w:val="28"/>
          <w:szCs w:val="28"/>
          <w:rtl w:val="true"/>
          <w:lang w:bidi="ar-SA"/>
        </w:rPr>
        <w:t xml:space="preserve">) </w:t>
      </w:r>
      <w:r>
        <w:rPr>
          <w:rStyle w:val="FootnoteAnchor"/>
          <w:rtl w:val="true"/>
        </w:rPr>
        <w:footnoteReference w:id="2000"/>
      </w:r>
      <w:r>
        <w:rPr>
          <w:rFonts w:ascii="Amiri" w:hAnsi="Amiri" w:eastAsia="Amiri" w:cs="Amiri"/>
          <w:color w:val="111111"/>
          <w:sz w:val="28"/>
          <w:sz w:val="28"/>
          <w:szCs w:val="28"/>
          <w:rtl w:val="true"/>
          <w:lang w:bidi="ar-SA"/>
        </w:rPr>
        <w:t xml:space="preserve">حيث </w:t>
      </w:r>
      <w:r>
        <w:rPr>
          <w:rStyle w:val="FootnoteAnchor"/>
          <w:rtl w:val="true"/>
        </w:rPr>
        <w:footnoteReference w:id="2001"/>
      </w:r>
      <w:r>
        <w:rPr>
          <w:rFonts w:ascii="Amiri" w:hAnsi="Amiri" w:eastAsia="Amiri" w:cs="Amiri"/>
          <w:color w:val="111111"/>
          <w:sz w:val="28"/>
          <w:sz w:val="28"/>
          <w:szCs w:val="28"/>
          <w:rtl w:val="true"/>
          <w:lang w:bidi="ar-SA"/>
        </w:rPr>
        <w:t xml:space="preserve">إنّ المستفاد من ظاهر الآية الشريفة أنّ الغرض في أمرهم والداعي إلى طلب ما هو المطلوب منهم منحصر في الإخلاص له تعالى في أعمالهم تحصيلا للقربة عنده وطلبا للزلفى لديه ، فحيثما لم يكن الداعي لهم في أفعالهم المأمور بها تحصيل القربة لم يحصل الامتثال ؛ لبقاء داعي الأمر والغرض منه ؛ فإنّ الظاهر أنّ اللام للغاية على حدّ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فَالْتَقَطَهُ آلُ فِرْعَوْنَ لِيَكُونَ لَهُمْ عَدُوًّا وَحَزَناً </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وعلى القول بعدم جريان الاستصحاب فلا وجه لهذا الأصل ؛ لاختصاصه بالآية السابقة ، والأصل عدم ثبوت فعل زائد على القدر المعلوم من التكليف كما هو المرجع فيما شكّ في وجوبه وعدمه على ما مرّ في بعض المباحث الماضية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أنّ جريان الاستصحاب على القول به لا بدّ وأن يكون </w:t>
      </w:r>
    </w:p>
    <w:p>
      <w:pPr>
        <w:pStyle w:val="BookText"/>
        <w:rPr/>
      </w:pPr>
      <w:r>
        <w:rPr>
          <w:rFonts w:ascii="Amiri" w:hAnsi="Amiri" w:eastAsia="Amiri" w:cs="Amiri"/>
          <w:color w:val="111111"/>
          <w:sz w:val="28"/>
          <w:sz w:val="28"/>
          <w:szCs w:val="28"/>
          <w:rtl w:val="true"/>
          <w:lang w:bidi="ar-SA"/>
        </w:rPr>
        <w:t xml:space="preserve">فيما إذا ثبت الحكم لعنوان </w:t>
      </w:r>
      <w:r>
        <w:rPr>
          <w:rStyle w:val="FootnoteAnchor"/>
          <w:rtl w:val="true"/>
        </w:rPr>
        <w:footnoteReference w:id="2003"/>
      </w:r>
      <w:r>
        <w:rPr>
          <w:rFonts w:ascii="Amiri" w:hAnsi="Amiri" w:eastAsia="Amiri" w:cs="Amiri"/>
          <w:color w:val="111111"/>
          <w:sz w:val="28"/>
          <w:sz w:val="28"/>
          <w:szCs w:val="28"/>
          <w:rtl w:val="true"/>
          <w:lang w:bidi="ar-SA"/>
        </w:rPr>
        <w:t xml:space="preserve">المكلّف على وجه لا يحتمل فيه الاختصاص ، وإلاّ فكيف يمكن تسرية حكم جماعة لجماعة غيرهم بالاستصحاب؟ وظاهر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بهم فلا يكون الموضوع محرزا ، ولا أقلّ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الآية ليس عدم حصول الامتثال بالنسبة إليهم إلاّ بعد الإتيان بالفعل على وجه القربة أيضا ؛ لأنّ استفادة هذا المعنى موقوف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الفعل للغاية وليس بصحيح ؛ إذ قضيّة ذلك على ما قرّرناه أن يكون المأمور به </w:t>
      </w:r>
      <w:r>
        <w:rPr>
          <w:rStyle w:val="FootnoteAnchor"/>
          <w:rtl w:val="true"/>
        </w:rPr>
        <w:footnoteReference w:id="2004"/>
      </w:r>
      <w:r>
        <w:rPr>
          <w:rFonts w:ascii="Amiri" w:hAnsi="Amiri" w:eastAsia="Amiri" w:cs="Amiri"/>
          <w:color w:val="111111"/>
          <w:sz w:val="28"/>
          <w:sz w:val="28"/>
          <w:szCs w:val="28"/>
          <w:rtl w:val="true"/>
          <w:lang w:bidi="ar-SA"/>
        </w:rPr>
        <w:t xml:space="preserve">محذوفا في الكلام وتكون </w:t>
      </w:r>
      <w:r>
        <w:rPr>
          <w:rStyle w:val="FootnoteAnchor"/>
          <w:rtl w:val="true"/>
        </w:rPr>
        <w:footnoteReference w:id="2005"/>
      </w:r>
      <w:r>
        <w:rPr>
          <w:rFonts w:ascii="Amiri" w:hAnsi="Amiri" w:eastAsia="Amiri" w:cs="Amiri"/>
          <w:color w:val="111111"/>
          <w:sz w:val="28"/>
          <w:sz w:val="28"/>
          <w:szCs w:val="28"/>
          <w:rtl w:val="true"/>
          <w:lang w:bidi="ar-SA"/>
        </w:rPr>
        <w:t xml:space="preserve">العبادة على الوجه المخصوص غاية في تلك الأوامر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بشيء إلاّ لأجل العبادة على وجه الإخلاص ، وحينئذ لا يصحّ عطف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وَيُقِيمُوا الصَّلاةَ وَيُؤْتُوا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الأفعال المأمور بها </w:t>
      </w:r>
      <w:r>
        <w:rPr>
          <w:rStyle w:val="FootnoteAnchor"/>
          <w:rtl w:val="true"/>
        </w:rPr>
        <w:footnoteReference w:id="2006"/>
      </w:r>
      <w:r>
        <w:rPr>
          <w:rFonts w:ascii="Amiri" w:hAnsi="Amiri" w:eastAsia="Amiri" w:cs="Amiri"/>
          <w:color w:val="111111"/>
          <w:sz w:val="28"/>
          <w:sz w:val="28"/>
          <w:szCs w:val="28"/>
          <w:rtl w:val="true"/>
          <w:lang w:bidi="ar-SA"/>
        </w:rPr>
        <w:t>، فلا يصحّ أن يكون غاية لها على ما هو قضيّة العطف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بأنّ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المعطوف عليه للغاية وفي المعطوف لمعنى آخر كأن يكون للتقوية مثلا ، إلاّ أنّه كما ترى يوجب استعمال اللفظ في أكثر من معنى واحد وهو كما عليه المحقّقون باطل ، فالّذي يساعده صحيح الاعتبار بل ويعاضده بعض الآثار كما نقلها بعض أهل التفسير أنّ مفاد الآية لا يزيد على نفي الشرك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وَاعْبُدُوا اللّهَ وَلا تُشْرِكُوا بِهِ شَيْئاً </w:t>
      </w:r>
      <w:r>
        <w:rPr>
          <w:rFonts w:eastAsia="Amiri" w:cs="Amiri" w:ascii="Amiri" w:hAnsi="Amiri"/>
          <w:color w:val="111111"/>
          <w:sz w:val="28"/>
          <w:szCs w:val="28"/>
          <w:rtl w:val="true"/>
          <w:lang w:bidi="ar-SA"/>
        </w:rPr>
        <w:t xml:space="preserve">) </w:t>
      </w:r>
      <w:r>
        <w:rPr>
          <w:rStyle w:val="FootnoteAnchor"/>
          <w:rtl w:val="true"/>
        </w:rPr>
        <w:footnoteReference w:id="2007"/>
      </w:r>
      <w:r>
        <w:rPr>
          <w:rFonts w:ascii="Amiri" w:hAnsi="Amiri" w:eastAsia="Amiri" w:cs="Amiri"/>
          <w:color w:val="111111"/>
          <w:sz w:val="28"/>
          <w:sz w:val="28"/>
          <w:szCs w:val="28"/>
          <w:rtl w:val="true"/>
          <w:lang w:bidi="ar-SA"/>
        </w:rPr>
        <w:t xml:space="preserve">فاللام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الإرادة والتقوية ممّا تدخل على نفس المأمور به والمراد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Style w:val="FootnoteAnchor"/>
          <w:rtl w:val="true"/>
        </w:rPr>
        <w:footnoteReference w:id="200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وَأُمِرْتُ لِأَعْدِلَ بَيْنَكُمُ </w:t>
      </w:r>
      <w:r>
        <w:rPr>
          <w:rFonts w:eastAsia="Amiri" w:cs="Amiri" w:ascii="Amiri" w:hAnsi="Amiri"/>
          <w:color w:val="111111"/>
          <w:sz w:val="28"/>
          <w:szCs w:val="28"/>
          <w:rtl w:val="true"/>
          <w:lang w:bidi="ar-SA"/>
        </w:rPr>
        <w:t xml:space="preserve">) </w:t>
      </w:r>
      <w:r>
        <w:rPr>
          <w:rStyle w:val="FootnoteAnchor"/>
          <w:rtl w:val="true"/>
        </w:rPr>
        <w:footnoteReference w:id="2009"/>
      </w:r>
      <w:r>
        <w:rPr>
          <w:rFonts w:ascii="IRNazanin" w:hAnsi="IRNazanin" w:eastAsia="IRNazanin"/>
          <w:color w:val="111111"/>
          <w:sz w:val="28"/>
          <w:sz w:val="28"/>
          <w:szCs w:val="28"/>
          <w:rtl w:val="true"/>
          <w:lang w:bidi="fa-IR"/>
        </w:rPr>
        <w:t xml:space="preserve">وقوله </w:t>
      </w:r>
      <w:r>
        <w:rPr>
          <w:rStyle w:val="FootnoteAnchor"/>
          <w:rtl w:val="true"/>
        </w:rPr>
        <w:footnoteReference w:id="20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وأمرنا لنعبد </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2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في التنزيل وفي الكلمات </w:t>
      </w:r>
      <w:r>
        <w:rPr>
          <w:rStyle w:val="FootnoteAnchor"/>
          <w:rtl w:val="true"/>
        </w:rPr>
        <w:footnoteReference w:id="2012"/>
      </w:r>
      <w:r>
        <w:rPr>
          <w:rFonts w:ascii="Amiri" w:hAnsi="Amiri" w:eastAsia="Amiri" w:cs="Amiri"/>
          <w:color w:val="111111"/>
          <w:sz w:val="28"/>
          <w:sz w:val="28"/>
          <w:szCs w:val="28"/>
          <w:rtl w:val="true"/>
          <w:lang w:bidi="ar-SA"/>
        </w:rPr>
        <w:t xml:space="preserve">الشعرية والأمثال العربية كثيرة </w:t>
      </w:r>
      <w:r>
        <w:rPr>
          <w:rStyle w:val="FootnoteAnchor"/>
          <w:rtl w:val="true"/>
        </w:rPr>
        <w:footnoteReference w:id="2013"/>
      </w:r>
      <w:r>
        <w:rPr>
          <w:rFonts w:ascii="Amiri" w:hAnsi="Amiri" w:eastAsia="Amiri" w:cs="Amiri"/>
          <w:color w:val="111111"/>
          <w:sz w:val="28"/>
          <w:sz w:val="28"/>
          <w:szCs w:val="28"/>
          <w:rtl w:val="true"/>
          <w:lang w:bidi="ar-SA"/>
        </w:rPr>
        <w:t xml:space="preserve">، فيصحّ العطف أيضا ؛ إذ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بالعبادة على وجه الإخلاص ونفي الشرك وإقامة الصلاة وإيتاء الزكاة ؛ حيث إنّها أصول الأحكام الأصلية والفرعية فلا ينافي الحصر أيضا ، فالقيد المذكور جزء للمأمور به لا أنّه خارج عنه و </w:t>
      </w:r>
      <w:r>
        <w:rPr>
          <w:rStyle w:val="FootnoteAnchor"/>
          <w:rtl w:val="true"/>
        </w:rPr>
        <w:footnoteReference w:id="2014"/>
      </w:r>
      <w:r>
        <w:rPr>
          <w:rFonts w:ascii="IRNazanin" w:hAnsi="IRNazanin" w:eastAsia="IRNazanin"/>
          <w:color w:val="111111"/>
          <w:sz w:val="28"/>
          <w:sz w:val="28"/>
          <w:szCs w:val="28"/>
          <w:rtl w:val="true"/>
          <w:lang w:bidi="fa-IR"/>
        </w:rPr>
        <w:t>داع إلى الأمر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التنزّل فلا حاجة إلى الاستصحاب في إثبات الحكم المذكور في شريعتنا ؛ لدلالة ذيل الآية على ثبوت الحسن فيه ولو في هذه الشريعة ، 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دِينُ الْقَيِّمَةِ </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إمّا مأخوذ من القيام بمعنى الثابت المنصوب الذي لا يزول ، أو من القوام الذي لا عوج فيه ، وعلى التقديرين فالمقصود حاصل ، وقد عرفت أنّ الكلام في الثمرة إنّما يظهر فيما لو لم يكن الحكم ثابتا في الشريعة ؛ إذ لا كلام في وجوب العمل بما ثبت من شريعتنا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الجعالة مع جهالة الجعل وجواز الضمان فيما لم يجب ؛ لثبوتهما في الشريعة التي كان عليها يوسف عليه‌السلام كما 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جاءَ بِهِ حِمْلُ بَعِيرٍ وَأَنَا بِهِ زَعِيمٌ </w:t>
      </w:r>
      <w:r>
        <w:rPr>
          <w:rFonts w:eastAsia="Amiri" w:cs="Amiri" w:ascii="Amiri" w:hAnsi="Amiri"/>
          <w:color w:val="111111"/>
          <w:sz w:val="28"/>
          <w:szCs w:val="28"/>
          <w:rtl w:val="true"/>
          <w:lang w:bidi="ar-SA"/>
        </w:rPr>
        <w:t xml:space="preserve">) </w:t>
      </w:r>
      <w:r>
        <w:rPr>
          <w:rStyle w:val="FootnoteAnchor"/>
          <w:rtl w:val="true"/>
        </w:rPr>
        <w:footnoteReference w:id="2016"/>
      </w:r>
      <w:r>
        <w:rPr>
          <w:rFonts w:ascii="Amiri" w:hAnsi="Amiri" w:eastAsia="Amiri" w:cs="Amiri"/>
          <w:color w:val="111111"/>
          <w:sz w:val="28"/>
          <w:sz w:val="28"/>
          <w:szCs w:val="28"/>
          <w:rtl w:val="true"/>
          <w:lang w:bidi="ar-SA"/>
        </w:rPr>
        <w:t>فإنّ الجعل هو الحمل وهو مجهول المقدار ، وقد ضمنه المؤذّن مع عدم وجوبه على الملك ؛ لعدم استحقاقه الجعل إلاّ بعد الجعل والعمل ، فعلى القول بالاستصحاب يثبت في شريعتنا دون القول الآخر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يرد على الأوّل أن تلك ليست من الجعالة الحقيقية ، بل هي تورية فيها لما دعى إليها من الأغراض ، وعلى التنزّل فالجهالة ممنوعة ؛ لمعهودية مقدار حمل البعير </w:t>
      </w:r>
    </w:p>
    <w:p>
      <w:pPr>
        <w:pStyle w:val="BookText"/>
        <w:rPr/>
      </w:pPr>
      <w:r>
        <w:rPr>
          <w:rFonts w:ascii="Amiri" w:hAnsi="Amiri" w:eastAsia="Amiri" w:cs="Amiri"/>
          <w:color w:val="111111"/>
          <w:sz w:val="28"/>
          <w:sz w:val="28"/>
          <w:szCs w:val="28"/>
          <w:rtl w:val="true"/>
          <w:lang w:bidi="ar-SA"/>
        </w:rPr>
        <w:t xml:space="preserve">في الأغلب على وجه يكفي في نفي الغرر ، مع أنّ ثبوت ذلك في الشريعة التي كان عليها غير ثابت ؛ إذ النقل في القرآن من حيث حكاية قول </w:t>
      </w:r>
      <w:r>
        <w:rPr>
          <w:rStyle w:val="FootnoteAnchor"/>
          <w:rtl w:val="true"/>
        </w:rPr>
        <w:footnoteReference w:id="2017"/>
      </w:r>
      <w:r>
        <w:rPr>
          <w:rFonts w:ascii="Amiri" w:hAnsi="Amiri" w:eastAsia="Amiri" w:cs="Amiri"/>
          <w:color w:val="111111"/>
          <w:sz w:val="28"/>
          <w:sz w:val="28"/>
          <w:szCs w:val="28"/>
          <w:rtl w:val="true"/>
          <w:lang w:bidi="ar-SA"/>
        </w:rPr>
        <w:t xml:space="preserve">المؤذّن لا يوجب صحّة المنقول بعد عدم ثبوت عصمة </w:t>
      </w:r>
      <w:r>
        <w:rPr>
          <w:rStyle w:val="FootnoteAnchor"/>
          <w:rtl w:val="true"/>
        </w:rPr>
        <w:footnoteReference w:id="2018"/>
      </w:r>
      <w:r>
        <w:rPr>
          <w:rFonts w:ascii="Amiri" w:hAnsi="Amiri" w:eastAsia="Amiri" w:cs="Amiri"/>
          <w:color w:val="111111"/>
          <w:sz w:val="28"/>
          <w:sz w:val="28"/>
          <w:szCs w:val="28"/>
          <w:rtl w:val="true"/>
          <w:lang w:bidi="ar-SA"/>
        </w:rPr>
        <w:t xml:space="preserve">المؤذّن وإذن يوسف له فيه ، والحمل على الصحّة لا يقتضي </w:t>
      </w:r>
      <w:r>
        <w:rPr>
          <w:rStyle w:val="FootnoteAnchor"/>
          <w:rtl w:val="true"/>
        </w:rPr>
        <w:footnoteReference w:id="2019"/>
      </w:r>
      <w:r>
        <w:rPr>
          <w:rFonts w:ascii="Amiri" w:hAnsi="Amiri" w:eastAsia="Amiri" w:cs="Amiri"/>
          <w:color w:val="111111"/>
          <w:sz w:val="28"/>
          <w:sz w:val="28"/>
          <w:szCs w:val="28"/>
          <w:rtl w:val="true"/>
          <w:lang w:bidi="ar-SA"/>
        </w:rPr>
        <w:t xml:space="preserve">إلاّ تصحيح نفس الفعل الشخصي لا تشريع الحكم في شريعتنا ، وعلى الثاني أنّه ليس المعنيّ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بِهِ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Style w:val="FootnoteAnchor"/>
          <w:rtl w:val="true"/>
        </w:rPr>
        <w:footnoteReference w:id="2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التي هي ثابتة </w:t>
      </w:r>
      <w:r>
        <w:rPr>
          <w:rStyle w:val="FootnoteAnchor"/>
          <w:rtl w:val="true"/>
        </w:rPr>
        <w:footnoteReference w:id="2021"/>
      </w:r>
      <w:r>
        <w:rPr>
          <w:rFonts w:ascii="Amiri" w:hAnsi="Amiri" w:eastAsia="Amiri" w:cs="Amiri"/>
          <w:color w:val="111111"/>
          <w:sz w:val="28"/>
          <w:sz w:val="28"/>
          <w:szCs w:val="28"/>
          <w:rtl w:val="true"/>
          <w:lang w:bidi="ar-SA"/>
        </w:rPr>
        <w:t xml:space="preserve">في ذمّة الملك على تقدير العمل أنا به زعيم فيما لو امتنع المضمون له ،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عهدة المال عليّ وأنا به قائم ، ولا أقلّ من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حكاية أيّوب عليه‌السلام </w:t>
      </w:r>
      <w:r>
        <w:rPr>
          <w:rStyle w:val="FootnoteAnchor"/>
          <w:rtl w:val="true"/>
        </w:rPr>
        <w:footnoteReference w:id="20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وَخُذْ بِيَدِكَ ضِغْثاً فَاضْرِبْ بِهِ وَلا تَحْنَثْ </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 xml:space="preserve">فإنّ الضغث هو الشماريخ القائمة على الساق الواحد ، فإنّه على القول بالاستصحاب يصحّ الوفاء بمثله فيما لو </w:t>
      </w:r>
      <w:r>
        <w:rPr>
          <w:rStyle w:val="FootnoteAnchor"/>
          <w:rtl w:val="true"/>
        </w:rPr>
        <w:footnoteReference w:id="2024"/>
      </w:r>
      <w:r>
        <w:rPr>
          <w:rFonts w:ascii="IRNazanin" w:hAnsi="IRNazanin" w:eastAsia="IRNazanin"/>
          <w:color w:val="111111"/>
          <w:sz w:val="28"/>
          <w:sz w:val="28"/>
          <w:szCs w:val="28"/>
          <w:rtl w:val="true"/>
          <w:lang w:bidi="fa-IR"/>
        </w:rPr>
        <w:t>نذر مثله دون القول الآخر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الواضح متابعة وقوع الحنث وعدمه لما هو المتعارف في استعمال آلات الضرب فيما لم يكن المقصود للحالف أو الناذر معهودا معلوما ، ولا يفرّق في ذلك شريعة من الشرائع ، وأمّا حكاية أيّوب عليه‌السلام فلعلّه بواسطة أعمّية مقصوده للوجهين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الدفعي والتدريجي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قضيّة في واقعة وليست من الأحكام الثابتة التي كان عليها أيّوب ولهذا قد أوحي إليه </w:t>
      </w:r>
      <w:r>
        <w:rPr>
          <w:rStyle w:val="FootnoteAnchor"/>
          <w:rtl w:val="true"/>
        </w:rPr>
        <w:footnoteReference w:id="2025"/>
      </w:r>
      <w:r>
        <w:rPr>
          <w:rFonts w:ascii="Amiri" w:hAnsi="Amiri" w:eastAsia="Amiri" w:cs="Amiri"/>
          <w:color w:val="111111"/>
          <w:sz w:val="28"/>
          <w:sz w:val="28"/>
          <w:szCs w:val="28"/>
          <w:rtl w:val="true"/>
          <w:lang w:bidi="ar-SA"/>
        </w:rPr>
        <w:t>علمها ، وإلاّ فكيف يعقل عدم علمه بأحكام شريعته التي كان عليها؟ فإنّه عليه‌السلام لم يكن صاحب شريعة على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هذا بدلا عن المنذور ثابتا في شريعته تعبّدا فيصحّ استصحابه في شريعتنا </w:t>
      </w:r>
    </w:p>
    <w:p>
      <w:pPr>
        <w:pStyle w:val="BookText"/>
        <w:rPr/>
      </w:pPr>
      <w:r>
        <w:rPr>
          <w:rFonts w:ascii="Amiri" w:hAnsi="Amiri" w:eastAsia="Amiri" w:cs="Amiri"/>
          <w:color w:val="111111"/>
          <w:sz w:val="28"/>
          <w:sz w:val="28"/>
          <w:szCs w:val="28"/>
          <w:rtl w:val="true"/>
          <w:lang w:bidi="ar-SA"/>
        </w:rPr>
        <w:t xml:space="preserve">ليكون بدلا تعبّديا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منافاته لعدم علمه عليه‌السلام بأحكام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مدحا ليحيى على نبيّنا وعليه‌السلام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وَحَصُوراً </w:t>
      </w:r>
      <w:r>
        <w:rPr>
          <w:rFonts w:eastAsia="Amiri" w:cs="Amiri" w:ascii="Amiri" w:hAnsi="Amiri"/>
          <w:color w:val="111111"/>
          <w:sz w:val="28"/>
          <w:szCs w:val="28"/>
          <w:rtl w:val="true"/>
          <w:lang w:bidi="ar-SA"/>
        </w:rPr>
        <w:t xml:space="preserve">) </w:t>
      </w:r>
      <w:r>
        <w:rPr>
          <w:rStyle w:val="FootnoteAnchor"/>
          <w:rtl w:val="true"/>
        </w:rPr>
        <w:footnoteReference w:id="2026"/>
      </w:r>
      <w:r>
        <w:rPr>
          <w:rFonts w:ascii="Amiri" w:hAnsi="Amiri" w:eastAsia="Amiri" w:cs="Amiri"/>
          <w:color w:val="111111"/>
          <w:sz w:val="28"/>
          <w:sz w:val="28"/>
          <w:szCs w:val="28"/>
          <w:rtl w:val="true"/>
          <w:lang w:bidi="ar-SA"/>
        </w:rPr>
        <w:t>فإنّه يستفاد منه أرجحية العبادة على التزويج ، فيستصحب على الاستصحاب دون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المراتب في ذلك مختلفة والوقائع فيه متفاوتة ، فربّما يكون ترك التزويج لأمر العبادة والفراغ فيها وعدم اختلال الحواسّ والمشاعر في المناجات ، وذلك أمر مرغوب فيه مطلوب مستحسن في جميع الشرائع ؛ إذ من المعاين بالوجدان ترك ملاهي </w:t>
      </w:r>
      <w:r>
        <w:rPr>
          <w:rStyle w:val="FootnoteAnchor"/>
          <w:rtl w:val="true"/>
        </w:rPr>
        <w:footnoteReference w:id="2027"/>
      </w:r>
      <w:r>
        <w:rPr>
          <w:rFonts w:ascii="Amiri" w:hAnsi="Amiri" w:eastAsia="Amiri" w:cs="Amiri"/>
          <w:color w:val="111111"/>
          <w:sz w:val="28"/>
          <w:sz w:val="28"/>
          <w:szCs w:val="28"/>
          <w:rtl w:val="true"/>
          <w:lang w:bidi="ar-SA"/>
        </w:rPr>
        <w:t>النفس والاشتغال بما يستأنس بها من النسوان والتجرّد والانقطاع عن الخلق للوصول إلى الحقّ ممّا لا ينكر الحسن فيه ، فهو بهذا العنوان ممّا لا حاجة في إثباته إلى الاستصحاب ، وربّما يكون ترك التزويج مخلاّ في ذلك فيجب كما يستفاد من ملاحظة أحوال فحول الرجال ، فيكون الكمال في التزويج ، ولبعض الواصلين إلى الدرجة العليا والمرتبة القصوى حالة الاجتماع بينهما على وجه لا يضرّ أحدهما بالآخر فهو في عين الوحدة والتجرّد مشغول وبالعكس كما لا يخفى ، فإن أريد إثبات الأرجحية المطلقة في هذه الشريعة لثبوتها في شريعة يحيى ، فظاهر الفساد ؛ للعلم بخلافه أوّلا في هذه الشريعة ، ولعدم ثبوته على هذا الوجه في غيرها ثانيا ، وإن أريد إثبات الأرجحية ولو في بعض المراتب فنحن لا نضايق من ثبوته على الوجه المذكور في شريعة يحيى إلاّ أنّه لا حاجة في ذلك إلى الاستصحاب ؛ لمعلوميته في هذه الشريعة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قصّة شعيب وموسى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أُرِيدُ أَنْ أُنْكِحَكَ إِحْدَى ابْنَتَيَّ هاتَيْنِ عَلى أَنْ تَأْجُرَنِي ثَمانِيَ حِجَجٍ فَإِنْ أَتْمَمْتَ عَشْراً فَمِنْ عِنْدِكَ </w:t>
      </w:r>
      <w:r>
        <w:rPr>
          <w:rFonts w:eastAsia="Amiri" w:cs="Amiri" w:ascii="Amiri" w:hAnsi="Amiri"/>
          <w:color w:val="111111"/>
          <w:sz w:val="28"/>
          <w:szCs w:val="28"/>
          <w:rtl w:val="true"/>
          <w:lang w:bidi="ar-SA"/>
        </w:rPr>
        <w:t xml:space="preserve">) </w:t>
      </w:r>
      <w:r>
        <w:rPr>
          <w:rStyle w:val="FootnoteAnchor"/>
          <w:rtl w:val="true"/>
        </w:rPr>
        <w:footnoteReference w:id="2028"/>
      </w:r>
      <w:r>
        <w:rPr>
          <w:rFonts w:ascii="Amiri" w:hAnsi="Amiri" w:eastAsia="Amiri" w:cs="Amiri"/>
          <w:color w:val="111111"/>
          <w:sz w:val="28"/>
          <w:sz w:val="28"/>
          <w:szCs w:val="28"/>
          <w:rtl w:val="true"/>
          <w:lang w:bidi="ar-SA"/>
        </w:rPr>
        <w:t xml:space="preserve">فإنّه يستفاد منه صحّة الإجارة على تقدير الترديد في زمان الإجارة ، فعلى الاستصحاب يصحّ في شريعتنا </w:t>
      </w:r>
    </w:p>
    <w:p>
      <w:pPr>
        <w:pStyle w:val="BookText"/>
        <w:rPr/>
      </w:pPr>
      <w:r>
        <w:rPr>
          <w:rFonts w:ascii="IRNazanin" w:hAnsi="IRNazanin" w:eastAsia="IRNazanin"/>
          <w:color w:val="111111"/>
          <w:sz w:val="28"/>
          <w:sz w:val="28"/>
          <w:szCs w:val="28"/>
          <w:rtl w:val="true"/>
          <w:lang w:bidi="fa-IR"/>
        </w:rPr>
        <w:t>دون القول الآخر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وفساده ممّا لا يكاد يخفى ؛ لوضوح وقوع العقد على الثمانية وكون العشرة من عنده تفضّلا وتطفّلا كما لا يخفى ولا ضير فيه ، وعليك بملاحظة الموارد المذكورة في كلامهم فإنّه قلّ ما يكون فيه شيء خال عن الإشكال ، واللّه وليّ الإفضال والهداية</w:t>
      </w:r>
      <w:r>
        <w:rPr>
          <w:rFonts w:eastAsia="Amiri" w:cs="Amiri" w:ascii="Amiri" w:hAnsi="Amiri"/>
          <w:color w:val="111111"/>
          <w:sz w:val="28"/>
          <w:szCs w:val="28"/>
          <w:rtl w:val="true"/>
          <w:lang w:bidi="ar-SA"/>
        </w:rPr>
        <w:t xml:space="preserve">. </w:t>
      </w:r>
      <w:bookmarkStart w:id="243" w:name="pg16284_171357"/>
    </w:p>
    <w:p>
      <w:pPr>
        <w:pStyle w:val="Heading3"/>
        <w:numPr>
          <w:ilvl w:val="2"/>
          <w:numId w:val="1"/>
        </w:numPr>
        <w:rPr/>
      </w:pPr>
      <w:bookmarkStart w:id="244" w:name="__RefHeading___Toc5012176_1280447820"/>
      <w:bookmarkStart w:id="245" w:name="_Toc77"/>
      <w:bookmarkEnd w:id="243"/>
      <w:bookmarkEnd w:id="244"/>
      <w:r>
        <w:rPr>
          <w:rtl w:val="true"/>
        </w:rPr>
        <w:t xml:space="preserve">هداية </w:t>
      </w:r>
      <w:r>
        <w:rPr>
          <w:rtl w:val="true"/>
        </w:rPr>
        <w:t xml:space="preserve">[ </w:t>
      </w:r>
      <w:r>
        <w:rPr>
          <w:rtl w:val="true"/>
        </w:rPr>
        <w:t xml:space="preserve">في تقوّم الاستصحاب ببقاء الموضوع </w:t>
      </w:r>
      <w:r>
        <w:rPr>
          <w:rtl w:val="true"/>
        </w:rPr>
        <w:t>]</w:t>
      </w:r>
      <w:bookmarkEnd w:id="245"/>
    </w:p>
    <w:p>
      <w:pPr>
        <w:pStyle w:val="BookText"/>
        <w:rPr/>
      </w:pPr>
      <w:r>
        <w:rPr>
          <w:rFonts w:ascii="Amiri" w:hAnsi="Amiri" w:eastAsia="Amiri" w:cs="Amiri"/>
          <w:color w:val="111111"/>
          <w:sz w:val="28"/>
          <w:sz w:val="28"/>
          <w:szCs w:val="28"/>
          <w:rtl w:val="true"/>
          <w:lang w:bidi="ar-SA"/>
        </w:rPr>
        <w:t xml:space="preserve">لا بدّ في جريان الاستصحاب من بقاء الموضوع الذي هو محلّ حصول المستصحب وتحقّقه ، وقد يظهر من بعضهم </w:t>
      </w:r>
      <w:r>
        <w:rPr>
          <w:rStyle w:val="FootnoteAnchor"/>
          <w:rtl w:val="true"/>
        </w:rPr>
        <w:footnoteReference w:id="2029"/>
      </w:r>
      <w:r>
        <w:rPr>
          <w:rFonts w:ascii="Amiri" w:hAnsi="Amiri" w:eastAsia="Amiri" w:cs="Amiri"/>
          <w:color w:val="111111"/>
          <w:sz w:val="28"/>
          <w:sz w:val="28"/>
          <w:szCs w:val="28"/>
          <w:rtl w:val="true"/>
          <w:lang w:bidi="ar-SA"/>
        </w:rPr>
        <w:t xml:space="preserve">عدّه في عداد شروط العمل بالاستصحاب وليس على ما ينبغي ؛ لأنّ الظاهر من شروط العمل ما هو الخارج عن حقيقة المشروط مع توقّف إجمالي عليه اعتبارا ، وبقاء الموضوع ممّا له مدخل في تقوّم حقيقة الاستصحاب ؛ إذ بدونه لا يعقل ، ففي عدّه من الشروط تسامح ، وكيف كان فالمراد به هو الموضوع في القضيّة الحملية التي كانت متيقّنة حال العلم وكان المستصحب محمولا فيها ،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طاهر أو نجس ، والصلاة واجبة ، والخمر حرام ، ونحو ذلك ، فإنّ الصلاة والثوب والخمر موضوعات لمحمولاتها التي هي الوجوب والطهارة والنجاسة والحرمة في تلك القضايا ، والمراد من بقائه هو تقرّره على ما كان عليه حين حمل المستصحب عليه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المحمول هو الوجود فالموضوع </w:t>
      </w:r>
      <w:r>
        <w:rPr>
          <w:rStyle w:val="FootnoteAnchor"/>
          <w:rtl w:val="true"/>
        </w:rPr>
        <w:footnoteReference w:id="2030"/>
      </w:r>
      <w:r>
        <w:rPr>
          <w:rFonts w:ascii="Amiri" w:hAnsi="Amiri" w:eastAsia="Amiri" w:cs="Amiri"/>
          <w:color w:val="111111"/>
          <w:sz w:val="28"/>
          <w:sz w:val="28"/>
          <w:szCs w:val="28"/>
          <w:rtl w:val="true"/>
          <w:lang w:bidi="ar-SA"/>
        </w:rPr>
        <w:t xml:space="preserve">هو الماهيّة لا بشرط شيء المعرّاة عن الوجودين وإن كانت متّصفة ومتحلّية بالوجود الذهني حال الحمل عليها أو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بالوجود الخارجي ، إلاّ أنّ ذلك الاتّصاف في </w:t>
      </w:r>
      <w:r>
        <w:rPr>
          <w:rStyle w:val="FootnoteAnchor"/>
          <w:rtl w:val="true"/>
        </w:rPr>
        <w:footnoteReference w:id="2032"/>
      </w:r>
      <w:r>
        <w:rPr>
          <w:rFonts w:ascii="Amiri" w:hAnsi="Amiri" w:eastAsia="Amiri" w:cs="Amiri"/>
          <w:color w:val="111111"/>
          <w:sz w:val="28"/>
          <w:sz w:val="28"/>
          <w:szCs w:val="28"/>
          <w:rtl w:val="true"/>
          <w:lang w:bidi="ar-SA"/>
        </w:rPr>
        <w:t xml:space="preserve">ظرف الحمل على ما هو اللازم فيه من تصوّر الأطراف ، ومع ذلك فليس الحمل عليها في هذه الملاحظة ؛ لامتناع قيام الوجودين بالماهيّة ، بل على نفسها من غير ملاحظة شيء آخر </w:t>
      </w:r>
      <w:r>
        <w:rPr>
          <w:rStyle w:val="FootnoteAnchor"/>
          <w:rtl w:val="true"/>
        </w:rPr>
        <w:footnoteReference w:id="2033"/>
      </w:r>
      <w:r>
        <w:rPr>
          <w:rFonts w:ascii="Amiri" w:hAnsi="Amiri" w:eastAsia="Amiri" w:cs="Amiri"/>
          <w:color w:val="111111"/>
          <w:sz w:val="28"/>
          <w:sz w:val="28"/>
          <w:szCs w:val="28"/>
          <w:rtl w:val="true"/>
          <w:lang w:bidi="ar-SA"/>
        </w:rPr>
        <w:t>معها وإن كان لا ينفكّ عن الوجود الذهني واقعا ، ولهذا لا يفرق في ذلك بين العلم بوجودها أو بعدمها أو الشكّ فيهما ، فإنّ من المعلوم اتّحاد الموضوع في هذه الحالات ؛ ضرورة امتناع حمل العدم ، أو نفي الوجود عن الماهيّة الموجودة ، أو التردّد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المحمول أمرا وراء الوجود أو </w:t>
      </w:r>
      <w:r>
        <w:rPr>
          <w:rStyle w:val="FootnoteAnchor"/>
          <w:rtl w:val="true"/>
        </w:rPr>
        <w:footnoteReference w:id="2034"/>
      </w:r>
      <w:r>
        <w:rPr>
          <w:rFonts w:ascii="Amiri" w:hAnsi="Amiri" w:eastAsia="Amiri" w:cs="Amiri"/>
          <w:color w:val="111111"/>
          <w:sz w:val="28"/>
          <w:sz w:val="28"/>
          <w:szCs w:val="28"/>
          <w:rtl w:val="true"/>
          <w:lang w:bidi="ar-SA"/>
        </w:rPr>
        <w:t xml:space="preserve">ما هو بمنزلته في اتّصاف الماهيّة به كالعدم من الأمور الوجودية التي تلحق </w:t>
      </w:r>
      <w:r>
        <w:rPr>
          <w:rStyle w:val="FootnoteAnchor"/>
          <w:rtl w:val="true"/>
        </w:rPr>
        <w:footnoteReference w:id="2035"/>
      </w:r>
      <w:r>
        <w:rPr>
          <w:rFonts w:ascii="Amiri" w:hAnsi="Amiri" w:eastAsia="Amiri" w:cs="Amiri"/>
          <w:color w:val="111111"/>
          <w:sz w:val="28"/>
          <w:sz w:val="28"/>
          <w:szCs w:val="28"/>
          <w:rtl w:val="true"/>
          <w:lang w:bidi="ar-SA"/>
        </w:rPr>
        <w:t xml:space="preserve">الموضوع باعتبار وجودها ذهنا أو خارجا كالوجوب والطهارة والرطوبة والقيام والقعود ونحوها ، فالموضوع هو الأمر الموجود على اختلاف المحمولات إمّا ذهنا وإمّا </w:t>
      </w:r>
      <w:r>
        <w:rPr>
          <w:rStyle w:val="FootnoteAnchor"/>
          <w:rtl w:val="true"/>
        </w:rPr>
        <w:footnoteReference w:id="2036"/>
      </w:r>
      <w:r>
        <w:rPr>
          <w:rFonts w:ascii="Amiri" w:hAnsi="Amiri" w:eastAsia="Amiri" w:cs="Amiri"/>
          <w:color w:val="111111"/>
          <w:sz w:val="28"/>
          <w:sz w:val="28"/>
          <w:szCs w:val="28"/>
          <w:rtl w:val="true"/>
          <w:lang w:bidi="ar-SA"/>
        </w:rPr>
        <w:t>خارجا ، وذلك أمر ظاهر في غاية الظهور والوضوح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يتوهّم </w:t>
      </w:r>
      <w:r>
        <w:rPr>
          <w:rStyle w:val="FootnoteAnchor"/>
          <w:rtl w:val="true"/>
        </w:rPr>
        <w:footnoteReference w:id="2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اطّراد هذا الشرط في موارد الاستصحاب ؛ لانتقاضه بالاستصحاب في الأمور الخارجية كوجود زيد فإنّ الموضوع لو كان باقيا فلا شكّ في وجوده ، ممّا لا يصغى إليه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استصعبه </w:t>
      </w:r>
      <w:r>
        <w:rPr>
          <w:rStyle w:val="FootnoteAnchor"/>
          <w:rtl w:val="true"/>
        </w:rPr>
        <w:footnoteReference w:id="2038"/>
      </w:r>
      <w:r>
        <w:rPr>
          <w:rFonts w:ascii="Amiri" w:hAnsi="Amiri" w:eastAsia="Amiri" w:cs="Amiri"/>
          <w:color w:val="111111"/>
          <w:sz w:val="28"/>
          <w:sz w:val="28"/>
          <w:szCs w:val="28"/>
          <w:rtl w:val="true"/>
          <w:lang w:bidi="ar-SA"/>
        </w:rPr>
        <w:t xml:space="preserve">بعضهم فاكتفى عن الشرط المذكور بعدم العلم بارتفاع الموضوع ، وأنت خبير بفساده بعد ما بيّنا المراد </w:t>
      </w:r>
      <w:r>
        <w:rPr>
          <w:rStyle w:val="FootnoteAnchor"/>
          <w:rtl w:val="true"/>
        </w:rPr>
        <w:footnoteReference w:id="2039"/>
      </w:r>
      <w:r>
        <w:rPr>
          <w:rFonts w:ascii="Amiri" w:hAnsi="Amiri" w:eastAsia="Amiri" w:cs="Amiri"/>
          <w:color w:val="111111"/>
          <w:sz w:val="28"/>
          <w:sz w:val="28"/>
          <w:szCs w:val="28"/>
          <w:rtl w:val="true"/>
          <w:lang w:bidi="ar-SA"/>
        </w:rPr>
        <w:t xml:space="preserve">من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لفظ البقاء هو الوجود ، وعلى تقديره فلا يعقل الشكّ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w:t>
      </w:r>
    </w:p>
    <w:p>
      <w:pPr>
        <w:pStyle w:val="BookText"/>
        <w:rPr/>
      </w:pPr>
      <w:r>
        <w:rPr>
          <w:rFonts w:ascii="Amiri" w:hAnsi="Amiri" w:eastAsia="Amiri" w:cs="Amiri"/>
          <w:color w:val="111111"/>
          <w:sz w:val="28"/>
          <w:sz w:val="28"/>
          <w:szCs w:val="28"/>
          <w:rtl w:val="true"/>
          <w:lang w:bidi="ar-SA"/>
        </w:rPr>
        <w:t xml:space="preserve">زعمت فلا حاجة </w:t>
      </w:r>
      <w:r>
        <w:rPr>
          <w:rStyle w:val="FootnoteAnchor"/>
          <w:rtl w:val="true"/>
        </w:rPr>
        <w:footnoteReference w:id="2040"/>
      </w:r>
      <w:r>
        <w:rPr>
          <w:rFonts w:ascii="Amiri" w:hAnsi="Amiri" w:eastAsia="Amiri" w:cs="Amiri"/>
          <w:color w:val="111111"/>
          <w:sz w:val="28"/>
          <w:sz w:val="28"/>
          <w:szCs w:val="28"/>
          <w:rtl w:val="true"/>
          <w:lang w:bidi="ar-SA"/>
        </w:rPr>
        <w:t xml:space="preserve">إلى إحراز الموضوع في الاستصحاب في كلّ مورد ؛ إذ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بقاء الموضوع في الاستصحاب ، هو بقاؤه في الاستصحاب الذي له موضوع ، وأمّا فيما ليس له موضوع فانتفاء الشرط بانتفاء الموضوع ،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العورة في الصلاة ، فإنّ المقصود منه وجوب الستر على تقدير وجود الساتر ، وذلك ظاهر لمن له أدنى ممارسة في استنباط المطالب من العبائر واستخراج المقاصد من الدفاتر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الدليل على هذه </w:t>
      </w:r>
      <w:r>
        <w:rPr>
          <w:rStyle w:val="FootnoteAnchor"/>
          <w:rtl w:val="true"/>
        </w:rPr>
        <w:footnoteReference w:id="2041"/>
      </w:r>
      <w:r>
        <w:rPr>
          <w:rFonts w:ascii="Amiri" w:hAnsi="Amiri" w:eastAsia="Amiri" w:cs="Amiri"/>
          <w:color w:val="111111"/>
          <w:sz w:val="28"/>
          <w:sz w:val="28"/>
          <w:szCs w:val="28"/>
          <w:rtl w:val="true"/>
          <w:lang w:bidi="ar-SA"/>
        </w:rPr>
        <w:t xml:space="preserve">الدعوى بعد إطباق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الحكم إن أريد إثباته في موضوع كان ثابتا له في حال العلم بالحكم فهو المطلوب ، وإن أريد إثباته في موضوع غيره فذلك لا يسمّى استصحابا كما أنّ الحكم بعدم ثبوته له ليس نقضا لليقين بالشكّ على ما هو المنهيّ عنه في أخبار الباب ، وبوجه آخر أنّ المستصحب لا أقلّ من أن يكون عرضا من الأعراض فإن أريد إثباته لا في موضوع فيلزم تقوّم العرض بلا جوهر ومن غير أن يكون حالاّ في منعوت ، وفساد اللازم كالملازمة ظاهر ، وإن أريد إثباته في موضوع فأمّا في موضوعه ابتداء فلا كلام على ما هو المطلوب ، وأمّا في غيره فإن أريد إثبات الحكم الأوّل بحسب شخصه فيلزم انتقال العرض من موضوعه مع أنّ وجوده بتشخّصه وهو بموضوعه ؛ لأنّه من مشخّصاته ، وإن أريد إثبات حكم آخر ولو باختلافهما </w:t>
      </w:r>
      <w:r>
        <w:rPr>
          <w:rStyle w:val="FootnoteAnchor"/>
          <w:rtl w:val="true"/>
        </w:rPr>
        <w:footnoteReference w:id="2042"/>
      </w:r>
      <w:r>
        <w:rPr>
          <w:rFonts w:ascii="Amiri" w:hAnsi="Amiri" w:eastAsia="Amiri" w:cs="Amiri"/>
          <w:color w:val="111111"/>
          <w:sz w:val="28"/>
          <w:sz w:val="28"/>
          <w:szCs w:val="28"/>
          <w:rtl w:val="true"/>
          <w:lang w:bidi="ar-SA"/>
        </w:rPr>
        <w:t>نوعا فليس من الاستصحاب في شيء لا لغة ولا اصطلاحا ، كما أنّ نفيه عنه ليس نقضا لليقين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مسلّم عند العلم بانتفاء الموضوع ، وأمّا عند الشكّ فلا يجري فيه البرهان ؛ للقول ببقاء العرض في الموضوع المحتمل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واه جدّا فإنّه إن أريد أنّ العرض على تقدير وجود موضوعه </w:t>
      </w:r>
    </w:p>
    <w:p>
      <w:pPr>
        <w:pStyle w:val="BookText"/>
        <w:rPr/>
      </w:pPr>
      <w:r>
        <w:rPr>
          <w:rFonts w:ascii="Amiri" w:hAnsi="Amiri" w:eastAsia="Amiri" w:cs="Amiri"/>
          <w:color w:val="111111"/>
          <w:sz w:val="28"/>
          <w:sz w:val="28"/>
          <w:szCs w:val="28"/>
          <w:rtl w:val="true"/>
          <w:lang w:bidi="ar-SA"/>
        </w:rPr>
        <w:t xml:space="preserve">موجود فهو واضح إلاّ أنّه لا يجدي ، وإن أريد أنّ بمجرّد احتمال </w:t>
      </w:r>
      <w:r>
        <w:rPr>
          <w:rStyle w:val="FootnoteAnchor"/>
          <w:rtl w:val="true"/>
        </w:rPr>
        <w:footnoteReference w:id="2043"/>
      </w:r>
      <w:r>
        <w:rPr>
          <w:rFonts w:ascii="Amiri" w:hAnsi="Amiri" w:eastAsia="Amiri" w:cs="Amiri"/>
          <w:color w:val="111111"/>
          <w:sz w:val="28"/>
          <w:sz w:val="28"/>
          <w:szCs w:val="28"/>
          <w:rtl w:val="true"/>
          <w:lang w:bidi="ar-SA"/>
        </w:rPr>
        <w:t>وجوده يحكم بوجود العرض ففساده ظاهر ؛ إذ الحكم بوجود العرض لا ينفكّ عن العلم بوجود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المقام إشكال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البرهان فلا جدوى في إحراز الموضوع بالعرف ؛ لعدم قيام الحكم بالموضوع العرفي ، بل محلّ الحكم حقيقة هو الموضوع الواقعي ، وتخيّل العرف قيامه بالأمر المنتزع عندهم لا يثمر في تحقّق الواقع ، فربّما يعتقدون جواز شيء ممتنع أو امتناع شيء جائز ، كما أنّه لو كان الأسد الحقيقي موردا لحكم من الأحكام فاعتقاد أنّ الغنم هو الأسد بحسب العرف لا يجدي في ترتّب الأحكام المتفرّعة على الأسد الحقيقي ، إلاّ أن ينهض على اعتبار تخيّلهم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فالذي يساعده صحيح النظر هو وجوب بقاء الموضوع في الاستصحاب وإلاّ لم يكن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ينقدح أنّه كما يعتبر في الاستصحاب بقاء الموضوع فكذلك يعتبر بقاء المحمول لا بوصف الحمل ؛ ضرورة ارتفاع الشكّ على تقديره ، بل بمعنى عدم اختلاف المحمول ، بل وبقاء كلّ ما يحتمل من اختلافه اختلاف أحد العمودين في القضيّة من شرط أو وصف أو حال ، زمانا أو مكانا وغيرها نظرا إلى لزوم اتّحاد القضيّة المتيقّنة والقضيّة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فالأولى في التعبير في بيان الاشتراط أنّه لا بدّ من اتّحاد الموضوع والمحمول ، بل الأولى منه أيضا اتّحاد النسبة ؛ لاختلافها باختلاف أحد الأركان كما لا يخفى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إشكال في عدم جريان الاستصحاب عند العلم بارتفاع الموضوع ، وأمّا عند الشكّ في بقائه وارتفاعه فصور الشكّ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الموضوع </w:t>
      </w:r>
    </w:p>
    <w:p>
      <w:pPr>
        <w:pStyle w:val="BookText"/>
        <w:rPr/>
      </w:pPr>
      <w:r>
        <w:rPr>
          <w:rFonts w:ascii="Amiri" w:hAnsi="Amiri" w:eastAsia="Amiri" w:cs="Amiri"/>
          <w:color w:val="111111"/>
          <w:sz w:val="28"/>
          <w:sz w:val="28"/>
          <w:szCs w:val="28"/>
          <w:rtl w:val="true"/>
          <w:lang w:bidi="ar-SA"/>
        </w:rPr>
        <w:t xml:space="preserve">الخارجي كما إذا تعلّق الحكم بالكلب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فشككنا في وجوده وارتفاعه من غير أن يكون الشكّ مسببا عن الشكّ في حكم شرعي أو موضوع لغوي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موضوع لغوي لعدم العلم بوضع اللفظ الواقع موضوعا في القضيّة للمعنى الشامل للمشكوك بعد عروض حالة كما في الشكّ في شمول الكلب الواقع في المملحة قبل أن يصير ملحا ،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الحكم الشرعي لعدم العلم بما تعلّق به الحكم شرعا كما في الشكّ في كون النجاسة من أحكام الكلب من حيث هو كلب ومتقوّم بصورته </w:t>
      </w:r>
      <w:r>
        <w:rPr>
          <w:rStyle w:val="FootnoteAnchor"/>
          <w:rtl w:val="true"/>
        </w:rPr>
        <w:footnoteReference w:id="2044"/>
      </w:r>
      <w:r>
        <w:rPr>
          <w:rFonts w:ascii="Amiri" w:hAnsi="Amiri" w:eastAsia="Amiri" w:cs="Amiri"/>
          <w:color w:val="111111"/>
          <w:sz w:val="28"/>
          <w:sz w:val="28"/>
          <w:szCs w:val="28"/>
          <w:rtl w:val="true"/>
          <w:lang w:bidi="ar-SA"/>
        </w:rPr>
        <w:t xml:space="preserve">الكلبية أو من لواحق الهويّة الجسمية مثلا ، وكما في الشكّ في كون النجاسة من الأحكام اللاحقة بعنوان الماء </w:t>
      </w:r>
      <w:r>
        <w:rPr>
          <w:rStyle w:val="FootnoteAnchor"/>
          <w:rtl w:val="true"/>
        </w:rPr>
        <w:footnoteReference w:id="2045"/>
      </w:r>
      <w:r>
        <w:rPr>
          <w:rFonts w:ascii="Amiri" w:hAnsi="Amiri" w:eastAsia="Amiri" w:cs="Amiri"/>
          <w:color w:val="111111"/>
          <w:sz w:val="28"/>
          <w:sz w:val="28"/>
          <w:szCs w:val="28"/>
          <w:rtl w:val="true"/>
          <w:lang w:bidi="ar-SA"/>
        </w:rPr>
        <w:t>فيما إذا تغيّر أو من المحمولات الثابتة للماء المتغيّر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عدم الجدوى في الاستصحاب الجاري </w:t>
      </w:r>
      <w:r>
        <w:rPr>
          <w:rStyle w:val="FootnoteAnchor"/>
          <w:rtl w:val="true"/>
        </w:rPr>
        <w:footnoteReference w:id="2046"/>
      </w:r>
      <w:r>
        <w:rPr>
          <w:rFonts w:ascii="Amiri" w:hAnsi="Amiri" w:eastAsia="Amiri" w:cs="Amiri"/>
          <w:color w:val="111111"/>
          <w:sz w:val="28"/>
          <w:sz w:val="28"/>
          <w:szCs w:val="28"/>
          <w:rtl w:val="true"/>
          <w:lang w:bidi="ar-SA"/>
        </w:rPr>
        <w:t xml:space="preserve">في نفس الموضوع فيما إذا كان الشكّ على أحد الوجهين الأخيرين ؛ لعدم ارتفاع الشكّ بالاستصحاب ، فإنّ أصالة بقاء الكلب عند الشكّ في اندراج الملح أو ما يقرب منه لا يجدي في رفع الشكّ ، كما أنّ </w:t>
      </w:r>
      <w:r>
        <w:rPr>
          <w:rStyle w:val="FootnoteAnchor"/>
          <w:rtl w:val="true"/>
        </w:rPr>
        <w:footnoteReference w:id="2047"/>
      </w:r>
      <w:r>
        <w:rPr>
          <w:rFonts w:ascii="Amiri" w:hAnsi="Amiri" w:eastAsia="Amiri" w:cs="Amiri"/>
          <w:color w:val="111111"/>
          <w:sz w:val="28"/>
          <w:sz w:val="28"/>
          <w:szCs w:val="28"/>
          <w:rtl w:val="true"/>
          <w:lang w:bidi="ar-SA"/>
        </w:rPr>
        <w:t xml:space="preserve">أصالة بقاء الموضوع لا تجدي </w:t>
      </w:r>
      <w:r>
        <w:rPr>
          <w:rStyle w:val="FootnoteAnchor"/>
          <w:rtl w:val="true"/>
        </w:rPr>
        <w:footnoteReference w:id="2048"/>
      </w:r>
      <w:r>
        <w:rPr>
          <w:rFonts w:ascii="Amiri" w:hAnsi="Amiri" w:eastAsia="Amiri" w:cs="Amiri"/>
          <w:color w:val="111111"/>
          <w:sz w:val="28"/>
          <w:sz w:val="28"/>
          <w:szCs w:val="28"/>
          <w:rtl w:val="true"/>
          <w:lang w:bidi="ar-SA"/>
        </w:rPr>
        <w:t xml:space="preserve">في الحكم بنجاسة الملح إلاّ على وجه لا اعتداد به كما في استصحاب بقاء الماء </w:t>
      </w:r>
      <w:r>
        <w:rPr>
          <w:rStyle w:val="FootnoteAnchor"/>
          <w:rtl w:val="true"/>
        </w:rPr>
        <w:footnoteReference w:id="2049"/>
      </w:r>
      <w:r>
        <w:rPr>
          <w:rFonts w:ascii="Amiri" w:hAnsi="Amiri" w:eastAsia="Amiri" w:cs="Amiri"/>
          <w:color w:val="111111"/>
          <w:sz w:val="28"/>
          <w:sz w:val="28"/>
          <w:szCs w:val="28"/>
          <w:rtl w:val="true"/>
          <w:lang w:bidi="ar-SA"/>
        </w:rPr>
        <w:t xml:space="preserve">الكرّ ، فالمقصود إثبات كون الشيء المخصوص موضوعا ولا دليل عليه والثابت وهو مطلق الموضوع غير مجد ، وأمّا على الوجه الأوّل فجريان الاستصحاب كوضوح فائدته ظاهر ، إلاّ أنّه قد يظهر من بعض الأجلّة </w:t>
      </w:r>
      <w:r>
        <w:rPr>
          <w:rStyle w:val="FootnoteAnchor"/>
          <w:rtl w:val="true"/>
        </w:rPr>
        <w:footnoteReference w:id="2050"/>
      </w:r>
      <w:r>
        <w:rPr>
          <w:rFonts w:ascii="Amiri" w:hAnsi="Amiri" w:eastAsia="Amiri" w:cs="Amiri"/>
          <w:color w:val="111111"/>
          <w:sz w:val="28"/>
          <w:sz w:val="28"/>
          <w:szCs w:val="28"/>
          <w:rtl w:val="true"/>
          <w:lang w:bidi="ar-SA"/>
        </w:rPr>
        <w:t xml:space="preserve">تبعا لغير واحد منهم أنّ عند الشكّ في الموضوع لا بدّ في استصحاب الحكم المتفرّع عليه من استصحاب نفس الموضوع توطئة لاستصحاب الحكم ، فإنّهم زعموا أنّ وجود </w:t>
      </w:r>
    </w:p>
    <w:p>
      <w:pPr>
        <w:pStyle w:val="BookText"/>
        <w:rPr/>
      </w:pPr>
      <w:r>
        <w:rPr>
          <w:rFonts w:ascii="Amiri" w:hAnsi="Amiri" w:eastAsia="Amiri" w:cs="Amiri"/>
          <w:color w:val="111111"/>
          <w:sz w:val="28"/>
          <w:sz w:val="28"/>
          <w:szCs w:val="28"/>
          <w:rtl w:val="true"/>
          <w:lang w:bidi="ar-SA"/>
        </w:rPr>
        <w:t xml:space="preserve">الموضوع أعمّ من أن يكون وجودا واقعيا كما فيما لو أحرزنا الموضوع بالوجدان ، أو بالاستصحاب ، وليس على ما ينبغي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عدم الجدوى في الاستصحاب الجاري في نفس الموضوع في جميع الأقسام لعدم ارتفاع الشكّ به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الحكم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مسبّبا عن الشكّ في بقاء الموضوع وارتفاعه ، فعلى تقدير وجوده فالحكم مقطوع به ، وعلى تقدير عدمه فالحكم قطعي الارتفاع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مسبّبا عن شيء بحيث لو قطعنا بوجود الموضوع أيضا كان الشكّ فيه على ما كان عليه قبل العلم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 ما إذا شككنا في بقاء التغيّر في الماء وارتفاعه ، فإنّ الشكّ فيه يوجب الشكّ في زوال النجاسة مثلا ، مثال الثاني ما إذا شككنا في وجود زيد وعلى تقدير وجوده نشكّ في طلاق زوجته ، فإنّ الشكّ في الطلاق وعدمه لا يناط بوجوده ، فعلى تقدير الوجود فالشكّ فيه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فإمّا أن يكون الحكم الشرعي مترتّبا على الموضوع من غير توسّط أمر عاديّ أو عقلي ، أو لا يكون مترتّبا على نفس الموضوع ، بل أمر لازم له </w:t>
      </w:r>
      <w:r>
        <w:rPr>
          <w:rStyle w:val="FootnoteAnchor"/>
          <w:rtl w:val="true"/>
        </w:rPr>
        <w:footnoteReference w:id="2051"/>
      </w:r>
      <w:r>
        <w:rPr>
          <w:rFonts w:ascii="Amiri" w:hAnsi="Amiri" w:eastAsia="Amiri" w:cs="Amiri"/>
          <w:color w:val="111111"/>
          <w:sz w:val="28"/>
          <w:sz w:val="28"/>
          <w:szCs w:val="28"/>
          <w:rtl w:val="true"/>
          <w:lang w:bidi="ar-SA"/>
        </w:rPr>
        <w:t>عقلا أو عادة ، وعلى التقادير الأربعة لا حاجة في استصحاب الحكم الشرعي إلى استصحاب الموضوع أوّلا ، فعلى تقدير الحاجة فلا جدوى فيه ثانيا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فبيانه أمّا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فلكفاية الاستصحاب الموضوعي عن استصحاب الحكم على قسميه فيما إذا كان الحكم مترتّبا على نفس الموضوع وكفاية استصحاب نفس الواسطة من غير حاجة إلى استصحاب موضوعه في ترتّب الحكم الشرعي على الموضوع العاديّ أو العقلي اللذين فرضناهما واسطة </w:t>
      </w:r>
      <w:r>
        <w:rPr>
          <w:rStyle w:val="FootnoteAnchor"/>
          <w:rtl w:val="true"/>
        </w:rPr>
        <w:footnoteReference w:id="2052"/>
      </w:r>
      <w:r>
        <w:rPr>
          <w:rFonts w:ascii="Amiri" w:hAnsi="Amiri" w:eastAsia="Amiri" w:cs="Amiri"/>
          <w:color w:val="111111"/>
          <w:sz w:val="28"/>
          <w:sz w:val="28"/>
          <w:szCs w:val="28"/>
          <w:rtl w:val="true"/>
          <w:lang w:bidi="ar-SA"/>
        </w:rPr>
        <w:t xml:space="preserve">بقسميه </w:t>
      </w: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تفصيلا ، فلأنّ معنى استصحاب الموضوع على ما عرفت سابقا ليس إلاّ جعل أحكامه المتعلّقة به شرعا ؛ إذ ليس قابلا للإبقاء بواسطة عدم قبوله الجعل فاستصحاب الموضوع يغني </w:t>
      </w:r>
    </w:p>
    <w:p>
      <w:pPr>
        <w:pStyle w:val="BookText"/>
        <w:rPr/>
      </w:pPr>
      <w:r>
        <w:rPr>
          <w:rFonts w:ascii="Amiri" w:hAnsi="Amiri" w:eastAsia="Amiri" w:cs="Amiri"/>
          <w:color w:val="111111"/>
          <w:sz w:val="28"/>
          <w:sz w:val="28"/>
          <w:szCs w:val="28"/>
          <w:rtl w:val="true"/>
          <w:lang w:bidi="ar-SA"/>
        </w:rPr>
        <w:t>عن 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يمكن توارد الأدلّة الاجتهادية في مورد الاستصحاب فكذلك يمكن تعدّد الاستصحاب بجريانه </w:t>
      </w:r>
      <w:r>
        <w:rPr>
          <w:rStyle w:val="FootnoteAnchor"/>
          <w:rtl w:val="true"/>
        </w:rPr>
        <w:footnoteReference w:id="2054"/>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الاستصحاب في موارد الأدلّة الاجتهادية بعد فرض انتفائها وفرض انتفاء الموضوع ينافي الاستصحاب ، فعلى الأوّل فرض الانتفاء محقّق للاستصحاب ، وعلى الثاني مناف له ، وذلك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ظاهر فيما إذا كان الشكّ في الحكم الشرعي مسبّبا عن الشكّ في الموضوع وجودا وعدما ، وأمّا إذا كان الشكّ في الحكم باعتبار أمر آخر كما في مثال الطلاق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وجود زيد أيضا يكفي في استصحاب الحكم الشرعي المترتّب على الطلاق ؛ لأنّ الموضوع إنّما يلحقه أحكام عديدة ويكفي في لحوقها له فرض وجوده وإن توقّف فعليته على تحقّق المفروض ، والمقدّر أنّ الاستصحاب </w:t>
      </w:r>
      <w:r>
        <w:rPr>
          <w:rStyle w:val="FootnoteAnchor"/>
          <w:rtl w:val="true"/>
        </w:rPr>
        <w:footnoteReference w:id="2055"/>
      </w:r>
      <w:r>
        <w:rPr>
          <w:rFonts w:ascii="Amiri" w:hAnsi="Amiri" w:eastAsia="Amiri" w:cs="Amiri"/>
          <w:color w:val="111111"/>
          <w:sz w:val="28"/>
          <w:sz w:val="28"/>
          <w:szCs w:val="28"/>
          <w:rtl w:val="true"/>
          <w:lang w:bidi="ar-SA"/>
        </w:rPr>
        <w:t xml:space="preserve">الجاري في نفس الموضوع معناه ترتيب </w:t>
      </w:r>
      <w:r>
        <w:rPr>
          <w:rStyle w:val="FootnoteAnchor"/>
          <w:rtl w:val="true"/>
        </w:rPr>
        <w:footnoteReference w:id="2056"/>
      </w:r>
      <w:r>
        <w:rPr>
          <w:rFonts w:ascii="Amiri" w:hAnsi="Amiri" w:eastAsia="Amiri" w:cs="Amiri"/>
          <w:color w:val="111111"/>
          <w:sz w:val="28"/>
          <w:sz w:val="28"/>
          <w:szCs w:val="28"/>
          <w:rtl w:val="true"/>
          <w:lang w:bidi="ar-SA"/>
        </w:rPr>
        <w:t>أحكامه الشرعية ، فبعد استصحاب الموضوع وتحقّقه تعبّدا يحكم بترتّب جميع أحكامه من غير حاجة إلى استصحاب آخر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شكّ أنّ القضايا الشرعية ليست قضايا خارجية ، بل إنّما هي قضايا حقيقية يكفي في صدقها فرض تحقّق موضوعها ، كما يلاحظ ذلك في نجاسة الكلب مثلا ، وطهارة الماء ، فإنّ إثبات هذه المحمولات لموضوعاتها لا يتوقّف على وجودها في الخارج ، فزيد الموجود في الخارج من أحكامه ولواحقه حرمة زوجته </w:t>
      </w:r>
      <w:r>
        <w:rPr>
          <w:rStyle w:val="FootnoteAnchor"/>
          <w:rtl w:val="true"/>
        </w:rPr>
        <w:footnoteReference w:id="2057"/>
      </w:r>
      <w:r>
        <w:rPr>
          <w:rFonts w:ascii="Amiri" w:hAnsi="Amiri" w:eastAsia="Amiri" w:cs="Amiri"/>
          <w:color w:val="111111"/>
          <w:sz w:val="28"/>
          <w:sz w:val="28"/>
          <w:szCs w:val="28"/>
          <w:rtl w:val="true"/>
          <w:lang w:bidi="ar-SA"/>
        </w:rPr>
        <w:t xml:space="preserve">على غيره ووجوب نفقتها عليه عند العلم بعدم الطلاق ، كما أنّ من أحكامه حرمة زوجته على الغير </w:t>
      </w:r>
      <w:r>
        <w:rPr>
          <w:rStyle w:val="FootnoteAnchor"/>
          <w:rtl w:val="true"/>
        </w:rPr>
        <w:footnoteReference w:id="2058"/>
      </w:r>
      <w:r>
        <w:rPr>
          <w:rFonts w:ascii="Amiri" w:hAnsi="Amiri" w:eastAsia="Amiri" w:cs="Amiri"/>
          <w:color w:val="111111"/>
          <w:sz w:val="28"/>
          <w:sz w:val="28"/>
          <w:szCs w:val="28"/>
          <w:rtl w:val="true"/>
          <w:lang w:bidi="ar-SA"/>
        </w:rPr>
        <w:t xml:space="preserve">عند الشكّ في الطلاق ، فيكفي في لحوق هذا الحكم له وتعلّقه </w:t>
      </w:r>
    </w:p>
    <w:p>
      <w:pPr>
        <w:pStyle w:val="BookText"/>
        <w:rPr/>
      </w:pPr>
      <w:r>
        <w:rPr>
          <w:rFonts w:ascii="Amiri" w:hAnsi="Amiri" w:eastAsia="Amiri" w:cs="Amiri"/>
          <w:color w:val="111111"/>
          <w:sz w:val="28"/>
          <w:sz w:val="28"/>
          <w:szCs w:val="28"/>
          <w:rtl w:val="true"/>
          <w:lang w:bidi="ar-SA"/>
        </w:rPr>
        <w:t>به فرض وجوده ؛ إذ لا فرق بين الحكم الثابت للموضوع بين أن يكون الحكم مدلولا لدليل اجتهادي أو مفادا لأصل عملى إلاّ في الظاهرية والواقعية التي لا مدخل 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يظهر من ملاحظة القضايا الشرعية أنّ الأحكام تلحق </w:t>
      </w:r>
      <w:r>
        <w:rPr>
          <w:rStyle w:val="FootnoteAnchor"/>
          <w:rtl w:val="true"/>
        </w:rPr>
        <w:footnoteReference w:id="2059"/>
      </w:r>
      <w:r>
        <w:rPr>
          <w:rFonts w:ascii="Amiri" w:hAnsi="Amiri" w:eastAsia="Amiri" w:cs="Amiri"/>
          <w:color w:val="111111"/>
          <w:sz w:val="28"/>
          <w:sz w:val="28"/>
          <w:szCs w:val="28"/>
          <w:rtl w:val="true"/>
          <w:lang w:bidi="ar-SA"/>
        </w:rPr>
        <w:t xml:space="preserve">الموضوعات على تقدير الوجود ، فزيد الموجود حكمه حرمة زوجته عند العلم بعدم الطلاق وعند الشكّ فيه ، وأمّا الشكّ في وجود زيد فلا مدخل لهذا الحكم فيه أبدا ، كما لو شككنا في ارتفاع نجاسة الكلب فإنّ استصحاب نجاسة الكلب لا يناط بوجود الكلب وإن كانت النجاسة متعلّقة بالكلب الموجود ، نعم يتوقّف فعلية هذا الحكم في الخارج على وجود الكلب ، فلو كان الشكّ في وجود الكلب يكفي استصحابه في ترتّب هذه الأحكام المترتّبة </w:t>
      </w:r>
      <w:r>
        <w:rPr>
          <w:rStyle w:val="FootnoteAnchor"/>
          <w:rtl w:val="true"/>
        </w:rPr>
        <w:footnoteReference w:id="2060"/>
      </w:r>
      <w:r>
        <w:rPr>
          <w:rFonts w:ascii="Amiri" w:hAnsi="Amiri" w:eastAsia="Amiri" w:cs="Amiri"/>
          <w:color w:val="111111"/>
          <w:sz w:val="28"/>
          <w:sz w:val="28"/>
          <w:szCs w:val="28"/>
          <w:rtl w:val="true"/>
          <w:lang w:bidi="ar-SA"/>
        </w:rPr>
        <w:t xml:space="preserve">عليه ، فعند التحقيق يرتفع الشكّ الحاصل في الحكم من غير جهة الموضوع </w:t>
      </w:r>
      <w:r>
        <w:rPr>
          <w:rStyle w:val="FootnoteAnchor"/>
          <w:rtl w:val="true"/>
        </w:rPr>
        <w:footnoteReference w:id="2061"/>
      </w:r>
      <w:r>
        <w:rPr>
          <w:rFonts w:ascii="Amiri" w:hAnsi="Amiri" w:eastAsia="Amiri" w:cs="Amiri"/>
          <w:color w:val="111111"/>
          <w:sz w:val="28"/>
          <w:sz w:val="28"/>
          <w:szCs w:val="28"/>
          <w:rtl w:val="true"/>
          <w:lang w:bidi="ar-SA"/>
        </w:rPr>
        <w:t>بفرض وجوده ، وتعلّق أحكامه به على هذا الفرض ، ويبقى الشكّ فيه من جهة بقاء الموضوع خاصّة ، وقد عرفت كفاية استصحاب الموضوع في رفع هذا الشكّ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الشكّ في الحكم الشرعي الذي يترتّب </w:t>
      </w:r>
      <w:r>
        <w:rPr>
          <w:rStyle w:val="FootnoteAnchor"/>
          <w:rtl w:val="true"/>
        </w:rPr>
        <w:footnoteReference w:id="2062"/>
      </w:r>
      <w:r>
        <w:rPr>
          <w:rFonts w:ascii="Amiri" w:hAnsi="Amiri" w:eastAsia="Amiri" w:cs="Amiri"/>
          <w:color w:val="111111"/>
          <w:sz w:val="28"/>
          <w:sz w:val="28"/>
          <w:szCs w:val="28"/>
          <w:rtl w:val="true"/>
          <w:lang w:bidi="ar-SA"/>
        </w:rPr>
        <w:t xml:space="preserve">على نفس الموضوع من غير توسّط </w:t>
      </w:r>
      <w:r>
        <w:rPr>
          <w:rStyle w:val="FootnoteAnchor"/>
          <w:rtl w:val="true"/>
        </w:rPr>
        <w:footnoteReference w:id="2063"/>
      </w:r>
      <w:r>
        <w:rPr>
          <w:rFonts w:ascii="Amiri" w:hAnsi="Amiri" w:eastAsia="Amiri" w:cs="Amiri"/>
          <w:color w:val="111111"/>
          <w:sz w:val="28"/>
          <w:sz w:val="28"/>
          <w:szCs w:val="28"/>
          <w:rtl w:val="true"/>
          <w:lang w:bidi="ar-SA"/>
        </w:rPr>
        <w:t>أمر عادي ، أو عقلي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فيما إذا كان الحكم الشرعي مترتّبا على الموضوع بالواسطة ، فالحقّ أيضا </w:t>
      </w:r>
      <w:r>
        <w:rPr>
          <w:rStyle w:val="FootnoteAnchor"/>
          <w:rtl w:val="true"/>
        </w:rPr>
        <w:footnoteReference w:id="2064"/>
      </w:r>
      <w:r>
        <w:rPr>
          <w:rFonts w:ascii="Amiri" w:hAnsi="Amiri" w:eastAsia="Amiri" w:cs="Amiri"/>
          <w:color w:val="111111"/>
          <w:sz w:val="28"/>
          <w:sz w:val="28"/>
          <w:szCs w:val="28"/>
          <w:rtl w:val="true"/>
          <w:lang w:bidi="ar-SA"/>
        </w:rPr>
        <w:t xml:space="preserve">عدم الحاجة إلى استصحاب الموضوع ؛ لكفاية استصحاب نفس الواسطة ، حيث إنّها من الموضوعات أيضا ، مثلا لو شككنا في حرمة شيء مهلك بواسطة كونه ذا كيفية مائلة عن حدّ الاعتدال في إحدى الكيفيات الأربعة التي تحصل منها الأمزجة على ما يعبّر عنها بالسمّية مثلا ، فإنّه لا حاجة في إثبات الحرمة إلى استصحاب </w:t>
      </w:r>
    </w:p>
    <w:p>
      <w:pPr>
        <w:pStyle w:val="BookText"/>
        <w:rPr/>
      </w:pPr>
      <w:r>
        <w:rPr>
          <w:rFonts w:ascii="Amiri" w:hAnsi="Amiri" w:eastAsia="Amiri" w:cs="Amiri"/>
          <w:color w:val="111111"/>
          <w:sz w:val="28"/>
          <w:sz w:val="28"/>
          <w:szCs w:val="28"/>
          <w:rtl w:val="true"/>
          <w:lang w:bidi="ar-SA"/>
        </w:rPr>
        <w:t xml:space="preserve">السمّية التي يترتّب عليها الإهلاك ، ثمّ استصحاب الإهلاك ، ثمّ استصحاب الحرمة بإعمال استصحابات ثلاث ، بل يكفي في ذلك استصحاب المهلك ومعناه حرمة أكله على ما عرفته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المهلك أيضا موضوع من الموضوعات ، واستصحابه غير محتاج إلى إحراز الموضوع فإنّه على ما هو موضوع لا موضوع له ، كما في الماهيّة المعرّاة عن الوجود والعدم فيما كانت موضوعا في استصحاب الوجود ، نعم لو فرض له حكم آخر فيحتاج إلى اعتبار موضوع آخر إلاّ أنّه لا مدخل له في المقام ، والسرّ في ذلك أنّ المهلكية كالسمّية من الأعراض الحالّة في محلّ واحد ؛ لامتناع قيام المعنى بالمعنى ، غاية الأمر أنّ السمّية واسطة في ثبوت الإهلاك في المحلّ فكما يمكن ملاحظة ذلك المحلّ منعوتا </w:t>
      </w:r>
      <w:r>
        <w:rPr>
          <w:rStyle w:val="FootnoteAnchor"/>
          <w:rtl w:val="true"/>
        </w:rPr>
        <w:footnoteReference w:id="2066"/>
      </w:r>
      <w:r>
        <w:rPr>
          <w:rFonts w:ascii="Amiri" w:hAnsi="Amiri" w:eastAsia="Amiri" w:cs="Amiri"/>
          <w:color w:val="111111"/>
          <w:sz w:val="28"/>
          <w:sz w:val="28"/>
          <w:szCs w:val="28"/>
          <w:rtl w:val="true"/>
          <w:lang w:bidi="ar-SA"/>
        </w:rPr>
        <w:t xml:space="preserve">بالسمّية ومتّصفة بها واستصحابها ، فكذا يمكن ملاحظته متّصفة بالمهلكية ، وعلى هذا التقدير لا حاجة في استصحاب المهلك إلى استصحاب السمّ كما أنّه لا حاجة في استصحاب الحرمة إلى استصحاب المهلك ، بل يكفي فيه نفس استصحاب المهلك فإنّ معناه ترتيب </w:t>
      </w:r>
      <w:r>
        <w:rPr>
          <w:rStyle w:val="FootnoteAnchor"/>
          <w:rtl w:val="true"/>
        </w:rPr>
        <w:footnoteReference w:id="2067"/>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استصحاب السمّية فإن أريد إثبات الحرمة باستصحابها فغير سديد ؛ لكونه من الأصول المثبتة ، وإن أريد إثبات المهلكية وترتّبها على السمّية ، ثمّ استصحاب الحرمة فغير مفيد ؛ لعدم ترتّب الإهلاك على السمّية المستصحبة ، لأنّه من الآثار العاديّة أو العقلية ولا يترتّب على المستصحب ، وعلى القول باعتبار الأصل المثبت فيكفي في إثبات الحرمة استصحاب السمّية ، ولا حاجة إلى إحراز الإهلاك بالاستصحاب ؛ لترتّب الحرمة على السمّية حينئذ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Style w:val="FootnoteAnchor"/>
          <w:rtl w:val="true"/>
        </w:rPr>
        <w:footnoteReference w:id="2069"/>
      </w:r>
      <w:r>
        <w:rPr>
          <w:rFonts w:ascii="Amiri" w:hAnsi="Amiri" w:eastAsia="Amiri" w:cs="Amiri"/>
          <w:color w:val="111111"/>
          <w:sz w:val="28"/>
          <w:sz w:val="28"/>
          <w:szCs w:val="28"/>
          <w:rtl w:val="true"/>
          <w:lang w:bidi="ar-SA"/>
        </w:rPr>
        <w:t xml:space="preserve">بعد تسليم الحاجة إلى استصحاب الموضوع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الوجه في احتياج استصحاب الحكم إلى إحراز الموضوع على ما مرّ إنّما هو امتناع قيام العرض بلا جوهر أو انتقاله إلى محلّ آخر ، فمن جملة الأحكام العقلية المترتّبة على بقاء الموضوع جواز استصحاب عرضه الحالّ فيه وحكمه القائم به ، ولا شكّ أيضا أنّ إثبات الموضوع بالاستصحاب لا يجعل الموضوع موجودا واقعيا فلا يترتّب عليه ما هو من لوازمه عقلا ، فجواز استصحاب الحكم لا يترتّب على استصحاب الموضوع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جار بعينه في استصحاب الموضوع ؛ لأنّ ما هو المحلّ للعرض إنّما هو الموضوع المعلوم بحسب الواقع ، والمفروض أنّه </w:t>
      </w:r>
      <w:r>
        <w:rPr>
          <w:rStyle w:val="FootnoteAnchor"/>
          <w:rtl w:val="true"/>
        </w:rPr>
        <w:footnoteReference w:id="2070"/>
      </w:r>
      <w:r>
        <w:rPr>
          <w:rFonts w:ascii="Amiri" w:hAnsi="Amiri" w:eastAsia="Amiri" w:cs="Amiri"/>
          <w:color w:val="111111"/>
          <w:sz w:val="28"/>
          <w:sz w:val="28"/>
          <w:szCs w:val="28"/>
          <w:rtl w:val="true"/>
          <w:lang w:bidi="ar-SA"/>
        </w:rPr>
        <w:t xml:space="preserve">حال الشكّ وعدم العلم به لا يعلم وجوده فكيف يمكن الحكم بترتّب الأحكام العرضية على ما لا نعلم وجوده؟ وبالجملة فترتّب الأحكام وكون الموضوع محلاّ للعرض القائم به ليس من الأحكام الشرعية ، بل ذلك من لوازم الموضوع الواقعي عقلا ، فباستصحابه </w:t>
      </w:r>
      <w:r>
        <w:rPr>
          <w:rStyle w:val="FootnoteAnchor"/>
          <w:rtl w:val="true"/>
        </w:rPr>
        <w:footnoteReference w:id="2071"/>
      </w:r>
      <w:r>
        <w:rPr>
          <w:rFonts w:ascii="Amiri" w:hAnsi="Amiri" w:eastAsia="Amiri" w:cs="Amiri"/>
          <w:color w:val="111111"/>
          <w:sz w:val="28"/>
          <w:sz w:val="28"/>
          <w:szCs w:val="28"/>
          <w:rtl w:val="true"/>
          <w:lang w:bidi="ar-SA"/>
        </w:rPr>
        <w:t xml:space="preserve">لا يمكن الحكم بترتّب </w:t>
      </w:r>
      <w:r>
        <w:rPr>
          <w:rStyle w:val="FootnoteAnchor"/>
          <w:rtl w:val="true"/>
        </w:rPr>
        <w:footnoteReference w:id="2072"/>
      </w:r>
      <w:r>
        <w:rPr>
          <w:rFonts w:ascii="Amiri" w:hAnsi="Amiri" w:eastAsia="Amiri" w:cs="Amiri"/>
          <w:color w:val="111111"/>
          <w:sz w:val="28"/>
          <w:sz w:val="28"/>
          <w:szCs w:val="28"/>
          <w:rtl w:val="true"/>
          <w:lang w:bidi="ar-SA"/>
        </w:rPr>
        <w:t>آثاره عليه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ظاهر بين المقامين ، فإنّ الأحكام الشرعية أمور جعلية متعلّقة بأفعال المكلّفين بحسب اختلافاتها ، فربّما يصير الفعل المتعلّق بموضوع خارجي واقعي موردا لواحد منها كحرمة شرب الخمر ووطي الأجنبية ، وقد يصير الفعل المتعلّق بمشكوك الموضوع أيضا موردا لذلك الحكم ، كما فيما إذا شككنا في حلّية الخمر لاحتمال انقلابه خلاّ ، وكما إذا احتملنا وقوع العقد المحلّل على الأجنبية من الوكيل مثلا ، فالموضوع الواقعي يتعلّق به حكم ويتعلّق بالمشكوك أيضا ذلك الحكم ، ولا ضير فيه ؛ لحلول العرض إذا في المشكوك ، غاية الأمر أنّ الحكم المتعلّق بالموضوع الواقعي </w:t>
      </w:r>
    </w:p>
    <w:p>
      <w:pPr>
        <w:pStyle w:val="BookText"/>
        <w:rPr/>
      </w:pPr>
      <w:r>
        <w:rPr>
          <w:rFonts w:ascii="Amiri" w:hAnsi="Amiri" w:eastAsia="Amiri" w:cs="Amiri"/>
          <w:color w:val="111111"/>
          <w:sz w:val="28"/>
          <w:sz w:val="28"/>
          <w:szCs w:val="28"/>
          <w:rtl w:val="true"/>
          <w:lang w:bidi="ar-SA"/>
        </w:rPr>
        <w:t xml:space="preserve">واقعي والمتعلّق بالموضوع المشكوك ظاهري ، بخلاف جواز استصحاب حكم المتعلّق بالموضوع فإنّه من الأحكام العقلية التي لا تشوبها </w:t>
      </w:r>
      <w:r>
        <w:rPr>
          <w:rStyle w:val="FootnoteAnchor"/>
          <w:rtl w:val="true"/>
        </w:rPr>
        <w:footnoteReference w:id="2073"/>
      </w:r>
      <w:r>
        <w:rPr>
          <w:rFonts w:ascii="Amiri" w:hAnsi="Amiri" w:eastAsia="Amiri" w:cs="Amiri"/>
          <w:color w:val="111111"/>
          <w:sz w:val="28"/>
          <w:sz w:val="28"/>
          <w:szCs w:val="28"/>
          <w:rtl w:val="true"/>
          <w:lang w:bidi="ar-SA"/>
        </w:rPr>
        <w:t>الشرعية في وجه ، كذا أفاد سلّمه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لعلّه ينافي ما تقدّم من البرهان على لزوم بقاء الموضوع ؛ ضرورة اقتضائه الحكم بثبوت شخص العرض الموجود في المحلّ ولا يتأتّى </w:t>
      </w:r>
      <w:r>
        <w:rPr>
          <w:rStyle w:val="FootnoteAnchor"/>
          <w:rtl w:val="true"/>
        </w:rPr>
        <w:footnoteReference w:id="2074"/>
      </w:r>
      <w:r>
        <w:rPr>
          <w:rFonts w:ascii="Amiri" w:hAnsi="Amiri" w:eastAsia="Amiri" w:cs="Amiri"/>
          <w:color w:val="111111"/>
          <w:sz w:val="28"/>
          <w:sz w:val="28"/>
          <w:szCs w:val="28"/>
          <w:rtl w:val="true"/>
          <w:lang w:bidi="ar-SA"/>
        </w:rPr>
        <w:t xml:space="preserve">ذلك فيما كان المستصحب نفس الموضوع كما عرفت ، فإنّ الحكم الثابت للموضوع الواقعي ولو بحسب شخصه يغاير الحكم المتعلّق بالموضوع المشكوك بواسطة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وفيما كان المستصحب هو الحكم الشرعي المتعلّق به ؛ ضرورة أنّ الحكم الثابت في زمان الشكّ بواسطة أدلّة الاستصحاب يغاير الحكم الواقعي شخصا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وجه للقول بإحراز الموضوع بالاستصحاب ، بل ولا بشيء آخر ممّا هو في عرض الاستصحاب من الأصول العملية لو فرض ، وذلك بخلاف البيّنة وما يماثلها من الطرق الواقعية ؛ إذ بها يثبت نفس الموضوع كما إذا كان معلوما فيحتاج في إثبات الحكم إلى الاستصحاب ؛ إذ لا دخل للبيّنة بعد إقامتها على ثبوت موضوع في الحكم المتعلّق به ، هذا إذا كان الاستصحاب جاريا في الموضوع كما في القسم الأوّل من الأقسام الثلاثة المذكورة وهو ما كان الشكّ في الموضوع مسبّبا عن الشكّ في الأمور الخارجية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القسمين الأخيرين فقد عرفت عدم جريان الاستصحاب أصلا إلاّ إذا كان الشكّ في اندراج فرد تحت كلّي ، كما إذا شكّ في اندراج من يشكّ في صلاته </w:t>
      </w:r>
      <w:r>
        <w:rPr>
          <w:rStyle w:val="FootnoteAnchor"/>
          <w:rtl w:val="true"/>
        </w:rPr>
        <w:footnoteReference w:id="2075"/>
      </w:r>
      <w:r>
        <w:rPr>
          <w:rFonts w:ascii="Amiri" w:hAnsi="Amiri" w:eastAsia="Amiri" w:cs="Amiri"/>
          <w:color w:val="111111"/>
          <w:sz w:val="28"/>
          <w:sz w:val="28"/>
          <w:szCs w:val="28"/>
          <w:rtl w:val="true"/>
          <w:lang w:bidi="ar-SA"/>
        </w:rPr>
        <w:t xml:space="preserve">أربع مرّات في كلّي كثير الشكّ بعد ما كان شكّه عشر مرات مثلا ، فإنّ جريان الاستصحاب فيه وعدمه موكول إلى ما سبق في بيان استصحاب القدر المشترك ، وأمّا فيما عدا ذلك </w:t>
      </w:r>
    </w:p>
    <w:p>
      <w:pPr>
        <w:pStyle w:val="BookText"/>
        <w:rPr/>
      </w:pPr>
      <w:r>
        <w:rPr>
          <w:rFonts w:ascii="Amiri" w:hAnsi="Amiri" w:eastAsia="Amiri" w:cs="Amiri"/>
          <w:color w:val="111111"/>
          <w:sz w:val="28"/>
          <w:sz w:val="28"/>
          <w:szCs w:val="28"/>
          <w:rtl w:val="true"/>
          <w:lang w:bidi="ar-SA"/>
        </w:rPr>
        <w:t xml:space="preserve">فالاستصحاب في خصوص الموضوع لا مجرى له ؛ لعدم العلم به في السابق ، واستصحاب القدر المشترك والأمر المردّد بين الأمرين ممّا لا يجدي في ترتيب </w:t>
      </w:r>
      <w:r>
        <w:rPr>
          <w:rStyle w:val="FootnoteAnchor"/>
          <w:rtl w:val="true"/>
        </w:rPr>
        <w:footnoteReference w:id="2076"/>
      </w:r>
      <w:r>
        <w:rPr>
          <w:rFonts w:ascii="Amiri" w:hAnsi="Amiri" w:eastAsia="Amiri" w:cs="Amiri"/>
          <w:color w:val="111111"/>
          <w:sz w:val="28"/>
          <w:sz w:val="28"/>
          <w:szCs w:val="28"/>
          <w:rtl w:val="true"/>
          <w:lang w:bidi="ar-SA"/>
        </w:rPr>
        <w:t>أحكام أحد طرفي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الشكّ فيه </w:t>
      </w:r>
      <w:r>
        <w:rPr>
          <w:rStyle w:val="FootnoteAnchor"/>
          <w:rtl w:val="true"/>
        </w:rPr>
        <w:footnoteReference w:id="2077"/>
      </w:r>
      <w:r>
        <w:rPr>
          <w:rFonts w:ascii="Amiri" w:hAnsi="Amiri" w:eastAsia="Amiri" w:cs="Amiri"/>
          <w:color w:val="111111"/>
          <w:sz w:val="28"/>
          <w:sz w:val="28"/>
          <w:szCs w:val="28"/>
          <w:rtl w:val="true"/>
          <w:lang w:bidi="ar-SA"/>
        </w:rPr>
        <w:t>من جهة الاشتباه في الموضوع المستنبط أو الاشتباه في الأدلّة الشرعية ، فالمستصحب إن أراد استصحاب الموضوع الخاصّ في محلّ الشكّ فلا علم به في السابق ، وإن أراد استصحاب مطلق الموضوع فاعتباره موقوف على اعتبار الأصول المثبتة التي لا تعويل عليها عندنا ، وذلك ظاهر لا سترة عليه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إن ميّز المورد فلا كلام ، وإلاّ فلا بدّ من إزالة الشكّ في الأقسام المذكورة ، ففيما إذا كان الشكّ فيه باعتبار الخارج فلا بدّ من ملاحظة الواقع بفتح عين </w:t>
      </w:r>
      <w:r>
        <w:rPr>
          <w:rStyle w:val="FootnoteAnchor"/>
          <w:rtl w:val="true"/>
        </w:rPr>
        <w:footnoteReference w:id="2078"/>
      </w:r>
      <w:r>
        <w:rPr>
          <w:rFonts w:ascii="Amiri" w:hAnsi="Amiri" w:eastAsia="Amiri" w:cs="Amiri"/>
          <w:color w:val="111111"/>
          <w:sz w:val="28"/>
          <w:sz w:val="28"/>
          <w:szCs w:val="28"/>
          <w:rtl w:val="true"/>
          <w:lang w:bidi="ar-SA"/>
        </w:rPr>
        <w:t xml:space="preserve">البصر أو البصيرة أو نحو ذلك ، ففي صورتي البقاء والارتفاع واقعا لا إشكال لجريان </w:t>
      </w:r>
      <w:r>
        <w:rPr>
          <w:rStyle w:val="FootnoteAnchor"/>
          <w:rtl w:val="true"/>
        </w:rPr>
        <w:footnoteReference w:id="2079"/>
      </w:r>
      <w:r>
        <w:rPr>
          <w:rFonts w:ascii="Amiri" w:hAnsi="Amiri" w:eastAsia="Amiri" w:cs="Amiri"/>
          <w:color w:val="111111"/>
          <w:sz w:val="28"/>
          <w:sz w:val="28"/>
          <w:szCs w:val="28"/>
          <w:rtl w:val="true"/>
          <w:lang w:bidi="ar-SA"/>
        </w:rPr>
        <w:t xml:space="preserve">الاستصحاب على الأوّل ، وعدمه في الثاني ، وعلى تقدير الاشتباه أيضا فالوجه استصحاب نفس الموضوع على ما عرفت ، وسيجيء </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إلى </w:t>
      </w:r>
      <w:r>
        <w:rPr>
          <w:rStyle w:val="FootnoteAnchor"/>
          <w:rtl w:val="true"/>
        </w:rPr>
        <w:footnoteReference w:id="2081"/>
      </w:r>
      <w:r>
        <w:rPr>
          <w:rFonts w:ascii="Amiri" w:hAnsi="Amiri" w:eastAsia="Amiri" w:cs="Amiri"/>
          <w:color w:val="111111"/>
          <w:sz w:val="28"/>
          <w:sz w:val="28"/>
          <w:szCs w:val="28"/>
          <w:rtl w:val="true"/>
          <w:lang w:bidi="ar-SA"/>
        </w:rPr>
        <w:t xml:space="preserve">الفحص في استصحاب الموضوعات ، وفيما إذا كان الشكّ في اللغة لا بدّ من الرجوع إلى ما يزيل الشكّ كالعرف واللغة على حسب تميّز ما قد يشتبه من الألفاظ ، فإن تعيّن الموضوع فهو ، وإلاّ فليس من مجاري الاستصحاب ، وفيما إذا كان الشكّ في الموضوع من جهة الاشتباه في الدليل الشرعي فيمكن تمييز </w:t>
      </w:r>
      <w:r>
        <w:rPr>
          <w:rStyle w:val="FootnoteAnchor"/>
          <w:rtl w:val="true"/>
        </w:rPr>
        <w:footnoteReference w:id="2082"/>
      </w:r>
      <w:r>
        <w:rPr>
          <w:rFonts w:ascii="Amiri" w:hAnsi="Amiri" w:eastAsia="Amiri" w:cs="Amiri"/>
          <w:color w:val="111111"/>
          <w:sz w:val="28"/>
          <w:sz w:val="28"/>
          <w:szCs w:val="28"/>
          <w:rtl w:val="true"/>
          <w:lang w:bidi="ar-SA"/>
        </w:rPr>
        <w:t xml:space="preserve">الموضوع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بالموضوع في المقام هو ما صحّ حمل المستصحب عليه بوجه من الوجوه نظير </w:t>
      </w:r>
    </w:p>
    <w:p>
      <w:pPr>
        <w:pStyle w:val="BookText"/>
        <w:rPr/>
      </w:pPr>
      <w:r>
        <w:rPr>
          <w:rFonts w:ascii="Amiri" w:hAnsi="Amiri" w:eastAsia="Amiri" w:cs="Amiri"/>
          <w:color w:val="111111"/>
          <w:sz w:val="28"/>
          <w:sz w:val="28"/>
          <w:szCs w:val="28"/>
          <w:rtl w:val="true"/>
          <w:lang w:bidi="ar-SA"/>
        </w:rPr>
        <w:t xml:space="preserve">الموضوع في المنطوق والمفهوم </w:t>
      </w:r>
      <w:r>
        <w:rPr>
          <w:rStyle w:val="FootnoteAnchor"/>
          <w:rtl w:val="true"/>
        </w:rPr>
        <w:footnoteReference w:id="2083"/>
      </w:r>
      <w:r>
        <w:rPr>
          <w:rFonts w:ascii="Amiri" w:hAnsi="Amiri" w:eastAsia="Amiri" w:cs="Amiri"/>
          <w:color w:val="111111"/>
          <w:sz w:val="28"/>
          <w:sz w:val="28"/>
          <w:szCs w:val="28"/>
          <w:rtl w:val="true"/>
          <w:lang w:bidi="ar-SA"/>
        </w:rPr>
        <w:t xml:space="preserve">لا خصوص المسند إليه والمبتدأ والموضوع في القضيّة الحملية ، فيتعدّد </w:t>
      </w:r>
      <w:r>
        <w:rPr>
          <w:rStyle w:val="FootnoteAnchor"/>
          <w:rtl w:val="true"/>
        </w:rPr>
        <w:footnoteReference w:id="2084"/>
      </w:r>
      <w:r>
        <w:rPr>
          <w:rFonts w:ascii="Amiri" w:hAnsi="Amiri" w:eastAsia="Amiri" w:cs="Amiri"/>
          <w:color w:val="111111"/>
          <w:sz w:val="28"/>
          <w:sz w:val="28"/>
          <w:szCs w:val="28"/>
          <w:rtl w:val="true"/>
          <w:lang w:bidi="ar-SA"/>
        </w:rPr>
        <w:t xml:space="preserve">الموضوع في قضيّة واحدة مثلا يجب عليك الصلاة وقت الزوال ، فالوجوب هو المستصحب ، والباقي هو الموضوع على اختلاف الموارد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المعيار في التميّز هو التدقيق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كلّ ما يحتمل مدخليته في الموضوع من وصف أو حال أو زمان أو مكان أو شرط أو إضافة ونحوها ، فلو أحرزنا جميع ما يحتمل اعتباره في الموضوع يمكن إجراء الاستصحاب وإلاّ فلا </w:t>
      </w:r>
      <w:r>
        <w:rPr>
          <w:rStyle w:val="FootnoteAnchor"/>
          <w:rtl w:val="true"/>
        </w:rPr>
        <w:footnoteReference w:id="2085"/>
      </w:r>
      <w:r>
        <w:rPr>
          <w:rFonts w:ascii="Amiri" w:hAnsi="Amiri" w:eastAsia="Amiri" w:cs="Amiri"/>
          <w:color w:val="111111"/>
          <w:sz w:val="28"/>
          <w:sz w:val="28"/>
          <w:szCs w:val="28"/>
          <w:rtl w:val="true"/>
          <w:lang w:bidi="ar-SA"/>
        </w:rPr>
        <w:t>، سواء كان الموضوع محرزا في الأنظار العرفية أو في الأدلّة الشرعية ولو بنحو من العناية فيها ، أو لم يكن ، من غير فرق بين أن يكون الشيء ممّا يحتمل مدخليته في أصل ثبوت الحكم أو في 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المعيار تنقسم </w:t>
      </w:r>
      <w:r>
        <w:rPr>
          <w:rStyle w:val="FootnoteAnchor"/>
          <w:rtl w:val="true"/>
        </w:rPr>
        <w:footnoteReference w:id="2086"/>
      </w:r>
      <w:r>
        <w:rPr>
          <w:rFonts w:ascii="Amiri" w:hAnsi="Amiri" w:eastAsia="Amiri" w:cs="Amiri"/>
          <w:color w:val="111111"/>
          <w:sz w:val="28"/>
          <w:sz w:val="28"/>
          <w:szCs w:val="28"/>
          <w:rtl w:val="true"/>
          <w:lang w:bidi="ar-SA"/>
        </w:rPr>
        <w:t xml:space="preserve">موارد الاستصحاب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مجرى له مطلقا كما إذا شكّ في اعتبار وصف لا يرجع إلى الزمان في الموضوع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الاستصحاب قطعا كما </w:t>
      </w:r>
      <w:r>
        <w:rPr>
          <w:rStyle w:val="FootnoteAnchor"/>
          <w:rtl w:val="true"/>
        </w:rPr>
        <w:footnoteReference w:id="2087"/>
      </w:r>
      <w:r>
        <w:rPr>
          <w:rFonts w:ascii="Amiri" w:hAnsi="Amiri" w:eastAsia="Amiri" w:cs="Amiri"/>
          <w:color w:val="111111"/>
          <w:sz w:val="28"/>
          <w:sz w:val="28"/>
          <w:szCs w:val="28"/>
          <w:rtl w:val="true"/>
          <w:lang w:bidi="ar-SA"/>
        </w:rPr>
        <w:t xml:space="preserve">إذا كان الشكّ في الرافع </w:t>
      </w:r>
      <w:r>
        <w:rPr>
          <w:rStyle w:val="FootnoteAnchor"/>
          <w:rtl w:val="true"/>
        </w:rPr>
        <w:footnoteReference w:id="2088"/>
      </w:r>
      <w:r>
        <w:rPr>
          <w:rFonts w:ascii="Amiri" w:hAnsi="Amiri" w:eastAsia="Amiri" w:cs="Amiri"/>
          <w:color w:val="111111"/>
          <w:sz w:val="28"/>
          <w:sz w:val="28"/>
          <w:szCs w:val="28"/>
          <w:rtl w:val="true"/>
          <w:lang w:bidi="ar-SA"/>
        </w:rPr>
        <w:t xml:space="preserve">، سواء كان في وجوده أو في رافعيته لما قد تقرّر في الهداية الأخبارية </w:t>
      </w:r>
      <w:r>
        <w:rPr>
          <w:rStyle w:val="FootnoteAnchor"/>
          <w:rtl w:val="true"/>
        </w:rPr>
        <w:footnoteReference w:id="2089"/>
      </w:r>
      <w:r>
        <w:rPr>
          <w:rFonts w:ascii="Amiri" w:hAnsi="Amiri" w:eastAsia="Amiri" w:cs="Amiri"/>
          <w:color w:val="111111"/>
          <w:sz w:val="28"/>
          <w:sz w:val="28"/>
          <w:szCs w:val="28"/>
          <w:rtl w:val="true"/>
          <w:lang w:bidi="ar-SA"/>
        </w:rPr>
        <w:t xml:space="preserve">من أنّ الشكّ في الرافع إنّما هو بعد إحراز الموضوع على ما مرّ تفصيل الكلام فيه ،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بين ما كان المعتبر في الموضوع ولو احتمالا زمانا على وجه الظرفية كما في استصحاب الخيار على بعض الوجوه ، وبين ما كان على وجه القيدية </w:t>
      </w:r>
      <w:r>
        <w:rPr>
          <w:rStyle w:val="FootnoteAnchor"/>
          <w:rtl w:val="true"/>
        </w:rPr>
        <w:footnoteReference w:id="2090"/>
      </w:r>
      <w:r>
        <w:rPr>
          <w:rFonts w:ascii="Amiri" w:hAnsi="Amiri" w:eastAsia="Amiri" w:cs="Amiri"/>
          <w:color w:val="111111"/>
          <w:sz w:val="28"/>
          <w:sz w:val="28"/>
          <w:szCs w:val="28"/>
          <w:rtl w:val="true"/>
          <w:lang w:bidi="ar-SA"/>
        </w:rPr>
        <w:t xml:space="preserve">كما في استصحاب الأحكام الطلبية كالوجوب فإنّه ممّا يمكن أن يكون الزمان قيدا له على ما مرّ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المعيار في التميّز هو الرجوع إلى ما هو الموضوع عند العرف ، فكلّ </w:t>
      </w:r>
    </w:p>
    <w:p>
      <w:pPr>
        <w:pStyle w:val="BookText"/>
        <w:rPr/>
      </w:pPr>
      <w:r>
        <w:rPr>
          <w:rFonts w:ascii="Amiri" w:hAnsi="Amiri" w:eastAsia="Amiri" w:cs="Amiri"/>
          <w:color w:val="111111"/>
          <w:sz w:val="28"/>
          <w:sz w:val="28"/>
          <w:szCs w:val="28"/>
          <w:rtl w:val="true"/>
          <w:lang w:bidi="ar-SA"/>
        </w:rPr>
        <w:t xml:space="preserve">ما يعتبر في موضوع الحكم عرفا لا بدّ من إحرازه ، ثمّ يجري الاستصحاب على منواله ، سواء كان موافقا لما اعتبره العقل موضوعا على الوجه الذي مرّت </w:t>
      </w:r>
      <w:r>
        <w:rPr>
          <w:rStyle w:val="FootnoteAnchor"/>
          <w:rtl w:val="true"/>
        </w:rPr>
        <w:footnoteReference w:id="2092"/>
      </w:r>
      <w:r>
        <w:rPr>
          <w:rFonts w:ascii="Amiri" w:hAnsi="Amiri" w:eastAsia="Amiri" w:cs="Amiri"/>
          <w:color w:val="111111"/>
          <w:sz w:val="28"/>
          <w:sz w:val="28"/>
          <w:szCs w:val="28"/>
          <w:rtl w:val="true"/>
          <w:lang w:bidi="ar-SA"/>
        </w:rPr>
        <w:t xml:space="preserve">الإشارة إليه أم مخالفا ، من غير فرق بين موافقته لعنوان </w:t>
      </w:r>
      <w:r>
        <w:rPr>
          <w:rStyle w:val="FootnoteAnchor"/>
          <w:rtl w:val="true"/>
        </w:rPr>
        <w:footnoteReference w:id="2093"/>
      </w:r>
      <w:r>
        <w:rPr>
          <w:rFonts w:ascii="Amiri" w:hAnsi="Amiri" w:eastAsia="Amiri" w:cs="Amiri"/>
          <w:color w:val="111111"/>
          <w:sz w:val="28"/>
          <w:sz w:val="28"/>
          <w:szCs w:val="28"/>
          <w:rtl w:val="true"/>
          <w:lang w:bidi="ar-SA"/>
        </w:rPr>
        <w:t xml:space="preserve">الدليل ومخالفته له ، فلو كان المعتبر في الدليل هو الماء المتغيّر مع عدم اعتبار التغيّر </w:t>
      </w:r>
      <w:r>
        <w:rPr>
          <w:rStyle w:val="FootnoteAnchor"/>
          <w:rtl w:val="true"/>
        </w:rPr>
        <w:footnoteReference w:id="2094"/>
      </w:r>
      <w:r>
        <w:rPr>
          <w:rFonts w:ascii="Amiri" w:hAnsi="Amiri" w:eastAsia="Amiri" w:cs="Amiri"/>
          <w:color w:val="111111"/>
          <w:sz w:val="28"/>
          <w:sz w:val="28"/>
          <w:szCs w:val="28"/>
          <w:rtl w:val="true"/>
          <w:lang w:bidi="ar-SA"/>
        </w:rPr>
        <w:t>في الموضوع العرفي فالمتّجه هو العرف في ذلك ، فلا يفرق فيه الأدلّة اللفظية وغيرها كالإجماع ونحوه ، وقضيّة اعتبار هذا المعيار جريان الاستصحاب في الموارد المتقدّمة في أغلبها ؛ ضرورة اتّساع دائرة الاستصحاب على هذا التقدير جدّا ، ومنه استصحاب نجاسة الكلب بعد صيرورته جمادا بالموت ولو لم يعلم نجاسة الميتة ، كاستصحاب بقاء العلقة الزوجية بعد موت أحد الزوجين ، إلى غير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المرجع عند الشكّ في الموضوع إلى ظواهر الخطابات الشرعية ولا ينافي ذلك ما تقدّم من كون المقسم </w:t>
      </w:r>
      <w:r>
        <w:rPr>
          <w:rStyle w:val="FootnoteAnchor"/>
          <w:rtl w:val="true"/>
        </w:rPr>
        <w:footnoteReference w:id="2095"/>
      </w:r>
      <w:r>
        <w:rPr>
          <w:rFonts w:ascii="Amiri" w:hAnsi="Amiri" w:eastAsia="Amiri" w:cs="Amiri"/>
          <w:color w:val="111111"/>
          <w:sz w:val="28"/>
          <w:sz w:val="28"/>
          <w:szCs w:val="28"/>
          <w:rtl w:val="true"/>
          <w:lang w:bidi="ar-SA"/>
        </w:rPr>
        <w:t xml:space="preserve">هو ما كان الشكّ في الموضوع من جهة الشكّ في الأدلّة الشرعية ، فإنّ المراد هو أنّه قد يحتمل أن يكون المأخوذ في العنوان الشرعي على وجه يحتمل أن يكون قيدا في الموضوع ، وأن يكون مجرّد العنوانية والمرآتية من غير مدخلية له فيه ؛ لاحتمال أن يكون هو القدر المتيقّن ، فيؤخذ بما هو الظاهر فيها من اعتبار العنوان قيدا أو عنوانا فقط من غير ملاحظة العرف في انتزاعهم الموضوع والدقّة مخالفا أو موافقا ، واللازم على هذا التقدير عدم إحراز الموضوع في الأدلّة اللبّية ، فإن أقيم دليل على العرف فهو المرجع فيها ، وإلاّ فالمناط هو الدقّة ، وبدونها لا استصحاب ، فلو كان الدليل مشتملا على عنوان كما إذا ورد الماء المتغيّر نجس ونحوه ممّا ظاهره اعتبار الوصف </w:t>
      </w:r>
      <w:r>
        <w:rPr>
          <w:rStyle w:val="FootnoteAnchor"/>
          <w:rtl w:val="true"/>
        </w:rPr>
        <w:footnoteReference w:id="2096"/>
      </w:r>
      <w:r>
        <w:rPr>
          <w:rFonts w:ascii="Amiri" w:hAnsi="Amiri" w:eastAsia="Amiri" w:cs="Amiri"/>
          <w:color w:val="111111"/>
          <w:sz w:val="28"/>
          <w:sz w:val="28"/>
          <w:szCs w:val="28"/>
          <w:rtl w:val="true"/>
          <w:lang w:bidi="ar-SA"/>
        </w:rPr>
        <w:t xml:space="preserve">العنواني فعند ارتفاعه لا استصحاب ، بخلاف ما إذا كان </w:t>
      </w:r>
    </w:p>
    <w:p>
      <w:pPr>
        <w:pStyle w:val="BookText"/>
        <w:rPr/>
      </w:pPr>
      <w:r>
        <w:rPr>
          <w:rFonts w:ascii="Amiri" w:hAnsi="Amiri" w:eastAsia="Amiri" w:cs="Amiri"/>
          <w:color w:val="111111"/>
          <w:sz w:val="28"/>
          <w:sz w:val="28"/>
          <w:szCs w:val="28"/>
          <w:rtl w:val="true"/>
          <w:lang w:bidi="ar-SA"/>
        </w:rPr>
        <w:t>الوصف المأخوذ في الدليل ظرفا للمحمول كما إذا ورد الماء نجس إذا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ظاهر الدليل هو القيدية </w:t>
      </w:r>
      <w:r>
        <w:rPr>
          <w:rStyle w:val="FootnoteAnchor"/>
          <w:rtl w:val="true"/>
        </w:rPr>
        <w:footnoteReference w:id="2097"/>
      </w:r>
      <w:r>
        <w:rPr>
          <w:rFonts w:ascii="Amiri" w:hAnsi="Amiri" w:eastAsia="Amiri" w:cs="Amiri"/>
          <w:color w:val="111111"/>
          <w:sz w:val="28"/>
          <w:sz w:val="28"/>
          <w:szCs w:val="28"/>
          <w:rtl w:val="true"/>
          <w:lang w:bidi="ar-SA"/>
        </w:rPr>
        <w:t xml:space="preserve">فالمتّجه هو الأخذ به وطرح ما ينتزعه </w:t>
      </w:r>
      <w:r>
        <w:rPr>
          <w:rStyle w:val="FootnoteAnchor"/>
          <w:rtl w:val="true"/>
        </w:rPr>
        <w:footnoteReference w:id="2098"/>
      </w:r>
      <w:r>
        <w:rPr>
          <w:rFonts w:ascii="Amiri" w:hAnsi="Amiri" w:eastAsia="Amiri" w:cs="Amiri"/>
          <w:color w:val="111111"/>
          <w:sz w:val="28"/>
          <w:sz w:val="28"/>
          <w:szCs w:val="28"/>
          <w:rtl w:val="true"/>
          <w:lang w:bidi="ar-SA"/>
        </w:rPr>
        <w:t xml:space="preserve">العرف من الموضوع ؛ ضرورة اعتبار الظواهر على وجه الإطلاق ، ومعه لا يتمشّى المعيار الأوّل أيضا ، فالوجه هو القول باختصاص المعيار إلى </w:t>
      </w:r>
      <w:r>
        <w:rPr>
          <w:rStyle w:val="FootnoteAnchor"/>
          <w:rtl w:val="true"/>
        </w:rPr>
        <w:footnoteReference w:id="209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الدليل ليس على وجه ينافي حكم العرف بأعمّية الموضوع ، فيبنون في انتزاع الموضوع على تصرّف في الدليل بدعوى فهم المرآتية دون العنوانية ، أو بدعوى أنّه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من وجوه التمحّل </w:t>
      </w:r>
      <w:r>
        <w:rPr>
          <w:rStyle w:val="FootnoteAnchor"/>
          <w:rtl w:val="true"/>
        </w:rPr>
        <w:footnoteReference w:id="2100"/>
      </w:r>
      <w:r>
        <w:rPr>
          <w:rFonts w:ascii="Amiri" w:hAnsi="Amiri" w:eastAsia="Amiri" w:cs="Amiri"/>
          <w:color w:val="111111"/>
          <w:sz w:val="28"/>
          <w:sz w:val="28"/>
          <w:szCs w:val="28"/>
          <w:rtl w:val="true"/>
          <w:lang w:bidi="ar-SA"/>
        </w:rPr>
        <w:t>والاعتساف ، فلا ضير في المعيارين الأوّلين أيضا ، كذا أفيد ، وللنظر فيه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فالعمدة في المقام هو الترجيح بين هذه الوجوه المذكورة في التميّز ، قال الأستاد دام مجده العالي </w:t>
      </w:r>
      <w:r>
        <w:rPr>
          <w:rStyle w:val="FootnoteAnchor"/>
          <w:rtl w:val="true"/>
        </w:rPr>
        <w:footnoteReference w:id="2101"/>
      </w:r>
      <w:r>
        <w:rPr>
          <w:rFonts w:ascii="Amiri" w:hAnsi="Amiri" w:eastAsia="Amiri" w:cs="Amiri"/>
          <w:color w:val="111111"/>
          <w:sz w:val="28"/>
          <w:sz w:val="28"/>
          <w:szCs w:val="28"/>
          <w:rtl w:val="true"/>
          <w:lang w:bidi="ar-SA"/>
        </w:rPr>
        <w:t>وأوضح الوجوه المذكورة أوسطها ، فلا عبرة بالتدقيق العقلي ولا بالدليل الشرعي ، فيجري الاستصحاب في جملة من الموارد التي بنينا الأمر فيها على ملاحظة الموضوع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لا بدّ أن يعلم أنّ الميزان العرفي كغيره من الأمور الراجعة إليهم ممّا لا ضبط فيه </w:t>
      </w:r>
      <w:r>
        <w:rPr>
          <w:rStyle w:val="FootnoteAnchor"/>
          <w:rtl w:val="true"/>
        </w:rPr>
        <w:footnoteReference w:id="2102"/>
      </w:r>
      <w:r>
        <w:rPr>
          <w:rFonts w:ascii="Amiri" w:hAnsi="Amiri" w:eastAsia="Amiri" w:cs="Amiri"/>
          <w:color w:val="111111"/>
          <w:sz w:val="28"/>
          <w:sz w:val="28"/>
          <w:szCs w:val="28"/>
          <w:rtl w:val="true"/>
          <w:lang w:bidi="ar-SA"/>
        </w:rPr>
        <w:t xml:space="preserve">فربّما يزعمون تبدّل الموضوع كما في انقلاب العلقة حيوانا ولا يحكمون بذلك فيما يساويه في الانقلاب ، بل ولا يبعد أن يكون أوضح تبدّلا ، كما في استحالة الكلب ملحا أو العصير خلاّ ، وكما في استصحاب وجوب تقليد المجتهد بعد موته ، واستصحاب بقاء العلقة بين الزوجين فلا يبالون بالنظر واللمس </w:t>
      </w:r>
      <w:r>
        <w:rPr>
          <w:rStyle w:val="FootnoteAnchor"/>
          <w:rtl w:val="true"/>
        </w:rPr>
        <w:footnoteReference w:id="2103"/>
      </w:r>
      <w:r>
        <w:rPr>
          <w:rFonts w:ascii="Amiri" w:hAnsi="Amiri" w:eastAsia="Amiri" w:cs="Amiri"/>
          <w:color w:val="111111"/>
          <w:sz w:val="28"/>
          <w:sz w:val="28"/>
          <w:szCs w:val="28"/>
          <w:rtl w:val="true"/>
          <w:lang w:bidi="ar-SA"/>
        </w:rPr>
        <w:t xml:space="preserve">مع انقلاب الموضوع وتبدّله على وجه القطع والجزم ، فيعتقدون أنّ القضايا التي وردت في بيان أحكام هذه الموضوعات إنّما </w:t>
      </w:r>
    </w:p>
    <w:p>
      <w:pPr>
        <w:pStyle w:val="BookText"/>
        <w:rPr/>
      </w:pPr>
      <w:r>
        <w:rPr>
          <w:rFonts w:ascii="Amiri" w:hAnsi="Amiri" w:eastAsia="Amiri" w:cs="Amiri"/>
          <w:color w:val="111111"/>
          <w:sz w:val="28"/>
          <w:sz w:val="28"/>
          <w:szCs w:val="28"/>
          <w:rtl w:val="true"/>
          <w:lang w:bidi="ar-SA"/>
        </w:rPr>
        <w:t xml:space="preserve">هي مشروطة عامّة يبتني الحكم فيها على كون الموضوع متّصفا بالوصف العنواني من غير أخذه فيه ، ومنه استصحاب نجاسة الماء المتغيّر بعد زوال تغيّره حيث تراهم يشيرون </w:t>
      </w:r>
      <w:r>
        <w:rPr>
          <w:rStyle w:val="FootnoteAnchor"/>
          <w:rtl w:val="true"/>
        </w:rPr>
        <w:footnoteReference w:id="2104"/>
      </w:r>
      <w:r>
        <w:rPr>
          <w:rFonts w:ascii="Amiri" w:hAnsi="Amiri" w:eastAsia="Amiri" w:cs="Amiri"/>
          <w:color w:val="111111"/>
          <w:sz w:val="28"/>
          <w:sz w:val="28"/>
          <w:szCs w:val="28"/>
          <w:rtl w:val="true"/>
          <w:lang w:bidi="ar-SA"/>
        </w:rPr>
        <w:t xml:space="preserve">إلى الماء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الماء كان نجسا وشكّ في بقائها والأصل بقاؤها مع أنّ من الظاهر أنّ هذا الماء لم يكن نجسا بل بوصف التغيّر </w:t>
      </w:r>
      <w:r>
        <w:rPr>
          <w:rStyle w:val="FootnoteAnchor"/>
          <w:rtl w:val="true"/>
        </w:rPr>
        <w:footnoteReference w:id="2105"/>
      </w:r>
      <w:r>
        <w:rPr>
          <w:rFonts w:ascii="Amiri" w:hAnsi="Amiri" w:eastAsia="Amiri" w:cs="Amiri"/>
          <w:color w:val="111111"/>
          <w:sz w:val="28"/>
          <w:sz w:val="28"/>
          <w:szCs w:val="28"/>
          <w:rtl w:val="true"/>
          <w:lang w:bidi="ar-SA"/>
        </w:rPr>
        <w:t>، فما كان معلوم النجاسة قد ارتفع والموجود غير معلوم النجاسة ، ومثله استصحاب نجاسة العذرة إذا استحالت ترابا ، والخشب المتنجّس إذا صار رمادا أو فحما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ممّا يعرف من ديدنهم في الأمور </w:t>
      </w:r>
      <w:r>
        <w:rPr>
          <w:rStyle w:val="FootnoteAnchor"/>
          <w:rtl w:val="true"/>
        </w:rPr>
        <w:footnoteReference w:id="2106"/>
      </w:r>
      <w:r>
        <w:rPr>
          <w:rFonts w:ascii="Amiri" w:hAnsi="Amiri" w:eastAsia="Amiri" w:cs="Amiri"/>
          <w:color w:val="111111"/>
          <w:sz w:val="28"/>
          <w:sz w:val="28"/>
          <w:szCs w:val="28"/>
          <w:rtl w:val="true"/>
          <w:lang w:bidi="ar-SA"/>
        </w:rPr>
        <w:t xml:space="preserve">المتعلّقة بهم عادة وغيرها أيضا ، وسواء في ذلك على ما عرفت وجود دليل لفظي أو لبّي على أصل الحكم ، لكن بعد تصرّف منهم في عنوان الدليل فيتخيّلون أنّ الموضوع في الكلب ليس خصوص الصورة </w:t>
      </w:r>
      <w:r>
        <w:rPr>
          <w:rStyle w:val="FootnoteAnchor"/>
          <w:rtl w:val="true"/>
        </w:rPr>
        <w:footnoteReference w:id="2107"/>
      </w:r>
      <w:r>
        <w:rPr>
          <w:rFonts w:ascii="Amiri" w:hAnsi="Amiri" w:eastAsia="Amiri" w:cs="Amiri"/>
          <w:color w:val="111111"/>
          <w:sz w:val="28"/>
          <w:sz w:val="28"/>
          <w:szCs w:val="28"/>
          <w:rtl w:val="true"/>
          <w:lang w:bidi="ar-SA"/>
        </w:rPr>
        <w:t xml:space="preserve">النوعية التي بها يتميّز عن غيره من أنواع الحيوان ، ولا مطلق الجسم ، فلو انقلب حجرا لا يحكمون بذلك ، كما لو انقلب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هرّة لا يعلمون بالاستصحاب ، بل يأخذون ما هو أعمّ من الصورة النوعية وما هو أخصّ من مطلق الجسم نظير تصرّفهم في الدليل الدالّ على نجاسة ملاقي النجس ، فإنّ الدقّة العقلية لا يقضي </w:t>
      </w:r>
      <w:r>
        <w:rPr>
          <w:rStyle w:val="FootnoteAnchor"/>
          <w:rtl w:val="true"/>
        </w:rPr>
        <w:footnoteReference w:id="2108"/>
      </w:r>
      <w:r>
        <w:rPr>
          <w:rFonts w:ascii="Amiri" w:hAnsi="Amiri" w:eastAsia="Amiri" w:cs="Amiri"/>
          <w:color w:val="111111"/>
          <w:sz w:val="28"/>
          <w:sz w:val="28"/>
          <w:szCs w:val="28"/>
          <w:rtl w:val="true"/>
          <w:lang w:bidi="ar-SA"/>
        </w:rPr>
        <w:t xml:space="preserve">بالفرق بين ورود النجاسة على الماء أو ورودها عليه في صدق الملاقاة ، إلاّ أنّهم يفرّقون في ذلك زعما منهم أنّ النجاسة كباقي الأوصاف الحالّة في الجسم المتعدّية إلى غيره بالملاقاة ، كالحموضة ونحوها فإنّ ورودها يؤثّر في حموضة المورود </w:t>
      </w:r>
      <w:r>
        <w:rPr>
          <w:rStyle w:val="FootnoteAnchor"/>
          <w:rtl w:val="true"/>
        </w:rPr>
        <w:footnoteReference w:id="2109"/>
      </w:r>
      <w:r>
        <w:rPr>
          <w:rFonts w:ascii="Amiri" w:hAnsi="Amiri" w:eastAsia="Amiri" w:cs="Amiri"/>
          <w:color w:val="111111"/>
          <w:sz w:val="28"/>
          <w:sz w:val="28"/>
          <w:szCs w:val="28"/>
          <w:rtl w:val="true"/>
          <w:lang w:bidi="ar-SA"/>
        </w:rPr>
        <w:t>دون أن يكون الماء واردا على الحموضة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وجه اختلاف كلمات العلماء في موارد الاستحالة ، فهذا هو المحقّق قد يحكم </w:t>
      </w:r>
      <w:r>
        <w:rPr>
          <w:rStyle w:val="FootnoteAnchor"/>
          <w:rtl w:val="true"/>
        </w:rPr>
        <w:footnoteReference w:id="2110"/>
      </w:r>
      <w:r>
        <w:rPr>
          <w:rFonts w:ascii="Amiri" w:hAnsi="Amiri" w:eastAsia="Amiri" w:cs="Amiri"/>
          <w:color w:val="111111"/>
          <w:sz w:val="28"/>
          <w:sz w:val="28"/>
          <w:szCs w:val="28"/>
          <w:rtl w:val="true"/>
          <w:lang w:bidi="ar-SA"/>
        </w:rPr>
        <w:t xml:space="preserve">باستصحاب نجاسة الخنزير الواقع في المملحة حيث حكم في المعتبر </w:t>
      </w:r>
      <w:r>
        <w:rPr>
          <w:rStyle w:val="FootnoteAnchor"/>
          <w:rtl w:val="true"/>
        </w:rPr>
        <w:footnoteReference w:id="2111"/>
      </w:r>
      <w:r>
        <w:rPr>
          <w:rFonts w:ascii="IRNazanin" w:hAnsi="IRNazanin" w:eastAsia="IRNazanin"/>
          <w:color w:val="111111"/>
          <w:sz w:val="28"/>
          <w:sz w:val="28"/>
          <w:szCs w:val="28"/>
          <w:rtl w:val="true"/>
          <w:lang w:bidi="fa-IR"/>
        </w:rPr>
        <w:t xml:space="preserve">بعدم </w:t>
      </w:r>
    </w:p>
    <w:p>
      <w:pPr>
        <w:pStyle w:val="BookText"/>
        <w:rPr/>
      </w:pPr>
      <w:r>
        <w:rPr>
          <w:rFonts w:ascii="Amiri" w:hAnsi="Amiri" w:eastAsia="Amiri" w:cs="Amiri"/>
          <w:color w:val="111111"/>
          <w:sz w:val="28"/>
          <w:sz w:val="28"/>
          <w:szCs w:val="28"/>
          <w:rtl w:val="true"/>
          <w:lang w:bidi="ar-SA"/>
        </w:rPr>
        <w:t xml:space="preserve">طهارته بالاستحالة وأسند الخلاف إلى أبي حنيفة معرضا عنه محتجّا على ما </w:t>
      </w:r>
      <w:r>
        <w:rPr>
          <w:rStyle w:val="FootnoteAnchor"/>
          <w:rtl w:val="true"/>
        </w:rPr>
        <w:footnoteReference w:id="2112"/>
      </w:r>
      <w:r>
        <w:rPr>
          <w:rFonts w:ascii="Amiri" w:hAnsi="Amiri" w:eastAsia="Amiri" w:cs="Amiri"/>
          <w:color w:val="111111"/>
          <w:sz w:val="28"/>
          <w:sz w:val="28"/>
          <w:szCs w:val="28"/>
          <w:rtl w:val="true"/>
          <w:lang w:bidi="ar-SA"/>
        </w:rPr>
        <w:t xml:space="preserve">صار إليه بأنّ النجاسة قائمة بالأعيان ولا تزول بتغيّر </w:t>
      </w:r>
      <w:r>
        <w:rPr>
          <w:rStyle w:val="FootnoteAnchor"/>
          <w:rtl w:val="true"/>
        </w:rPr>
        <w:footnoteReference w:id="2113"/>
      </w:r>
      <w:r>
        <w:rPr>
          <w:rFonts w:ascii="Amiri" w:hAnsi="Amiri" w:eastAsia="Amiri" w:cs="Amiri"/>
          <w:color w:val="111111"/>
          <w:sz w:val="28"/>
          <w:sz w:val="28"/>
          <w:szCs w:val="28"/>
          <w:rtl w:val="true"/>
          <w:lang w:bidi="ar-SA"/>
        </w:rPr>
        <w:t xml:space="preserve">الأوصاف والأحوال وقد يتردّد </w:t>
      </w:r>
      <w:r>
        <w:rPr>
          <w:rStyle w:val="FootnoteAnchor"/>
          <w:rtl w:val="true"/>
        </w:rPr>
        <w:footnoteReference w:id="2114"/>
      </w:r>
      <w:r>
        <w:rPr>
          <w:rFonts w:ascii="Amiri" w:hAnsi="Amiri" w:eastAsia="Amiri" w:cs="Amiri"/>
          <w:color w:val="111111"/>
          <w:sz w:val="28"/>
          <w:sz w:val="28"/>
          <w:szCs w:val="28"/>
          <w:rtl w:val="true"/>
          <w:lang w:bidi="ar-SA"/>
        </w:rPr>
        <w:t>في نجاسة الخشب المتنجّس إذا استحال رمادا أو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العلاّمة في القواعد </w:t>
      </w:r>
      <w:r>
        <w:rPr>
          <w:rStyle w:val="FootnoteAnchor"/>
          <w:rtl w:val="true"/>
        </w:rPr>
        <w:footnoteReference w:id="2115"/>
      </w:r>
      <w:r>
        <w:rPr>
          <w:rFonts w:ascii="Amiri" w:hAnsi="Amiri" w:eastAsia="Amiri" w:cs="Amiri"/>
          <w:color w:val="111111"/>
          <w:sz w:val="28"/>
          <w:sz w:val="28"/>
          <w:szCs w:val="28"/>
          <w:rtl w:val="true"/>
          <w:lang w:bidi="ar-SA"/>
        </w:rPr>
        <w:t xml:space="preserve">إنّما </w:t>
      </w:r>
      <w:r>
        <w:rPr>
          <w:rStyle w:val="FootnoteAnchor"/>
          <w:rtl w:val="true"/>
        </w:rPr>
        <w:footnoteReference w:id="2116"/>
      </w:r>
      <w:r>
        <w:rPr>
          <w:rFonts w:ascii="Amiri" w:hAnsi="Amiri" w:eastAsia="Amiri" w:cs="Amiri"/>
          <w:color w:val="111111"/>
          <w:sz w:val="28"/>
          <w:sz w:val="28"/>
          <w:szCs w:val="28"/>
          <w:rtl w:val="true"/>
          <w:lang w:bidi="ar-SA"/>
        </w:rPr>
        <w:t>اقتفى أثر المحقّق في الإسناد المذكور والاحتجاج أيضا ، إلاّ أنّه أسند القول بعدم الطهارة إلى أكثر أهل العلم ، وصريح كلام غيرهما أنّ الاستحالة من المطهّرات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فاضطراب كلماتهم </w:t>
      </w:r>
      <w:r>
        <w:rPr>
          <w:rStyle w:val="FootnoteAnchor"/>
          <w:rtl w:val="true"/>
        </w:rPr>
        <w:footnoteReference w:id="2117"/>
      </w:r>
      <w:r>
        <w:rPr>
          <w:rFonts w:ascii="Amiri" w:hAnsi="Amiri" w:eastAsia="Amiri" w:cs="Amiri"/>
          <w:color w:val="111111"/>
          <w:sz w:val="28"/>
          <w:sz w:val="28"/>
          <w:szCs w:val="28"/>
          <w:rtl w:val="true"/>
          <w:lang w:bidi="ar-SA"/>
        </w:rPr>
        <w:t xml:space="preserve">على ما يظهر من مطاويها ممّا لا ينكر ، فلعلّه يجمعها ما قلنا من اختلاف الأمور العرفية في الأغلب ولا كلام فيه ، وإنّما المهمّ إثبات الكبرى من وجوب الأخذ بهذا المعيار ، فإنّ الصغرى ظاهرة لا تخفى </w:t>
      </w:r>
      <w:r>
        <w:rPr>
          <w:rStyle w:val="FootnoteAnchor"/>
          <w:rtl w:val="true"/>
        </w:rPr>
        <w:footnoteReference w:id="2118"/>
      </w:r>
      <w:r>
        <w:rPr>
          <w:rFonts w:ascii="Amiri" w:hAnsi="Amiri" w:eastAsia="Amiri" w:cs="Amiri"/>
          <w:color w:val="111111"/>
          <w:sz w:val="28"/>
          <w:sz w:val="28"/>
          <w:szCs w:val="28"/>
          <w:rtl w:val="true"/>
          <w:lang w:bidi="ar-SA"/>
        </w:rPr>
        <w:t xml:space="preserve">على أحد ، وما يشعر بذلك قولهم بأنّ الاستحالة من المطهّرات ، فإنّ معنى كون الشيء مطهّر الشيء هو بقاء ذلك الشيء وإزالة نجاسته بذلك المطهّر كما يظهر من كون الماء مطهّرا ، وتوضحه ملاحظة ما احتجّ به العلاّمة في النهاية </w:t>
      </w:r>
      <w:r>
        <w:rPr>
          <w:rStyle w:val="FootnoteAnchor"/>
          <w:rtl w:val="true"/>
        </w:rPr>
        <w:footnoteReference w:id="2119"/>
      </w:r>
      <w:r>
        <w:rPr>
          <w:rFonts w:ascii="Amiri" w:hAnsi="Amiri" w:eastAsia="Amiri" w:cs="Amiri"/>
          <w:color w:val="111111"/>
          <w:sz w:val="28"/>
          <w:sz w:val="28"/>
          <w:szCs w:val="28"/>
          <w:rtl w:val="true"/>
          <w:lang w:bidi="ar-SA"/>
        </w:rPr>
        <w:t xml:space="preserve">من أولوية الحكم بالطهارة بعد الاستحالة في المتنجّس ، وتبعه في ذلك صاحب المعالم </w:t>
      </w:r>
      <w:r>
        <w:rPr>
          <w:rStyle w:val="FootnoteAnchor"/>
          <w:rtl w:val="true"/>
        </w:rPr>
        <w:footnoteReference w:id="2120"/>
      </w:r>
      <w:r>
        <w:rPr>
          <w:rFonts w:ascii="Amiri" w:hAnsi="Amiri" w:eastAsia="Amiri" w:cs="Amiri"/>
          <w:color w:val="111111"/>
          <w:sz w:val="28"/>
          <w:sz w:val="28"/>
          <w:szCs w:val="28"/>
          <w:rtl w:val="true"/>
          <w:lang w:bidi="ar-SA"/>
        </w:rPr>
        <w:t xml:space="preserve">فحكم بأنّ الخشب المتنجّس إذا طهّر بالماء فبالإحراق أولى ، ويزيد توضيحا أنّهم ممّن عدا كاشف اللثام </w:t>
      </w:r>
      <w:r>
        <w:rPr>
          <w:rStyle w:val="FootnoteAnchor"/>
          <w:rtl w:val="true"/>
        </w:rPr>
        <w:footnoteReference w:id="2121"/>
      </w:r>
      <w:r>
        <w:rPr>
          <w:rFonts w:ascii="Amiri" w:hAnsi="Amiri" w:eastAsia="Amiri" w:cs="Amiri"/>
          <w:color w:val="111111"/>
          <w:sz w:val="28"/>
          <w:sz w:val="28"/>
          <w:szCs w:val="28"/>
          <w:rtl w:val="true"/>
          <w:lang w:bidi="ar-SA"/>
        </w:rPr>
        <w:t xml:space="preserve">وجماعة ممّن حذوا حذوه </w:t>
      </w:r>
      <w:r>
        <w:rPr>
          <w:rStyle w:val="FootnoteAnchor"/>
          <w:rtl w:val="true"/>
        </w:rPr>
        <w:footnoteReference w:id="2122"/>
      </w:r>
      <w:r>
        <w:rPr>
          <w:rFonts w:ascii="Amiri" w:hAnsi="Amiri" w:eastAsia="Amiri" w:cs="Amiri"/>
          <w:color w:val="111111"/>
          <w:sz w:val="28"/>
          <w:sz w:val="28"/>
          <w:szCs w:val="28"/>
          <w:rtl w:val="true"/>
          <w:lang w:bidi="ar-SA"/>
        </w:rPr>
        <w:t xml:space="preserve">لم يفرّقوا بين النجس والمتنجّس في الحكم بالطهارة في الاستحالة ، ولو لا </w:t>
      </w:r>
    </w:p>
    <w:p>
      <w:pPr>
        <w:pStyle w:val="BookText"/>
        <w:rPr/>
      </w:pPr>
      <w:r>
        <w:rPr>
          <w:rFonts w:ascii="Amiri" w:hAnsi="Amiri" w:eastAsia="Amiri" w:cs="Amiri"/>
          <w:color w:val="111111"/>
          <w:sz w:val="28"/>
          <w:sz w:val="28"/>
          <w:szCs w:val="28"/>
          <w:rtl w:val="true"/>
          <w:lang w:bidi="ar-SA"/>
        </w:rPr>
        <w:t>أنّ الموضوع عندهم هو الأمر العرفي الباقي في التحويلات مع شدّتها لم يصحّ ذلك منهم في وجه ؛ لعدم الأولوية بعد اختلاف الموضوع ، ولكان التفصيل بين النجس والمتنجّس في محلّ من القبول كما صنعه الفاضل ، إلاّ أنّ عدم تفرقة الأصحاب بينهما يكفي في الردّ على الفاضل في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استفادة عدم الفرق بينهما من بعض الأخبار ، ففي الخبر عن 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عليه بالعذرة وعظام الموتى ويجصّص به المسجد أيسجد عليه؟ فكتب عليه‌السلام بخطّه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النار والماء قد طهّراه </w:t>
      </w:r>
      <w:r>
        <w:rPr>
          <w:rFonts w:eastAsia="Amiri" w:cs="Amiri" w:ascii="Amiri" w:hAnsi="Amiri"/>
          <w:color w:val="111111"/>
          <w:sz w:val="28"/>
          <w:szCs w:val="28"/>
          <w:rtl w:val="true"/>
          <w:lang w:bidi="ar-SA"/>
        </w:rPr>
        <w:t xml:space="preserve">» </w:t>
      </w:r>
      <w:r>
        <w:rPr>
          <w:rStyle w:val="FootnoteAnchor"/>
          <w:rtl w:val="true"/>
        </w:rPr>
        <w:footnoteReference w:id="2123"/>
      </w:r>
      <w:r>
        <w:rPr>
          <w:rFonts w:ascii="Amiri" w:hAnsi="Amiri" w:eastAsia="Amiri" w:cs="Amiri"/>
          <w:color w:val="111111"/>
          <w:sz w:val="28"/>
          <w:sz w:val="28"/>
          <w:szCs w:val="28"/>
          <w:rtl w:val="true"/>
          <w:lang w:bidi="ar-SA"/>
        </w:rPr>
        <w:t>حيث إنّ الراوي لم يفصّل بين العذرة التي هي من النجاسات وعظام الموتى التي هي من المتنجّسات ، ولم يفصّل الإمام عليه‌السلام بينهما أيضا فحكم بما حكم وإن كان نفس الحكم ممّا لم يعمل به الأصحاب ؛ إذ لا ضير في ذلك ، لجواز الاستناد إلى الرواية في الجهة التي لم يظهر منهم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فالصغرى ممّا لا كلام فيها ، وأمّا الكبرى فيدلّ عليها </w:t>
      </w:r>
      <w:r>
        <w:rPr>
          <w:rStyle w:val="FootnoteAnchor"/>
          <w:rtl w:val="true"/>
        </w:rPr>
        <w:footnoteReference w:id="2124"/>
      </w:r>
      <w:r>
        <w:rPr>
          <w:rFonts w:ascii="IRNazanin" w:hAnsi="IRNazanin" w:eastAsia="IRNazanin"/>
          <w:color w:val="111111"/>
          <w:sz w:val="28"/>
          <w:sz w:val="28"/>
          <w:szCs w:val="28"/>
          <w:rtl w:val="true"/>
          <w:lang w:bidi="fa-IR"/>
        </w:rPr>
        <w:t xml:space="preserve">أمران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اتّحاد القضيّة المتيقّنة والقضيّة المشكوكة في نظر العرف المأمورين بعدم نقض اليقين إلاّ باليقين المخاطبين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 النقض المنهيّ عنه في تلك الأخبار على تقدير عدم العمل بالاستصحاب في الموارد التي تعدّ </w:t>
      </w:r>
      <w:r>
        <w:rPr>
          <w:rStyle w:val="FootnoteAnchor"/>
          <w:rtl w:val="true"/>
        </w:rPr>
        <w:footnoteReference w:id="2125"/>
      </w:r>
      <w:r>
        <w:rPr>
          <w:rFonts w:ascii="IRNazanin" w:hAnsi="IRNazanin" w:eastAsia="IRNazanin"/>
          <w:color w:val="111111"/>
          <w:sz w:val="28"/>
          <w:sz w:val="28"/>
          <w:szCs w:val="28"/>
          <w:rtl w:val="true"/>
          <w:lang w:bidi="fa-IR"/>
        </w:rPr>
        <w:t xml:space="preserve">عندهم من بقاء الموضوع ظاهر </w:t>
      </w:r>
      <w:r>
        <w:rPr>
          <w:rStyle w:val="FootnoteAnchor"/>
          <w:rtl w:val="true"/>
        </w:rPr>
        <w:footnoteReference w:id="2126"/>
      </w:r>
      <w:r>
        <w:rPr>
          <w:rFonts w:ascii="Amiri" w:hAnsi="Amiri" w:eastAsia="Amiri" w:cs="Amiri"/>
          <w:color w:val="111111"/>
          <w:sz w:val="28"/>
          <w:sz w:val="28"/>
          <w:szCs w:val="28"/>
          <w:rtl w:val="true"/>
          <w:lang w:bidi="ar-SA"/>
        </w:rPr>
        <w:t xml:space="preserve">؛ ضرورة تنزيل الخطابات الشرعية على الأفهام العرفية لا على التدقيقات الفلسفية </w:t>
      </w:r>
      <w:r>
        <w:rPr>
          <w:rStyle w:val="FootnoteAnchor"/>
          <w:rtl w:val="true"/>
        </w:rPr>
        <w:footnoteReference w:id="2127"/>
      </w:r>
      <w:r>
        <w:rPr>
          <w:rFonts w:ascii="Amiri" w:hAnsi="Amiri" w:eastAsia="Amiri" w:cs="Amiri"/>
          <w:color w:val="111111"/>
          <w:sz w:val="28"/>
          <w:sz w:val="28"/>
          <w:szCs w:val="28"/>
          <w:rtl w:val="true"/>
          <w:lang w:bidi="ar-SA"/>
        </w:rPr>
        <w:t xml:space="preserve">على ما هو ظاهر ، إذ لا شكّ في أنّ المخاطب بهذه الروايات أهل العرف من العوامّ وغيرهم ، فإذا لا يخلو إمّا أن يكون ما يفهمونه من صدق النقض في أمثال المقامات التي لا مسرح </w:t>
      </w:r>
    </w:p>
    <w:p>
      <w:pPr>
        <w:pStyle w:val="BookText"/>
        <w:rPr/>
      </w:pPr>
      <w:r>
        <w:rPr>
          <w:rFonts w:ascii="Amiri" w:hAnsi="Amiri" w:eastAsia="Amiri" w:cs="Amiri"/>
          <w:color w:val="111111"/>
          <w:sz w:val="28"/>
          <w:sz w:val="28"/>
          <w:szCs w:val="28"/>
          <w:rtl w:val="true"/>
          <w:lang w:bidi="ar-SA"/>
        </w:rPr>
        <w:t xml:space="preserve">للنقض العقلي فيها مرادا للحكيم المخاطب لهم </w:t>
      </w:r>
      <w:r>
        <w:rPr>
          <w:rStyle w:val="FootnoteAnchor"/>
          <w:rtl w:val="true"/>
        </w:rPr>
        <w:footnoteReference w:id="2128"/>
      </w:r>
      <w:r>
        <w:rPr>
          <w:rFonts w:ascii="Amiri" w:hAnsi="Amiri" w:eastAsia="Amiri" w:cs="Amiri"/>
          <w:color w:val="111111"/>
          <w:sz w:val="28"/>
          <w:sz w:val="28"/>
          <w:szCs w:val="28"/>
          <w:rtl w:val="true"/>
          <w:lang w:bidi="ar-SA"/>
        </w:rPr>
        <w:t>أو لا ، لا سبيل إلى الثاني فإنّه على ما يساعد عليه صحيح الاعتبار وصريح بعض الأخبار أجلّ من أن يخاطب قوما ويريد خلاف ما يفهمونه ، فتعيّن الأوّل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مرجع الموضوع في الاستصحاب هو العرف على وجوه اختلاف موارده لزم أن يكون أمر الاستصحاب موكولا إلى مسألة عقلية تصدّى لها </w:t>
      </w:r>
      <w:r>
        <w:rPr>
          <w:rStyle w:val="FootnoteAnchor"/>
          <w:rtl w:val="true"/>
        </w:rPr>
        <w:footnoteReference w:id="2129"/>
      </w:r>
      <w:r>
        <w:rPr>
          <w:rFonts w:ascii="Amiri" w:hAnsi="Amiri" w:eastAsia="Amiri" w:cs="Amiri"/>
          <w:color w:val="111111"/>
          <w:sz w:val="28"/>
          <w:sz w:val="28"/>
          <w:szCs w:val="28"/>
          <w:rtl w:val="true"/>
          <w:lang w:bidi="ar-SA"/>
        </w:rPr>
        <w:t xml:space="preserve">بعض أهل المعقول من تجدّد الأمثال في </w:t>
      </w:r>
      <w:r>
        <w:rPr>
          <w:rStyle w:val="FootnoteAnchor"/>
          <w:rtl w:val="true"/>
        </w:rPr>
        <w:footnoteReference w:id="2130"/>
      </w:r>
      <w:r>
        <w:rPr>
          <w:rFonts w:ascii="Amiri" w:hAnsi="Amiri" w:eastAsia="Amiri" w:cs="Amiri"/>
          <w:color w:val="111111"/>
          <w:sz w:val="28"/>
          <w:sz w:val="28"/>
          <w:szCs w:val="28"/>
          <w:rtl w:val="true"/>
          <w:lang w:bidi="ar-SA"/>
        </w:rPr>
        <w:t xml:space="preserve">الأعراض والأكوان وثبوت الحركة الجوهرية على ما بنى عليها </w:t>
      </w:r>
      <w:r>
        <w:rPr>
          <w:rStyle w:val="FootnoteAnchor"/>
          <w:rtl w:val="true"/>
        </w:rPr>
        <w:footnoteReference w:id="2131"/>
      </w:r>
      <w:r>
        <w:rPr>
          <w:rFonts w:ascii="Amiri" w:hAnsi="Amiri" w:eastAsia="Amiri" w:cs="Amiri"/>
          <w:color w:val="111111"/>
          <w:sz w:val="28"/>
          <w:sz w:val="28"/>
          <w:szCs w:val="28"/>
          <w:rtl w:val="true"/>
          <w:lang w:bidi="ar-SA"/>
        </w:rPr>
        <w:t xml:space="preserve">بعض أفاضل محقّقيهم </w:t>
      </w:r>
      <w:r>
        <w:rPr>
          <w:rStyle w:val="FootnoteAnchor"/>
          <w:rtl w:val="true"/>
        </w:rPr>
        <w:footnoteReference w:id="2132"/>
      </w:r>
      <w:r>
        <w:rPr>
          <w:rFonts w:ascii="Amiri" w:hAnsi="Amiri" w:eastAsia="Amiri" w:cs="Amiri"/>
          <w:color w:val="111111"/>
          <w:sz w:val="28"/>
          <w:sz w:val="28"/>
          <w:szCs w:val="28"/>
          <w:rtl w:val="true"/>
          <w:lang w:bidi="ar-SA"/>
        </w:rPr>
        <w:t xml:space="preserve">؛ ضرورة امتناع البقاء على أحد التقادير مع لزوم العلم بإمكان البقاء في الزمان الثاني في موارد الاستصحاب ، وبطلان اللازم ممّا لا يكاد يخفى </w:t>
      </w:r>
      <w:r>
        <w:rPr>
          <w:rStyle w:val="FootnoteAnchor"/>
          <w:rtl w:val="true"/>
        </w:rPr>
        <w:footnoteReference w:id="2133"/>
      </w:r>
      <w:r>
        <w:rPr>
          <w:rFonts w:ascii="Amiri" w:hAnsi="Amiri" w:eastAsia="Amiri" w:cs="Amiri"/>
          <w:color w:val="111111"/>
          <w:sz w:val="28"/>
          <w:sz w:val="28"/>
          <w:szCs w:val="28"/>
          <w:rtl w:val="true"/>
          <w:lang w:bidi="ar-SA"/>
        </w:rPr>
        <w:t xml:space="preserve">؛ لعدم مصرّح بذلك منهم ولا مشعر به ، بل ويمكن القول بأنّ القائلين بهذه الأقوال لا مناص لهم من العمل بالاستصحاب ، وذلك أمر ظاهر ويكفيك ملاحظة موارد كلمات العلماء </w:t>
      </w:r>
      <w:r>
        <w:rPr>
          <w:rStyle w:val="FootnoteAnchor"/>
          <w:rtl w:val="true"/>
        </w:rPr>
        <w:footnoteReference w:id="2134"/>
      </w:r>
      <w:r>
        <w:rPr>
          <w:rFonts w:ascii="Amiri" w:hAnsi="Amiri" w:eastAsia="Amiri" w:cs="Amiri"/>
          <w:color w:val="111111"/>
          <w:sz w:val="28"/>
          <w:sz w:val="28"/>
          <w:szCs w:val="28"/>
          <w:rtl w:val="true"/>
          <w:lang w:bidi="ar-SA"/>
        </w:rPr>
        <w:t xml:space="preserve">في خصوص بعض الموارد ، فلعلّه يمكن دعوى الاتّفاق على الأخذ بالاستصحاب فيها كالكرّية واستصحاب الليل والنهار وجري الأنهار ، فإنّها من المتّفق عليها بين الأصولية والأخبارية ، ولو لا البناء على بقاء الموضوع العرفي لما صحّ تلك الاستصحابات </w:t>
      </w:r>
      <w:r>
        <w:rPr>
          <w:rStyle w:val="FootnoteAnchor"/>
          <w:rtl w:val="true"/>
        </w:rPr>
        <w:footnoteReference w:id="2135"/>
      </w:r>
      <w:r>
        <w:rPr>
          <w:rFonts w:ascii="Amiri" w:hAnsi="Amiri" w:eastAsia="Amiri" w:cs="Amiri"/>
          <w:color w:val="111111"/>
          <w:sz w:val="28"/>
          <w:sz w:val="28"/>
          <w:szCs w:val="28"/>
          <w:rtl w:val="true"/>
          <w:lang w:bidi="ar-SA"/>
        </w:rPr>
        <w:t xml:space="preserve">على ما عرفت الوجه فيها مرارا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يكشف حجاب الريب عن ذلك تتبّع كلمات </w:t>
      </w:r>
      <w:r>
        <w:rPr>
          <w:rStyle w:val="FootnoteAnchor"/>
          <w:rtl w:val="true"/>
        </w:rPr>
        <w:footnoteReference w:id="2137"/>
      </w:r>
      <w:r>
        <w:rPr>
          <w:rFonts w:ascii="Amiri" w:hAnsi="Amiri" w:eastAsia="Amiri" w:cs="Amiri"/>
          <w:color w:val="111111"/>
          <w:sz w:val="28"/>
          <w:sz w:val="28"/>
          <w:szCs w:val="28"/>
          <w:rtl w:val="true"/>
          <w:lang w:bidi="ar-SA"/>
        </w:rPr>
        <w:t xml:space="preserve">أصحابنا الفقهاء في الفروع الفقيهة فإنّهم قد أفتوا فيما إذا كانت العين المرهونة عصيرا فانقلب خمرا بوجوب الردّ مع الفكّ ؛ لعدم ما يتقوّم به الرهان من الأموال في نظر الشارع ، فلو انقلب بعد ذلك </w:t>
      </w:r>
    </w:p>
    <w:p>
      <w:pPr>
        <w:pStyle w:val="BookText"/>
        <w:rPr/>
      </w:pPr>
      <w:r>
        <w:rPr>
          <w:rFonts w:ascii="Amiri" w:hAnsi="Amiri" w:eastAsia="Amiri" w:cs="Amiri"/>
          <w:color w:val="111111"/>
          <w:sz w:val="28"/>
          <w:sz w:val="28"/>
          <w:szCs w:val="28"/>
          <w:rtl w:val="true"/>
          <w:lang w:bidi="ar-SA"/>
        </w:rPr>
        <w:t xml:space="preserve">خلاّ قالوا بعود المالية والملكية والرهنية استصحابا لها مع وضوح أنّ بعد الانقلاب قد ارتفع الملكية والرهنية التابعة لها قطعا ، وهذه الملكية جديدة لم تكن محلاّ للرهنية ، ولو لا أنّ المرجع في الاستصحاب هو حكم العرف ببقاء الموضوع لما صحّ ذلك في وجه ، إلاّ أنّهم يزعمون بقاء الاختصاص الإجمالي في المنقلب خمرا ولهذا يحكمون بوجوب الردّ إلى الراهن ؛ لإمكان العلاج ، فالموضوع عندهم ليس خصوص الصورة النوعية المتقوّمة بالعصير ، بل الأمر المردّد بينه وبين مطلق الجسم وهو باق في الحالتين ، ومنه حكمهم بوجوب ردّ الخمر المنقلب من العصير على الغاصب فيما إذا غصبه عصيرا فانقلب خمرا ، ومع ذلك فعليه الضمان للقيمة ؛ لأنّه بمنزلة التلف كما في عوض الحيلولة ، ومنه حكمهم ببقاء الإطلاق في الماء إذا أريق فيه شيء </w:t>
      </w:r>
      <w:r>
        <w:rPr>
          <w:rStyle w:val="FootnoteAnchor"/>
          <w:rtl w:val="true"/>
        </w:rPr>
        <w:footnoteReference w:id="2138"/>
      </w:r>
      <w:r>
        <w:rPr>
          <w:rFonts w:ascii="Amiri" w:hAnsi="Amiri" w:eastAsia="Amiri" w:cs="Amiri"/>
          <w:color w:val="111111"/>
          <w:sz w:val="28"/>
          <w:sz w:val="28"/>
          <w:szCs w:val="28"/>
          <w:rtl w:val="true"/>
          <w:lang w:bidi="ar-SA"/>
        </w:rPr>
        <w:t>من الجلاب وغيره من المضاف أو استصحاب الإضافة في العكس ، فإنّ عدم بقاء الموضوع في هذه الموارد دقّة ممّا لا يدانيه شوب الإنكار مع ظهور إطباقهم على اشتراط بقاء الموضوع ، فلا مسرح لنا إلاّ القول بأنّ بقاء الموضوع في العرف على وجه يعدّ عرفا باقيا كاف في الاستصحاب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هذه الأمور في كلماتهم ممّا لا مجال لإنكارها ، ولكن لا بدّ من التفرقة بين المقامات فتراهم </w:t>
      </w:r>
      <w:r>
        <w:rPr>
          <w:rStyle w:val="FootnoteAnchor"/>
          <w:rtl w:val="true"/>
        </w:rPr>
        <w:footnoteReference w:id="2139"/>
      </w:r>
      <w:r>
        <w:rPr>
          <w:rFonts w:ascii="Amiri" w:hAnsi="Amiri" w:eastAsia="Amiri" w:cs="Amiri"/>
          <w:color w:val="111111"/>
          <w:sz w:val="28"/>
          <w:sz w:val="28"/>
          <w:szCs w:val="28"/>
          <w:rtl w:val="true"/>
          <w:lang w:bidi="ar-SA"/>
        </w:rPr>
        <w:t xml:space="preserve">لا يعلمون بالاستصحاب في بعض الموارد ويأخذون به في نظيره على ما نبّهنا عليه ، ويمكن أن يكون ذلك بواسطة اختلاف المحمولات فإنّ القضايا العرفية تختلف </w:t>
      </w:r>
      <w:r>
        <w:rPr>
          <w:rStyle w:val="FootnoteAnchor"/>
          <w:rtl w:val="true"/>
        </w:rPr>
        <w:footnoteReference w:id="2140"/>
      </w:r>
      <w:r>
        <w:rPr>
          <w:rFonts w:ascii="Amiri" w:hAnsi="Amiri" w:eastAsia="Amiri" w:cs="Amiri"/>
          <w:color w:val="111111"/>
          <w:sz w:val="28"/>
          <w:sz w:val="28"/>
          <w:szCs w:val="28"/>
          <w:rtl w:val="true"/>
          <w:lang w:bidi="ar-SA"/>
        </w:rPr>
        <w:t xml:space="preserve">من هذه الجهة أيضا ، كما هو مشاهد من ملاحظة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ماش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كاتب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ضاحك ، فإنّ المستفاد من الأوّل عموم الموضوع بعموم </w:t>
      </w:r>
      <w:r>
        <w:rPr>
          <w:rStyle w:val="FootnoteAnchor"/>
          <w:rtl w:val="true"/>
        </w:rPr>
        <w:footnoteReference w:id="2141"/>
      </w:r>
      <w:r>
        <w:rPr>
          <w:rFonts w:ascii="Amiri" w:hAnsi="Amiri" w:eastAsia="Amiri" w:cs="Amiri"/>
          <w:color w:val="111111"/>
          <w:sz w:val="28"/>
          <w:sz w:val="28"/>
          <w:szCs w:val="28"/>
          <w:rtl w:val="true"/>
          <w:lang w:bidi="ar-SA"/>
        </w:rPr>
        <w:t xml:space="preserve">المحمول ، واختصاصه في الثاني ، وتساويه في الثالث ، ولعمري تشخيص الموارد العرفية في غاية الإشكال ونهاية الإعضال وليس أمرا مطّردا </w:t>
      </w:r>
    </w:p>
    <w:p>
      <w:pPr>
        <w:pStyle w:val="BookText"/>
        <w:rPr/>
      </w:pPr>
      <w:r>
        <w:rPr>
          <w:rFonts w:ascii="Amiri" w:hAnsi="Amiri" w:eastAsia="Amiri" w:cs="Amiri"/>
          <w:color w:val="111111"/>
          <w:sz w:val="28"/>
          <w:sz w:val="28"/>
          <w:szCs w:val="28"/>
          <w:rtl w:val="true"/>
          <w:lang w:bidi="ar-SA"/>
        </w:rPr>
        <w:t xml:space="preserve">يؤخذ </w:t>
      </w:r>
      <w:r>
        <w:rPr>
          <w:rStyle w:val="FootnoteAnchor"/>
          <w:rtl w:val="true"/>
        </w:rPr>
        <w:footnoteReference w:id="2142"/>
      </w:r>
      <w:r>
        <w:rPr>
          <w:rFonts w:ascii="Amiri" w:hAnsi="Amiri" w:eastAsia="Amiri" w:cs="Amiri"/>
          <w:color w:val="111111"/>
          <w:sz w:val="28"/>
          <w:sz w:val="28"/>
          <w:szCs w:val="28"/>
          <w:rtl w:val="true"/>
          <w:lang w:bidi="ar-SA"/>
        </w:rPr>
        <w:t>به في جميع المراتب المشكوكة ، فليتأمّل في المقام فإنّه من مزال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شيء وهو أنّه قد اشتهر في الألسنة ، بل قد يظهر من ثاني الشهيدين </w:t>
      </w:r>
      <w:r>
        <w:rPr>
          <w:rStyle w:val="FootnoteAnchor"/>
          <w:rtl w:val="true"/>
        </w:rPr>
        <w:footnoteReference w:id="2143"/>
      </w:r>
      <w:r>
        <w:rPr>
          <w:rFonts w:ascii="Amiri" w:hAnsi="Amiri" w:eastAsia="Amiri" w:cs="Amiri"/>
          <w:color w:val="111111"/>
          <w:sz w:val="28"/>
          <w:sz w:val="28"/>
          <w:szCs w:val="28"/>
          <w:rtl w:val="true"/>
          <w:lang w:bidi="ar-SA"/>
        </w:rPr>
        <w:t xml:space="preserve">الإصرار عليه أنّ الأحكام تتبع الأسماء وهو بظاهره لعلّه ينافي الرجوع في التميّز إلى العرف ، فإنّهم على ما عرفت لا يبالون باختلاف الاسم في إجراء الأحكام الثابتة للعنوانات ، فربّما يحكمون بالحكم مع القطع بعدم صدق الاسم كما في مسألة الاستحالة ، فإنّ أكثر أهل العلم على ما نسبه إليهم العلاّمة </w:t>
      </w:r>
      <w:r>
        <w:rPr>
          <w:rStyle w:val="FootnoteAnchor"/>
          <w:rtl w:val="true"/>
        </w:rPr>
        <w:footnoteReference w:id="2144"/>
      </w:r>
      <w:r>
        <w:rPr>
          <w:rFonts w:ascii="Amiri" w:hAnsi="Amiri" w:eastAsia="Amiri" w:cs="Amiri"/>
          <w:color w:val="111111"/>
          <w:sz w:val="28"/>
          <w:sz w:val="28"/>
          <w:szCs w:val="28"/>
          <w:rtl w:val="true"/>
          <w:lang w:bidi="ar-SA"/>
        </w:rPr>
        <w:t xml:space="preserve">على عدم حصول الطهارة فيلحقه حكم النجاسة مع عدم لحوقه الاسم ، إلاّ أنّه قد يظهر من بعضهم القدح فيه بالقطع بأنّ مجرّد اختلاف اللفظ لا يصير منشأ لاختلاف الحكم ، فلو سمّي الكلب إنسانا لم يطهّر إجماعا ، فدوران الأحكام مدار الأسماء ممّا لا معنى له ، وهو وإن أصاب في المطلب لظهور عدم كون القضيّة المعروفة </w:t>
      </w:r>
      <w:r>
        <w:rPr>
          <w:rStyle w:val="FootnoteAnchor"/>
          <w:rtl w:val="true"/>
        </w:rPr>
        <w:footnoteReference w:id="2145"/>
      </w:r>
      <w:r>
        <w:rPr>
          <w:rFonts w:ascii="Amiri" w:hAnsi="Amiri" w:eastAsia="Amiri" w:cs="Amiri"/>
          <w:color w:val="111111"/>
          <w:sz w:val="28"/>
          <w:sz w:val="28"/>
          <w:szCs w:val="28"/>
          <w:rtl w:val="true"/>
          <w:lang w:bidi="ar-SA"/>
        </w:rPr>
        <w:t xml:space="preserve">آية أو رواية أو مجمعا عليها ويكفيك في دفعها </w:t>
      </w:r>
      <w:r>
        <w:rPr>
          <w:rStyle w:val="FootnoteAnchor"/>
          <w:rtl w:val="true"/>
        </w:rPr>
        <w:footnoteReference w:id="2146"/>
      </w:r>
      <w:r>
        <w:rPr>
          <w:rFonts w:ascii="Amiri" w:hAnsi="Amiri" w:eastAsia="Amiri" w:cs="Amiri"/>
          <w:color w:val="111111"/>
          <w:sz w:val="28"/>
          <w:sz w:val="28"/>
          <w:szCs w:val="28"/>
          <w:rtl w:val="true"/>
          <w:lang w:bidi="ar-SA"/>
        </w:rPr>
        <w:t xml:space="preserve">إسناد العلاّمة القول بخلافها إلى أكثر أهل العلم ، ولكنّه قد أخطأ في الطريق على ما نبّه </w:t>
      </w:r>
      <w:r>
        <w:rPr>
          <w:rStyle w:val="FootnoteAnchor"/>
          <w:rtl w:val="true"/>
        </w:rPr>
        <w:footnoteReference w:id="2147"/>
      </w:r>
      <w:r>
        <w:rPr>
          <w:rFonts w:ascii="Amiri" w:hAnsi="Amiri" w:eastAsia="Amiri" w:cs="Amiri"/>
          <w:color w:val="111111"/>
          <w:sz w:val="28"/>
          <w:sz w:val="28"/>
          <w:szCs w:val="28"/>
          <w:rtl w:val="true"/>
          <w:lang w:bidi="ar-SA"/>
        </w:rPr>
        <w:t xml:space="preserve">عليه العلاّمة الطباطبائي في المصابيح ؛ إذ ليس المراد منها أنّ الأحكام تتبع الألفاظ ، بل المراد بتبعيتها للأسماء هو تبعيتها للمسمّيات </w:t>
      </w:r>
      <w:r>
        <w:rPr>
          <w:rStyle w:val="FootnoteAnchor"/>
          <w:rtl w:val="true"/>
        </w:rPr>
        <w:footnoteReference w:id="2148"/>
      </w:r>
      <w:r>
        <w:rPr>
          <w:rFonts w:ascii="Amiri" w:hAnsi="Amiri" w:eastAsia="Amiri" w:cs="Amiri"/>
          <w:color w:val="111111"/>
          <w:sz w:val="28"/>
          <w:sz w:val="28"/>
          <w:szCs w:val="28"/>
          <w:rtl w:val="true"/>
          <w:lang w:bidi="ar-SA"/>
        </w:rPr>
        <w:t xml:space="preserve">، أي الأمور الواقعية التي يستكشف عنها بتلك الألفاظ ، ومن هنا يظهر الوجه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تتبع الأسماء دون الألفاظ ، فإنّ فيه إيماء إلى أنّ المناط على الأسماء من حيث كونها آلات </w:t>
      </w:r>
      <w:r>
        <w:rPr>
          <w:rStyle w:val="FootnoteAnchor"/>
          <w:rtl w:val="true"/>
        </w:rPr>
        <w:footnoteReference w:id="2149"/>
      </w:r>
      <w:r>
        <w:rPr>
          <w:rFonts w:ascii="Amiri" w:hAnsi="Amiri" w:eastAsia="Amiri" w:cs="Amiri"/>
          <w:color w:val="111111"/>
          <w:sz w:val="28"/>
          <w:sz w:val="28"/>
          <w:szCs w:val="28"/>
          <w:rtl w:val="true"/>
          <w:lang w:bidi="ar-SA"/>
        </w:rPr>
        <w:t>لتعرّف المسمّيات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فيمكن القول بعدم التنافي بينهما أيضا من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إنّما يفهمون المراد من الأسماء الواردة في مقام التعرّف لتلك المسمّيات ما هو أعمّ ممّا يفهم منه في غير المقام </w:t>
      </w:r>
      <w:r>
        <w:rPr>
          <w:rStyle w:val="FootnoteAnchor"/>
          <w:rtl w:val="true"/>
        </w:rPr>
        <w:footnoteReference w:id="2150"/>
      </w:r>
      <w:r>
        <w:rPr>
          <w:rFonts w:ascii="Amiri" w:hAnsi="Amiri" w:eastAsia="Amiri" w:cs="Amiri"/>
          <w:color w:val="111111"/>
          <w:sz w:val="28"/>
          <w:sz w:val="28"/>
          <w:szCs w:val="28"/>
          <w:rtl w:val="true"/>
          <w:lang w:bidi="ar-SA"/>
        </w:rPr>
        <w:t xml:space="preserve">، فإنّ محصّل ما ذكرنا في ذلك يرجع إلى عدم اقتصار العرف في أمر الموضوع على ما هو المستفاد من ظواهر الأدلّة ولكن لا على وجه لا يكون متعلّقا بموضوع ولو بحسب اقتراحهم ، فإنّ ذلك ممّا لا مناص منه كما هو ظاهر ، فالمراد من القضيّة هذه على ما ذكرنا هو </w:t>
      </w:r>
      <w:r>
        <w:rPr>
          <w:rStyle w:val="FootnoteAnchor"/>
          <w:rtl w:val="true"/>
        </w:rPr>
        <w:footnoteReference w:id="2151"/>
      </w:r>
      <w:r>
        <w:rPr>
          <w:rFonts w:ascii="Amiri" w:hAnsi="Amiri" w:eastAsia="Amiri" w:cs="Amiri"/>
          <w:color w:val="111111"/>
          <w:sz w:val="28"/>
          <w:sz w:val="28"/>
          <w:szCs w:val="28"/>
          <w:rtl w:val="true"/>
          <w:lang w:bidi="ar-SA"/>
        </w:rPr>
        <w:t xml:space="preserve">تبعية </w:t>
      </w:r>
      <w:r>
        <w:rPr>
          <w:rStyle w:val="FootnoteAnchor"/>
          <w:rtl w:val="true"/>
        </w:rPr>
        <w:footnoteReference w:id="2152"/>
      </w:r>
      <w:r>
        <w:rPr>
          <w:rFonts w:ascii="Amiri" w:hAnsi="Amiri" w:eastAsia="Amiri" w:cs="Amiri"/>
          <w:color w:val="111111"/>
          <w:sz w:val="28"/>
          <w:sz w:val="28"/>
          <w:szCs w:val="28"/>
          <w:rtl w:val="true"/>
          <w:lang w:bidi="ar-SA"/>
        </w:rPr>
        <w:t>الأحكام لموضوعاتها المستكشف عنها بتلك الأسامي ولو بحسب ما يقترحون في ذلك الاستكشاف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هذه القضيّة يحتمل أن يكون الحكم الجزئي الشخصي المتعلّق بموضوع خاصّ يتبع اسم هذا الموضوع ، وذلك لا ينافي تعلّق حكم مماثل للحكم الأوّل بما هو أعمّ للمسمّى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الإنصاف عدم استقامة الوجهين كما هو غير خفيّ على من لاحظها ، فالحقّ هو أنّ هذه القضيّة تنافي </w:t>
      </w:r>
      <w:r>
        <w:rPr>
          <w:rStyle w:val="FootnoteAnchor"/>
          <w:rtl w:val="true"/>
        </w:rPr>
        <w:footnoteReference w:id="2153"/>
      </w:r>
      <w:r>
        <w:rPr>
          <w:rFonts w:ascii="Amiri" w:hAnsi="Amiri" w:eastAsia="Amiri" w:cs="Amiri"/>
          <w:color w:val="111111"/>
          <w:sz w:val="28"/>
          <w:sz w:val="28"/>
          <w:szCs w:val="28"/>
          <w:rtl w:val="true"/>
          <w:lang w:bidi="ar-SA"/>
        </w:rPr>
        <w:t xml:space="preserve">إحالة أمر الموضوع إلى العرف ، كذا أفاد الأستاد أديمت إفاداته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وإن لم يكن محذورا لما عرفت من منافاتها لما نقلنا من العلاّمة من أنّ أكثر أهل العلم على عدم الاعتداد بالاستحالة المغيّرة </w:t>
      </w:r>
      <w:r>
        <w:rPr>
          <w:rStyle w:val="FootnoteAnchor"/>
          <w:rtl w:val="true"/>
        </w:rPr>
        <w:footnoteReference w:id="2155"/>
      </w:r>
      <w:r>
        <w:rPr>
          <w:rFonts w:ascii="Amiri" w:hAnsi="Amiri" w:eastAsia="Amiri" w:cs="Amiri"/>
          <w:color w:val="111111"/>
          <w:sz w:val="28"/>
          <w:sz w:val="28"/>
          <w:szCs w:val="28"/>
          <w:rtl w:val="true"/>
          <w:lang w:bidi="ar-SA"/>
        </w:rPr>
        <w:t xml:space="preserve">للأسماء ، إلاّ أنّ الخروج عمّا هو ظاهر الدليل </w:t>
      </w:r>
      <w:r>
        <w:rPr>
          <w:rStyle w:val="FootnoteAnchor"/>
          <w:rtl w:val="true"/>
        </w:rPr>
        <w:footnoteReference w:id="2156"/>
      </w:r>
      <w:r>
        <w:rPr>
          <w:rFonts w:ascii="Amiri" w:hAnsi="Amiri" w:eastAsia="Amiri" w:cs="Amiri"/>
          <w:color w:val="111111"/>
          <w:sz w:val="28"/>
          <w:sz w:val="28"/>
          <w:szCs w:val="28"/>
          <w:rtl w:val="true"/>
          <w:lang w:bidi="ar-SA"/>
        </w:rPr>
        <w:t>في تعلّق الأحكام بالموضوعات والأخذ بمثل هذه الاقتراحات من جعل الموضوع تارة شيئا خاصّا ، وأخرى عامّا ، ممّا لا يكاد يخفى بطلانه ، سيّما بالنسبة إلى الأحكام المجمع عليها التي لا يدلّ عليها دليل لفظي يستكشف منه الموضوع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يقوّى في النظر أنّ أوضح الوجوه المذكورة في تميّز </w:t>
      </w:r>
      <w:r>
        <w:rPr>
          <w:rStyle w:val="FootnoteAnchor"/>
          <w:rtl w:val="true"/>
        </w:rPr>
        <w:footnoteReference w:id="2157"/>
      </w:r>
      <w:r>
        <w:rPr>
          <w:rFonts w:ascii="IRNazanin" w:hAnsi="IRNazanin" w:eastAsia="IRNazanin"/>
          <w:color w:val="111111"/>
          <w:sz w:val="28"/>
          <w:sz w:val="28"/>
          <w:szCs w:val="28"/>
          <w:rtl w:val="true"/>
          <w:lang w:bidi="fa-IR"/>
        </w:rPr>
        <w:t xml:space="preserve">الموضوع هو الرجوع </w:t>
      </w:r>
    </w:p>
    <w:p>
      <w:pPr>
        <w:pStyle w:val="BookText"/>
        <w:rPr/>
      </w:pPr>
      <w:r>
        <w:rPr>
          <w:rFonts w:ascii="Amiri" w:hAnsi="Amiri" w:eastAsia="Amiri" w:cs="Amiri"/>
          <w:color w:val="111111"/>
          <w:sz w:val="28"/>
          <w:sz w:val="28"/>
          <w:szCs w:val="28"/>
          <w:rtl w:val="true"/>
          <w:lang w:bidi="ar-SA"/>
        </w:rPr>
        <w:t xml:space="preserve">إلى عناوين الأدلّة بعد أنّ الواضح هو أسدّية المعيار التدقيقي والأخذ بالموضوع التحقيقي ، وذلك لا ينافي عدم اقتصارهم في بعض المقامات على ما هو المستفاد من ظاهر الدليل الوارد في مقام الحكم ؛ لإناطة الحكم إلى ما هو أعمّ من المستفاد من الظاهر ، وليس ذلك على وجه الاقتراح كما هو في المعيار العرفي كذلك ، بل قد يكون ذلك بواسطة فهم العرف إلقاء </w:t>
      </w:r>
      <w:r>
        <w:rPr>
          <w:rStyle w:val="FootnoteAnchor"/>
          <w:rtl w:val="true"/>
        </w:rPr>
        <w:footnoteReference w:id="2158"/>
      </w:r>
      <w:r>
        <w:rPr>
          <w:rFonts w:ascii="Amiri" w:hAnsi="Amiri" w:eastAsia="Amiri" w:cs="Amiri"/>
          <w:color w:val="111111"/>
          <w:sz w:val="28"/>
          <w:sz w:val="28"/>
          <w:szCs w:val="28"/>
          <w:rtl w:val="true"/>
          <w:lang w:bidi="ar-SA"/>
        </w:rPr>
        <w:t xml:space="preserve">بعض الخصوصيات في الحكم كما هو كذلك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 xml:space="preserve">إلى غير ذلك من الموارد ، فالأخذ بذلك الأمر الأعمّ ليس أخذا بما هو خارج عن مدلول اللفظ الوارد في مقام بيان الحكم ، فإنّ مداليل الألفاظ معتبرة مطلقا ، سواء كانت على وجه المطابقة أو الالتزام كما في الدلالات الإيمائية والاقتضائية ، وهذا الأمر العامّ وإن لم يكن من مدلول اللفظ مطابقة إلاّ أنّ اللفظ يدلّ عليه ولو بوجه من الإيماء والإشارة التزاما ، إلاّ أنّه لا بدّ أن يعلم أنّ ما ذكرنا يختلف غاية الاختلاف باختلاف الأحكام والمحمولات ، فإنّ بعض هذه الأحكام على وجه لا يستفاد من الدليل إلاّ اختصاصه بما هو المستفاد من الدليل مطابقة وليس له مدلول التزامي ، والبعض الآخر يستفاد ذلك منه </w:t>
      </w:r>
      <w:r>
        <w:rPr>
          <w:rStyle w:val="FootnoteAnchor"/>
          <w:rtl w:val="true"/>
        </w:rPr>
        <w:footnoteReference w:id="2160"/>
      </w:r>
      <w:r>
        <w:rPr>
          <w:rFonts w:ascii="Amiri" w:hAnsi="Amiri" w:eastAsia="Amiri" w:cs="Amiri"/>
          <w:color w:val="111111"/>
          <w:sz w:val="28"/>
          <w:sz w:val="28"/>
          <w:szCs w:val="28"/>
          <w:rtl w:val="true"/>
          <w:lang w:bidi="ar-SA"/>
        </w:rPr>
        <w:t xml:space="preserve">أيضا ، مثلا الملكية المترتّبة على الكلب الواقع في المملحة مستصحبة قطعا ولكنّ النجاسة يمكن الاختلاف فيها على ما عرفت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فالرجوع إلى عناوين الأدلّة في تشخيص الموضوع في الاستصحاب على ما يصل إلى النظر أقوى الوجوه ، وعلى ذلك فما نقلنا </w:t>
      </w:r>
      <w:r>
        <w:rPr>
          <w:rStyle w:val="FootnoteAnchor"/>
          <w:rtl w:val="true"/>
        </w:rPr>
        <w:footnoteReference w:id="2162"/>
      </w:r>
      <w:r>
        <w:rPr>
          <w:rFonts w:ascii="Amiri" w:hAnsi="Amiri" w:eastAsia="Amiri" w:cs="Amiri"/>
          <w:color w:val="111111"/>
          <w:sz w:val="28"/>
          <w:sz w:val="28"/>
          <w:szCs w:val="28"/>
          <w:rtl w:val="true"/>
          <w:lang w:bidi="ar-SA"/>
        </w:rPr>
        <w:t xml:space="preserve">عن الفاضل في الفرق بين النجس والمتنجّس في محلّه ، ولا يرد عليه النقض بمثل الماء المتنجّس إذا استحال بولا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جوف الحيوان المأكول اللحم أو استحال </w:t>
      </w:r>
      <w:r>
        <w:rPr>
          <w:rStyle w:val="FootnoteAnchor"/>
          <w:rtl w:val="true"/>
        </w:rPr>
        <w:footnoteReference w:id="2163"/>
      </w:r>
      <w:r>
        <w:rPr>
          <w:rFonts w:ascii="Amiri" w:hAnsi="Amiri" w:eastAsia="Amiri" w:cs="Amiri"/>
          <w:color w:val="111111"/>
          <w:sz w:val="28"/>
          <w:sz w:val="28"/>
          <w:szCs w:val="28"/>
          <w:rtl w:val="true"/>
          <w:lang w:bidi="ar-SA"/>
        </w:rPr>
        <w:t xml:space="preserve">فاكهة ، أو الحشيش النجس </w:t>
      </w:r>
      <w:r>
        <w:rPr>
          <w:rStyle w:val="FootnoteAnchor"/>
          <w:rtl w:val="true"/>
        </w:rPr>
        <w:footnoteReference w:id="2164"/>
      </w:r>
      <w:r>
        <w:rPr>
          <w:rFonts w:ascii="Amiri" w:hAnsi="Amiri" w:eastAsia="Amiri" w:cs="Amiri"/>
          <w:color w:val="111111"/>
          <w:sz w:val="28"/>
          <w:sz w:val="28"/>
          <w:szCs w:val="28"/>
          <w:rtl w:val="true"/>
          <w:lang w:bidi="ar-SA"/>
        </w:rPr>
        <w:t xml:space="preserve">إذا استحال طيبا لما عرفت من أنّ التعدّي عن عنوان الدليل الوارد في مقام بيان الحكم بحذف الخصوصيات وإسقاط ما يحتمل أن يصير وجها للاختلاف ، موقوف على مساعدة العرف في ذلك العنوان ، فحيثما لم يساعده كما في أمثال المقام فلا ضير فيه ، وأمّا إذا لم يكن هناك دليل مشتمل على عنوان من موضوعات الأحكام الشرعية كما إذا كان الدليل إجماعا فإن كان المورد من الموارد التي يظهر </w:t>
      </w:r>
      <w:r>
        <w:rPr>
          <w:rStyle w:val="FootnoteAnchor"/>
          <w:rtl w:val="true"/>
        </w:rPr>
        <w:footnoteReference w:id="2165"/>
      </w:r>
      <w:r>
        <w:rPr>
          <w:rFonts w:ascii="Amiri" w:hAnsi="Amiri" w:eastAsia="Amiri" w:cs="Amiri"/>
          <w:color w:val="111111"/>
          <w:sz w:val="28"/>
          <w:sz w:val="28"/>
          <w:szCs w:val="28"/>
          <w:rtl w:val="true"/>
          <w:lang w:bidi="ar-SA"/>
        </w:rPr>
        <w:t xml:space="preserve">صدق النقض على تقدير عدم الاستصحاب فاللازم هو الأخذ بالاستصحاب ، وإلاّ فالمرجع إلى غيره من الأصول ، فليتأمّل في المقام فإنّه بعد في غاية الإبهام </w:t>
      </w:r>
      <w:r>
        <w:rPr>
          <w:rStyle w:val="FootnoteAnchor"/>
          <w:rtl w:val="true"/>
        </w:rPr>
        <w:footnoteReference w:id="2166"/>
      </w:r>
      <w:r>
        <w:rPr>
          <w:rFonts w:ascii="Amiri" w:hAnsi="Amiri" w:eastAsia="Amiri" w:cs="Amiri"/>
          <w:color w:val="111111"/>
          <w:sz w:val="28"/>
          <w:sz w:val="28"/>
          <w:szCs w:val="28"/>
          <w:rtl w:val="true"/>
          <w:lang w:bidi="ar-SA"/>
        </w:rPr>
        <w:t xml:space="preserve">، واللّه الموفّق وهو المعين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 xml:space="preserve">. </w:t>
      </w:r>
      <w:bookmarkStart w:id="246" w:name="pg16284_171381"/>
    </w:p>
    <w:p>
      <w:pPr>
        <w:pStyle w:val="Heading3"/>
        <w:numPr>
          <w:ilvl w:val="2"/>
          <w:numId w:val="1"/>
        </w:numPr>
        <w:rPr/>
      </w:pPr>
      <w:bookmarkStart w:id="247" w:name="__RefHeading___Toc5012178_1280447820"/>
      <w:bookmarkStart w:id="248" w:name="_Toc78"/>
      <w:bookmarkEnd w:id="246"/>
      <w:bookmarkEnd w:id="247"/>
      <w:r>
        <w:rPr>
          <w:rtl w:val="true"/>
        </w:rPr>
        <w:t xml:space="preserve">هداية </w:t>
      </w:r>
      <w:r>
        <w:rPr>
          <w:rtl w:val="true"/>
        </w:rPr>
        <w:t xml:space="preserve">[ </w:t>
      </w:r>
      <w:r>
        <w:rPr>
          <w:rtl w:val="true"/>
        </w:rPr>
        <w:t xml:space="preserve">في عدم جريان الاستصحاب مع وجود المعارض </w:t>
      </w:r>
      <w:r>
        <w:rPr>
          <w:rtl w:val="true"/>
        </w:rPr>
        <w:t>]</w:t>
      </w:r>
      <w:bookmarkEnd w:id="248"/>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168"/>
      </w:r>
      <w:r>
        <w:rPr>
          <w:rFonts w:ascii="Amiri" w:hAnsi="Amiri" w:eastAsia="Amiri" w:cs="Amiri"/>
          <w:color w:val="111111"/>
          <w:sz w:val="28"/>
          <w:sz w:val="28"/>
          <w:szCs w:val="28"/>
          <w:rtl w:val="true"/>
          <w:lang w:bidi="ar-SA"/>
        </w:rPr>
        <w:t xml:space="preserve">لا بدّ في جريان الاستصحاب عدم </w:t>
      </w:r>
      <w:r>
        <w:rPr>
          <w:rStyle w:val="FootnoteAnchor"/>
          <w:rtl w:val="true"/>
        </w:rPr>
        <w:footnoteReference w:id="2169"/>
      </w:r>
      <w:r>
        <w:rPr>
          <w:rFonts w:ascii="Amiri" w:hAnsi="Amiri" w:eastAsia="Amiri" w:cs="Amiri"/>
          <w:color w:val="111111"/>
          <w:sz w:val="28"/>
          <w:sz w:val="28"/>
          <w:szCs w:val="28"/>
          <w:rtl w:val="true"/>
          <w:lang w:bidi="ar-SA"/>
        </w:rPr>
        <w:t xml:space="preserve">ابتلائه بالمعارض ، وقد يظهر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2170"/>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جملة </w:t>
      </w:r>
      <w:r>
        <w:rPr>
          <w:rStyle w:val="FootnoteAnchor"/>
          <w:rtl w:val="true"/>
        </w:rPr>
        <w:footnoteReference w:id="2171"/>
      </w:r>
      <w:r>
        <w:rPr>
          <w:rFonts w:ascii="Amiri" w:hAnsi="Amiri" w:eastAsia="Amiri" w:cs="Amiri"/>
          <w:color w:val="111111"/>
          <w:sz w:val="28"/>
          <w:sz w:val="28"/>
          <w:szCs w:val="28"/>
          <w:rtl w:val="true"/>
          <w:lang w:bidi="ar-SA"/>
        </w:rPr>
        <w:t>شروط العمل به واعتباره ، وليس في محلّه ، فإنّ التحقيق أنّ الاستصحاب لا مجرى له عند وجود المعارض ، سواء كان من الأدلّة الاجتهادية أو من الأصول العملية ولو كان المعارض استصحابا آخر أيضا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الاعتداد بالدليل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بواسطة عدم ما يقضي </w:t>
      </w:r>
      <w:r>
        <w:rPr>
          <w:rStyle w:val="FootnoteAnchor"/>
          <w:rtl w:val="true"/>
        </w:rPr>
        <w:footnoteReference w:id="2172"/>
      </w:r>
      <w:r>
        <w:rPr>
          <w:rFonts w:ascii="IRNazanin" w:hAnsi="IRNazanin" w:eastAsia="IRNazanin"/>
          <w:color w:val="111111"/>
          <w:sz w:val="28"/>
          <w:sz w:val="28"/>
          <w:szCs w:val="28"/>
          <w:rtl w:val="true"/>
          <w:lang w:bidi="fa-IR"/>
        </w:rPr>
        <w:t xml:space="preserve">باعتباره </w:t>
      </w:r>
      <w:r>
        <w:rPr>
          <w:rStyle w:val="FootnoteAnchor"/>
          <w:rtl w:val="true"/>
        </w:rPr>
        <w:footnoteReference w:id="2173"/>
      </w:r>
      <w:r>
        <w:rPr>
          <w:rFonts w:ascii="Amiri" w:hAnsi="Amiri" w:eastAsia="Amiri" w:cs="Amiri"/>
          <w:color w:val="111111"/>
          <w:sz w:val="28"/>
          <w:sz w:val="28"/>
          <w:szCs w:val="28"/>
          <w:rtl w:val="true"/>
          <w:lang w:bidi="ar-SA"/>
        </w:rPr>
        <w:t xml:space="preserve">، أو بانتفاء موضوعه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بواسطة وجود المانع منه ، ففيما إذا لم يكن المقتضي للعمل موجودا لا يصحّ استناد الطرح إلى وجود المانع ، والاستصحاب في مقام المعارضة من هذا القبيل وليس من قبيل معارضته أخبار الآحاد بعضها ببعض ، فإنّ من المعلوم وجود المصلحة الداعية إلى جعلها طريقا حال المعارضة ، فيكون الأخذ بأحدهما من قبيل تزاحم الحقوق كما في إنجاء الغريق وإنقاذ الحريق ، بخلاف الاستصحاب فإنّه في موارد التعارض بما </w:t>
      </w:r>
      <w:r>
        <w:rPr>
          <w:rStyle w:val="FootnoteAnchor"/>
          <w:rtl w:val="true"/>
        </w:rPr>
        <w:footnoteReference w:id="2174"/>
      </w:r>
      <w:r>
        <w:rPr>
          <w:rFonts w:ascii="Amiri" w:hAnsi="Amiri" w:eastAsia="Amiri" w:cs="Amiri"/>
          <w:color w:val="111111"/>
          <w:sz w:val="28"/>
          <w:sz w:val="28"/>
          <w:szCs w:val="28"/>
          <w:rtl w:val="true"/>
          <w:lang w:bidi="ar-SA"/>
        </w:rPr>
        <w:t xml:space="preserve">يمكن المكافئة معه ليس كذلك إلاّ أن </w:t>
      </w:r>
    </w:p>
    <w:p>
      <w:pPr>
        <w:pStyle w:val="BookText"/>
        <w:rPr/>
      </w:pPr>
      <w:r>
        <w:rPr>
          <w:rFonts w:ascii="Amiri" w:hAnsi="Amiri" w:eastAsia="Amiri" w:cs="Amiri"/>
          <w:color w:val="111111"/>
          <w:sz w:val="28"/>
          <w:sz w:val="28"/>
          <w:szCs w:val="28"/>
          <w:rtl w:val="true"/>
          <w:lang w:bidi="ar-SA"/>
        </w:rPr>
        <w:t>يكون مبنيّا على الظنّ الشخصي فإنّه يدور مدار الظنّ وإن لم نعلم بالتزام القائل به بهذا ، وستعرف الوجه في ذلك عند كيفية أنحاء التعارض الواقع بين الاستصحاب وبين غيره من أنحاء الأدلّة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فالمخالف للاستصحاب قد يكون من الأدلّة الاجتهادية ، وقد يكون ممّا هو من سنخه من الأصول العملية ، سواء كانت في عرضه من استصحاب أو مقدّمة عليه أو مؤخّرة عنه كأصالة البراءة والاحتياط وأصالة الصحّة والقرعة واليد ونحوها ممّا ستقف </w:t>
      </w:r>
      <w:r>
        <w:rPr>
          <w:rStyle w:val="FootnoteAnchor"/>
          <w:rtl w:val="true"/>
        </w:rPr>
        <w:footnoteReference w:id="2175"/>
      </w:r>
      <w:r>
        <w:rPr>
          <w:rFonts w:ascii="Amiri" w:hAnsi="Amiri" w:eastAsia="Amiri" w:cs="Amiri"/>
          <w:color w:val="111111"/>
          <w:sz w:val="28"/>
          <w:sz w:val="28"/>
          <w:szCs w:val="28"/>
          <w:rtl w:val="true"/>
          <w:lang w:bidi="ar-SA"/>
        </w:rPr>
        <w:t xml:space="preserve">على تفاصيلها ، فلنذكر كلّ واحد منها في هداية على حدّها </w:t>
      </w:r>
      <w:r>
        <w:rPr>
          <w:rStyle w:val="FootnoteAnchor"/>
          <w:rtl w:val="true"/>
        </w:rPr>
        <w:footnoteReference w:id="2176"/>
      </w:r>
      <w:r>
        <w:rPr>
          <w:rFonts w:ascii="Amiri" w:hAnsi="Amiri" w:eastAsia="Amiri" w:cs="Amiri"/>
          <w:color w:val="111111"/>
          <w:sz w:val="28"/>
          <w:sz w:val="28"/>
          <w:szCs w:val="28"/>
          <w:rtl w:val="true"/>
          <w:lang w:bidi="ar-SA"/>
        </w:rPr>
        <w:t xml:space="preserve">توضيحا للمقام وتفصيلا لما هو المقصود من الكلام لئلاّ </w:t>
      </w:r>
      <w:r>
        <w:rPr>
          <w:rStyle w:val="FootnoteAnchor"/>
          <w:rtl w:val="true"/>
        </w:rPr>
        <w:footnoteReference w:id="2177"/>
      </w:r>
      <w:r>
        <w:rPr>
          <w:rFonts w:ascii="Amiri" w:hAnsi="Amiri" w:eastAsia="Amiri" w:cs="Amiri"/>
          <w:color w:val="111111"/>
          <w:sz w:val="28"/>
          <w:sz w:val="28"/>
          <w:szCs w:val="28"/>
          <w:rtl w:val="true"/>
          <w:lang w:bidi="ar-SA"/>
        </w:rPr>
        <w:t xml:space="preserve">يقع الخلط بينها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 xml:space="preserve">. </w:t>
      </w:r>
      <w:bookmarkStart w:id="249" w:name="pg16284_171383"/>
    </w:p>
    <w:p>
      <w:pPr>
        <w:pStyle w:val="Heading3"/>
        <w:numPr>
          <w:ilvl w:val="2"/>
          <w:numId w:val="1"/>
        </w:numPr>
        <w:rPr/>
      </w:pPr>
      <w:bookmarkStart w:id="250" w:name="__RefHeading___Toc5012180_1280447820"/>
      <w:bookmarkStart w:id="251" w:name="_Toc79"/>
      <w:bookmarkEnd w:id="249"/>
      <w:bookmarkEnd w:id="250"/>
      <w:r>
        <w:rPr>
          <w:rtl w:val="true"/>
        </w:rPr>
        <w:t xml:space="preserve">هداية </w:t>
      </w:r>
      <w:r>
        <w:rPr>
          <w:rtl w:val="true"/>
        </w:rPr>
        <w:t xml:space="preserve">[ </w:t>
      </w:r>
      <w:r>
        <w:rPr>
          <w:rtl w:val="true"/>
        </w:rPr>
        <w:t xml:space="preserve">في حكومة الأمارات على الاستصحاب </w:t>
      </w:r>
      <w:r>
        <w:rPr>
          <w:rtl w:val="true"/>
        </w:rPr>
        <w:t>]</w:t>
      </w:r>
      <w:bookmarkEnd w:id="251"/>
    </w:p>
    <w:p>
      <w:pPr>
        <w:pStyle w:val="Heading4"/>
        <w:numPr>
          <w:ilvl w:val="3"/>
          <w:numId w:val="1"/>
        </w:numPr>
        <w:rPr/>
      </w:pPr>
      <w:bookmarkStart w:id="252" w:name="__RefHeading___Toc5012182_1280447820"/>
      <w:bookmarkStart w:id="253" w:name="_Toc80"/>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في بيان الحال في معارضة الاستصحاب مع الأدلّة الاجتهادية ولا بأس ببيان المراد من الأدلّة الاجتهادية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اصطلح عليه الأستاد الأكبر المحقّق البهبهاني في تعليقاته على المعالم نظرا إلى حدّي الاجتهاد والفقه من حيث اعتبار الظنّ في الأوّل والعلم في الثاني ، هو أنّ كلّ دليل يكشف عن الحكم الواقعي فهو دليل اجتهادي ؛ إذ </w:t>
      </w:r>
      <w:r>
        <w:rPr>
          <w:rStyle w:val="FootnoteAnchor"/>
          <w:rtl w:val="true"/>
        </w:rPr>
        <w:footnoteReference w:id="2179"/>
      </w:r>
      <w:r>
        <w:rPr>
          <w:rFonts w:ascii="Amiri" w:hAnsi="Amiri" w:eastAsia="Amiri" w:cs="Amiri"/>
          <w:color w:val="111111"/>
          <w:sz w:val="28"/>
          <w:sz w:val="28"/>
          <w:szCs w:val="28"/>
          <w:rtl w:val="true"/>
          <w:lang w:bidi="ar-SA"/>
        </w:rPr>
        <w:t xml:space="preserve">به يحصل مرتبة الاجتهاد للعالم ، سواء كان من الأدلّة العملية أو الأدلّة </w:t>
      </w:r>
      <w:r>
        <w:rPr>
          <w:rStyle w:val="FootnoteAnchor"/>
          <w:rtl w:val="true"/>
        </w:rPr>
        <w:footnoteReference w:id="2180"/>
      </w:r>
      <w:r>
        <w:rPr>
          <w:rFonts w:ascii="Amiri" w:hAnsi="Amiri" w:eastAsia="Amiri" w:cs="Amiri"/>
          <w:color w:val="111111"/>
          <w:sz w:val="28"/>
          <w:sz w:val="28"/>
          <w:szCs w:val="28"/>
          <w:rtl w:val="true"/>
          <w:lang w:bidi="ar-SA"/>
        </w:rPr>
        <w:t xml:space="preserve">الظنّية كأخبار الآحاد ونحوها ، وكلّ دليل يعلم منه الحكم الفعلي في الواقعة الحاضرة عند الفقيه المتحيّر الشاكّ فهو دليل غير اجتهادي ، وقد اشتهر هذا القسم من الدليل بالدليل الفقاهتي </w:t>
      </w:r>
      <w:r>
        <w:rPr>
          <w:rStyle w:val="FootnoteAnchor"/>
          <w:rtl w:val="true"/>
        </w:rPr>
        <w:footnoteReference w:id="2181"/>
      </w:r>
      <w:r>
        <w:rPr>
          <w:rFonts w:ascii="Amiri" w:hAnsi="Amiri" w:eastAsia="Amiri" w:cs="Amiri"/>
          <w:color w:val="111111"/>
          <w:sz w:val="28"/>
          <w:sz w:val="28"/>
          <w:szCs w:val="28"/>
          <w:rtl w:val="true"/>
          <w:lang w:bidi="ar-SA"/>
        </w:rPr>
        <w:t xml:space="preserve">؛ إذ به يحصل الفقاهة للعالم وبهذا الاعتبار يصير فقيها يعني ما </w:t>
      </w:r>
      <w:r>
        <w:rPr>
          <w:rStyle w:val="FootnoteAnchor"/>
          <w:rtl w:val="true"/>
        </w:rPr>
        <w:footnoteReference w:id="2182"/>
      </w:r>
      <w:r>
        <w:rPr>
          <w:rFonts w:ascii="Amiri" w:hAnsi="Amiri" w:eastAsia="Amiri" w:cs="Amiri"/>
          <w:color w:val="111111"/>
          <w:sz w:val="28"/>
          <w:sz w:val="28"/>
          <w:szCs w:val="28"/>
          <w:rtl w:val="true"/>
          <w:lang w:bidi="ar-SA"/>
        </w:rPr>
        <w:t>يحصل به الفقاهة في قبال الأوّل فإنّه يحصل به الاجتهاد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المذكور في التعليقة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تضعيفه لإرادة الظنّ من العلم في تعريف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المراد من العلم هو اليقين ؛ لأنّ الفقه هو العلم دون الظنّ ، لأنّ الظنّ هو الاجتهاد كما ظهر وإن كان الاجتهاد لا بدّ فيه من اليقين باعتباره شرعا ، </w:t>
      </w:r>
    </w:p>
    <w:p>
      <w:pPr>
        <w:pStyle w:val="BookText"/>
        <w:rPr/>
      </w:pPr>
      <w:r>
        <w:rPr>
          <w:rFonts w:ascii="Amiri" w:hAnsi="Amiri" w:eastAsia="Amiri" w:cs="Amiri"/>
          <w:color w:val="111111"/>
          <w:sz w:val="28"/>
          <w:sz w:val="28"/>
          <w:szCs w:val="28"/>
          <w:rtl w:val="true"/>
          <w:lang w:bidi="ar-SA"/>
        </w:rPr>
        <w:t xml:space="preserve">فاعتقاد الفقيه بالنظر إلى حكم اللّه الواقعي اجتهاد ؛ لأنّه ظانّ به ، وبالنظر إلى </w:t>
      </w:r>
      <w:r>
        <w:rPr>
          <w:rStyle w:val="FootnoteAnchor"/>
          <w:rtl w:val="true"/>
        </w:rPr>
        <w:footnoteReference w:id="2183"/>
      </w:r>
      <w:r>
        <w:rPr>
          <w:rFonts w:ascii="Amiri" w:hAnsi="Amiri" w:eastAsia="Amiri" w:cs="Amiri"/>
          <w:color w:val="111111"/>
          <w:sz w:val="28"/>
          <w:sz w:val="28"/>
          <w:szCs w:val="28"/>
          <w:rtl w:val="true"/>
          <w:lang w:bidi="ar-SA"/>
        </w:rPr>
        <w:t xml:space="preserve">حكم اللّه الظاهري فقه وعلم ؛ لأنّه عالم به ، كما أنّ له أسامي أخر أيضا مثل أنّه قاض بالنظر إلى أنّه يرفع المخاصمة بين المترافعين إليه بالخصومة ، وحاكم الشرع بالنظر إلى مثل ضبط مال </w:t>
      </w:r>
      <w:r>
        <w:rPr>
          <w:rStyle w:val="FootnoteAnchor"/>
          <w:rtl w:val="true"/>
        </w:rPr>
        <w:footnoteReference w:id="2184"/>
      </w:r>
      <w:r>
        <w:rPr>
          <w:rFonts w:ascii="Amiri" w:hAnsi="Amiri" w:eastAsia="Amiri" w:cs="Amiri"/>
          <w:color w:val="111111"/>
          <w:sz w:val="28"/>
          <w:sz w:val="28"/>
          <w:szCs w:val="28"/>
          <w:rtl w:val="true"/>
          <w:lang w:bidi="ar-SA"/>
        </w:rPr>
        <w:t xml:space="preserve">الأيتام والمجانين والغيّب ، وغير ذلك من الأسامي كما بيّناه في الفوائد </w:t>
      </w:r>
      <w:r>
        <w:rPr>
          <w:rStyle w:val="FootnoteAnchor"/>
          <w:rtl w:val="true"/>
        </w:rPr>
        <w:footnoteReference w:id="2185"/>
      </w:r>
      <w:r>
        <w:rPr>
          <w:rFonts w:ascii="Amiri" w:hAnsi="Amiri" w:eastAsia="Amiri" w:cs="Amiri"/>
          <w:color w:val="111111"/>
          <w:sz w:val="28"/>
          <w:sz w:val="28"/>
          <w:szCs w:val="28"/>
          <w:rtl w:val="true"/>
          <w:lang w:bidi="ar-SA"/>
        </w:rPr>
        <w:t xml:space="preserve">ولكلّ اسم من تلك الأسامي أحكام مخالفة لأحكام الاسم الآخر ومباينة له ؛ لأنّ الفقيه عمله </w:t>
      </w:r>
      <w:r>
        <w:rPr>
          <w:rStyle w:val="FootnoteAnchor"/>
          <w:rtl w:val="true"/>
        </w:rPr>
        <w:footnoteReference w:id="2186"/>
      </w:r>
      <w:r>
        <w:rPr>
          <w:rFonts w:ascii="Amiri" w:hAnsi="Amiri" w:eastAsia="Amiri" w:cs="Amiri"/>
          <w:color w:val="111111"/>
          <w:sz w:val="28"/>
          <w:sz w:val="28"/>
          <w:szCs w:val="28"/>
          <w:rtl w:val="true"/>
          <w:lang w:bidi="ar-SA"/>
        </w:rPr>
        <w:t xml:space="preserve">بالأدلّة الخمسة ولا يجوز للفقيه تقليده وبعد الموت يموت قوله ، بخلاف القاضي فإنّ حكمه باق إلى يوم القيامة وماض على الفقهاء وغيرهم ، وعمله بالشهادة والحلف ونحو ذلك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كون المراد من العلم المعنى الحقيقي ولا محيص عنه قطعا ؛ لما عرفت وستعرف من المفاسد في جعل المراد منه الظنّ أو ما يشمله </w:t>
      </w:r>
      <w:r>
        <w:rPr>
          <w:rStyle w:val="FootnoteAnchor"/>
          <w:rtl w:val="true"/>
        </w:rPr>
        <w:footnoteReference w:id="21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ما أفاده هو ما ذكرنا من أنّ الدليل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w:t>
      </w:r>
      <w:r>
        <w:rPr>
          <w:rStyle w:val="FootnoteAnchor"/>
          <w:rtl w:val="true"/>
        </w:rPr>
        <w:footnoteReference w:id="2188"/>
      </w:r>
      <w:r>
        <w:rPr>
          <w:rFonts w:ascii="Amiri" w:hAnsi="Amiri" w:eastAsia="Amiri" w:cs="Amiri"/>
          <w:color w:val="111111"/>
          <w:sz w:val="28"/>
          <w:sz w:val="28"/>
          <w:szCs w:val="28"/>
          <w:rtl w:val="true"/>
          <w:lang w:bidi="ar-SA"/>
        </w:rPr>
        <w:t xml:space="preserve">منه الاجتهاد وهو ما يحكي عن حكم اللّه الواقعي الثابت في نفس الأمر ، وليس للشكّ في موضوعه مدخل في وجه وإن كان محلّ الاستدلال هو مقام الشكّ وعدم العلم كما هو ظاهر لا سترة عليه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منه الفقاهة </w:t>
      </w:r>
      <w:r>
        <w:rPr>
          <w:rStyle w:val="FootnoteAnchor"/>
          <w:rtl w:val="true"/>
        </w:rPr>
        <w:footnoteReference w:id="2189"/>
      </w:r>
      <w:r>
        <w:rPr>
          <w:rFonts w:ascii="Amiri" w:hAnsi="Amiri" w:eastAsia="Amiri" w:cs="Amiri"/>
          <w:color w:val="111111"/>
          <w:sz w:val="28"/>
          <w:sz w:val="28"/>
          <w:szCs w:val="28"/>
          <w:rtl w:val="true"/>
          <w:lang w:bidi="ar-SA"/>
        </w:rPr>
        <w:t xml:space="preserve">التي هو العلم بالأحكام الشرعية ، فلا بدّ إمّا من حمل الأحكام على الأحكام الظاهرية باستعمالها فيها أو بتقيّدها بها </w:t>
      </w:r>
      <w:r>
        <w:rPr>
          <w:rStyle w:val="FootnoteAnchor"/>
          <w:rtl w:val="true"/>
        </w:rPr>
        <w:footnoteReference w:id="2190"/>
      </w:r>
      <w:r>
        <w:rPr>
          <w:rFonts w:ascii="Amiri" w:hAnsi="Amiri" w:eastAsia="Amiri" w:cs="Amiri"/>
          <w:color w:val="111111"/>
          <w:sz w:val="28"/>
          <w:sz w:val="28"/>
          <w:szCs w:val="28"/>
          <w:rtl w:val="true"/>
          <w:lang w:bidi="ar-SA"/>
        </w:rPr>
        <w:t xml:space="preserve">، وإمّا من تقدير مضاف للأحكام يكون متعلّقا للعلم كوجوب العمل ، وهو الأولى ؛ لأنّ الظرف حينئذ لا بدّ أن يكون متعلّقا بالأحكام دون العلم ، وعلى تقدير التقييد </w:t>
      </w:r>
      <w:r>
        <w:rPr>
          <w:rStyle w:val="FootnoteAnchor"/>
          <w:rtl w:val="true"/>
        </w:rPr>
        <w:footnoteReference w:id="2191"/>
      </w:r>
      <w:r>
        <w:rPr>
          <w:rFonts w:ascii="Amiri" w:hAnsi="Amiri" w:eastAsia="Amiri" w:cs="Amiri"/>
          <w:color w:val="111111"/>
          <w:sz w:val="28"/>
          <w:sz w:val="28"/>
          <w:szCs w:val="28"/>
          <w:rtl w:val="true"/>
          <w:lang w:bidi="ar-SA"/>
        </w:rPr>
        <w:t xml:space="preserve">فيها أو الاستعمال لا يصحّ ؛ إذ الأحكام الظاهرية لا تكون </w:t>
      </w:r>
      <w:r>
        <w:rPr>
          <w:rStyle w:val="FootnoteAnchor"/>
          <w:rtl w:val="true"/>
        </w:rPr>
        <w:footnoteReference w:id="2192"/>
      </w:r>
      <w:r>
        <w:rPr>
          <w:rFonts w:ascii="Amiri" w:hAnsi="Amiri" w:eastAsia="Amiri" w:cs="Amiri"/>
          <w:color w:val="111111"/>
          <w:sz w:val="28"/>
          <w:sz w:val="28"/>
          <w:szCs w:val="28"/>
          <w:rtl w:val="true"/>
          <w:lang w:bidi="ar-SA"/>
        </w:rPr>
        <w:t>مستفادة من الأدلّة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يرد عليه ما زعمه بعض الأجلّة </w:t>
      </w:r>
      <w:r>
        <w:rPr>
          <w:rStyle w:val="FootnoteAnchor"/>
          <w:rtl w:val="true"/>
        </w:rPr>
        <w:footnoteReference w:id="2193"/>
      </w:r>
      <w:r>
        <w:rPr>
          <w:rFonts w:ascii="Amiri" w:hAnsi="Amiri" w:eastAsia="Amiri" w:cs="Amiri"/>
          <w:color w:val="111111"/>
          <w:sz w:val="28"/>
          <w:sz w:val="28"/>
          <w:szCs w:val="28"/>
          <w:rtl w:val="true"/>
          <w:lang w:bidi="ar-SA"/>
        </w:rPr>
        <w:t>تبعا لبعضهم من أنّ التصرّف في الأحكام يغني عن ذلك والكلام فيما كان العلم باقيا على معناه المعهود من غير تصرّف فيه ؛ إذ تعلّق العلم بشيء خاصّ لا يوجب التصرّف فيه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بوجوب العمل بالأحكام الواقعية التي هي مستنبطة من الأدلّة التفصيلية هو الفقه ، وليس العلم بوجوب العمل بتلك الأحكام وإن كانت واقعية إلاّ العلم بالحكم الظاهري ، فما يدلّ على هذا الحكم الفعلي وهو وجوب الأخذ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مشكوك الاعتبار هو دليل الفقاهة كالأدلّة </w:t>
      </w:r>
      <w:r>
        <w:rPr>
          <w:rStyle w:val="FootnoteAnchor"/>
          <w:rtl w:val="true"/>
        </w:rPr>
        <w:footnoteReference w:id="2194"/>
      </w:r>
      <w:r>
        <w:rPr>
          <w:rFonts w:ascii="Amiri" w:hAnsi="Amiri" w:eastAsia="Amiri" w:cs="Amiri"/>
          <w:color w:val="111111"/>
          <w:sz w:val="28"/>
          <w:sz w:val="28"/>
          <w:szCs w:val="28"/>
          <w:rtl w:val="true"/>
          <w:lang w:bidi="ar-SA"/>
        </w:rPr>
        <w:t xml:space="preserve">الدالّة على اعتبار الأدلّة الظنّية من الإجماع ، والكتاب والسنّة القطعيين ، وأدلّة الأصول من البراءة والاحتياط والاستصحاب والتخيير ، فإنّها هي التي يحصل </w:t>
      </w:r>
      <w:r>
        <w:rPr>
          <w:rStyle w:val="FootnoteAnchor"/>
          <w:rtl w:val="true"/>
        </w:rPr>
        <w:footnoteReference w:id="2195"/>
      </w:r>
      <w:r>
        <w:rPr>
          <w:rFonts w:ascii="Amiri" w:hAnsi="Amiri" w:eastAsia="Amiri" w:cs="Amiri"/>
          <w:color w:val="111111"/>
          <w:sz w:val="28"/>
          <w:sz w:val="28"/>
          <w:szCs w:val="28"/>
          <w:rtl w:val="true"/>
          <w:lang w:bidi="ar-SA"/>
        </w:rPr>
        <w:t xml:space="preserve">منها العلم بوجوب العمل ، ولعلّه إنّما أخذه من قول العلاّمة من أنّ الظنّ في طريق الحكم لا فيه نفسه ، وظنّية الطريق لا ينافي قطعية الحكم ، فالحكم المستفاد من الخبر حكم واقعي ، و </w:t>
      </w:r>
      <w:r>
        <w:rPr>
          <w:rStyle w:val="FootnoteAnchor"/>
          <w:rtl w:val="true"/>
        </w:rPr>
        <w:footnoteReference w:id="2196"/>
      </w:r>
      <w:r>
        <w:rPr>
          <w:rFonts w:ascii="Amiri" w:hAnsi="Amiri" w:eastAsia="Amiri" w:cs="Amiri"/>
          <w:color w:val="111111"/>
          <w:sz w:val="28"/>
          <w:sz w:val="28"/>
          <w:szCs w:val="28"/>
          <w:rtl w:val="true"/>
          <w:lang w:bidi="ar-SA"/>
        </w:rPr>
        <w:t>وجوب الأخذ بمفاد الخبر حكم ظاهري ، ونفس الخبر دليل الاجتهاد ، والإجماع على اعتبار الخبر دليل الفقاهة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إن أقيم </w:t>
      </w:r>
      <w:r>
        <w:rPr>
          <w:rStyle w:val="FootnoteAnchor"/>
          <w:rtl w:val="true"/>
        </w:rPr>
        <w:footnoteReference w:id="2197"/>
      </w:r>
      <w:r>
        <w:rPr>
          <w:rFonts w:ascii="Amiri" w:hAnsi="Amiri" w:eastAsia="Amiri" w:cs="Amiri"/>
          <w:color w:val="111111"/>
          <w:sz w:val="28"/>
          <w:sz w:val="28"/>
          <w:szCs w:val="28"/>
          <w:rtl w:val="true"/>
          <w:lang w:bidi="ar-SA"/>
        </w:rPr>
        <w:t xml:space="preserve">دليل على اعتبار هذا الظنّ الحاصل من الخبر مثلا ، وإلاّ فلا بدّ من الرجوع إلى عدم الحجّية وقاعدة العدم فهو حكم ظاهري في المسألة الأصولية ، أو </w:t>
      </w:r>
      <w:r>
        <w:rPr>
          <w:rStyle w:val="FootnoteAnchor"/>
          <w:rtl w:val="true"/>
        </w:rPr>
        <w:footnoteReference w:id="2198"/>
      </w:r>
      <w:r>
        <w:rPr>
          <w:rFonts w:ascii="Amiri" w:hAnsi="Amiri" w:eastAsia="Amiri" w:cs="Amiri"/>
          <w:color w:val="111111"/>
          <w:sz w:val="28"/>
          <w:sz w:val="28"/>
          <w:szCs w:val="28"/>
          <w:rtl w:val="true"/>
          <w:lang w:bidi="ar-SA"/>
        </w:rPr>
        <w:t xml:space="preserve">إلى البراءة أو إحدى أخواتها من الأصول في المسألة الفرعية وهو حكم ظاهري في المسألة الفرعية ، ويمكن أن يكون دليل واحد دليل الاجتهاد بالنسبة إلى مرتبة كما في الأدلّة </w:t>
      </w:r>
      <w:r>
        <w:rPr>
          <w:rStyle w:val="FootnoteAnchor"/>
          <w:rtl w:val="true"/>
        </w:rPr>
        <w:footnoteReference w:id="2199"/>
      </w:r>
      <w:r>
        <w:rPr>
          <w:rFonts w:ascii="Amiri" w:hAnsi="Amiri" w:eastAsia="Amiri" w:cs="Amiri"/>
          <w:color w:val="111111"/>
          <w:sz w:val="28"/>
          <w:sz w:val="28"/>
          <w:szCs w:val="28"/>
          <w:rtl w:val="true"/>
          <w:lang w:bidi="ar-SA"/>
        </w:rPr>
        <w:t>الدالّة على حجّية الخبر في المسألة الأصولية ، ودليل الفقاهة بالنسبة إلى مرتبة أخرى كما فيها بالنسبة إلى المسألة الفرعية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ظهر ممّا تقدّم أنّ الأحكام الظاهرية والواقعية أيضا متدرّجة </w:t>
      </w:r>
      <w:r>
        <w:rPr>
          <w:rStyle w:val="FootnoteAnchor"/>
          <w:rtl w:val="true"/>
        </w:rPr>
        <w:footnoteReference w:id="2200"/>
      </w:r>
      <w:r>
        <w:rPr>
          <w:rFonts w:ascii="Amiri" w:hAnsi="Amiri" w:eastAsia="Amiri" w:cs="Amiri"/>
          <w:color w:val="111111"/>
          <w:sz w:val="28"/>
          <w:sz w:val="28"/>
          <w:szCs w:val="28"/>
          <w:rtl w:val="true"/>
          <w:lang w:bidi="ar-SA"/>
        </w:rPr>
        <w:t xml:space="preserve">من حيث إنّ أدلّة الفقاهة </w:t>
      </w:r>
      <w:r>
        <w:rPr>
          <w:rStyle w:val="FootnoteAnchor"/>
          <w:rtl w:val="true"/>
        </w:rPr>
        <w:footnoteReference w:id="2201"/>
      </w:r>
      <w:r>
        <w:rPr>
          <w:rFonts w:ascii="Amiri" w:hAnsi="Amiri" w:eastAsia="Amiri" w:cs="Amiri"/>
          <w:color w:val="111111"/>
          <w:sz w:val="28"/>
          <w:sz w:val="28"/>
          <w:szCs w:val="28"/>
          <w:rtl w:val="true"/>
          <w:lang w:bidi="ar-SA"/>
        </w:rPr>
        <w:t xml:space="preserve">وأدلّة الاجتهاد </w:t>
      </w:r>
      <w:r>
        <w:rPr>
          <w:rStyle w:val="FootnoteAnchor"/>
          <w:rtl w:val="true"/>
        </w:rPr>
        <w:footnoteReference w:id="2202"/>
      </w:r>
      <w:r>
        <w:rPr>
          <w:rFonts w:ascii="Amiri" w:hAnsi="Amiri" w:eastAsia="Amiri" w:cs="Amiri"/>
          <w:color w:val="111111"/>
          <w:sz w:val="28"/>
          <w:sz w:val="28"/>
          <w:szCs w:val="28"/>
          <w:rtl w:val="true"/>
          <w:lang w:bidi="ar-SA"/>
        </w:rPr>
        <w:t xml:space="preserve">متدرّجة </w:t>
      </w:r>
      <w:r>
        <w:rPr>
          <w:rStyle w:val="FootnoteAnchor"/>
          <w:rtl w:val="true"/>
        </w:rPr>
        <w:footnoteReference w:id="2203"/>
      </w:r>
      <w:r>
        <w:rPr>
          <w:rFonts w:ascii="Amiri" w:hAnsi="Amiri" w:eastAsia="Amiri" w:cs="Amiri"/>
          <w:color w:val="111111"/>
          <w:sz w:val="28"/>
          <w:sz w:val="28"/>
          <w:szCs w:val="28"/>
          <w:rtl w:val="true"/>
          <w:lang w:bidi="ar-SA"/>
        </w:rPr>
        <w:t xml:space="preserve">، فكلّ </w:t>
      </w:r>
      <w:r>
        <w:rPr>
          <w:rStyle w:val="FootnoteAnchor"/>
          <w:rtl w:val="true"/>
        </w:rPr>
        <w:footnoteReference w:id="2204"/>
      </w:r>
      <w:r>
        <w:rPr>
          <w:rFonts w:ascii="Amiri" w:hAnsi="Amiri" w:eastAsia="Amiri" w:cs="Amiri"/>
          <w:color w:val="111111"/>
          <w:sz w:val="28"/>
          <w:sz w:val="28"/>
          <w:szCs w:val="28"/>
          <w:rtl w:val="true"/>
          <w:lang w:bidi="ar-SA"/>
        </w:rPr>
        <w:t xml:space="preserve">مترتبة منها واقعي بالنسبة إلى المرتبة المؤخّرة عنها ، وظاهري بالنسبة إلى المرتبة المقدّمة عليها ، فخبر الواحد إذا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 عن الحكم الواقعي ، وثانيتهما </w:t>
      </w:r>
      <w:r>
        <w:rPr>
          <w:rStyle w:val="FootnoteAnchor"/>
          <w:rtl w:val="true"/>
        </w:rPr>
        <w:footnoteReference w:id="2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وعدم الاعتناء باحتمال خلافه ، فهو من الجهة الأولى دليل اجتهادي وموضوع لحكم ظاهري هو وجوب الأخذ به ، ومن الثانية حكم ظاهري في المسألة الفرعية وحكم واقعي في المسألة الأصولية ، والدليل الدالّ على اعتباره دليل الفقاهة على الأوّل ، ودليل الاجتهاد على الثاني ، فيتداخل الأقسام بذواتها وإن كانت متميّزة بحيثياتها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يستفاد ممّا أفاده المحقّق المذكور ، إلاّ أنّه بعد لا يخلو عن مناقشة وإن كانت راجعة إلى الاصطلاح في بعض الوجوه ، فإنّ الموروث من قدماء أرباب الصناعة وأصحاب الفنّ هو الحكم بتقديم أدلّة الاجتهاد مطلقا على أدلّة الأحكام الظاهرية ، ولا يصحّ ذلك بإطلاقه على ما أفاده ؛ إذ لا بدّ حينئذ من ملاحظة الأدلّة الدالّة على الأحكام الظاهرية ، فإن كانت من الأصول العملية كالاستصحاب وأخواتها فيحكم فيها بالتقديم ، وإن كانت غيرها كالإجماع والسنّة ونحوها فلا بدّ من المعارضة على ما قرّر في التراجيح ، على أنّه لم يعهد إطلاق دليل الفقاهة على مثل الإجماع ونحوه فإنّ المعهود منها هي الأصول العملية الكلّية المستعملة في الأحكام ، أو الجزئية المقرّرة فيها وفي موضوعاتها مثلا ، مضافا إلى أنّ ما قرّره في تعريف الفقه ممّا لا يخلو عن نظر ، فتدبّر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w:t>
      </w:r>
      <w:r>
        <w:rPr>
          <w:rStyle w:val="FootnoteAnchor"/>
          <w:rtl w:val="true"/>
        </w:rPr>
        <w:footnoteReference w:id="2206"/>
      </w:r>
      <w:r>
        <w:rPr>
          <w:rFonts w:ascii="Amiri" w:hAnsi="Amiri" w:eastAsia="Amiri" w:cs="Amiri"/>
          <w:color w:val="111111"/>
          <w:sz w:val="28"/>
          <w:sz w:val="28"/>
          <w:szCs w:val="28"/>
          <w:rtl w:val="true"/>
          <w:lang w:bidi="ar-SA"/>
        </w:rPr>
        <w:t xml:space="preserve">كان ، فالأنسب بما نحن بصدده من بيان معارضات الاستصحاب هو أن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الاجتهادي هو ما يدلّ على الحكم الواقعي من غير ملاحظة الشكّ في موضوعه ، وما يدلّ على حكم الواقعة </w:t>
      </w:r>
      <w:r>
        <w:rPr>
          <w:rStyle w:val="FootnoteAnchor"/>
          <w:rtl w:val="true"/>
        </w:rPr>
        <w:footnoteReference w:id="2207"/>
      </w:r>
      <w:r>
        <w:rPr>
          <w:rFonts w:ascii="Amiri" w:hAnsi="Amiri" w:eastAsia="Amiri" w:cs="Amiri"/>
          <w:color w:val="111111"/>
          <w:sz w:val="28"/>
          <w:sz w:val="28"/>
          <w:szCs w:val="28"/>
          <w:rtl w:val="true"/>
          <w:lang w:bidi="ar-SA"/>
        </w:rPr>
        <w:t xml:space="preserve">من حيث كونها مجهول الحكم كأن يكون مبنيّا </w:t>
      </w:r>
      <w:r>
        <w:rPr>
          <w:rStyle w:val="FootnoteAnchor"/>
          <w:rtl w:val="true"/>
        </w:rPr>
        <w:footnoteReference w:id="2208"/>
      </w:r>
      <w:r>
        <w:rPr>
          <w:rFonts w:ascii="Amiri" w:hAnsi="Amiri" w:eastAsia="Amiri" w:cs="Amiri"/>
          <w:color w:val="111111"/>
          <w:sz w:val="28"/>
          <w:sz w:val="28"/>
          <w:szCs w:val="28"/>
          <w:rtl w:val="true"/>
          <w:lang w:bidi="ar-SA"/>
        </w:rPr>
        <w:t xml:space="preserve">لحكم الشكّ فهو دليل عملي مثل الأصول الأربعة الكلّية والأصول الجزئية كالقرعة وأشباهها ، وأمّا الأخبار الآحاد فليست مبنيّة </w:t>
      </w:r>
      <w:r>
        <w:rPr>
          <w:rStyle w:val="FootnoteAnchor"/>
          <w:rtl w:val="true"/>
        </w:rPr>
        <w:footnoteReference w:id="2209"/>
      </w:r>
      <w:r>
        <w:rPr>
          <w:rFonts w:ascii="Amiri" w:hAnsi="Amiri" w:eastAsia="Amiri" w:cs="Amiri"/>
          <w:color w:val="111111"/>
          <w:sz w:val="28"/>
          <w:sz w:val="28"/>
          <w:szCs w:val="28"/>
          <w:rtl w:val="true"/>
          <w:lang w:bidi="ar-SA"/>
        </w:rPr>
        <w:t xml:space="preserve">لحكم الواقعة باعتبار الشكّ ، وكذا ما يدلّ على اعتبارها أيضا فإنّ الأدلّة الدالّة عليه إنّما تدلّ على اعتبارها من حيث إنّها طرق إلى الواقع وحكايات عنه وكواشف منه </w:t>
      </w:r>
      <w:r>
        <w:rPr>
          <w:rStyle w:val="FootnoteAnchor"/>
          <w:rtl w:val="true"/>
        </w:rPr>
        <w:footnoteReference w:id="2210"/>
      </w:r>
      <w:r>
        <w:rPr>
          <w:rFonts w:ascii="Amiri" w:hAnsi="Amiri" w:eastAsia="Amiri" w:cs="Amiri"/>
          <w:color w:val="111111"/>
          <w:sz w:val="28"/>
          <w:sz w:val="28"/>
          <w:szCs w:val="28"/>
          <w:rtl w:val="true"/>
          <w:lang w:bidi="ar-SA"/>
        </w:rPr>
        <w:t>، وستعرف لذلك زيادة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بالأدلّة الاجتهادية هو ما عدا الأصول العملية ممّا يكشف عن حكم الواقعة المشكوكة لا من حيث إنّها مشكوكة ، ولا ضير في ذلك أن يكون قطعيا أو ظنّيا أو تعبّديا صرفا ، وفيما ذكرنا أيضا يختلف المراد ، مثلا إنّ الحكم الواقعي في الشكّ في التكليف هو البراءة ، فلو تخلّف عنها المجتهد وحكم بالاحتياط كما عن الأخباريين فهو في حقّه حكم ظاهري ، ولو تردّد في ذلك الحكم فلا بدّ له من الرجوع إلى أصل آخر مقرّر فيما شكّ في كونه من موارد البراءة والاحتياط ، وهو أيضا قد يصير مجهولا إلى الانتهاء إلى حدّ لا يعقل فيه الخطأ كالعلم ، فإنّه ليس وراء عبّادان قرية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بتوضيح المقال بالمثال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الدالّ </w:t>
      </w:r>
      <w:r>
        <w:rPr>
          <w:rStyle w:val="FootnoteAnchor"/>
          <w:rtl w:val="true"/>
        </w:rPr>
        <w:footnoteReference w:id="2211"/>
      </w:r>
      <w:r>
        <w:rPr>
          <w:rFonts w:ascii="Amiri" w:hAnsi="Amiri" w:eastAsia="Amiri" w:cs="Amiri"/>
          <w:color w:val="111111"/>
          <w:sz w:val="28"/>
          <w:sz w:val="28"/>
          <w:szCs w:val="28"/>
          <w:rtl w:val="true"/>
          <w:lang w:bidi="ar-SA"/>
        </w:rPr>
        <w:t xml:space="preserve">على حرمة العصير من حيث هو عصير وموضوع واقعي دليل اجتهادي ، وهذه الحرمة المستفادة منه حكم واقعي ، ففي صورة القطع بذلك فلا إشكال ، وكذا في صورة الظنّ فإنّ الدليل الدالّ على اعتباره لا يدلّ عليه من حيث إنّه مجهول الحكم ، وأمّا لو جهلنا بذلك الحكم الواقعي </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2212"/>
      </w:r>
      <w:r>
        <w:rPr>
          <w:rFonts w:ascii="Amiri" w:hAnsi="Amiri" w:eastAsia="Amiri" w:cs="Amiri"/>
          <w:color w:val="111111"/>
          <w:sz w:val="28"/>
          <w:sz w:val="28"/>
          <w:szCs w:val="28"/>
          <w:rtl w:val="true"/>
          <w:lang w:bidi="ar-SA"/>
        </w:rPr>
        <w:t xml:space="preserve">وصلنا إلى ما هو حكم </w:t>
      </w:r>
      <w:r>
        <w:rPr>
          <w:rStyle w:val="FootnoteAnchor"/>
          <w:rtl w:val="true"/>
        </w:rPr>
        <w:footnoteReference w:id="2213"/>
      </w:r>
      <w:r>
        <w:rPr>
          <w:rFonts w:ascii="Amiri" w:hAnsi="Amiri" w:eastAsia="Amiri" w:cs="Amiri"/>
          <w:color w:val="111111"/>
          <w:sz w:val="28"/>
          <w:sz w:val="28"/>
          <w:szCs w:val="28"/>
          <w:rtl w:val="true"/>
          <w:lang w:bidi="ar-SA"/>
        </w:rPr>
        <w:t xml:space="preserve">الشاكّ من الأخذ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ويكون إذا ذلك الحكم حكما ظاهريا ، وذلك الدليل أصلا وقد يعبّر عنه بالواقعي الثانوي ، وإلاّ فالمرجع ما هو مقرّر بعد ذلك فذلك الحكم ظاهري ثانوي ، وذلك الدليل أصل ثانوي ، إلى أن ينتهي </w:t>
      </w:r>
      <w:r>
        <w:rPr>
          <w:rStyle w:val="FootnoteAnchor"/>
          <w:rtl w:val="true"/>
        </w:rPr>
        <w:footnoteReference w:id="2214"/>
      </w:r>
      <w:r>
        <w:rPr>
          <w:rFonts w:ascii="Amiri" w:hAnsi="Amiri" w:eastAsia="Amiri" w:cs="Amiri"/>
          <w:color w:val="111111"/>
          <w:sz w:val="28"/>
          <w:sz w:val="28"/>
          <w:szCs w:val="28"/>
          <w:rtl w:val="true"/>
          <w:lang w:bidi="ar-SA"/>
        </w:rPr>
        <w:t xml:space="preserve">في المرتبة الرابعة أو الثالثة إلى ما لا يعقل الشكّ فيه كأحد </w:t>
      </w:r>
      <w:r>
        <w:rPr>
          <w:rStyle w:val="FootnoteAnchor"/>
          <w:rtl w:val="true"/>
        </w:rPr>
        <w:footnoteReference w:id="2215"/>
      </w:r>
      <w:r>
        <w:rPr>
          <w:rFonts w:ascii="Amiri" w:hAnsi="Amiri" w:eastAsia="Amiri" w:cs="Amiri"/>
          <w:color w:val="111111"/>
          <w:sz w:val="28"/>
          <w:sz w:val="28"/>
          <w:szCs w:val="28"/>
          <w:rtl w:val="true"/>
          <w:lang w:bidi="ar-SA"/>
        </w:rPr>
        <w:t>القضايا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المراد من الدليل الاجتهادي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التعارض بين الاستصحاب والأدلّة الاجتهادية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فيما إذا كان مبنى الاستصحاب على الظنّ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مبناه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إشكال في تقديم الأدلّة على الاستصحاب فيما لو كانت مفيدة للقطع ؛ لارتفاع موضوع الاستصحاب بالقطع حقيقة وواقعا ، فلا يعقل الاستصحاب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لم تكن </w:t>
      </w:r>
      <w:r>
        <w:rPr>
          <w:rStyle w:val="FootnoteAnchor"/>
          <w:rtl w:val="true"/>
        </w:rPr>
        <w:footnoteReference w:id="2216"/>
      </w:r>
      <w:r>
        <w:rPr>
          <w:rFonts w:ascii="Amiri" w:hAnsi="Amiri" w:eastAsia="Amiri" w:cs="Amiri"/>
          <w:color w:val="111111"/>
          <w:sz w:val="28"/>
          <w:sz w:val="28"/>
          <w:szCs w:val="28"/>
          <w:rtl w:val="true"/>
          <w:lang w:bidi="ar-SA"/>
        </w:rPr>
        <w:t xml:space="preserve">مفيدة للقطع فإن قلنا باعتبار الاستصحاب من حيث الظنّ ولو نوعا ، كما استظهرناه من مذاق القدماء من القوم </w:t>
      </w:r>
      <w:r>
        <w:rPr>
          <w:rStyle w:val="FootnoteAnchor"/>
          <w:rtl w:val="true"/>
        </w:rPr>
        <w:footnoteReference w:id="2217"/>
      </w:r>
      <w:r>
        <w:rPr>
          <w:rFonts w:ascii="Amiri" w:hAnsi="Amiri" w:eastAsia="Amiri" w:cs="Amiri"/>
          <w:color w:val="111111"/>
          <w:sz w:val="28"/>
          <w:sz w:val="28"/>
          <w:szCs w:val="28"/>
          <w:rtl w:val="true"/>
          <w:lang w:bidi="ar-SA"/>
        </w:rPr>
        <w:t xml:space="preserve">، فلا شكّ أيضا في تقديم الأدلّة الاجتهادية على الاستصحاب ؛ لأنّ المدرك فيه هو بناء العقلاء وليس بناؤهم على الأخذ بالحالة السابقة في قبال الدليل القاضي بارتفاعها ، ولعلّ السرّ في ذلك عدم بقاء استعداده لإفادة الظنّ ، ويكون ملحقا بأخبار 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استعداده لإفادة الظنّ النوعي ، فليس عدم إفادته الظنّ من حيث وجود المعارض والمصادمة كما في تعارض الأخبار مثلا ؛ لأنّ المنساق من كلمات بعضهم على ما نبّهنا عليه فيما تقدّم </w:t>
      </w:r>
      <w:r>
        <w:rPr>
          <w:rStyle w:val="FootnoteAnchor"/>
          <w:rtl w:val="true"/>
        </w:rPr>
        <w:footnoteReference w:id="2218"/>
      </w:r>
      <w:r>
        <w:rPr>
          <w:rFonts w:ascii="Amiri" w:hAnsi="Amiri" w:eastAsia="Amiri" w:cs="Amiri"/>
          <w:color w:val="111111"/>
          <w:sz w:val="28"/>
          <w:sz w:val="28"/>
          <w:szCs w:val="28"/>
          <w:rtl w:val="true"/>
          <w:lang w:bidi="ar-SA"/>
        </w:rPr>
        <w:t xml:space="preserve">أنّ عدم الظنّ على الخلاف وعدم الدليل مأخوذ في ماهيّة الاستصحاب ، ويزيد ذلك وضوحا فيما لو انتفى الظنّ من غير جهة المعارضة بواسطة الموهنات </w:t>
      </w:r>
      <w:r>
        <w:rPr>
          <w:rStyle w:val="FootnoteAnchor"/>
          <w:rtl w:val="true"/>
        </w:rPr>
        <w:footnoteReference w:id="2219"/>
      </w:r>
      <w:r>
        <w:rPr>
          <w:rFonts w:ascii="IRNazanin" w:hAnsi="IRNazanin" w:eastAsia="IRNazanin"/>
          <w:color w:val="111111"/>
          <w:sz w:val="28"/>
          <w:sz w:val="28"/>
          <w:szCs w:val="28"/>
          <w:rtl w:val="true"/>
          <w:lang w:bidi="fa-IR"/>
        </w:rPr>
        <w:t>الأخر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يثمر في ارتفاع الظنّ الشخصي ، وأمّا الظنّ النوعي فلا معنى لارتفاع استعداده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ذلك أنّ بناء العقلاء على ذلك إنّما هو في مقام التحيّر ، وبعد وجود الدليل فلا حيرة لهم فليس بناؤهم على الأخذ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فالذي يسهّل الخطب في المقام هو اتّفاق القائلين </w:t>
      </w:r>
      <w:r>
        <w:rPr>
          <w:rStyle w:val="FootnoteAnchor"/>
          <w:rtl w:val="true"/>
        </w:rPr>
        <w:footnoteReference w:id="2220"/>
      </w:r>
      <w:r>
        <w:rPr>
          <w:rFonts w:ascii="Amiri" w:hAnsi="Amiri" w:eastAsia="Amiri" w:cs="Amiri"/>
          <w:color w:val="111111"/>
          <w:sz w:val="28"/>
          <w:sz w:val="28"/>
          <w:szCs w:val="28"/>
          <w:rtl w:val="true"/>
          <w:lang w:bidi="ar-SA"/>
        </w:rPr>
        <w:t xml:space="preserve">بالاستصحاب من الأصحاب وغيرهم على العمل بالدليل وطرح الحالة السابقة في قباله ، ولم يعهد منهم الخلاف في ذلك من وجه عدا ما يظهر من المحقّق القمي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عن بعض المتأخّرين </w:t>
      </w:r>
      <w:r>
        <w:rPr>
          <w:rStyle w:val="FootnoteAnchor"/>
          <w:rtl w:val="true"/>
        </w:rPr>
        <w:footnoteReference w:id="2221"/>
      </w:r>
      <w:r>
        <w:rPr>
          <w:rFonts w:ascii="Amiri" w:hAnsi="Amiri" w:eastAsia="Amiri" w:cs="Amiri"/>
          <w:color w:val="111111"/>
          <w:sz w:val="28"/>
          <w:sz w:val="28"/>
          <w:szCs w:val="28"/>
          <w:rtl w:val="true"/>
          <w:lang w:bidi="ar-SA"/>
        </w:rPr>
        <w:t xml:space="preserve">عدم معارضة الاستصحاب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 الدليل ما ثبت رجحانه على معارضه فلا اختصاص لهذا الشرط بالاستصحاب فإنّه سار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من الدليل ما يقابل الأصل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على ذلك إن سلّم في أصل البراءة وأصل العدم فهو في الاستصحاب ممنوع ، ألا ترى أنّ جمهور المتأخّرين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مال المفقود في حكم ماله حتّى يحصل العلم العاديّ بموته استصحابا للحالة السابقة مع ما ورد من الأخبار المعتبرة بالفحص أربع سنين ثمّ التقسيم بين الورثة ، فكيف يدّعى الإجماع على ذلك؟</w:t>
      </w:r>
    </w:p>
    <w:p>
      <w:pPr>
        <w:pStyle w:val="BookText"/>
        <w:rPr/>
      </w:pPr>
      <w:r>
        <w:rPr>
          <w:rFonts w:ascii="Amiri" w:hAnsi="Amiri" w:eastAsia="Amiri" w:cs="Amiri"/>
          <w:color w:val="111111"/>
          <w:sz w:val="28"/>
          <w:sz w:val="28"/>
          <w:szCs w:val="28"/>
          <w:rtl w:val="true"/>
          <w:lang w:bidi="ar-SA"/>
        </w:rPr>
        <w:t xml:space="preserve">وإن أراد أنّ الاستصحاب من حيث هو لا يعارض الدليل القطعي </w:t>
      </w:r>
      <w:r>
        <w:rPr>
          <w:rStyle w:val="FootnoteAnchor"/>
          <w:rtl w:val="true"/>
        </w:rPr>
        <w:footnoteReference w:id="2222"/>
      </w:r>
      <w:r>
        <w:rPr>
          <w:rFonts w:ascii="Amiri" w:hAnsi="Amiri" w:eastAsia="Amiri" w:cs="Amiri"/>
          <w:color w:val="111111"/>
          <w:sz w:val="28"/>
          <w:sz w:val="28"/>
          <w:szCs w:val="28"/>
          <w:rtl w:val="true"/>
          <w:lang w:bidi="ar-SA"/>
        </w:rPr>
        <w:t>كما أنّ العامّ والمفهوم من حيث إنّهما كذلك لا يعارضان الخاصّ والمنطوق ، فله وجه إلاّ أنّه لا ينافي تقديمه على الدليل بواسطة الخارج كما فيهما أيضا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أردف ذلك باحتمال أخذ الظنّ في تعريف الاستصحاب كأن يكون الحكم مظنون البقاء فحكم بانتفاء الاستصحاب وحقيقته عند وجود الدليل ، فلا يعقل الاشتراط ، وعلى تقدير عدم اعتباره في ماهيّة </w:t>
      </w:r>
      <w:r>
        <w:rPr>
          <w:rStyle w:val="FootnoteAnchor"/>
          <w:rtl w:val="true"/>
        </w:rPr>
        <w:footnoteReference w:id="2223"/>
      </w:r>
      <w:r>
        <w:rPr>
          <w:rFonts w:ascii="IRNazanin" w:hAnsi="IRNazanin" w:eastAsia="IRNazanin"/>
          <w:color w:val="111111"/>
          <w:sz w:val="28"/>
          <w:sz w:val="28"/>
          <w:szCs w:val="28"/>
          <w:rtl w:val="true"/>
          <w:lang w:bidi="fa-IR"/>
        </w:rPr>
        <w:t xml:space="preserve">ورود </w:t>
      </w:r>
      <w:r>
        <w:rPr>
          <w:rStyle w:val="FootnoteAnchor"/>
          <w:rtl w:val="true"/>
        </w:rPr>
        <w:footnoteReference w:id="2224"/>
      </w:r>
      <w:r>
        <w:rPr>
          <w:rFonts w:ascii="Amiri" w:hAnsi="Amiri" w:eastAsia="Amiri" w:cs="Amiri"/>
          <w:color w:val="111111"/>
          <w:sz w:val="28"/>
          <w:sz w:val="28"/>
          <w:szCs w:val="28"/>
          <w:rtl w:val="true"/>
          <w:lang w:bidi="ar-SA"/>
        </w:rPr>
        <w:t xml:space="preserve">الأمر بين اعتباره من جهة الظنّ </w:t>
      </w:r>
    </w:p>
    <w:p>
      <w:pPr>
        <w:pStyle w:val="BookText"/>
        <w:rPr/>
      </w:pPr>
      <w:r>
        <w:rPr>
          <w:rFonts w:ascii="Amiri" w:hAnsi="Amiri" w:eastAsia="Amiri" w:cs="Amiri"/>
          <w:color w:val="111111"/>
          <w:sz w:val="28"/>
          <w:sz w:val="28"/>
          <w:szCs w:val="28"/>
          <w:rtl w:val="true"/>
          <w:lang w:bidi="ar-SA"/>
        </w:rPr>
        <w:t xml:space="preserve">ومن جهة </w:t>
      </w:r>
      <w:r>
        <w:rPr>
          <w:rStyle w:val="FootnoteAnchor"/>
          <w:rtl w:val="true"/>
        </w:rPr>
        <w:footnoteReference w:id="2225"/>
      </w:r>
      <w:r>
        <w:rPr>
          <w:rFonts w:ascii="Amiri" w:hAnsi="Amiri" w:eastAsia="Amiri" w:cs="Amiri"/>
          <w:color w:val="111111"/>
          <w:sz w:val="28"/>
          <w:sz w:val="28"/>
          <w:szCs w:val="28"/>
          <w:rtl w:val="true"/>
          <w:lang w:bidi="ar-SA"/>
        </w:rPr>
        <w:t xml:space="preserve">الأخبار فأورد على الاشتراط على الأوّل بمثل ما أورده أوّلا من عدم الاختصاص بالاستصحاب لتبدّل الظنّ وهما بعد ورود الدليل ، وعلى الثاني في غير ما إذا كان الدليل قطعيا بأنّ المرجع إلى تعارض الدليلين حينئذ أيضا ، فلا وجه للاختصاص </w:t>
      </w:r>
      <w:r>
        <w:rPr>
          <w:rStyle w:val="FootnoteAnchor"/>
          <w:rtl w:val="true"/>
        </w:rPr>
        <w:footnoteReference w:id="2226"/>
      </w:r>
      <w:r>
        <w:rPr>
          <w:rFonts w:ascii="IRNazanin" w:hAnsi="IRNazanin" w:eastAsia="IRNazanin"/>
          <w:color w:val="111111"/>
          <w:sz w:val="28"/>
          <w:sz w:val="28"/>
          <w:szCs w:val="28"/>
          <w:rtl w:val="true"/>
          <w:lang w:bidi="fa-IR"/>
        </w:rPr>
        <w:t xml:space="preserve">، هذه </w:t>
      </w:r>
      <w:r>
        <w:rPr>
          <w:rStyle w:val="FootnoteAnchor"/>
          <w:rtl w:val="true"/>
        </w:rPr>
        <w:footnoteReference w:id="2227"/>
      </w:r>
      <w:r>
        <w:rPr>
          <w:rFonts w:ascii="Amiri" w:hAnsi="Amiri" w:eastAsia="Amiri" w:cs="Amiri"/>
          <w:color w:val="111111"/>
          <w:sz w:val="28"/>
          <w:sz w:val="28"/>
          <w:szCs w:val="28"/>
          <w:rtl w:val="true"/>
          <w:lang w:bidi="ar-SA"/>
        </w:rPr>
        <w:t>خلاصة ما أفاده في القوانين إلاّ أنّه لم نقف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فنختار من الترديدات ثانيها </w:t>
      </w:r>
      <w:r>
        <w:rPr>
          <w:rStyle w:val="FootnoteAnchor"/>
          <w:rtl w:val="true"/>
        </w:rPr>
        <w:footnoteReference w:id="2228"/>
      </w:r>
      <w:r>
        <w:rPr>
          <w:rFonts w:ascii="IRNazanin" w:hAnsi="IRNazanin" w:eastAsia="IRNazanin"/>
          <w:color w:val="111111"/>
          <w:sz w:val="28"/>
          <w:sz w:val="28"/>
          <w:szCs w:val="28"/>
          <w:rtl w:val="true"/>
          <w:lang w:bidi="fa-IR"/>
        </w:rPr>
        <w:t xml:space="preserve">، و </w:t>
      </w:r>
      <w:r>
        <w:rPr>
          <w:rStyle w:val="FootnoteAnchor"/>
          <w:rtl w:val="true"/>
        </w:rPr>
        <w:footnoteReference w:id="2229"/>
      </w:r>
      <w:r>
        <w:rPr>
          <w:rFonts w:ascii="Amiri" w:hAnsi="Amiri" w:eastAsia="Amiri" w:cs="Amiri"/>
          <w:color w:val="111111"/>
          <w:sz w:val="28"/>
          <w:sz w:val="28"/>
          <w:szCs w:val="28"/>
          <w:rtl w:val="true"/>
          <w:lang w:bidi="ar-SA"/>
        </w:rPr>
        <w:t xml:space="preserve">منع الإجماع ممّا لا يصغى إليه بعد ظهوره بالتتبّع في مطاوي كلماتهم ، وأمّا حديث المفقود فممّا لا مساس له بالمقصود ؛ لأنّ القائلين </w:t>
      </w:r>
      <w:r>
        <w:rPr>
          <w:rStyle w:val="FootnoteAnchor"/>
          <w:rtl w:val="true"/>
        </w:rPr>
        <w:footnoteReference w:id="2230"/>
      </w:r>
      <w:r>
        <w:rPr>
          <w:rFonts w:ascii="Amiri" w:hAnsi="Amiri" w:eastAsia="Amiri" w:cs="Amiri"/>
          <w:color w:val="111111"/>
          <w:sz w:val="28"/>
          <w:sz w:val="28"/>
          <w:szCs w:val="28"/>
          <w:rtl w:val="true"/>
          <w:lang w:bidi="ar-SA"/>
        </w:rPr>
        <w:t xml:space="preserve">بالاستصحاب على ما يظهر منهم في الفقه إنّما تمسّكوا به من جهة ضعف تلك الأخبار عندهم على ما صرّح به المحقّق في الشرائع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بعد التسليم عن ذلك أنّ الكلام في المقام إنّما هو في تقديم الأدلّة الاجتهادية على الاستصحاب بمعنى أنّه لو قام دليل على ارتفاع الحالة السابقة فهل يؤخذ بالاستصحاب ويحكم بحسبه بوجودها وترتيب آثارها عليها ، أو لا بدّ من الأخذ بمفاد ذلك الدليل والحكم بارتفاع الحالة السابقة وعدم ترتيب الآثار عليها ، بل ترتيب آثار العدم عليها كما هو ظاهر؟ مثلا لو قامت </w:t>
      </w:r>
      <w:r>
        <w:rPr>
          <w:rStyle w:val="FootnoteAnchor"/>
          <w:rtl w:val="true"/>
        </w:rPr>
        <w:footnoteReference w:id="2232"/>
      </w:r>
      <w:r>
        <w:rPr>
          <w:rFonts w:ascii="Amiri" w:hAnsi="Amiri" w:eastAsia="Amiri" w:cs="Amiri"/>
          <w:color w:val="111111"/>
          <w:sz w:val="28"/>
          <w:sz w:val="28"/>
          <w:szCs w:val="28"/>
          <w:rtl w:val="true"/>
          <w:lang w:bidi="ar-SA"/>
        </w:rPr>
        <w:t>البيّنة على موت زيد المشكوك موته فإن قلنا بأنّ من شرط العمل بالحالة السابقة عدم العلم بارتفاعها في الزمان اللاحق ، فلا يجب إنفاق زوجته من ماله ، بل يؤخذ بأحكام موته من عدم تورّثه من مال مورّثه وتقسيم أمواله بين الورثة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بعدم الاشتراط ، فيقع التعارض ؛ لأنّ قضيّة الاستصحاب هو الأخذ بالحالة السابقة ، والبيّنة تقضي </w:t>
      </w:r>
      <w:r>
        <w:rPr>
          <w:rStyle w:val="FootnoteAnchor"/>
          <w:rtl w:val="true"/>
        </w:rPr>
        <w:footnoteReference w:id="2233"/>
      </w:r>
      <w:r>
        <w:rPr>
          <w:rFonts w:ascii="IRNazanin" w:hAnsi="IRNazanin" w:eastAsia="IRNazanin"/>
          <w:color w:val="111111"/>
          <w:sz w:val="28"/>
          <w:sz w:val="28"/>
          <w:szCs w:val="28"/>
          <w:rtl w:val="true"/>
          <w:lang w:bidi="fa-IR"/>
        </w:rPr>
        <w:t>بارتفاعها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لو قام دليل على أنّ حكم المشكوك المسبوق بالحالة السابقة مطلقا أو في خصوص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 بخلاف ما هو المستفاد من دليل الاستصحاب ، فلا شكّ في وقوع التعارض بين أدلّة الاستصحاب وبينه ، كما في الشكّ في عدد الركعات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الشكّ ممّا يقضي </w:t>
      </w:r>
      <w:r>
        <w:rPr>
          <w:rStyle w:val="FootnoteAnchor"/>
          <w:rtl w:val="true"/>
        </w:rPr>
        <w:footnoteReference w:id="2234"/>
      </w:r>
      <w:r>
        <w:rPr>
          <w:rFonts w:ascii="Amiri" w:hAnsi="Amiri" w:eastAsia="Amiri" w:cs="Amiri"/>
          <w:color w:val="111111"/>
          <w:sz w:val="28"/>
          <w:sz w:val="28"/>
          <w:szCs w:val="28"/>
          <w:rtl w:val="true"/>
          <w:lang w:bidi="ar-SA"/>
        </w:rPr>
        <w:t xml:space="preserve">بعدم الأخذ بالحالة السابقة وترتيب آثار الوجود على المشكوك المسبوق بالحالة السابقة العدمية ، والأخبار الواردة في تقسيم مال المفقود من هذا القبيل ، ولا تعارض بينها </w:t>
      </w:r>
      <w:r>
        <w:rPr>
          <w:rStyle w:val="FootnoteAnchor"/>
          <w:rtl w:val="true"/>
        </w:rPr>
        <w:footnoteReference w:id="2235"/>
      </w:r>
      <w:r>
        <w:rPr>
          <w:rFonts w:ascii="Amiri" w:hAnsi="Amiri" w:eastAsia="Amiri" w:cs="Amiri"/>
          <w:color w:val="111111"/>
          <w:sz w:val="28"/>
          <w:sz w:val="28"/>
          <w:szCs w:val="28"/>
          <w:rtl w:val="true"/>
          <w:lang w:bidi="ar-SA"/>
        </w:rPr>
        <w:t xml:space="preserve">وبين الاستصحاب بمعنى أنّ </w:t>
      </w:r>
      <w:r>
        <w:rPr>
          <w:rStyle w:val="FootnoteAnchor"/>
          <w:rtl w:val="true"/>
        </w:rPr>
        <w:footnoteReference w:id="2236"/>
      </w:r>
      <w:r>
        <w:rPr>
          <w:rFonts w:ascii="Amiri" w:hAnsi="Amiri" w:eastAsia="Amiri" w:cs="Amiri"/>
          <w:color w:val="111111"/>
          <w:sz w:val="28"/>
          <w:sz w:val="28"/>
          <w:szCs w:val="28"/>
          <w:rtl w:val="true"/>
          <w:lang w:bidi="ar-SA"/>
        </w:rPr>
        <w:t xml:space="preserve">المستفاد منها أنّ المفقود الذي لا يعلم </w:t>
      </w:r>
      <w:r>
        <w:rPr>
          <w:rStyle w:val="FootnoteAnchor"/>
          <w:rtl w:val="true"/>
        </w:rPr>
        <w:footnoteReference w:id="2237"/>
      </w:r>
      <w:r>
        <w:rPr>
          <w:rFonts w:ascii="IRNazanin" w:hAnsi="IRNazanin" w:eastAsia="IRNazanin"/>
          <w:color w:val="111111"/>
          <w:sz w:val="28"/>
          <w:sz w:val="28"/>
          <w:szCs w:val="28"/>
          <w:rtl w:val="true"/>
          <w:lang w:bidi="fa-IR"/>
        </w:rPr>
        <w:t xml:space="preserve">وجوده وعدمه بعد الفحص عنه </w:t>
      </w:r>
      <w:r>
        <w:rPr>
          <w:rStyle w:val="FootnoteAnchor"/>
          <w:rtl w:val="true"/>
        </w:rPr>
        <w:footnoteReference w:id="2238"/>
      </w:r>
      <w:r>
        <w:rPr>
          <w:rFonts w:ascii="Amiri" w:hAnsi="Amiri" w:eastAsia="Amiri" w:cs="Amiri"/>
          <w:color w:val="111111"/>
          <w:sz w:val="28"/>
          <w:sz w:val="28"/>
          <w:szCs w:val="28"/>
          <w:rtl w:val="true"/>
          <w:lang w:bidi="ar-SA"/>
        </w:rPr>
        <w:t xml:space="preserve">أربع سنين يقسّم ماله بين ورثته كما أنّه تعتدّ زوجته ، ثمّ تحل للازدواج </w:t>
      </w:r>
      <w:r>
        <w:rPr>
          <w:rStyle w:val="FootnoteAnchor"/>
          <w:rtl w:val="true"/>
        </w:rPr>
        <w:footnoteReference w:id="2239"/>
      </w:r>
      <w:r>
        <w:rPr>
          <w:rFonts w:ascii="Amiri" w:hAnsi="Amiri" w:eastAsia="Amiri" w:cs="Amiri"/>
          <w:color w:val="111111"/>
          <w:sz w:val="28"/>
          <w:sz w:val="28"/>
          <w:szCs w:val="28"/>
          <w:rtl w:val="true"/>
          <w:lang w:bidi="ar-SA"/>
        </w:rPr>
        <w:t xml:space="preserve">بعد أن لم تصبر مثلا ، فهذه قاعدة خاصّة وأصل خاصّ وارد في مقام حكم الشيء المشكوك كنفس الاستصحاب ، ولا ريب في تقدّمه عليه على تقدير اعتبار الأخبار الدالّة عليه كما عرفت في تقديم </w:t>
      </w:r>
      <w:r>
        <w:rPr>
          <w:rStyle w:val="FootnoteAnchor"/>
          <w:rtl w:val="true"/>
        </w:rPr>
        <w:footnoteReference w:id="2240"/>
      </w:r>
      <w:r>
        <w:rPr>
          <w:rFonts w:ascii="Amiri" w:hAnsi="Amiri" w:eastAsia="Amiri" w:cs="Amiri"/>
          <w:color w:val="111111"/>
          <w:sz w:val="28"/>
          <w:sz w:val="28"/>
          <w:szCs w:val="28"/>
          <w:rtl w:val="true"/>
          <w:lang w:bidi="ar-SA"/>
        </w:rPr>
        <w:t xml:space="preserve">أخبار الشكّ في عدد الركعات عليه كما لا يخفى ، وليس مفادها أنّ الحالة السابقة التي هي مناط الاستصحاب قد ارتفعت وإن كانت مشاركة في الحكم بعدم الأخذ بالآثار المترتّبة على الحالة السابقة مع الدليل القاضي بارتفاع الحالة السابقة ، ولعلّ ذلك هو الوجه في الاختلاط بينهما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هو القول بعدم الأخذ بالحالة السابقة فيما لو قام دليل على ارتفاعها </w:t>
      </w:r>
      <w:r>
        <w:rPr>
          <w:rStyle w:val="FootnoteAnchor"/>
          <w:rtl w:val="true"/>
        </w:rPr>
        <w:footnoteReference w:id="2242"/>
      </w:r>
      <w:r>
        <w:rPr>
          <w:rFonts w:ascii="IRNazanin" w:hAnsi="IRNazanin" w:eastAsia="IRNazanin"/>
          <w:color w:val="111111"/>
          <w:sz w:val="28"/>
          <w:sz w:val="28"/>
          <w:szCs w:val="28"/>
          <w:rtl w:val="true"/>
          <w:lang w:bidi="fa-IR"/>
        </w:rPr>
        <w:t xml:space="preserve">لا </w:t>
      </w:r>
      <w:r>
        <w:rPr>
          <w:rStyle w:val="FootnoteAnchor"/>
          <w:rtl w:val="true"/>
        </w:rPr>
        <w:footnoteReference w:id="2243"/>
      </w:r>
      <w:r>
        <w:rPr>
          <w:rFonts w:ascii="Amiri" w:hAnsi="Amiri" w:eastAsia="Amiri" w:cs="Amiri"/>
          <w:color w:val="111111"/>
          <w:sz w:val="28"/>
          <w:sz w:val="28"/>
          <w:szCs w:val="28"/>
          <w:rtl w:val="true"/>
          <w:lang w:bidi="ar-SA"/>
        </w:rPr>
        <w:t xml:space="preserve">القول بعدم ما يقضي </w:t>
      </w:r>
      <w:r>
        <w:rPr>
          <w:rStyle w:val="FootnoteAnchor"/>
          <w:rtl w:val="true"/>
        </w:rPr>
        <w:footnoteReference w:id="2244"/>
      </w:r>
      <w:r>
        <w:rPr>
          <w:rFonts w:ascii="Amiri" w:hAnsi="Amiri" w:eastAsia="Amiri" w:cs="Amiri"/>
          <w:color w:val="111111"/>
          <w:sz w:val="28"/>
          <w:sz w:val="28"/>
          <w:szCs w:val="28"/>
          <w:rtl w:val="true"/>
          <w:lang w:bidi="ar-SA"/>
        </w:rPr>
        <w:t xml:space="preserve">بخلاف ما يقضي به الاستصحاب في مقام عدم </w:t>
      </w:r>
    </w:p>
    <w:p>
      <w:pPr>
        <w:pStyle w:val="BookText"/>
        <w:rPr/>
      </w:pPr>
      <w:r>
        <w:rPr>
          <w:rFonts w:ascii="Amiri" w:hAnsi="Amiri" w:eastAsia="Amiri" w:cs="Amiri"/>
          <w:color w:val="111111"/>
          <w:sz w:val="28"/>
          <w:sz w:val="28"/>
          <w:szCs w:val="28"/>
          <w:rtl w:val="true"/>
          <w:lang w:bidi="ar-SA"/>
        </w:rPr>
        <w:t xml:space="preserve">العلم بالحالة السابقة ، غاية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الأحكام المعمولة في الأدلّة اللفظية من تقديم </w:t>
      </w:r>
      <w:r>
        <w:rPr>
          <w:rStyle w:val="FootnoteAnchor"/>
          <w:rtl w:val="true"/>
        </w:rPr>
        <w:footnoteReference w:id="2245"/>
      </w:r>
      <w:r>
        <w:rPr>
          <w:rFonts w:ascii="Amiri" w:hAnsi="Amiri" w:eastAsia="Amiri" w:cs="Amiri"/>
          <w:color w:val="111111"/>
          <w:sz w:val="28"/>
          <w:sz w:val="28"/>
          <w:szCs w:val="28"/>
          <w:rtl w:val="true"/>
          <w:lang w:bidi="ar-SA"/>
        </w:rPr>
        <w:t xml:space="preserve">الخاصّ على العامّ ونحوه ، ممّا يجب مراعاتها في المقام أيضا فلا وجه لتقديم أخبار الاستصحاب على مثل هذه الأخبار الخاصّة المبنيّة </w:t>
      </w:r>
      <w:r>
        <w:rPr>
          <w:rStyle w:val="FootnoteAnchor"/>
          <w:rtl w:val="true"/>
        </w:rPr>
        <w:footnoteReference w:id="2246"/>
      </w:r>
      <w:r>
        <w:rPr>
          <w:rFonts w:ascii="Amiri" w:hAnsi="Amiri" w:eastAsia="Amiri" w:cs="Amiri"/>
          <w:color w:val="111111"/>
          <w:sz w:val="28"/>
          <w:sz w:val="28"/>
          <w:szCs w:val="28"/>
          <w:rtl w:val="true"/>
          <w:lang w:bidi="ar-SA"/>
        </w:rPr>
        <w:t>لحكم الشكّ ، فيجاب عنه بالقضيّة المعروفة من أنّ العامّ مع عمومه ربّما يقدّم على الخاصّ لأمور خارجية عنهما وذلك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الترديد بين أخذ الظنّ في تعريف الاستصحاب ممّا ليس في محلّه ؛ لعدم اعتبار الظنّ في واحد من التعاريف على ما سمعت الكلام فيها ، نعم يظهر من العضدي </w:t>
      </w:r>
      <w:r>
        <w:rPr>
          <w:rStyle w:val="FootnoteAnchor"/>
          <w:rtl w:val="true"/>
        </w:rPr>
        <w:footnoteReference w:id="2247"/>
      </w:r>
      <w:r>
        <w:rPr>
          <w:rFonts w:ascii="Amiri" w:hAnsi="Amiri" w:eastAsia="Amiri" w:cs="Amiri"/>
          <w:color w:val="111111"/>
          <w:sz w:val="28"/>
          <w:sz w:val="28"/>
          <w:szCs w:val="28"/>
          <w:rtl w:val="true"/>
          <w:lang w:bidi="ar-SA"/>
        </w:rPr>
        <w:t>أنّ الاستصحاب هو الاستدلال المعهود ، وعلى تقدير تعقّله فليس استصحابا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في ثاني شقّي هذا </w:t>
      </w:r>
      <w:r>
        <w:rPr>
          <w:rStyle w:val="FootnoteAnchor"/>
          <w:rtl w:val="true"/>
        </w:rPr>
        <w:footnoteReference w:id="2248"/>
      </w:r>
      <w:r>
        <w:rPr>
          <w:rFonts w:ascii="Amiri" w:hAnsi="Amiri" w:eastAsia="Amiri" w:cs="Amiri"/>
          <w:color w:val="111111"/>
          <w:sz w:val="28"/>
          <w:sz w:val="28"/>
          <w:szCs w:val="28"/>
          <w:rtl w:val="true"/>
          <w:lang w:bidi="ar-SA"/>
        </w:rPr>
        <w:t xml:space="preserve">الترديد من عدم الاختصاص بالاستصحاب بعد تبدّل الظنّ المعتبر </w:t>
      </w:r>
      <w:r>
        <w:rPr>
          <w:rStyle w:val="FootnoteAnchor"/>
          <w:rtl w:val="true"/>
        </w:rPr>
        <w:footnoteReference w:id="2249"/>
      </w:r>
      <w:r>
        <w:rPr>
          <w:rFonts w:ascii="Amiri" w:hAnsi="Amiri" w:eastAsia="Amiri" w:cs="Amiri"/>
          <w:color w:val="111111"/>
          <w:sz w:val="28"/>
          <w:sz w:val="28"/>
          <w:szCs w:val="28"/>
          <w:rtl w:val="true"/>
          <w:lang w:bidi="ar-SA"/>
        </w:rPr>
        <w:t>فيه وهما ، ليس على ما ينبغي ؛ لأنّ اطّراد ذلك وجه للاختصاص ، وإلاّ فلا وجه للقول بالتبدّل على الإطلاق فلعلّه لم يتبدّل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المستفاد من مقالته أخيرا هو وقوع التعارض بين أخبار الاستصحاب وبين الأدلّة الاجتهادية ، وسيأتي بعيد </w:t>
      </w:r>
      <w:r>
        <w:rPr>
          <w:rStyle w:val="FootnoteAnchor"/>
          <w:rtl w:val="true"/>
        </w:rPr>
        <w:footnoteReference w:id="2250"/>
      </w:r>
      <w:r>
        <w:rPr>
          <w:rFonts w:ascii="Amiri" w:hAnsi="Amiri" w:eastAsia="Amiri" w:cs="Amiri"/>
          <w:color w:val="111111"/>
          <w:sz w:val="28"/>
          <w:sz w:val="28"/>
          <w:szCs w:val="28"/>
          <w:rtl w:val="true"/>
          <w:lang w:bidi="ar-SA"/>
        </w:rPr>
        <w:t>ذلك عدم استقامة أمثال هذه الكلمات على ما هو مذاقنا في الاستصحاب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فيما لو قلنا بالاستصحاب من جهة الظنّ النوعي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مثل الغلبة يزول استعداده للظنّ بعد وجود الدليل ، فإنّ إلحاق المشكوك بالأعمّ الأغلب إنّما هو فيما كان الفرد المشكوك ممّا تساوى طرفاه لو لا إلحاقه بالأعمّ ، </w:t>
      </w:r>
    </w:p>
    <w:p>
      <w:pPr>
        <w:pStyle w:val="BookText"/>
        <w:rPr/>
      </w:pPr>
      <w:r>
        <w:rPr>
          <w:rFonts w:ascii="Amiri" w:hAnsi="Amiri" w:eastAsia="Amiri" w:cs="Amiri"/>
          <w:color w:val="111111"/>
          <w:sz w:val="28"/>
          <w:sz w:val="28"/>
          <w:szCs w:val="28"/>
          <w:rtl w:val="true"/>
          <w:lang w:bidi="ar-SA"/>
        </w:rPr>
        <w:t xml:space="preserve">وبعد قيام الدليل على تفرّده من الأفراد الأخر لا يبقى موضوع المفروض في الغلبة كما هو ظاهر ، والعمدة هو الإجماع المدّعى في كلام جماعة </w:t>
      </w:r>
      <w:r>
        <w:rPr>
          <w:rStyle w:val="FootnoteAnchor"/>
          <w:rtl w:val="true"/>
        </w:rPr>
        <w:footnoteReference w:id="2251"/>
      </w:r>
      <w:r>
        <w:rPr>
          <w:rFonts w:ascii="Amiri" w:hAnsi="Amiri" w:eastAsia="Amiri" w:cs="Amiri"/>
          <w:color w:val="111111"/>
          <w:sz w:val="28"/>
          <w:sz w:val="28"/>
          <w:szCs w:val="28"/>
          <w:rtl w:val="true"/>
          <w:lang w:bidi="ar-SA"/>
        </w:rPr>
        <w:t>المؤيّد بعدم ظهور الخلاف بين العاملين بالاستصحاب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بالاستصحاب من جهة الظنّ الشخصي فمع قطع النظر عن عمل القائل به قضيّة القاعدة هو القول بدوران الأمر مدار الظنّ ، فعلى فرض وجود الظنّ في طرف الاستصحاب لا معني للقول بتقديم </w:t>
      </w:r>
      <w:r>
        <w:rPr>
          <w:rStyle w:val="FootnoteAnchor"/>
          <w:rtl w:val="true"/>
        </w:rPr>
        <w:footnoteReference w:id="2252"/>
      </w:r>
      <w:r>
        <w:rPr>
          <w:rFonts w:ascii="Amiri" w:hAnsi="Amiri" w:eastAsia="Amiri" w:cs="Amiri"/>
          <w:color w:val="111111"/>
          <w:sz w:val="28"/>
          <w:sz w:val="28"/>
          <w:szCs w:val="28"/>
          <w:rtl w:val="true"/>
          <w:lang w:bidi="ar-SA"/>
        </w:rPr>
        <w:t>غيره عليه مع وجود ما هو المناط في الاعتبار على ما هو مقتضى الإنصاف إلاّ أنّه لم يعهد منهم ذلك في وجه ، فيبنى طرح الظنّ الاستصحابي في قبال الأدلّة الاجتهادية على دعوى الإجماع على ذلك ، وعلى تقديره فيشكل الأمر في استفادة اعتبار مثل ذلك من الدليل ، فليتدبّر فيه فإنّه ممّا لا يكاد يتمّ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Style w:val="FootnoteAnchor"/>
          <w:rtl w:val="true"/>
        </w:rPr>
        <w:footnoteReference w:id="2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ورود الدليل الاجتهادي على الاستصحاب فيما لو كان مفيدا للقطع ؛ لأنّ الممنوع في تلك الأخبار نقض اليقين بالشكّ وليس المقام منه ؛ إذ المفروض حصول اليقين على ارتفاع الحالة السابقة ، وصريح بعضها هو جواز نقضه بيقين آخر مثله ، بل الأمر به من حيث وقوع الفعل المطلوب في حيّز الخبر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ينقضه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نسمّيه بالورود ، وتحقيقه أن يكون الدليل على وجه بتحقّقه يرتفع محلّ الآخر وينتفي موضوعه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لو كان الدليل الدالّ على ارتفاع الحالة السابقة ظنّيا فقد يقال </w:t>
      </w:r>
      <w:r>
        <w:rPr>
          <w:rStyle w:val="FootnoteAnchor"/>
          <w:rtl w:val="true"/>
        </w:rPr>
        <w:footnoteReference w:id="2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يقدّم على الاستصحاب من قبيل تقديم </w:t>
      </w:r>
      <w:r>
        <w:rPr>
          <w:rStyle w:val="FootnoteAnchor"/>
          <w:rtl w:val="true"/>
        </w:rPr>
        <w:footnoteReference w:id="2255"/>
      </w:r>
      <w:r>
        <w:rPr>
          <w:rFonts w:ascii="Amiri" w:hAnsi="Amiri" w:eastAsia="Amiri" w:cs="Amiri"/>
          <w:color w:val="111111"/>
          <w:sz w:val="28"/>
          <w:sz w:val="28"/>
          <w:szCs w:val="28"/>
          <w:rtl w:val="true"/>
          <w:lang w:bidi="ar-SA"/>
        </w:rPr>
        <w:t xml:space="preserve">الأدلّة القطعية ؛ لانتهاء الظنّ إليه ، فعند الدقّة الناقض لليقين ليس إلاّ اليقين ، إلاّ أنّه كلام خال عن التحقيق ؛ لأنّ المناط في الورود </w:t>
      </w:r>
    </w:p>
    <w:p>
      <w:pPr>
        <w:pStyle w:val="BookText"/>
        <w:rPr/>
      </w:pPr>
      <w:r>
        <w:rPr>
          <w:rFonts w:ascii="Amiri" w:hAnsi="Amiri" w:eastAsia="Amiri" w:cs="Amiri"/>
          <w:color w:val="111111"/>
          <w:sz w:val="28"/>
          <w:sz w:val="28"/>
          <w:szCs w:val="28"/>
          <w:rtl w:val="true"/>
          <w:lang w:bidi="ar-SA"/>
        </w:rPr>
        <w:t xml:space="preserve">هو ارتفاع موضوع الدليل حقيقة ولا يتحقّق ذلك إلاّ بعد تحقّق اليقين الواقعي الوجداني ، ومن المعلوم أنّ اليقين باعتبار شيء يغاير كون ذلك الشيء يقينا ، فالورود موضوع واقعي متفرّع على موضوع واقعي ، وجعل الشيء بمنزلة اليقين لا يترتّب عليه ما هو من لوازم حقيقة اليقين واقعا كارتفاع الشكّ مثلا ، فالتحقيق أنّه ليس من الورود ، بل هو من جهة التحكيم ، وتوضيحه يحتاج إلى تمهيد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أنحاء التصرّفات الواقعة في الأدلّة ولو بحسب ما يظهر منها صورة </w:t>
      </w:r>
      <w:r>
        <w:rPr>
          <w:rStyle w:val="FootnoteAnchor"/>
          <w:rtl w:val="true"/>
        </w:rPr>
        <w:footnoteReference w:id="2256"/>
      </w:r>
      <w:r>
        <w:rPr>
          <w:rFonts w:ascii="Amiri" w:hAnsi="Amiri" w:eastAsia="Amiri" w:cs="Amiri"/>
          <w:color w:val="111111"/>
          <w:sz w:val="28"/>
          <w:sz w:val="28"/>
          <w:szCs w:val="28"/>
          <w:rtl w:val="true"/>
          <w:lang w:bidi="ar-SA"/>
        </w:rPr>
        <w:t xml:space="preserve">،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بالورود على نحو ما عرفت آنفا ، وربّما يكون بينه وبين التخصّص </w:t>
      </w:r>
      <w:r>
        <w:rPr>
          <w:rStyle w:val="FootnoteAnchor"/>
          <w:rtl w:val="true"/>
        </w:rPr>
        <w:footnoteReference w:id="2257"/>
      </w:r>
      <w:r>
        <w:rPr>
          <w:rFonts w:ascii="Amiri" w:hAnsi="Amiri" w:eastAsia="Amiri" w:cs="Amiri"/>
          <w:color w:val="111111"/>
          <w:sz w:val="28"/>
          <w:sz w:val="28"/>
          <w:szCs w:val="28"/>
          <w:rtl w:val="true"/>
          <w:lang w:bidi="ar-SA"/>
        </w:rPr>
        <w:t xml:space="preserve">فرق من أنّ التخصّص </w:t>
      </w:r>
      <w:r>
        <w:rPr>
          <w:rStyle w:val="FootnoteAnchor"/>
          <w:rtl w:val="true"/>
        </w:rPr>
        <w:footnoteReference w:id="2258"/>
      </w:r>
      <w:r>
        <w:rPr>
          <w:rFonts w:ascii="Amiri" w:hAnsi="Amiri" w:eastAsia="Amiri" w:cs="Amiri"/>
          <w:color w:val="111111"/>
          <w:sz w:val="28"/>
          <w:sz w:val="28"/>
          <w:szCs w:val="28"/>
          <w:rtl w:val="true"/>
          <w:lang w:bidi="ar-SA"/>
        </w:rPr>
        <w:t xml:space="preserve">قد يكون أعمّ من الورود فإنّه على ما عرفت لا بدّ من أن يكون الوارد رافعا لموضوع المورود </w:t>
      </w:r>
      <w:r>
        <w:rPr>
          <w:rStyle w:val="FootnoteAnchor"/>
          <w:rtl w:val="true"/>
        </w:rPr>
        <w:footnoteReference w:id="2259"/>
      </w:r>
      <w:r>
        <w:rPr>
          <w:rFonts w:ascii="Amiri" w:hAnsi="Amiri" w:eastAsia="Amiri" w:cs="Amiri"/>
          <w:color w:val="111111"/>
          <w:sz w:val="28"/>
          <w:sz w:val="28"/>
          <w:szCs w:val="28"/>
          <w:rtl w:val="true"/>
          <w:lang w:bidi="ar-SA"/>
        </w:rPr>
        <w:t xml:space="preserve">فينتفي ما هو المناط بعد وجود ذلك الدليل ، بخلاف التخصّص </w:t>
      </w:r>
      <w:r>
        <w:rPr>
          <w:rStyle w:val="FootnoteAnchor"/>
          <w:rtl w:val="true"/>
        </w:rPr>
        <w:footnoteReference w:id="2260"/>
      </w:r>
      <w:r>
        <w:rPr>
          <w:rFonts w:ascii="Amiri" w:hAnsi="Amiri" w:eastAsia="Amiri" w:cs="Amiri"/>
          <w:color w:val="111111"/>
          <w:sz w:val="28"/>
          <w:sz w:val="28"/>
          <w:szCs w:val="28"/>
          <w:rtl w:val="true"/>
          <w:lang w:bidi="ar-SA"/>
        </w:rPr>
        <w:t xml:space="preserve">فإنّه قد يحتمل أن يكون فيما لا ارتباط بين الحكمين أيضا ، فإنّ وجوب إكرام زيد لا ارتباط له بوجوب </w:t>
      </w:r>
      <w:r>
        <w:rPr>
          <w:rStyle w:val="FootnoteAnchor"/>
          <w:rtl w:val="true"/>
        </w:rPr>
        <w:footnoteReference w:id="2261"/>
      </w:r>
      <w:r>
        <w:rPr>
          <w:rFonts w:ascii="Amiri" w:hAnsi="Amiri" w:eastAsia="Amiri" w:cs="Amiri"/>
          <w:color w:val="111111"/>
          <w:sz w:val="28"/>
          <w:sz w:val="28"/>
          <w:szCs w:val="28"/>
          <w:rtl w:val="true"/>
          <w:lang w:bidi="ar-SA"/>
        </w:rPr>
        <w:t xml:space="preserve">إهانة عمرو مثلا ، ولا يبعد أن يقال بالتخصّص </w:t>
      </w:r>
      <w:r>
        <w:rPr>
          <w:rStyle w:val="FootnoteAnchor"/>
          <w:rtl w:val="true"/>
        </w:rPr>
        <w:footnoteReference w:id="2262"/>
      </w:r>
      <w:r>
        <w:rPr>
          <w:rFonts w:ascii="Amiri" w:hAnsi="Amiri" w:eastAsia="Amiri" w:cs="Amiri"/>
          <w:color w:val="111111"/>
          <w:sz w:val="28"/>
          <w:sz w:val="28"/>
          <w:szCs w:val="28"/>
          <w:rtl w:val="true"/>
          <w:lang w:bidi="ar-SA"/>
        </w:rPr>
        <w:t>في 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وجه التخصيص ولازمه بقاء الموضوع وإخراج الحكم ،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 ولا تكرم زيدا العالم مثلا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وجه الصرف عن الظاهر مطلقا كما في قرائن المجاز ، وذلك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الصارف بمدلوله اللفظي ناظرا إلى الدليل الأوّل ،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w:t>
      </w:r>
      <w:r>
        <w:rPr>
          <w:rStyle w:val="FootnoteAnchor"/>
          <w:rtl w:val="true"/>
        </w:rPr>
        <w:footnoteReference w:id="2263"/>
      </w:r>
      <w:r>
        <w:rPr>
          <w:rFonts w:ascii="Amiri" w:hAnsi="Amiri" w:eastAsia="Amiri" w:cs="Amiri"/>
          <w:color w:val="111111"/>
          <w:sz w:val="28"/>
          <w:sz w:val="28"/>
          <w:szCs w:val="28"/>
          <w:rtl w:val="true"/>
          <w:lang w:bidi="ar-SA"/>
        </w:rPr>
        <w:t xml:space="preserve">،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الرجل الشجاع مثلا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الصارف كذلك ولكنّ العقل بعد ملاحظة ذلك الصارف وظهوره في مقام الصارفية يحكم بأنّ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ظهوره حاكم على ظهور اللفظ في معناه الحقيقي كما في العامّ والخاصّ أيضا ، فإنّ العقل بعد ما يلاحظ من التناقض بين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رجوعهما إلى سالبة كلّية وموجبة جزئية أو موجبة كلّية وسالبة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عنده ورود ظهور الخاصّ على العامّ بحمله عليه أو التصرّف في الخاصّ بحمل أمره أو نهيه على وجه لا ينافي ظهور العامّ ، وهكذا في القرينة فإنّ من المحتمل ورود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 المعنى الحقيقي ابتداء ، مثل احتمال ورود ظهور المعنى الحقيقي على ظهور القرينة كأن يحمل على معنى لا ينافي المعنى الحقيقي ، ثمّ </w:t>
      </w:r>
      <w:r>
        <w:rPr>
          <w:rStyle w:val="FootnoteAnchor"/>
          <w:rtl w:val="true"/>
        </w:rPr>
        <w:footnoteReference w:id="2264"/>
      </w:r>
      <w:r>
        <w:rPr>
          <w:rFonts w:ascii="Amiri" w:hAnsi="Amiri" w:eastAsia="Amiri" w:cs="Amiri"/>
          <w:color w:val="111111"/>
          <w:sz w:val="28"/>
          <w:sz w:val="28"/>
          <w:szCs w:val="28"/>
          <w:rtl w:val="true"/>
          <w:lang w:bidi="ar-SA"/>
        </w:rPr>
        <w:t xml:space="preserve">بعد ملاحظة التعارض والتناقض يساعد على تقديم </w:t>
      </w:r>
      <w:r>
        <w:rPr>
          <w:rStyle w:val="FootnoteAnchor"/>
          <w:rtl w:val="true"/>
        </w:rPr>
        <w:footnoteReference w:id="2265"/>
      </w:r>
      <w:r>
        <w:rPr>
          <w:rFonts w:ascii="Amiri" w:hAnsi="Amiri" w:eastAsia="Amiri" w:cs="Amiri"/>
          <w:color w:val="111111"/>
          <w:sz w:val="28"/>
          <w:sz w:val="28"/>
          <w:szCs w:val="28"/>
          <w:rtl w:val="true"/>
          <w:lang w:bidi="ar-SA"/>
        </w:rPr>
        <w:t xml:space="preserve">ظهور الخاصّ والقرينة في الأغلب على الآخر ، فيحكم بحمل العامّ على الخاصّ ، والحقيقة على المجاز ، ففي هذين القسمين ليس الخاصّ والقرينة ناظرين </w:t>
      </w:r>
      <w:r>
        <w:rPr>
          <w:rStyle w:val="FootnoteAnchor"/>
          <w:rtl w:val="true"/>
        </w:rPr>
        <w:footnoteReference w:id="2266"/>
      </w:r>
      <w:r>
        <w:rPr>
          <w:rFonts w:ascii="Amiri" w:hAnsi="Amiri" w:eastAsia="Amiri" w:cs="Amiri"/>
          <w:color w:val="111111"/>
          <w:sz w:val="28"/>
          <w:sz w:val="28"/>
          <w:szCs w:val="28"/>
          <w:rtl w:val="true"/>
          <w:lang w:bidi="ar-SA"/>
        </w:rPr>
        <w:t xml:space="preserve">إلى خلافهما بمدلوليهما ؛ لما عرفت من عدم الارتباط بينهما ، ولهذا قد تراهم يلتزمون بورود العامّ على الخاصّ أيضا ، وقد لا يحكمون بمقتضى القرينة الصارفة أيضا ، بخلاف ما إذا كان أحد المتعارضين ولو في الصورة ناظرا إلى الآخر بمدلوله اللفظي كأن يكون مبيّنا له مفسّرا له كاشفا للمراد عنه ، ولازمه عدم المعارضة وعدم التناقض ؛ ضرورة انتفاء التعارض بين المفسّر والمفسّر ، والبيان والمبيّن ، كيف وهو ناظر إلى ما هو المراد منه وإن كان لا يخلو عن ارتكاب شيء أيضا إلاّ أنّ الفرق بينهما واضح ظاهر غير خفيّ على أحد ، وذلك بحسب الواقع قد يكون عين التخصيص وإن لم يكن منه ظاهرا بواسطة اختلاف وجوه الكلام كما إذا كان المفسّر خاصّا بحسب المفهوم ، وقد يكون غيره كما إذا كان المفسّر مساويا للمفسّر ، وإن جوّزنا التفسير بالأعمّ فمخالفته مع التخصيص أظهر ، ومنه يظهر أنّ ملاحظة النسبة بين المفسّر والمفسّر ليس في محلّه ؛ إذ بعد كونه بيانا فلا يعقل ملاحظة النسبة ، لاختصاصها بالمتعارضين والمفروض انتفاؤه </w:t>
      </w:r>
    </w:p>
    <w:p>
      <w:pPr>
        <w:pStyle w:val="BookText"/>
        <w:rPr/>
      </w:pPr>
      <w:r>
        <w:rPr>
          <w:rFonts w:ascii="Amiri" w:hAnsi="Amiri" w:eastAsia="Amiri" w:cs="Amiri"/>
          <w:color w:val="111111"/>
          <w:sz w:val="28"/>
          <w:sz w:val="28"/>
          <w:szCs w:val="28"/>
          <w:rtl w:val="true"/>
          <w:lang w:bidi="ar-SA"/>
        </w:rPr>
        <w:t xml:space="preserve">على وجه يقضي </w:t>
      </w:r>
      <w:r>
        <w:rPr>
          <w:rStyle w:val="FootnoteAnchor"/>
          <w:rtl w:val="true"/>
        </w:rPr>
        <w:footnoteReference w:id="2267"/>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البيان قد يختلف وضوحا وخفاء ، فأوضح البيانات ما قد يوجد في كلمات اللغويين والمترجمين من بيان معنى اللفظ في تلك اللغة أو في لغة أخرى ، وأخفى من ذلك ما قد عرفت من تفسير الأسد بالرجل الشجاع ، وأخفى 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268"/>
      </w:r>
      <w:r>
        <w:rPr>
          <w:rFonts w:ascii="Amiri" w:hAnsi="Amiri" w:eastAsia="Amiri" w:cs="Amiri"/>
          <w:color w:val="111111"/>
          <w:sz w:val="28"/>
          <w:sz w:val="28"/>
          <w:szCs w:val="28"/>
          <w:rtl w:val="true"/>
          <w:lang w:bidi="ar-SA"/>
        </w:rPr>
        <w:t xml:space="preserve">وآيتي الاستباق </w:t>
      </w:r>
      <w:r>
        <w:rPr>
          <w:rStyle w:val="FootnoteAnchor"/>
          <w:rtl w:val="true"/>
        </w:rPr>
        <w:footnoteReference w:id="2269"/>
      </w:r>
      <w:r>
        <w:rPr>
          <w:rFonts w:ascii="Amiri" w:hAnsi="Amiri" w:eastAsia="Amiri" w:cs="Amiri"/>
          <w:color w:val="111111"/>
          <w:sz w:val="28"/>
          <w:sz w:val="28"/>
          <w:szCs w:val="28"/>
          <w:rtl w:val="true"/>
          <w:lang w:bidi="ar-SA"/>
        </w:rPr>
        <w:t xml:space="preserve">والمسارعة </w:t>
      </w:r>
      <w:r>
        <w:rPr>
          <w:rStyle w:val="FootnoteAnchor"/>
          <w:rtl w:val="true"/>
        </w:rPr>
        <w:footnoteReference w:id="2270"/>
      </w:r>
      <w:r>
        <w:rPr>
          <w:rFonts w:ascii="Amiri" w:hAnsi="Amiri" w:eastAsia="Amiri" w:cs="Amiri"/>
          <w:color w:val="111111"/>
          <w:sz w:val="28"/>
          <w:sz w:val="28"/>
          <w:szCs w:val="28"/>
          <w:rtl w:val="true"/>
          <w:lang w:bidi="ar-SA"/>
        </w:rPr>
        <w:t xml:space="preserve">على تقدير دلالتها </w:t>
      </w:r>
      <w:r>
        <w:rPr>
          <w:rStyle w:val="FootnoteAnchor"/>
          <w:rtl w:val="true"/>
        </w:rPr>
        <w:footnoteReference w:id="2271"/>
      </w:r>
      <w:r>
        <w:rPr>
          <w:rFonts w:ascii="Amiri" w:hAnsi="Amiri" w:eastAsia="Amiri" w:cs="Amiri"/>
          <w:color w:val="111111"/>
          <w:sz w:val="28"/>
          <w:sz w:val="28"/>
          <w:szCs w:val="28"/>
          <w:rtl w:val="true"/>
          <w:lang w:bidi="ar-SA"/>
        </w:rPr>
        <w:t xml:space="preserve">على المطالب المستدلّ بها عليها ، فإنّها بيانات للأحكام الثابتة في الدين بأجمعها ، فكأنّ </w:t>
      </w:r>
      <w:r>
        <w:rPr>
          <w:rStyle w:val="FootnoteAnchor"/>
          <w:rtl w:val="true"/>
        </w:rPr>
        <w:footnoteReference w:id="2272"/>
      </w:r>
      <w:r>
        <w:rPr>
          <w:rFonts w:ascii="IRNazanin" w:hAnsi="IRNazanin" w:eastAsia="IRNazanin"/>
          <w:color w:val="111111"/>
          <w:sz w:val="28"/>
          <w:sz w:val="28"/>
          <w:szCs w:val="28"/>
          <w:rtl w:val="true"/>
          <w:lang w:bidi="fa-IR"/>
        </w:rPr>
        <w:t xml:space="preserve">مفادها أنّ المجعول </w:t>
      </w:r>
      <w:r>
        <w:rPr>
          <w:rStyle w:val="FootnoteAnchor"/>
          <w:rtl w:val="true"/>
        </w:rPr>
        <w:footnoteReference w:id="2273"/>
      </w:r>
      <w:r>
        <w:rPr>
          <w:rFonts w:ascii="Amiri" w:hAnsi="Amiri" w:eastAsia="Amiri" w:cs="Amiri"/>
          <w:color w:val="111111"/>
          <w:sz w:val="28"/>
          <w:sz w:val="28"/>
          <w:szCs w:val="28"/>
          <w:rtl w:val="true"/>
          <w:lang w:bidi="ar-SA"/>
        </w:rPr>
        <w:t xml:space="preserve">في </w:t>
      </w:r>
      <w:r>
        <w:rPr>
          <w:rStyle w:val="FootnoteAnchor"/>
          <w:rtl w:val="true"/>
        </w:rPr>
        <w:footnoteReference w:id="2274"/>
      </w:r>
      <w:r>
        <w:rPr>
          <w:rFonts w:ascii="Amiri" w:hAnsi="Amiri" w:eastAsia="Amiri" w:cs="Amiri"/>
          <w:color w:val="111111"/>
          <w:sz w:val="28"/>
          <w:sz w:val="28"/>
          <w:szCs w:val="28"/>
          <w:rtl w:val="true"/>
          <w:lang w:bidi="ar-SA"/>
        </w:rPr>
        <w:t xml:space="preserve">الدين هو ما لا حرج فيه ، وأنّ المراد بتلك الأوامر الواردة في الشريعة والمقصود منها الفورية مثلا ، فلا مجال للتعارض على ما زعمه المحقّق القمي ؛ إذ </w:t>
      </w:r>
      <w:r>
        <w:rPr>
          <w:rStyle w:val="FootnoteAnchor"/>
          <w:rtl w:val="true"/>
        </w:rPr>
        <w:footnoteReference w:id="2275"/>
      </w:r>
      <w:r>
        <w:rPr>
          <w:rFonts w:ascii="Amiri" w:hAnsi="Amiri" w:eastAsia="Amiri" w:cs="Amiri"/>
          <w:color w:val="111111"/>
          <w:sz w:val="28"/>
          <w:sz w:val="28"/>
          <w:szCs w:val="28"/>
          <w:rtl w:val="true"/>
          <w:lang w:bidi="ar-SA"/>
        </w:rPr>
        <w:t xml:space="preserve">من المعلوم أنّ البيان ليس منافيا للمبيّن ، وأخفى من ذلك ما تسمعه في حكومة الأدلّة الاجتهادية على الأصول العملية ، ومن جملة علامات البيان أنّه لو قطع النظر عن ورود المبيّن كان البيان لغوا صرفا ، كما يظهر من ملاحظة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الرجل الشجاع ، لو لم يكن كلاما برأسه ، أو </w:t>
      </w:r>
      <w:r>
        <w:rPr>
          <w:rStyle w:val="FootnoteAnchor"/>
          <w:rtl w:val="true"/>
        </w:rPr>
        <w:footnoteReference w:id="2276"/>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الأسد الحقيقي ، بل أردت الرجل الشجاع ، إذا </w:t>
      </w:r>
      <w:r>
        <w:rPr>
          <w:rStyle w:val="FootnoteAnchor"/>
          <w:rtl w:val="true"/>
        </w:rPr>
        <w:footnoteReference w:id="2277"/>
      </w:r>
      <w:r>
        <w:rPr>
          <w:rFonts w:ascii="Amiri" w:hAnsi="Amiri" w:eastAsia="Amiri" w:cs="Amiri"/>
          <w:color w:val="111111"/>
          <w:sz w:val="28"/>
          <w:sz w:val="28"/>
          <w:szCs w:val="28"/>
          <w:rtl w:val="true"/>
          <w:lang w:bidi="ar-SA"/>
        </w:rPr>
        <w:t xml:space="preserve">لم يكونا مسبوقين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مثلا ، ومن كواشفه أيضا أنّ حمل البيان على وجه لا يكون بيانا ممّا يعدّ في العرف من إخراج الكلام عمّا سيق إليه بالمرّة ، بخلاف التخصيص فإنّ حمل الأمر فيه على الاستحباب أو تصرّف آخر فيه على وجه لا ينافي عموم العامّ ، ليس بهذه المثابة من القبح كما لا يخفى على من </w:t>
      </w:r>
    </w:p>
    <w:p>
      <w:pPr>
        <w:pStyle w:val="BookText"/>
        <w:rPr/>
      </w:pPr>
      <w:r>
        <w:rPr>
          <w:rFonts w:ascii="Amiri" w:hAnsi="Amiri" w:eastAsia="Amiri" w:cs="Amiri"/>
          <w:color w:val="111111"/>
          <w:sz w:val="28"/>
          <w:sz w:val="28"/>
          <w:szCs w:val="28"/>
          <w:rtl w:val="true"/>
          <w:lang w:bidi="ar-SA"/>
        </w:rPr>
        <w:t>ألقى السمع وهو سديد السليقة ومستقيم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بعض ما قدّمناه من مباحث الظنّ أنّ معنى جعل الشيء طريقا فيما يحتاج إلى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وما يشاركه في اشتماله على احتمال عدم المطابقة للواقع ممّا يكون أصل مفاده مع قطع النظر عن حجّيته </w:t>
      </w:r>
      <w:r>
        <w:rPr>
          <w:rStyle w:val="FootnoteAnchor"/>
          <w:rtl w:val="true"/>
        </w:rPr>
        <w:footnoteReference w:id="2278"/>
      </w:r>
      <w:r>
        <w:rPr>
          <w:rFonts w:ascii="Amiri" w:hAnsi="Amiri" w:eastAsia="Amiri" w:cs="Amiri"/>
          <w:color w:val="111111"/>
          <w:sz w:val="28"/>
          <w:sz w:val="28"/>
          <w:szCs w:val="28"/>
          <w:rtl w:val="true"/>
          <w:lang w:bidi="ar-SA"/>
        </w:rPr>
        <w:t xml:space="preserve">كاشفا عن الواقع حاكيا له ناظرا إلى ما في نفس الأمر مطابقا للواقع بحسب أصل مفاده وإن احتمل الخلاف أيضا عقلا </w:t>
      </w:r>
      <w:r>
        <w:rPr>
          <w:rStyle w:val="FootnoteAnchor"/>
          <w:rtl w:val="true"/>
        </w:rPr>
        <w:footnoteReference w:id="2279"/>
      </w:r>
      <w:r>
        <w:rPr>
          <w:rFonts w:ascii="Amiri" w:hAnsi="Amiri" w:eastAsia="Amiri" w:cs="Amiri"/>
          <w:color w:val="111111"/>
          <w:sz w:val="28"/>
          <w:sz w:val="28"/>
          <w:szCs w:val="28"/>
          <w:rtl w:val="true"/>
          <w:lang w:bidi="ar-SA"/>
        </w:rPr>
        <w:t xml:space="preserve">ولو احتمالا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قد يظهر من بعض الأفاضل أنّ ذلك الشيء يكون من الأسباب الشرعية كالزوال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حتّى يكون معنى اعتبار البيّنة أو خبر الواحد أنّه إذا أقيمت البيّنة على كذا يجب كذا ، وإذا ورد خبر مدلوله كذا يجب الأخذ به مثلا ، كما في غيرها من الأسباب الشرعية التي هي معرّفات للأحكام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أنّ معناه جعلها مرآة عن الواقع وطريقا إليها تنزيلا لما ليس من العلم منزلة العلم ، فيترتّب عليه الآثار التي تترتّب </w:t>
      </w:r>
      <w:r>
        <w:rPr>
          <w:rStyle w:val="FootnoteAnchor"/>
          <w:rtl w:val="true"/>
        </w:rPr>
        <w:footnoteReference w:id="2280"/>
      </w:r>
      <w:r>
        <w:rPr>
          <w:rFonts w:ascii="Amiri" w:hAnsi="Amiri" w:eastAsia="Amiri" w:cs="Amiri"/>
          <w:color w:val="111111"/>
          <w:sz w:val="28"/>
          <w:sz w:val="28"/>
          <w:szCs w:val="28"/>
          <w:rtl w:val="true"/>
          <w:lang w:bidi="ar-SA"/>
        </w:rPr>
        <w:t xml:space="preserve">على المعلوم ممّا كان العلم طريقا إليها ، تنزيلا لاحتمال الكذب المتطرّق في البيّنة منزلة العدم ، فلا بدّ من طرح الأحكام الشرعية المترتّبة على الاحتمال والشكّ ، والأخذ بالأحكام التي تلحق </w:t>
      </w:r>
      <w:r>
        <w:rPr>
          <w:rStyle w:val="FootnoteAnchor"/>
          <w:rtl w:val="true"/>
        </w:rPr>
        <w:footnoteReference w:id="2281"/>
      </w:r>
      <w:r>
        <w:rPr>
          <w:rFonts w:ascii="Amiri" w:hAnsi="Amiri" w:eastAsia="Amiri" w:cs="Amiri"/>
          <w:color w:val="111111"/>
          <w:sz w:val="28"/>
          <w:sz w:val="28"/>
          <w:szCs w:val="28"/>
          <w:rtl w:val="true"/>
          <w:lang w:bidi="ar-SA"/>
        </w:rPr>
        <w:t xml:space="preserve">المعلوم ممّا يكون العلم طريقا إليها ، ويجب الأخذ بقوله وتصديقه والاعتراف بمطابقته للواقع والإذعان بحقّية خبره والاعتقاد بصدق كلامه وعدم الاعتناء </w:t>
      </w:r>
      <w:r>
        <w:rPr>
          <w:rStyle w:val="FootnoteAnchor"/>
          <w:rtl w:val="true"/>
        </w:rPr>
        <w:footnoteReference w:id="2282"/>
      </w:r>
      <w:r>
        <w:rPr>
          <w:rFonts w:ascii="Amiri" w:hAnsi="Amiri" w:eastAsia="Amiri" w:cs="Amiri"/>
          <w:color w:val="111111"/>
          <w:sz w:val="28"/>
          <w:sz w:val="28"/>
          <w:szCs w:val="28"/>
          <w:rtl w:val="true"/>
          <w:lang w:bidi="ar-SA"/>
        </w:rPr>
        <w:t xml:space="preserve">باحتمال الكذب وعدم المطابقة في كلامه ، وحيث إنّ الأمر بالتصديق والاعتقاد بالمطابقة بعد وجود الشكّ </w:t>
      </w:r>
      <w:r>
        <w:rPr>
          <w:rStyle w:val="FootnoteAnchor"/>
          <w:rtl w:val="true"/>
        </w:rPr>
        <w:footnoteReference w:id="2283"/>
      </w:r>
      <w:r>
        <w:rPr>
          <w:rFonts w:ascii="Amiri" w:hAnsi="Amiri" w:eastAsia="Amiri" w:cs="Amiri"/>
          <w:color w:val="111111"/>
          <w:sz w:val="28"/>
          <w:sz w:val="28"/>
          <w:szCs w:val="28"/>
          <w:rtl w:val="true"/>
          <w:lang w:bidi="ar-SA"/>
        </w:rPr>
        <w:t xml:space="preserve">وجدانا ممّا لا يعقل فلا جرم يؤول المعنى إلى إلغاء أحكام الشكّ </w:t>
      </w:r>
      <w:r>
        <w:rPr>
          <w:rStyle w:val="FootnoteAnchor"/>
          <w:rtl w:val="true"/>
        </w:rPr>
        <w:footnoteReference w:id="2284"/>
      </w:r>
      <w:r>
        <w:rPr>
          <w:rFonts w:ascii="Amiri" w:hAnsi="Amiri" w:eastAsia="Amiri" w:cs="Amiri"/>
          <w:color w:val="111111"/>
          <w:sz w:val="28"/>
          <w:sz w:val="28"/>
          <w:szCs w:val="28"/>
          <w:rtl w:val="true"/>
          <w:lang w:bidi="ar-SA"/>
        </w:rPr>
        <w:t xml:space="preserve">، فتقع الأدلّة الدالّة على الحجّية في تلك الأمارات مفسّرة للشكّ الواقع في أدلّة الأصول ، وهذا هو المراد </w:t>
      </w:r>
    </w:p>
    <w:p>
      <w:pPr>
        <w:pStyle w:val="BookText"/>
        <w:rPr/>
      </w:pPr>
      <w:r>
        <w:rPr>
          <w:rFonts w:ascii="Amiri" w:hAnsi="Amiri" w:eastAsia="Amiri" w:cs="Amiri"/>
          <w:color w:val="111111"/>
          <w:sz w:val="28"/>
          <w:sz w:val="28"/>
          <w:szCs w:val="28"/>
          <w:rtl w:val="true"/>
          <w:lang w:bidi="ar-SA"/>
        </w:rPr>
        <w:t xml:space="preserve">بالتنزيل كما في غيره من التنزيلات الشرعية ، مثلا فيما لو لم يكن هذا الاحتمال منزّلا منزلة العدم كان له أحكام منها الأخذ بالبراءة فيما لو كان الشكّ في نفس التكليف ، والأخذ بالاحتياط فيما لو كان الشكّ في المكلّف به بعد العلم بثبوت التكليف ، والأخذ بالاستصحاب فيما لو </w:t>
      </w:r>
      <w:r>
        <w:rPr>
          <w:rStyle w:val="FootnoteAnchor"/>
          <w:rtl w:val="true"/>
        </w:rPr>
        <w:footnoteReference w:id="2285"/>
      </w:r>
      <w:r>
        <w:rPr>
          <w:rFonts w:ascii="Amiri" w:hAnsi="Amiri" w:eastAsia="Amiri" w:cs="Amiri"/>
          <w:color w:val="111111"/>
          <w:sz w:val="28"/>
          <w:sz w:val="28"/>
          <w:szCs w:val="28"/>
          <w:rtl w:val="true"/>
          <w:lang w:bidi="ar-SA"/>
        </w:rPr>
        <w:t xml:space="preserve">كان للمشكوك حالة سابقة مثلا ، والأخذ بالتخيير في موارد الحيرة ، كما عرفت تفصيل الكلام فيها بما لا مزيد عليه وكان ثبوت هذه الأحكام للشكّ أمرا قطعيا على وجه كان الحكم بعدم حجّية أمارة مشكوكة مستندة إلى لزوم طرح هذه الأحكام من غير دليل شرعي كما عرفت مرارا ، فإذا حكم الشارع بتنزيل هذا الاحتمال منزلة العدم وجعل ذلك الشيء كما إذا كان معلوما ، كان معناه أنّه يجوز </w:t>
      </w:r>
      <w:r>
        <w:rPr>
          <w:rStyle w:val="FootnoteAnchor"/>
          <w:rtl w:val="true"/>
        </w:rPr>
        <w:footnoteReference w:id="2286"/>
      </w:r>
      <w:r>
        <w:rPr>
          <w:rFonts w:ascii="Amiri" w:hAnsi="Amiri" w:eastAsia="Amiri" w:cs="Amiri"/>
          <w:color w:val="111111"/>
          <w:sz w:val="28"/>
          <w:sz w:val="28"/>
          <w:szCs w:val="28"/>
          <w:rtl w:val="true"/>
          <w:lang w:bidi="ar-SA"/>
        </w:rPr>
        <w:t xml:space="preserve">طرح الأحكام الثابتة لهذا </w:t>
      </w:r>
      <w:r>
        <w:rPr>
          <w:rStyle w:val="FootnoteAnchor"/>
          <w:rtl w:val="true"/>
        </w:rPr>
        <w:footnoteReference w:id="2287"/>
      </w:r>
      <w:r>
        <w:rPr>
          <w:rFonts w:ascii="Amiri" w:hAnsi="Amiri" w:eastAsia="Amiri" w:cs="Amiri"/>
          <w:color w:val="111111"/>
          <w:sz w:val="28"/>
          <w:sz w:val="28"/>
          <w:szCs w:val="28"/>
          <w:rtl w:val="true"/>
          <w:lang w:bidi="ar-SA"/>
        </w:rPr>
        <w:t>الاحتمال شرعا وترتيب آثار الشيء إذا لم يتطرّق إليه احتمال ، ففي مورد البراءة لا يجوز الأخذ بالبراءة ، وفي مورد الاحتياط لا يجب الأخذ بالاحتياط ، وفي مورد الاستصحاب لا مناص من الأخذ بما يدلّ على ارتفاع الحالة السابقة والأخذ بأحكام الواقع ، وكذا الكلام في التخيير لأوله حقيقة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كانت واقعية تلك الأمارة وطريقيتها </w:t>
      </w:r>
      <w:r>
        <w:rPr>
          <w:rStyle w:val="FootnoteAnchor"/>
          <w:rtl w:val="true"/>
        </w:rPr>
        <w:footnoteReference w:id="2288"/>
      </w:r>
      <w:r>
        <w:rPr>
          <w:rFonts w:ascii="Amiri" w:hAnsi="Amiri" w:eastAsia="Amiri" w:cs="Amiri"/>
          <w:color w:val="111111"/>
          <w:sz w:val="28"/>
          <w:sz w:val="28"/>
          <w:szCs w:val="28"/>
          <w:rtl w:val="true"/>
          <w:lang w:bidi="ar-SA"/>
        </w:rPr>
        <w:t xml:space="preserve">بواسطة حكم الشارع وتنزيله لها منزلة الواقع لا جرم كانت الأحكام المترتّبة على الواقع هي الأحكام التي تكون بجعل الشارع دون الأحكام العقلية التي لا دخل للشارع في مقام التكليف والشارعية فيها وإن لم تكن </w:t>
      </w:r>
      <w:r>
        <w:rPr>
          <w:rStyle w:val="FootnoteAnchor"/>
          <w:rtl w:val="true"/>
        </w:rPr>
        <w:footnoteReference w:id="2289"/>
      </w:r>
      <w:r>
        <w:rPr>
          <w:rFonts w:ascii="Amiri" w:hAnsi="Amiri" w:eastAsia="Amiri" w:cs="Amiri"/>
          <w:color w:val="111111"/>
          <w:sz w:val="28"/>
          <w:sz w:val="28"/>
          <w:szCs w:val="28"/>
          <w:rtl w:val="true"/>
          <w:lang w:bidi="ar-SA"/>
        </w:rPr>
        <w:t>خارجة عن قدرته في مقام التكوين كما في غيره من التنزيلات الشرعية على ما عرفت وجه الكلام فيها في بعض الهدايات السابقة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الوجه في أنّ حسن الاحتياط ليس ممّا يرتفع بعد دلالة دليل اجتهادي ظنّي على ثبوت حكم مخالف للاحتياط ؛ لأنّ ذلك إنّما كان من آثار عدم </w:t>
      </w:r>
    </w:p>
    <w:p>
      <w:pPr>
        <w:pStyle w:val="BookText"/>
        <w:rPr/>
      </w:pPr>
      <w:r>
        <w:rPr>
          <w:rFonts w:ascii="Amiri" w:hAnsi="Amiri" w:eastAsia="Amiri" w:cs="Amiri"/>
          <w:color w:val="111111"/>
          <w:sz w:val="28"/>
          <w:sz w:val="28"/>
          <w:szCs w:val="28"/>
          <w:rtl w:val="true"/>
          <w:lang w:bidi="ar-SA"/>
        </w:rPr>
        <w:t xml:space="preserve">إحراز الواقع في نفسه مع قطع النظر عن </w:t>
      </w:r>
      <w:r>
        <w:rPr>
          <w:rStyle w:val="FootnoteAnchor"/>
          <w:rtl w:val="true"/>
        </w:rPr>
        <w:footnoteReference w:id="2290"/>
      </w:r>
      <w:r>
        <w:rPr>
          <w:rFonts w:ascii="Amiri" w:hAnsi="Amiri" w:eastAsia="Amiri" w:cs="Amiri"/>
          <w:color w:val="111111"/>
          <w:sz w:val="28"/>
          <w:sz w:val="28"/>
          <w:szCs w:val="28"/>
          <w:rtl w:val="true"/>
          <w:lang w:bidi="ar-SA"/>
        </w:rPr>
        <w:t xml:space="preserve">الشرع أيضا ، فلم يكن ذلك بوضع الشارع حتّى يرتفع برفعه ، فلو قامت البيّنة على تعيين جهة القبلة بين الجهات المحتملة فغاية ما يستفاد منها هو رفع الوجوب الناشئ من عدم البيان بعد ثبوت التكليف ، وأمّا حسنه فهو من </w:t>
      </w:r>
      <w:r>
        <w:rPr>
          <w:rStyle w:val="FootnoteAnchor"/>
          <w:rtl w:val="true"/>
        </w:rPr>
        <w:footnoteReference w:id="2291"/>
      </w:r>
      <w:r>
        <w:rPr>
          <w:rFonts w:ascii="Amiri" w:hAnsi="Amiri" w:eastAsia="Amiri" w:cs="Amiri"/>
          <w:color w:val="111111"/>
          <w:sz w:val="28"/>
          <w:sz w:val="28"/>
          <w:szCs w:val="28"/>
          <w:rtl w:val="true"/>
          <w:lang w:bidi="ar-SA"/>
        </w:rPr>
        <w:t>آثار حقيقة الشكّ وعدم العلم عقلا ، والعقل قاض به إحرازا للواقع المطلوب ، فهو ثابت حقيقة ، نعم لو تبدّل الشكّ علما ارتفع الحسن أيضا بارتفاع محلّه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Style w:val="FootnoteAnchor"/>
          <w:rtl w:val="true"/>
        </w:rPr>
        <w:footnoteReference w:id="2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الشيء علما غير العلم واقعا ، فأحكام العلم واقعا غير مترتّب على ما ليس بعلم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ما ذكرت عدم ارتفاع وجوب الاحتياط أيضا ، فإنّ وجوبه أيضا من الأحكام العقلية فإنّ العقل خوفا من وقوع النفس في الضرر المحتمل يحكم بوجوب الاحتياط كما عرفت في موارده ، بل اللازم عدم ارتفاع البراءة أيضا فإنّها أيضا حكم عقلي فلا يرتفع كما في حسن الاحتياط</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فرق بينهما ، فإنّ حكم العقل بوجوب الاحتياط إنّما هو بواسطة عدم البيان على وجه تؤمن </w:t>
      </w:r>
      <w:r>
        <w:rPr>
          <w:rStyle w:val="FootnoteAnchor"/>
          <w:rtl w:val="true"/>
        </w:rPr>
        <w:footnoteReference w:id="2293"/>
      </w:r>
      <w:r>
        <w:rPr>
          <w:rFonts w:ascii="Amiri" w:hAnsi="Amiri" w:eastAsia="Amiri" w:cs="Amiri"/>
          <w:color w:val="111111"/>
          <w:sz w:val="28"/>
          <w:sz w:val="28"/>
          <w:szCs w:val="28"/>
          <w:rtl w:val="true"/>
          <w:lang w:bidi="ar-SA"/>
        </w:rPr>
        <w:t xml:space="preserve">النفس من وقوعها في الضرر ، و </w:t>
      </w:r>
      <w:r>
        <w:rPr>
          <w:rStyle w:val="FootnoteAnchor"/>
          <w:rtl w:val="true"/>
        </w:rPr>
        <w:footnoteReference w:id="2294"/>
      </w:r>
      <w:r>
        <w:rPr>
          <w:rFonts w:ascii="Amiri" w:hAnsi="Amiri" w:eastAsia="Amiri" w:cs="Amiri"/>
          <w:color w:val="111111"/>
          <w:sz w:val="28"/>
          <w:sz w:val="28"/>
          <w:szCs w:val="28"/>
          <w:rtl w:val="true"/>
          <w:lang w:bidi="ar-SA"/>
        </w:rPr>
        <w:t xml:space="preserve">بعد وجود الدليل والبيان المعتبر يرتفع موضوع الحكم ، بخلاف الحسن فإنّه يحكم به </w:t>
      </w:r>
      <w:r>
        <w:rPr>
          <w:rStyle w:val="FootnoteAnchor"/>
          <w:rtl w:val="true"/>
        </w:rPr>
        <w:footnoteReference w:id="2295"/>
      </w:r>
      <w:r>
        <w:rPr>
          <w:rFonts w:ascii="Amiri" w:hAnsi="Amiri" w:eastAsia="Amiri" w:cs="Amiri"/>
          <w:color w:val="111111"/>
          <w:sz w:val="28"/>
          <w:sz w:val="28"/>
          <w:szCs w:val="28"/>
          <w:rtl w:val="true"/>
          <w:lang w:bidi="ar-SA"/>
        </w:rPr>
        <w:t>العقل من حيث عدم وصوله إلى الواقع ، وبعد إقامة الدليل المعتبر هو موجود أيضا ؛ إذ المفروض عدم كونه واقعا في الواقع فيلحقه حكمه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وبمثله نقول في البراءة كما سيجيء له زيادة تحقيق إن شاء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وإذ قد تمهدت </w:t>
      </w:r>
      <w:r>
        <w:rPr>
          <w:rStyle w:val="FootnoteAnchor"/>
          <w:rtl w:val="true"/>
        </w:rPr>
        <w:footnoteReference w:id="2296"/>
      </w:r>
      <w:r>
        <w:rPr>
          <w:rFonts w:ascii="Amiri" w:hAnsi="Amiri" w:eastAsia="Amiri" w:cs="Amiri"/>
          <w:color w:val="111111"/>
          <w:sz w:val="28"/>
          <w:sz w:val="28"/>
          <w:szCs w:val="28"/>
          <w:rtl w:val="true"/>
          <w:lang w:bidi="ar-SA"/>
        </w:rPr>
        <w:t xml:space="preserve">هاتين المقدّمتين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الأدلّة الاجتهادية إلى الأصول العملية نسبة المفسّر إلى المفسّر ، والمبيّن إلى المبيّن ؛ لأنّك قد عرفت أنّ معنى اعتبارها هو إلغاء أحكام الاحتمال التي هي بعينها مفاد الأصول العملية التي منها الاستصحاب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ترتيب أحكام المتيقّن على المشكوك حال الشكّ ، ومفاد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عندك المسلمون فصدّقهم </w:t>
      </w:r>
      <w:r>
        <w:rPr>
          <w:rFonts w:eastAsia="Amiri" w:cs="Amiri" w:ascii="Amiri" w:hAnsi="Amiri"/>
          <w:color w:val="111111"/>
          <w:sz w:val="28"/>
          <w:szCs w:val="28"/>
          <w:rtl w:val="true"/>
          <w:lang w:bidi="ar-SA"/>
        </w:rPr>
        <w:t xml:space="preserve">» </w:t>
      </w:r>
      <w:r>
        <w:rPr>
          <w:rStyle w:val="FootnoteAnchor"/>
          <w:rtl w:val="true"/>
        </w:rPr>
        <w:footnoteReference w:id="2297"/>
      </w:r>
      <w:r>
        <w:rPr>
          <w:rFonts w:ascii="Amiri" w:hAnsi="Amiri" w:eastAsia="Amiri" w:cs="Amiri"/>
          <w:color w:val="111111"/>
          <w:sz w:val="28"/>
          <w:sz w:val="28"/>
          <w:szCs w:val="28"/>
          <w:rtl w:val="true"/>
          <w:lang w:bidi="ar-SA"/>
        </w:rPr>
        <w:t xml:space="preserve">أو آية النبأ هو أنّ المراد والمقصود من الشكّ هو غير الشكّ في الموارد التي يوجد فيها الخبر أو البيّنة </w:t>
      </w:r>
      <w:r>
        <w:rPr>
          <w:rStyle w:val="FootnoteAnchor"/>
          <w:rtl w:val="true"/>
        </w:rPr>
        <w:footnoteReference w:id="2298"/>
      </w:r>
      <w:r>
        <w:rPr>
          <w:rFonts w:ascii="Amiri" w:hAnsi="Amiri" w:eastAsia="Amiri" w:cs="Amiri"/>
          <w:color w:val="111111"/>
          <w:sz w:val="28"/>
          <w:sz w:val="28"/>
          <w:szCs w:val="28"/>
          <w:rtl w:val="true"/>
          <w:lang w:bidi="ar-SA"/>
        </w:rPr>
        <w:t xml:space="preserve">، فالبيان في هذه الموارد ممّا يشبه التخصيص معنى ؛ لكون المبيّن خاصّا إلاّ أنّه ليس من التخصيص ظاهرا </w:t>
      </w:r>
      <w:r>
        <w:rPr>
          <w:rStyle w:val="FootnoteAnchor"/>
          <w:rtl w:val="true"/>
        </w:rPr>
        <w:footnoteReference w:id="2299"/>
      </w:r>
      <w:r>
        <w:rPr>
          <w:rFonts w:ascii="Amiri" w:hAnsi="Amiri" w:eastAsia="Amiri" w:cs="Amiri"/>
          <w:color w:val="111111"/>
          <w:sz w:val="28"/>
          <w:sz w:val="28"/>
          <w:szCs w:val="28"/>
          <w:rtl w:val="true"/>
          <w:lang w:bidi="ar-SA"/>
        </w:rPr>
        <w:t xml:space="preserve">؛ لما عرفت من اختلاف وجوه الكلام ، فإنّ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الإنسان ، بعد الأمر بإكرام الحيوان ليس من التخصيص ظاهرا ؛ لعدم تعرّض المخصّص بلفظه لمفاد العامّ كما عرفت في المقدّمة الأولى </w:t>
      </w:r>
      <w:r>
        <w:rPr>
          <w:rStyle w:val="FootnoteAnchor"/>
          <w:rtl w:val="true"/>
        </w:rPr>
        <w:footnoteReference w:id="2300"/>
      </w:r>
      <w:r>
        <w:rPr>
          <w:rFonts w:ascii="Amiri" w:hAnsi="Amiri" w:eastAsia="Amiri" w:cs="Amiri"/>
          <w:color w:val="111111"/>
          <w:sz w:val="28"/>
          <w:sz w:val="28"/>
          <w:szCs w:val="28"/>
          <w:rtl w:val="true"/>
          <w:lang w:bidi="ar-SA"/>
        </w:rPr>
        <w:t>وإن كان في معناه ، ولهذا لا يناقضه إلاّ أنّه كما عرفت من أخفى أفراد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قد التبس الأمر في ذلك على بعض الأعيان فزعم أنّ بعد ورود الأدلّة الاجتهادية يرتفع موضوع الاستصحاب حقيقة </w:t>
      </w:r>
      <w:r>
        <w:rPr>
          <w:rStyle w:val="FootnoteAnchor"/>
          <w:rtl w:val="true"/>
        </w:rPr>
        <w:footnoteReference w:id="2301"/>
      </w:r>
      <w:r>
        <w:rPr>
          <w:rFonts w:ascii="Amiri" w:hAnsi="Amiri" w:eastAsia="Amiri" w:cs="Amiri"/>
          <w:color w:val="111111"/>
          <w:sz w:val="28"/>
          <w:sz w:val="28"/>
          <w:szCs w:val="28"/>
          <w:rtl w:val="true"/>
          <w:lang w:bidi="ar-SA"/>
        </w:rPr>
        <w:t xml:space="preserve">، وغفل عن وجود الشكّ الواقعي حسّا </w:t>
      </w:r>
      <w:r>
        <w:rPr>
          <w:rStyle w:val="FootnoteAnchor"/>
          <w:rtl w:val="true"/>
        </w:rPr>
        <w:footnoteReference w:id="2302"/>
      </w:r>
      <w:r>
        <w:rPr>
          <w:rFonts w:ascii="Amiri" w:hAnsi="Amiri" w:eastAsia="Amiri" w:cs="Amiri"/>
          <w:color w:val="111111"/>
          <w:sz w:val="28"/>
          <w:sz w:val="28"/>
          <w:szCs w:val="28"/>
          <w:rtl w:val="true"/>
          <w:lang w:bidi="ar-SA"/>
        </w:rPr>
        <w:t xml:space="preserve">في موارد الاستصحاب ، فلا يتحقّق الورود ، فإنّ المتبادر من الأخبار هو اتّحاد مورد اليقين والشكّ والمفروض أنّ متعلّق الشكّ هو الحكم الواقعي ، ولا يجدي في رفع ذلك اليقين بالحكم الظاهري ، فإنّ اليقين بشيء غير اليقين باعتبار شيء فيه ، والموجب للورود هو الأوّل دون الثاني ، ولا ملازمة بينهما </w:t>
      </w:r>
      <w:r>
        <w:rPr>
          <w:rStyle w:val="FootnoteAnchor"/>
          <w:rtl w:val="true"/>
        </w:rPr>
        <w:footnoteReference w:id="2303"/>
      </w:r>
      <w:r>
        <w:rPr>
          <w:rFonts w:ascii="Amiri" w:hAnsi="Amiri" w:eastAsia="Amiri" w:cs="Amiri"/>
          <w:color w:val="111111"/>
          <w:sz w:val="28"/>
          <w:sz w:val="28"/>
          <w:szCs w:val="28"/>
          <w:rtl w:val="true"/>
          <w:lang w:bidi="ar-SA"/>
        </w:rPr>
        <w:t xml:space="preserve">كما أشرنا إليه سابقا أيضا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قد اختفى الأمر على بعض الأفاضل فزعم أنّ موارد الأدلّة الاجتهادية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بواسطة أدلّة اعتبارها مخصّصة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الدعوى وإن كانت أقرب من الأولى إلاّ أنّه غير جار على التحقيق أيضا ؛ لمكان الفرق الواضح </w:t>
      </w:r>
      <w:r>
        <w:rPr>
          <w:rStyle w:val="FootnoteAnchor"/>
          <w:rtl w:val="true"/>
        </w:rPr>
        <w:footnoteReference w:id="2305"/>
      </w:r>
      <w:r>
        <w:rPr>
          <w:rFonts w:ascii="Amiri" w:hAnsi="Amiri" w:eastAsia="Amiri" w:cs="Amiri"/>
          <w:color w:val="111111"/>
          <w:sz w:val="28"/>
          <w:sz w:val="28"/>
          <w:szCs w:val="28"/>
          <w:rtl w:val="true"/>
          <w:lang w:bidi="ar-SA"/>
        </w:rPr>
        <w:t xml:space="preserve">بين الحكومة والتفسير وبين التخصيص ، ومنشأ التحكيم فيما نحن بصدده هو ما مهّدناه في المقدّمة الثانية من أنّ معنى اعتبار الدليل الاجتهادي ليس ما يظهر من صاحب المعالم </w:t>
      </w:r>
      <w:r>
        <w:rPr>
          <w:rStyle w:val="FootnoteAnchor"/>
          <w:rtl w:val="true"/>
        </w:rPr>
        <w:footnoteReference w:id="2306"/>
      </w:r>
      <w:r>
        <w:rPr>
          <w:rFonts w:ascii="Amiri" w:hAnsi="Amiri" w:eastAsia="Amiri" w:cs="Amiri"/>
          <w:color w:val="111111"/>
          <w:sz w:val="28"/>
          <w:sz w:val="28"/>
          <w:szCs w:val="28"/>
          <w:rtl w:val="true"/>
          <w:lang w:bidi="ar-SA"/>
        </w:rPr>
        <w:t xml:space="preserve">أنّه من الأسباب الشرعية المحضة ، بل معناه ما عرفت من أنّ البيّنة من حيث إنّها حاكية عن مدلولها صادقة شرعا لا بدّ من طرح الأصول في قبالها والأخذ باحتمال الواقع وطرح احتمال خلافه وعدم الاعتناء بالشكّ ، ولهذا يكون لكلّ واحد من الأدلّة الاجتهادية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موضوعية بها </w:t>
      </w:r>
      <w:r>
        <w:rPr>
          <w:rStyle w:val="FootnoteAnchor"/>
          <w:rtl w:val="true"/>
        </w:rPr>
        <w:footnoteReference w:id="2307"/>
      </w:r>
      <w:r>
        <w:rPr>
          <w:rFonts w:ascii="IRNazanin" w:hAnsi="IRNazanin" w:eastAsia="IRNazanin"/>
          <w:color w:val="111111"/>
          <w:sz w:val="28"/>
          <w:sz w:val="28"/>
          <w:szCs w:val="28"/>
          <w:rtl w:val="true"/>
          <w:lang w:bidi="fa-IR"/>
        </w:rPr>
        <w:t xml:space="preserve">صارت </w:t>
      </w:r>
      <w:r>
        <w:rPr>
          <w:rStyle w:val="FootnoteAnchor"/>
          <w:rtl w:val="true"/>
        </w:rPr>
        <w:footnoteReference w:id="2308"/>
      </w:r>
      <w:r>
        <w:rPr>
          <w:rFonts w:ascii="Amiri" w:hAnsi="Amiri" w:eastAsia="Amiri" w:cs="Amiri"/>
          <w:color w:val="111111"/>
          <w:sz w:val="28"/>
          <w:sz w:val="28"/>
          <w:szCs w:val="28"/>
          <w:rtl w:val="true"/>
          <w:lang w:bidi="ar-SA"/>
        </w:rPr>
        <w:t xml:space="preserve">حجّة شرعية ، وجهة طريقية لأجلها حكم الشارع باعتبارها </w:t>
      </w:r>
      <w:r>
        <w:rPr>
          <w:rStyle w:val="FootnoteAnchor"/>
          <w:rtl w:val="true"/>
        </w:rPr>
        <w:footnoteReference w:id="2309"/>
      </w:r>
      <w:r>
        <w:rPr>
          <w:rFonts w:ascii="Amiri" w:hAnsi="Amiri" w:eastAsia="Amiri" w:cs="Amiri"/>
          <w:color w:val="111111"/>
          <w:sz w:val="28"/>
          <w:sz w:val="28"/>
          <w:szCs w:val="28"/>
          <w:rtl w:val="true"/>
          <w:lang w:bidi="ar-SA"/>
        </w:rPr>
        <w:t xml:space="preserve">شرعا ، فهي إذا برزخ بين الأسباب الصرفة والطرق الصرفة كالعلم مثلا ، فلو لاحظنا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وتحقّقنا مفادهما نعلم بأنّ الثاني بيان للأوّل ، فكأنّ الثاني يفسّر </w:t>
      </w:r>
      <w:r>
        <w:rPr>
          <w:rStyle w:val="FootnoteAnchor"/>
          <w:rtl w:val="true"/>
        </w:rPr>
        <w:footnoteReference w:id="2310"/>
      </w:r>
      <w:r>
        <w:rPr>
          <w:rFonts w:ascii="Amiri" w:hAnsi="Amiri" w:eastAsia="Amiri" w:cs="Amiri"/>
          <w:color w:val="111111"/>
          <w:sz w:val="28"/>
          <w:sz w:val="28"/>
          <w:szCs w:val="28"/>
          <w:rtl w:val="true"/>
          <w:lang w:bidi="ar-SA"/>
        </w:rPr>
        <w:t xml:space="preserve">الشكّ المعتبر في موضوع الاستصحاب وليس من التخصيص في شيء ، وممّا يدلّ على ذلك هو ما عرفته في المقدّمة الأولى من أنّ علامة البيان هو كونه لغوا لو فرض عدم المبيّن كما يظهر من </w:t>
      </w:r>
      <w:r>
        <w:rPr>
          <w:rStyle w:val="FootnoteAnchor"/>
          <w:rtl w:val="true"/>
        </w:rPr>
        <w:footnoteReference w:id="2311"/>
      </w:r>
      <w:r>
        <w:rPr>
          <w:rFonts w:ascii="Amiri" w:hAnsi="Amiri" w:eastAsia="Amiri" w:cs="Amiri"/>
          <w:color w:val="111111"/>
          <w:sz w:val="28"/>
          <w:sz w:val="28"/>
          <w:szCs w:val="28"/>
          <w:rtl w:val="true"/>
          <w:lang w:bidi="ar-SA"/>
        </w:rPr>
        <w:t xml:space="preserve">أدلّة العسر والحرج وآيتي المسارعة </w:t>
      </w:r>
      <w:r>
        <w:rPr>
          <w:rStyle w:val="FootnoteAnchor"/>
          <w:rtl w:val="true"/>
        </w:rPr>
        <w:footnoteReference w:id="2312"/>
      </w:r>
      <w:r>
        <w:rPr>
          <w:rFonts w:ascii="IRNazanin" w:hAnsi="IRNazanin" w:eastAsia="IRNazanin"/>
          <w:color w:val="111111"/>
          <w:sz w:val="28"/>
          <w:sz w:val="28"/>
          <w:szCs w:val="28"/>
          <w:rtl w:val="true"/>
          <w:lang w:bidi="fa-IR"/>
        </w:rPr>
        <w:t xml:space="preserve">والاستباق </w:t>
      </w:r>
      <w:r>
        <w:rPr>
          <w:rStyle w:val="FootnoteAnchor"/>
          <w:rtl w:val="true"/>
        </w:rPr>
        <w:footnoteReference w:id="2313"/>
      </w:r>
      <w:r>
        <w:rPr>
          <w:rFonts w:ascii="Amiri" w:hAnsi="Amiri" w:eastAsia="Amiri" w:cs="Amiri"/>
          <w:color w:val="111111"/>
          <w:sz w:val="28"/>
          <w:sz w:val="28"/>
          <w:szCs w:val="28"/>
          <w:rtl w:val="true"/>
          <w:lang w:bidi="ar-SA"/>
        </w:rPr>
        <w:t xml:space="preserve">، فإنّها </w:t>
      </w:r>
      <w:r>
        <w:rPr>
          <w:rStyle w:val="FootnoteAnchor"/>
          <w:rtl w:val="true"/>
        </w:rPr>
        <w:footnoteReference w:id="2314"/>
      </w:r>
      <w:r>
        <w:rPr>
          <w:rFonts w:ascii="Amiri" w:hAnsi="Amiri" w:eastAsia="Amiri" w:cs="Amiri"/>
          <w:color w:val="111111"/>
          <w:sz w:val="28"/>
          <w:sz w:val="28"/>
          <w:szCs w:val="28"/>
          <w:rtl w:val="true"/>
          <w:lang w:bidi="ar-SA"/>
        </w:rPr>
        <w:t xml:space="preserve">على تقدير أن لا يكون في الدين أمر أو نهي تقع لغوا صرفا ، بل يكون </w:t>
      </w:r>
      <w:r>
        <w:rPr>
          <w:rStyle w:val="FootnoteAnchor"/>
          <w:rtl w:val="true"/>
        </w:rPr>
        <w:footnoteReference w:id="2315"/>
      </w:r>
      <w:r>
        <w:rPr>
          <w:rFonts w:ascii="Amiri" w:hAnsi="Amiri" w:eastAsia="Amiri" w:cs="Amiri"/>
          <w:color w:val="111111"/>
          <w:sz w:val="28"/>
          <w:sz w:val="28"/>
          <w:szCs w:val="28"/>
          <w:rtl w:val="true"/>
          <w:lang w:bidi="ar-SA"/>
        </w:rPr>
        <w:t xml:space="preserve">أضحوكة محضة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كما لا يخفى ، بخلاف التخصيص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العالم ، فإنّه كما يصحّ بعد ورود العامّ كذا يصحّ على تقدير انتفاء العامّ رأسا ، وذلك ظاهر في الأدلّة الاجتهادية ؛ إذ بعد ما عرفت من أنّ معنى عدم اعتبارها هو الاعتناء بالشكّ والأخذ بأحكامه بحسب اختلاف الموارد ، ومعنى اعتبارها هو إلغاء تلك الأحكام ، لا ينبغي الارتياب في لغوية اعتبار الأدلّة الاجتهادية لو لم تكن </w:t>
      </w:r>
      <w:r>
        <w:rPr>
          <w:rStyle w:val="FootnoteAnchor"/>
          <w:rtl w:val="true"/>
        </w:rPr>
        <w:footnoteReference w:id="2317"/>
      </w:r>
      <w:r>
        <w:rPr>
          <w:rFonts w:ascii="Amiri" w:hAnsi="Amiri" w:eastAsia="Amiri" w:cs="Amiri"/>
          <w:color w:val="111111"/>
          <w:sz w:val="28"/>
          <w:sz w:val="28"/>
          <w:szCs w:val="28"/>
          <w:rtl w:val="true"/>
          <w:lang w:bidi="ar-SA"/>
        </w:rPr>
        <w:t>تلك الأحكام ثابتة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هذه الأحكام ثابتة لموارد الشكّ لم يكن لإلغائها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اعتبار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 بل كان لغوا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ذلك بين التقديم والتأخير ؛ إذ الجمع بين الأدلّة لا يفرق فيه ذلك كما في العموم والخصوص أيضا ، نعم لو كان معنى اعتبارها كونها أسبابا شرعية كان القول بالتخصيص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ينقدح فساد مقالة من زعم أنّ بين الدليل الدالّ على البيّنة وبين الاستصحاب عموم من وجه ، حيث إنّ الأوّل يعمّ الموارد التي تؤخذ </w:t>
      </w:r>
      <w:r>
        <w:rPr>
          <w:rStyle w:val="FootnoteAnchor"/>
          <w:rtl w:val="true"/>
        </w:rPr>
        <w:footnoteReference w:id="2318"/>
      </w:r>
      <w:r>
        <w:rPr>
          <w:rFonts w:ascii="Amiri" w:hAnsi="Amiri" w:eastAsia="Amiri" w:cs="Amiri"/>
          <w:color w:val="111111"/>
          <w:sz w:val="28"/>
          <w:sz w:val="28"/>
          <w:szCs w:val="28"/>
          <w:rtl w:val="true"/>
          <w:lang w:bidi="ar-SA"/>
        </w:rPr>
        <w:t xml:space="preserve">فيها الحالة </w:t>
      </w:r>
      <w:r>
        <w:rPr>
          <w:rStyle w:val="FootnoteAnchor"/>
          <w:rtl w:val="true"/>
        </w:rPr>
        <w:footnoteReference w:id="2319"/>
      </w:r>
      <w:r>
        <w:rPr>
          <w:rFonts w:ascii="Amiri" w:hAnsi="Amiri" w:eastAsia="Amiri" w:cs="Amiri"/>
          <w:color w:val="111111"/>
          <w:sz w:val="28"/>
          <w:sz w:val="28"/>
          <w:szCs w:val="28"/>
          <w:rtl w:val="true"/>
          <w:lang w:bidi="ar-SA"/>
        </w:rPr>
        <w:t>السابقة وغيرها ، والثاني أعمّ من موارد البيّنة وغيرها ، فلا بدّ من الأخذ بالمرجّحات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بعد ما تحقّق من كون تلك الأدلّة محكّمة على الأدلّة التي بها يثبت أحكام الشكّ فلا معنى لملاحظة النسبة ، إذ المفسّر وإن كان عامّا مقدّم على المفسّر ، والوجه فيه هو أنّ بعد فرض التفسير فهو عند العرف أظهر ، فلا بدّ من الأخذ به ، على أنّ العموم في المقام ممنوع ، فإنّ دليل البيّنة حاكم على مطلق أحكام الشكّ التي منها الاستصحاب ، ومنشأ الخيال المذكور هو ملاحظته بالنسبة إلى خصوص دليل الاستصحاب ، ونظير ذلك ما مرّ مرارا من أنّ أدلّة نفي العسر والحرج إنّما يلاحظ بالنسبة إلى جميع الأحكام </w:t>
      </w:r>
      <w:bookmarkStart w:id="254" w:name="pg16284_171403"/>
    </w:p>
    <w:p>
      <w:pPr>
        <w:pStyle w:val="BookText"/>
        <w:rPr/>
      </w:pPr>
      <w:bookmarkEnd w:id="254"/>
      <w:r>
        <w:rPr>
          <w:rFonts w:ascii="Amiri" w:hAnsi="Amiri" w:eastAsia="Amiri" w:cs="Amiri"/>
          <w:color w:val="111111"/>
          <w:sz w:val="28"/>
          <w:sz w:val="28"/>
          <w:szCs w:val="28"/>
          <w:rtl w:val="true"/>
          <w:lang w:bidi="ar-SA"/>
        </w:rPr>
        <w:t>الثابتة في الدين ولا يلاحظ بالنسبة إلى خصوص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عرفت من التحقيق فلا وقع لأمثال هذه الكلمات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الوجه في تقديم الأدلّة الاجتهادية على سائر الأصول غير الاستصحاب أيضا كالبراءة ونحوها ، فإنّ الكلّ مشتركة في كونها أحكاما للشكّ ، وجميع الأدلّة الاجتهادية أيضا مشتركة في كونها مبطلة </w:t>
      </w:r>
      <w:r>
        <w:rPr>
          <w:rStyle w:val="FootnoteAnchor"/>
          <w:rtl w:val="true"/>
        </w:rPr>
        <w:footnoteReference w:id="2320"/>
      </w:r>
      <w:r>
        <w:rPr>
          <w:rFonts w:ascii="Amiri" w:hAnsi="Amiri" w:eastAsia="Amiri" w:cs="Amiri"/>
          <w:color w:val="111111"/>
          <w:sz w:val="28"/>
          <w:sz w:val="28"/>
          <w:szCs w:val="28"/>
          <w:rtl w:val="true"/>
          <w:lang w:bidi="ar-SA"/>
        </w:rPr>
        <w:t xml:space="preserve">لأحكام الشكّ ، ويلزمها اعتبار مدلولها ، ولك أن تقول بأنّ الغرض من جعلها اعتبار مفاد هذه الأدلّة الظنّية ، ويلزمها إلغاء أحكام الشكّ ، إلاّ أنّ الأوّل بالواقع أقرب </w:t>
      </w:r>
      <w:r>
        <w:rPr>
          <w:rStyle w:val="FootnoteAnchor"/>
          <w:rtl w:val="true"/>
        </w:rPr>
        <w:footnoteReference w:id="2321"/>
      </w:r>
      <w:r>
        <w:rPr>
          <w:rFonts w:ascii="Amiri" w:hAnsi="Amiri" w:eastAsia="Amiri" w:cs="Amiri"/>
          <w:color w:val="111111"/>
          <w:sz w:val="28"/>
          <w:sz w:val="28"/>
          <w:szCs w:val="28"/>
          <w:rtl w:val="true"/>
          <w:lang w:bidi="ar-SA"/>
        </w:rPr>
        <w:t xml:space="preserve">كما لا يخفى ، فتدرّب وتدبّر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5012184_1280447820"/>
      <w:bookmarkStart w:id="256" w:name="_Toc81"/>
      <w:bookmarkEnd w:id="255"/>
      <w:r>
        <w:rPr>
          <w:rtl w:val="true"/>
        </w:rPr>
        <w:t>تذنيب</w:t>
      </w:r>
      <w:bookmarkEnd w:id="25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بعض متأخّري المتأخّرين أنّه لو حمل اليقين الناقض في الأخبار على اليقين الواقعي المتعلّق </w:t>
      </w:r>
      <w:r>
        <w:rPr>
          <w:rStyle w:val="FootnoteAnchor"/>
          <w:rtl w:val="true"/>
        </w:rPr>
        <w:footnoteReference w:id="2323"/>
      </w:r>
      <w:r>
        <w:rPr>
          <w:rFonts w:ascii="Amiri" w:hAnsi="Amiri" w:eastAsia="Amiri" w:cs="Amiri"/>
          <w:color w:val="111111"/>
          <w:sz w:val="28"/>
          <w:sz w:val="28"/>
          <w:szCs w:val="28"/>
          <w:rtl w:val="true"/>
          <w:lang w:bidi="ar-SA"/>
        </w:rPr>
        <w:t xml:space="preserve">بالحكم النفس الأمري ، كان الدليل الدالّ على اعتبار الأدلّة الاجتهادية مخصّصة لأخبار الاستصحاب بالتقريب الذي عرفت الوجه فيه في كلام القائل بالتخصيص مطلقا ، ولو حمل على الأعمّ من اليقين الظاهري والواقعي كان القول بالورود مطلقا في محلّه ؛ لارتفاع موضوع الشكّ بعد فرض وجود اليقين بالحكم الظاهري ، وأنت بعد ما أحطت خبرا </w:t>
      </w:r>
      <w:r>
        <w:rPr>
          <w:rStyle w:val="FootnoteAnchor"/>
          <w:rtl w:val="true"/>
        </w:rPr>
        <w:footnoteReference w:id="2324"/>
      </w:r>
      <w:r>
        <w:rPr>
          <w:rFonts w:ascii="Amiri" w:hAnsi="Amiri" w:eastAsia="Amiri" w:cs="Amiri"/>
          <w:color w:val="111111"/>
          <w:sz w:val="28"/>
          <w:sz w:val="28"/>
          <w:szCs w:val="28"/>
          <w:rtl w:val="true"/>
          <w:lang w:bidi="ar-SA"/>
        </w:rPr>
        <w:t xml:space="preserve">بما قرّرنا لك فيما تقدّم تعرف أنّه كلام ظاهري لا يلتفت إليه ؛ إذ لا يعقل حمل اليقين على اليقين الظاهري ، فإنّ مورد الشكّ واليقين كليهما </w:t>
      </w:r>
      <w:r>
        <w:rPr>
          <w:rStyle w:val="FootnoteAnchor"/>
          <w:rtl w:val="true"/>
        </w:rPr>
        <w:footnoteReference w:id="2325"/>
      </w:r>
      <w:r>
        <w:rPr>
          <w:rFonts w:ascii="Amiri" w:hAnsi="Amiri" w:eastAsia="Amiri" w:cs="Amiri"/>
          <w:color w:val="111111"/>
          <w:sz w:val="28"/>
          <w:sz w:val="28"/>
          <w:szCs w:val="28"/>
          <w:rtl w:val="true"/>
          <w:lang w:bidi="ar-SA"/>
        </w:rPr>
        <w:t xml:space="preserve">هو الواقع ، فالمستفاد من أخبار الاستصحاب أنّ الشكّ في الحكم الواقعي لا </w:t>
      </w:r>
    </w:p>
    <w:p>
      <w:pPr>
        <w:pStyle w:val="BookText"/>
        <w:rPr/>
      </w:pPr>
      <w:r>
        <w:rPr>
          <w:rFonts w:ascii="Amiri" w:hAnsi="Amiri" w:eastAsia="Amiri" w:cs="Amiri"/>
          <w:color w:val="111111"/>
          <w:sz w:val="28"/>
          <w:sz w:val="28"/>
          <w:szCs w:val="28"/>
          <w:rtl w:val="true"/>
          <w:lang w:bidi="ar-SA"/>
        </w:rPr>
        <w:t>يرفع اليقين بالحكم الثابت أوّلا إلاّ باليقين الواقعي ، واليقين بالحكم الظاهري لا يرفع الشكّ بالحكم الواقعي ، فلا يكون واردا رافعا لموضوع الشكّ ، فلا بدّ من التحكيم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حمل اليقين في الأخبار على اليقين بالحكم الواقعي لما صحّ التمسّك بالاستصحاب في موارد الأدلّة الاجتهادية ؛ لعدم اليقين بالحكم الواقعي في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هو عدم جواز نقض اليقين المتعلّق بالحكم بالشكّ المتعلّق بالواقع إلاّ باليقين المتعلّق بالواقع ، فالحكم الثابت أوّلا ممّا لا يلاحظ فيه الواقعية أو الظاهرية ، بل لفظ اليقين هو عبارة عن إدراك جزمي وهو حاصل ولا دخل لمتعلّقه فيه ، وأمّا الشكّ فلا يعقل تعلّقه إلاّ بالحكم الواقعي ، وإلاّ لم يكن الشكّ في البقاء والارتفاع ، بل مرجع الشكّ حينئذ إلى الشكّ في حجّية الدليل الدالّ على الحكم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الشكّ متعلّقا بالحكم الظاهري كأن </w:t>
      </w:r>
      <w:r>
        <w:rPr>
          <w:rStyle w:val="FootnoteAnchor"/>
          <w:rtl w:val="true"/>
        </w:rPr>
        <w:footnoteReference w:id="2326"/>
      </w:r>
      <w:r>
        <w:rPr>
          <w:rFonts w:ascii="Amiri" w:hAnsi="Amiri" w:eastAsia="Amiri" w:cs="Amiri"/>
          <w:color w:val="111111"/>
          <w:sz w:val="28"/>
          <w:sz w:val="28"/>
          <w:szCs w:val="28"/>
          <w:rtl w:val="true"/>
          <w:lang w:bidi="ar-SA"/>
        </w:rPr>
        <w:t xml:space="preserve">كان الشكّ في الحجّية فالمشكوك هو بقاء الحجّية </w:t>
      </w:r>
      <w:r>
        <w:rPr>
          <w:rStyle w:val="FootnoteAnchor"/>
          <w:rtl w:val="true"/>
        </w:rPr>
        <w:footnoteReference w:id="2327"/>
      </w:r>
      <w:r>
        <w:rPr>
          <w:rFonts w:ascii="Amiri" w:hAnsi="Amiri" w:eastAsia="Amiri" w:cs="Amiri"/>
          <w:color w:val="111111"/>
          <w:sz w:val="28"/>
          <w:sz w:val="28"/>
          <w:szCs w:val="28"/>
          <w:rtl w:val="true"/>
          <w:lang w:bidi="ar-SA"/>
        </w:rPr>
        <w:t xml:space="preserve">وارتفاعها ، واليقين الثاني كان متعلّقا بحجّيته أيضا ، كان من الورود كما لا يخفى ، وكن على بصيرة من الأمر واحفظ ما ذكرنا من الحكومة فإنّه ينفعك في كثير من مباحث التعادل </w:t>
      </w:r>
      <w:r>
        <w:rPr>
          <w:rStyle w:val="FootnoteAnchor"/>
          <w:rtl w:val="true"/>
        </w:rPr>
        <w:footnoteReference w:id="2328"/>
      </w:r>
      <w:r>
        <w:rPr>
          <w:rFonts w:ascii="Amiri" w:hAnsi="Amiri" w:eastAsia="Amiri" w:cs="Amiri"/>
          <w:color w:val="111111"/>
          <w:sz w:val="28"/>
          <w:sz w:val="28"/>
          <w:szCs w:val="28"/>
          <w:rtl w:val="true"/>
          <w:lang w:bidi="ar-SA"/>
        </w:rPr>
        <w:t>والتراجيح</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لنا نوعا آخر من التحكيم وهو أن يكون الدليل دالاّ على أنّ الحكم الفلاني الثابت للموضوع الفلاني الواقعي ثابت لموضوع ظاهري آخر نزّله الشارع منزلة ذلك الموضوع الواقعي ، كما في موارد الاستصحاب الموضوعي بالنسبة إلى الأحكام الشرعية المترتّبة على الموضوعات الواقعية كأحكام الطهارة المترتّبة على المتطهّر الواقعي من جواز الجواز في المسجدين ومسّ كتابة القرآن ، فإنّها مترتّبة على موضوع </w:t>
      </w:r>
    </w:p>
    <w:p>
      <w:pPr>
        <w:pStyle w:val="BookText"/>
        <w:rPr/>
      </w:pPr>
      <w:r>
        <w:rPr>
          <w:rFonts w:ascii="Amiri" w:hAnsi="Amiri" w:eastAsia="Amiri" w:cs="Amiri"/>
          <w:color w:val="111111"/>
          <w:sz w:val="28"/>
          <w:sz w:val="28"/>
          <w:szCs w:val="28"/>
          <w:rtl w:val="true"/>
          <w:lang w:bidi="ar-SA"/>
        </w:rPr>
        <w:t xml:space="preserve">نزّله الشارع منزلة الواقع بالاستصحاب ، وهذا هو المراد ممّا قرع الأسماع من حكومة الاستصحاب الموضوعي بالنسبة إلى الأحكام المترتّبة على الموضوع الواقعي ، فهذه الحكومة عكس الحكومة في الاجتهاديات فإنّ مقتضاها المضايقة من ترتيب </w:t>
      </w:r>
      <w:r>
        <w:rPr>
          <w:rStyle w:val="FootnoteAnchor"/>
          <w:rtl w:val="true"/>
        </w:rPr>
        <w:footnoteReference w:id="2329"/>
      </w:r>
      <w:r>
        <w:rPr>
          <w:rFonts w:ascii="Amiri" w:hAnsi="Amiri" w:eastAsia="Amiri" w:cs="Amiri"/>
          <w:color w:val="111111"/>
          <w:sz w:val="28"/>
          <w:sz w:val="28"/>
          <w:szCs w:val="28"/>
          <w:rtl w:val="true"/>
          <w:lang w:bidi="ar-SA"/>
        </w:rPr>
        <w:t>أحكام الشكّ ، وقضيّة هذه الحكومة التوسعة من جريان أحكام الواقع على المستصحب كما عرفت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من الحكومة والورود إنّما تنبّهنا به من ملاحظة كلام الصدوق في اعتقاداته </w:t>
      </w:r>
      <w:r>
        <w:rPr>
          <w:rStyle w:val="FootnoteAnchor"/>
          <w:rtl w:val="true"/>
        </w:rPr>
        <w:footnoteReference w:id="2330"/>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الفلان أنّ أخباره واردة </w:t>
      </w:r>
      <w:r>
        <w:rPr>
          <w:rStyle w:val="FootnoteAnchor"/>
          <w:rtl w:val="true"/>
        </w:rPr>
        <w:footnoteReference w:id="2331"/>
      </w:r>
      <w:r>
        <w:rPr>
          <w:rFonts w:ascii="Amiri" w:hAnsi="Amiri" w:eastAsia="Amiri" w:cs="Amiri"/>
          <w:color w:val="111111"/>
          <w:sz w:val="28"/>
          <w:sz w:val="28"/>
          <w:szCs w:val="28"/>
          <w:rtl w:val="true"/>
          <w:lang w:bidi="ar-SA"/>
        </w:rPr>
        <w:t xml:space="preserve">على كذا أو حاكمة </w:t>
      </w:r>
      <w:r>
        <w:rPr>
          <w:rStyle w:val="FootnoteAnchor"/>
          <w:rtl w:val="true"/>
        </w:rPr>
        <w:footnoteReference w:id="2332"/>
      </w:r>
      <w:r>
        <w:rPr>
          <w:rFonts w:ascii="Amiri" w:hAnsi="Amiri" w:eastAsia="Amiri" w:cs="Amiri"/>
          <w:color w:val="111111"/>
          <w:sz w:val="28"/>
          <w:sz w:val="28"/>
          <w:szCs w:val="28"/>
          <w:rtl w:val="true"/>
          <w:lang w:bidi="ar-SA"/>
        </w:rPr>
        <w:t>عليه ، فليراجعها</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6284_171407"/>
      <w:bookmarkStart w:id="258" w:name="pg16284_171407"/>
      <w:bookmarkEnd w:id="258"/>
    </w:p>
    <w:p>
      <w:pPr>
        <w:pStyle w:val="Heading3"/>
        <w:numPr>
          <w:ilvl w:val="2"/>
          <w:numId w:val="1"/>
        </w:numPr>
        <w:rPr/>
      </w:pPr>
      <w:bookmarkStart w:id="259" w:name="pg16284_171407"/>
      <w:bookmarkStart w:id="260" w:name="__RefHeading___Toc5012186_1280447820"/>
      <w:bookmarkStart w:id="261" w:name="_Toc82"/>
      <w:bookmarkEnd w:id="259"/>
      <w:bookmarkEnd w:id="260"/>
      <w:r>
        <w:rPr>
          <w:rtl w:val="true"/>
        </w:rPr>
        <w:t xml:space="preserve">هداية </w:t>
      </w:r>
      <w:r>
        <w:rPr>
          <w:rtl w:val="true"/>
        </w:rPr>
        <w:t xml:space="preserve">[ </w:t>
      </w:r>
      <w:r>
        <w:rPr>
          <w:rtl w:val="true"/>
        </w:rPr>
        <w:t xml:space="preserve">في تعارض الاستصحاب مع الأصول العملية </w:t>
      </w:r>
      <w:r>
        <w:rPr>
          <w:rtl w:val="true"/>
        </w:rPr>
        <w:t>]</w:t>
      </w:r>
      <w:bookmarkEnd w:id="261"/>
    </w:p>
    <w:p>
      <w:pPr>
        <w:pStyle w:val="BookText"/>
        <w:rPr/>
      </w:pPr>
      <w:r>
        <w:rPr>
          <w:rFonts w:ascii="Amiri" w:hAnsi="Amiri" w:eastAsia="Amiri" w:cs="Amiri"/>
          <w:color w:val="111111"/>
          <w:sz w:val="28"/>
          <w:sz w:val="28"/>
          <w:szCs w:val="28"/>
          <w:rtl w:val="true"/>
          <w:lang w:bidi="ar-SA"/>
        </w:rPr>
        <w:t xml:space="preserve">في بيان الحال في تعارض الاستصحاب مع الأصول العملية الدائرة في الأحكام والموضوعات كالبراءة والاحتياط والتخيير ، أمّا تعارض الاستصحاب مع البراءة بمعنى قاعدة البراءة لا استصحابها فإنّه على تقدير تعقّله كما مرّ إليه الإشارة </w:t>
      </w:r>
      <w:r>
        <w:rPr>
          <w:rStyle w:val="FootnoteAnchor"/>
          <w:rtl w:val="true"/>
        </w:rPr>
        <w:footnoteReference w:id="2333"/>
      </w:r>
      <w:r>
        <w:rPr>
          <w:rFonts w:ascii="Amiri" w:hAnsi="Amiri" w:eastAsia="Amiri" w:cs="Amiri"/>
          <w:color w:val="111111"/>
          <w:sz w:val="28"/>
          <w:sz w:val="28"/>
          <w:szCs w:val="28"/>
          <w:rtl w:val="true"/>
          <w:lang w:bidi="ar-SA"/>
        </w:rPr>
        <w:t>يكون من تعارض الاستصحابين ، وستعرف الكلام فيه إن شاء اللّه ، فلا شكّ في تقديم الاستصحاب عليها ، سواء قلنا بالبراءة من جهة حكم العقل بقبح العقاب بلا بيان أو بواسطة أخبار الإطلاق والتوسعة فيما ليس فيه علم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w:t>
      </w:r>
      <w:r>
        <w:rPr>
          <w:rStyle w:val="FootnoteAnchor"/>
          <w:rtl w:val="true"/>
        </w:rPr>
        <w:footnoteReference w:id="2334"/>
      </w:r>
      <w:r>
        <w:rPr>
          <w:rFonts w:ascii="Amiri" w:hAnsi="Amiri" w:eastAsia="Amiri" w:cs="Amiri"/>
          <w:color w:val="111111"/>
          <w:sz w:val="28"/>
          <w:sz w:val="28"/>
          <w:szCs w:val="28"/>
          <w:rtl w:val="true"/>
          <w:lang w:bidi="ar-SA"/>
        </w:rPr>
        <w:t xml:space="preserve">فالأمر واضح فإنّ حكم العقل لا يزيد على قبح العقاب على ما هو غير معلوم ولا ينافي ذلك جواز العقاب على ما هو معلوم ، ففي مورد تعارض الاستصحاب والبراءة لنا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في واقعة العصير إذا ذهب ثلثاه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الاشتداد والغليان الذي هو متعلّق جهل المكلّف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بحرمة نقض الحالة السابقة والمفروض كونه معلوما ، فيختلف مورد الحكمين ، فإنّ حكم العقل </w:t>
      </w:r>
      <w:r>
        <w:rPr>
          <w:rStyle w:val="FootnoteAnchor"/>
          <w:rtl w:val="true"/>
        </w:rPr>
        <w:footnoteReference w:id="2335"/>
      </w:r>
      <w:r>
        <w:rPr>
          <w:rFonts w:ascii="Amiri" w:hAnsi="Amiri" w:eastAsia="Amiri" w:cs="Amiri"/>
          <w:color w:val="111111"/>
          <w:sz w:val="28"/>
          <w:sz w:val="28"/>
          <w:szCs w:val="28"/>
          <w:rtl w:val="true"/>
          <w:lang w:bidi="ar-SA"/>
        </w:rPr>
        <w:t xml:space="preserve">بقبح العقاب إنّما هو في شيء غير معلوم ، والعقاب على </w:t>
      </w:r>
    </w:p>
    <w:p>
      <w:pPr>
        <w:pStyle w:val="BookText"/>
        <w:rPr/>
      </w:pPr>
      <w:r>
        <w:rPr>
          <w:rFonts w:ascii="Amiri" w:hAnsi="Amiri" w:eastAsia="Amiri" w:cs="Amiri"/>
          <w:color w:val="111111"/>
          <w:sz w:val="28"/>
          <w:sz w:val="28"/>
          <w:szCs w:val="28"/>
          <w:rtl w:val="true"/>
          <w:lang w:bidi="ar-SA"/>
        </w:rPr>
        <w:t xml:space="preserve">شيء معلوم ، ويكفي هذه الجهة في الحكم </w:t>
      </w:r>
      <w:r>
        <w:rPr>
          <w:rStyle w:val="FootnoteAnchor"/>
          <w:rtl w:val="true"/>
        </w:rPr>
        <w:footnoteReference w:id="2336"/>
      </w:r>
      <w:r>
        <w:rPr>
          <w:rFonts w:ascii="Amiri" w:hAnsi="Amiri" w:eastAsia="Amiri" w:cs="Amiri"/>
          <w:color w:val="111111"/>
          <w:sz w:val="28"/>
          <w:sz w:val="28"/>
          <w:szCs w:val="28"/>
          <w:rtl w:val="true"/>
          <w:lang w:bidi="ar-SA"/>
        </w:rPr>
        <w:t>بحرمة العصير العنبي إذا لم يذهب ثلثاه بالنار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الثاني </w:t>
      </w:r>
      <w:r>
        <w:rPr>
          <w:rStyle w:val="FootnoteAnchor"/>
          <w:rtl w:val="true"/>
        </w:rPr>
        <w:footnoteReference w:id="2337"/>
      </w:r>
      <w:r>
        <w:rPr>
          <w:rFonts w:ascii="Amiri" w:hAnsi="Amiri" w:eastAsia="Amiri" w:cs="Amiri"/>
          <w:color w:val="111111"/>
          <w:sz w:val="28"/>
          <w:sz w:val="28"/>
          <w:szCs w:val="28"/>
          <w:rtl w:val="true"/>
          <w:lang w:bidi="ar-SA"/>
        </w:rPr>
        <w:t xml:space="preserve">فلوجوه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عزاه بعضهم إلى صاحب الذخيرة وتبعه في ذلك سيّد الرياض </w:t>
      </w:r>
      <w:r>
        <w:rPr>
          <w:rStyle w:val="FootnoteAnchor"/>
          <w:rtl w:val="true"/>
        </w:rPr>
        <w:footnoteReference w:id="2338"/>
      </w:r>
      <w:r>
        <w:rPr>
          <w:rFonts w:ascii="Amiri" w:hAnsi="Amiri" w:eastAsia="Amiri" w:cs="Amiri"/>
          <w:color w:val="111111"/>
          <w:sz w:val="28"/>
          <w:sz w:val="28"/>
          <w:szCs w:val="28"/>
          <w:rtl w:val="true"/>
          <w:lang w:bidi="ar-SA"/>
        </w:rPr>
        <w:t xml:space="preserve">قدّس اللّه روحهما الزكية </w:t>
      </w:r>
      <w:r>
        <w:rPr>
          <w:rStyle w:val="FootnoteAnchor"/>
          <w:rtl w:val="true"/>
        </w:rPr>
        <w:footnoteReference w:id="2339"/>
      </w:r>
      <w:r>
        <w:rPr>
          <w:rFonts w:ascii="Amiri" w:hAnsi="Amiri" w:eastAsia="Amiri" w:cs="Amiri"/>
          <w:color w:val="111111"/>
          <w:sz w:val="28"/>
          <w:sz w:val="28"/>
          <w:szCs w:val="28"/>
          <w:rtl w:val="true"/>
          <w:lang w:bidi="ar-SA"/>
        </w:rPr>
        <w:t xml:space="preserve">من أنّ المنساق من أخبار البراءة هو الشكوك البدوية التي لم يرد فيها من أصل الشريعة أمر أو نهي ، وأمّا ما ورد فيه أمر أو نهي وإن كان بعد ذلك أيضا مشكوكا فلا تشمله هذه الأخبار ؛ إذ لا فرق في الورود بين أن يكون واردا في زمان الشكّ أو قبله ، إذ لا تقييد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يرد فيه أمر أو نهي </w:t>
      </w:r>
      <w:r>
        <w:rPr>
          <w:rFonts w:eastAsia="Amiri" w:cs="Amiri" w:ascii="Amiri" w:hAnsi="Amiri"/>
          <w:color w:val="111111"/>
          <w:sz w:val="28"/>
          <w:szCs w:val="28"/>
          <w:rtl w:val="true"/>
          <w:lang w:bidi="ar-SA"/>
        </w:rPr>
        <w:t xml:space="preserve">» </w:t>
      </w:r>
      <w:r>
        <w:rPr>
          <w:rStyle w:val="FootnoteAnchor"/>
          <w:rtl w:val="true"/>
        </w:rPr>
        <w:footnoteReference w:id="2340"/>
      </w:r>
      <w:r>
        <w:rPr>
          <w:rFonts w:ascii="Amiri" w:hAnsi="Amiri" w:eastAsia="Amiri" w:cs="Amiri"/>
          <w:color w:val="111111"/>
          <w:sz w:val="28"/>
          <w:sz w:val="28"/>
          <w:szCs w:val="28"/>
          <w:rtl w:val="true"/>
          <w:lang w:bidi="ar-SA"/>
        </w:rPr>
        <w:t xml:space="preserve">ففيما له حالة سابقة لا تعارض بين الأخذ بالاستصحاب وقاعدة البراءة المستفادة </w:t>
      </w:r>
      <w:r>
        <w:rPr>
          <w:rStyle w:val="FootnoteAnchor"/>
          <w:rtl w:val="true"/>
        </w:rPr>
        <w:footnoteReference w:id="234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يرد فيه أمر أو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تحت الغاية ، فلا يجوز إعمال البراءة ؛ إذ المفروض أنّه ممّا ورد فيه أمر وليس المقصود هو الأمر الاستصحابي ، بل الأمر الدالّ على ثبوت الحكم في الزمن الأوّل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الأخبار هو العلاج في حال الحيرة والجهل ، ولا يفرق في ذلك ورود النهي قبل ذلك مع الجهل في الحال ، فتنزيل هذه الأخبار على مثل ما ذكره السيّد في غاية البعد عند الدقيق من النظر وإن كان قد يجلو </w:t>
      </w:r>
      <w:r>
        <w:rPr>
          <w:rStyle w:val="FootnoteAnchor"/>
          <w:rtl w:val="true"/>
        </w:rPr>
        <w:footnoteReference w:id="2342"/>
      </w:r>
      <w:r>
        <w:rPr>
          <w:rFonts w:ascii="Amiri" w:hAnsi="Amiri" w:eastAsia="Amiri" w:cs="Amiri"/>
          <w:color w:val="111111"/>
          <w:sz w:val="28"/>
          <w:sz w:val="28"/>
          <w:szCs w:val="28"/>
          <w:rtl w:val="true"/>
          <w:lang w:bidi="ar-SA"/>
        </w:rPr>
        <w:t xml:space="preserve">عند الجليّ من النظر ، فتدبّر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في وجه </w:t>
      </w:r>
      <w:r>
        <w:rPr>
          <w:rStyle w:val="FootnoteAnchor"/>
          <w:rtl w:val="true"/>
        </w:rPr>
        <w:footnoteReference w:id="2344"/>
      </w:r>
      <w:r>
        <w:rPr>
          <w:rFonts w:ascii="Amiri" w:hAnsi="Amiri" w:eastAsia="Amiri" w:cs="Amiri"/>
          <w:color w:val="111111"/>
          <w:sz w:val="28"/>
          <w:sz w:val="28"/>
          <w:szCs w:val="28"/>
          <w:rtl w:val="true"/>
          <w:lang w:bidi="ar-SA"/>
        </w:rPr>
        <w:t xml:space="preserve">التقديم على تقدير استنادها </w:t>
      </w:r>
      <w:r>
        <w:rPr>
          <w:rStyle w:val="FootnoteAnchor"/>
          <w:rtl w:val="true"/>
        </w:rPr>
        <w:footnoteReference w:id="2345"/>
      </w:r>
      <w:r>
        <w:rPr>
          <w:rFonts w:ascii="Amiri" w:hAnsi="Amiri" w:eastAsia="Amiri" w:cs="Amiri"/>
          <w:color w:val="111111"/>
          <w:sz w:val="28"/>
          <w:sz w:val="28"/>
          <w:szCs w:val="28"/>
          <w:rtl w:val="true"/>
          <w:lang w:bidi="ar-SA"/>
        </w:rPr>
        <w:t>إلى العقل ، والفرق بينه وبين الأوّل هو أنّ النهي الملحوظ في الأوّل هو غير النهي الاستصحابي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هو </w:t>
      </w:r>
      <w:r>
        <w:rPr>
          <w:rStyle w:val="FootnoteAnchor"/>
          <w:rtl w:val="true"/>
        </w:rPr>
        <w:footnoteReference w:id="2346"/>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2347"/>
      </w:r>
      <w:r>
        <w:rPr>
          <w:rFonts w:ascii="Amiri" w:hAnsi="Amiri" w:eastAsia="Amiri" w:cs="Amiri"/>
          <w:color w:val="111111"/>
          <w:sz w:val="28"/>
          <w:sz w:val="28"/>
          <w:szCs w:val="28"/>
          <w:rtl w:val="true"/>
          <w:lang w:bidi="ar-SA"/>
        </w:rPr>
        <w:t xml:space="preserve">هو التحقيق على ما أفاده </w:t>
      </w:r>
      <w:r>
        <w:rPr>
          <w:rStyle w:val="FootnoteAnchor"/>
          <w:rtl w:val="true"/>
        </w:rPr>
        <w:footnoteReference w:id="2348"/>
      </w:r>
      <w:r>
        <w:rPr>
          <w:rFonts w:ascii="Amiri" w:hAnsi="Amiri" w:eastAsia="Amiri" w:cs="Amiri"/>
          <w:color w:val="111111"/>
          <w:sz w:val="28"/>
          <w:sz w:val="28"/>
          <w:szCs w:val="28"/>
          <w:rtl w:val="true"/>
          <w:lang w:bidi="ar-SA"/>
        </w:rPr>
        <w:t xml:space="preserve">أستادنا المحقّق رفع اللّه بدره في سمائه </w:t>
      </w:r>
      <w:r>
        <w:rPr>
          <w:rStyle w:val="FootnoteAnchor"/>
          <w:rtl w:val="true"/>
        </w:rPr>
        <w:footnoteReference w:id="2349"/>
      </w:r>
      <w:r>
        <w:rPr>
          <w:rFonts w:ascii="Amiri" w:hAnsi="Amiri" w:eastAsia="Amiri" w:cs="Amiri"/>
          <w:color w:val="111111"/>
          <w:sz w:val="28"/>
          <w:sz w:val="28"/>
          <w:szCs w:val="28"/>
          <w:rtl w:val="true"/>
          <w:lang w:bidi="ar-SA"/>
        </w:rPr>
        <w:t xml:space="preserve">أنّ أخبار الاستصحاب حاكمة على أخبار البراءة فتكون </w:t>
      </w:r>
      <w:r>
        <w:rPr>
          <w:rStyle w:val="FootnoteAnchor"/>
          <w:rtl w:val="true"/>
        </w:rPr>
        <w:footnoteReference w:id="2350"/>
      </w:r>
      <w:r>
        <w:rPr>
          <w:rFonts w:ascii="Amiri" w:hAnsi="Amiri" w:eastAsia="Amiri" w:cs="Amiri"/>
          <w:color w:val="111111"/>
          <w:sz w:val="28"/>
          <w:sz w:val="28"/>
          <w:szCs w:val="28"/>
          <w:rtl w:val="true"/>
          <w:lang w:bidi="ar-SA"/>
        </w:rPr>
        <w:t>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فلما مرّ الكلام فيه في الهداية السابقة بما </w:t>
      </w:r>
      <w:r>
        <w:rPr>
          <w:rStyle w:val="FootnoteAnchor"/>
          <w:rtl w:val="true"/>
        </w:rPr>
        <w:footnoteReference w:id="2351"/>
      </w:r>
      <w:r>
        <w:rPr>
          <w:rFonts w:ascii="Amiri" w:hAnsi="Amiri" w:eastAsia="Amiri" w:cs="Amiri"/>
          <w:color w:val="111111"/>
          <w:sz w:val="28"/>
          <w:sz w:val="28"/>
          <w:szCs w:val="28"/>
          <w:rtl w:val="true"/>
          <w:lang w:bidi="ar-SA"/>
        </w:rPr>
        <w:t>لا مزيد عليه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فلما عرفت في بعض مباحث البراءة والاحتياط أنّ الحكم الوارد في موضوع الشكّ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حكما للشكّ من غير أن يكون محتاجا في ترتيب الآثار إلى إحراز شيء كما في البراءة والاحتياط ، فإنّ مجرّد الشكّ يكفي في الحكم بترتيب آثار البراءة والاشتغال بحسب اختلاف مورديهما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حكما للشكّ لكن بعد إحراز شيء آخر كما في الاستصحاب ، فإنّ ما يترتّب على المشكوك ليس من أحكام نفس الشكّ ، بل هو من أحكام الواقع المحرز في مقام الشكّ بالاستصحاب ، فالمنساق من أخبار البراءة هو الأخذ باحتمال عدم التكليف من حيث عدم العلم بالتكليف لا البناء على أنّ هذا الاحتمال هو الواقع ، فلا يستفاد منها جعل أحد </w:t>
      </w:r>
      <w:r>
        <w:rPr>
          <w:rStyle w:val="FootnoteAnchor"/>
          <w:rtl w:val="true"/>
        </w:rPr>
        <w:footnoteReference w:id="2352"/>
      </w:r>
      <w:r>
        <w:rPr>
          <w:rFonts w:ascii="Amiri" w:hAnsi="Amiri" w:eastAsia="Amiri" w:cs="Amiri"/>
          <w:color w:val="111111"/>
          <w:sz w:val="28"/>
          <w:sz w:val="28"/>
          <w:szCs w:val="28"/>
          <w:rtl w:val="true"/>
          <w:lang w:bidi="ar-SA"/>
        </w:rPr>
        <w:t xml:space="preserve">طرفي الاحتمال بمنزلة الواقع كما في أخبار الاحتياط أيضا ، فإنّ الأخذ بأطراف الشبهة فيما يحتمل الوجوب ليس باعتبار البناء على أنّ المحتمل منزّل منزلة الواقع ، بل بواسطة احتمال أنّه الواقع ، وكذا فيما يحتمل الحرمة ، فإنّ الفرق بين الإذعان بواقعية احتمال والأخذ به من حيث إنّه واقع وبين الأخذ بشيء باحتمال أنّه الواقع في منار من </w:t>
      </w:r>
    </w:p>
    <w:p>
      <w:pPr>
        <w:pStyle w:val="BookText"/>
        <w:rPr/>
      </w:pPr>
      <w:r>
        <w:rPr>
          <w:rFonts w:ascii="Amiri" w:hAnsi="Amiri" w:eastAsia="Amiri" w:cs="Amiri"/>
          <w:color w:val="111111"/>
          <w:sz w:val="28"/>
          <w:sz w:val="28"/>
          <w:szCs w:val="28"/>
          <w:rtl w:val="true"/>
          <w:lang w:bidi="ar-SA"/>
        </w:rPr>
        <w:t>الوضوح ، بخلاف أخبار الاستصحاب فإنّ مفادها هو عدم نقض اليقين السابق والإذعان ببقائه والقول بأنّ احتمال عدمه غير مطابق للواقع ، غاية ما في الباب أنّ واقعية الاحتمال جعلي صرف وتعبّدي محض ، ومن هنا ترى أنّ الاستصحاب لا يفيد شيئا وراء ما يفيده الواقع بمعنى أنّ حكم الشيء المشكوك المسبوق بالحالة السابقة هو حكمه عند العلم به من غير اختلاف بينهما ، ولنعم ما أفاده الأستاد في الكشف عن هذا المعنى من أنّ الاستصحاب على ما يعطيه التدبّر إنّما هو بمنزلة المتمّم لأدلّة الاجتهاد كالإجماع المركّب ، فإنّ الحكم في زمان اليقين مستند إلى الدليل الأوّل وفي زمان الشكّ مستند إلى الاستصحاب ، كما هو في الإجماع المركّب أيضا كذلك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ما ذكرنا يظهر الوجه في تقديمه على البراءة فإنّه بمنزلة الأدلّة الاجتهادية بالنسبة إلى حكم الشكّ مع </w:t>
      </w:r>
      <w:r>
        <w:rPr>
          <w:rStyle w:val="FootnoteAnchor"/>
          <w:rtl w:val="true"/>
        </w:rPr>
        <w:footnoteReference w:id="2353"/>
      </w:r>
      <w:r>
        <w:rPr>
          <w:rFonts w:ascii="Amiri" w:hAnsi="Amiri" w:eastAsia="Amiri" w:cs="Amiri"/>
          <w:color w:val="111111"/>
          <w:sz w:val="28"/>
          <w:sz w:val="28"/>
          <w:szCs w:val="28"/>
          <w:rtl w:val="true"/>
          <w:lang w:bidi="ar-SA"/>
        </w:rPr>
        <w:t xml:space="preserve">القطع النظر عن البناء على أحد طرفي الاحتمال ، فكما عرفت الوجه في تقديم الأدلّة الاجتهادية على الأصول فكذلك تعرف تقديمه عليها من غير فرق بينهما من هذه الجهة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البراءة يحكم بعدم الحكم في الواقعة المشكوكة ، ودليل الاستصحاب يقضي بالبناء على الحالة السابقة وأخذها واقعا بجعل احتمال بقائها واقعا ، وحيث إنّه </w:t>
      </w:r>
      <w:r>
        <w:rPr>
          <w:rStyle w:val="FootnoteAnchor"/>
          <w:rtl w:val="true"/>
        </w:rPr>
        <w:footnoteReference w:id="2354"/>
      </w:r>
      <w:r>
        <w:rPr>
          <w:rFonts w:ascii="Amiri" w:hAnsi="Amiri" w:eastAsia="Amiri" w:cs="Amiri"/>
          <w:color w:val="111111"/>
          <w:sz w:val="28"/>
          <w:sz w:val="28"/>
          <w:szCs w:val="28"/>
          <w:rtl w:val="true"/>
          <w:lang w:bidi="ar-SA"/>
        </w:rPr>
        <w:t xml:space="preserve">لا معنى لجعل الاحتمال واقعا إلاّ بالتنزيل من جعل أحكامه </w:t>
      </w:r>
      <w:r>
        <w:rPr>
          <w:rStyle w:val="FootnoteAnchor"/>
          <w:rtl w:val="true"/>
        </w:rPr>
        <w:footnoteReference w:id="2355"/>
      </w:r>
      <w:r>
        <w:rPr>
          <w:rFonts w:ascii="Amiri" w:hAnsi="Amiri" w:eastAsia="Amiri" w:cs="Amiri"/>
          <w:color w:val="111111"/>
          <w:sz w:val="28"/>
          <w:sz w:val="28"/>
          <w:szCs w:val="28"/>
          <w:rtl w:val="true"/>
          <w:lang w:bidi="ar-SA"/>
        </w:rPr>
        <w:t xml:space="preserve">الشرعية في مورد الاحتمال ورفع أحكام الاحتمال في مورد ذلك الاحتمال المنزّل منزلة الواقع ، لا جرم كان مفاد أدلّة الاستصحاب ناظرا إلى أدلّة البراءة ، وهو معنى الحكومة ، فكما قد عرفت حكومة نفس الدليل بالنسبة إلى البراءة لكون دليله بمفاده اللفظي ناظرا إليها ، فكذا فيما </w:t>
      </w:r>
      <w:r>
        <w:rPr>
          <w:rStyle w:val="FootnoteAnchor"/>
          <w:rtl w:val="true"/>
        </w:rPr>
        <w:footnoteReference w:id="2356"/>
      </w:r>
      <w:r>
        <w:rPr>
          <w:rFonts w:ascii="Amiri" w:hAnsi="Amiri" w:eastAsia="Amiri" w:cs="Amiri"/>
          <w:color w:val="111111"/>
          <w:sz w:val="28"/>
          <w:sz w:val="28"/>
          <w:szCs w:val="28"/>
          <w:rtl w:val="true"/>
          <w:lang w:bidi="ar-SA"/>
        </w:rPr>
        <w:t xml:space="preserve">هو بمنزلة متمّماته كالإجماع المركّب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بيانا للشكّ في مورد البراءة فإنّ المراد به هو في غير ما له حالة سابقة ثابتة بالدليل ، كما أنّ مفاد الدليل الدالّ على الأوّل هو بيان أنّ المراد </w:t>
      </w:r>
    </w:p>
    <w:p>
      <w:pPr>
        <w:pStyle w:val="BookText"/>
        <w:rPr/>
      </w:pPr>
      <w:r>
        <w:rPr>
          <w:rFonts w:ascii="Amiri" w:hAnsi="Amiri" w:eastAsia="Amiri" w:cs="Amiri"/>
          <w:color w:val="111111"/>
          <w:sz w:val="28"/>
          <w:sz w:val="28"/>
          <w:szCs w:val="28"/>
          <w:rtl w:val="true"/>
          <w:lang w:bidi="ar-SA"/>
        </w:rPr>
        <w:t>بالشكّ هو في غير موارد الدليل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ينقدح الوجه في عدم ذهابنا إلى القول بالإجزاء فيما لو </w:t>
      </w:r>
      <w:r>
        <w:rPr>
          <w:rStyle w:val="FootnoteAnchor"/>
          <w:rtl w:val="true"/>
        </w:rPr>
        <w:footnoteReference w:id="2357"/>
      </w:r>
      <w:r>
        <w:rPr>
          <w:rFonts w:ascii="Amiri" w:hAnsi="Amiri" w:eastAsia="Amiri" w:cs="Amiri"/>
          <w:color w:val="111111"/>
          <w:sz w:val="28"/>
          <w:sz w:val="28"/>
          <w:szCs w:val="28"/>
          <w:rtl w:val="true"/>
          <w:lang w:bidi="ar-SA"/>
        </w:rPr>
        <w:t xml:space="preserve">انكشف الخلاف في الطرق الظاهرية ؛ إذ بعد ما فرضنا من أنّ المصلحة في جعل هذه الطرق لا تزيد </w:t>
      </w:r>
      <w:r>
        <w:rPr>
          <w:rStyle w:val="FootnoteAnchor"/>
          <w:rtl w:val="true"/>
        </w:rPr>
        <w:footnoteReference w:id="2358"/>
      </w:r>
      <w:r>
        <w:rPr>
          <w:rFonts w:ascii="Amiri" w:hAnsi="Amiri" w:eastAsia="Amiri" w:cs="Amiri"/>
          <w:color w:val="111111"/>
          <w:sz w:val="28"/>
          <w:sz w:val="28"/>
          <w:szCs w:val="28"/>
          <w:rtl w:val="true"/>
          <w:lang w:bidi="ar-SA"/>
        </w:rPr>
        <w:t xml:space="preserve">على مصلحة الواقع بل إنّما تكون </w:t>
      </w:r>
      <w:r>
        <w:rPr>
          <w:rStyle w:val="FootnoteAnchor"/>
          <w:rtl w:val="true"/>
        </w:rPr>
        <w:footnoteReference w:id="2359"/>
      </w:r>
      <w:r>
        <w:rPr>
          <w:rFonts w:ascii="Amiri" w:hAnsi="Amiri" w:eastAsia="Amiri" w:cs="Amiri"/>
          <w:color w:val="111111"/>
          <w:sz w:val="28"/>
          <w:sz w:val="28"/>
          <w:szCs w:val="28"/>
          <w:rtl w:val="true"/>
          <w:lang w:bidi="ar-SA"/>
        </w:rPr>
        <w:t xml:space="preserve">طرقا موصلة إليه ، لا يعقل </w:t>
      </w:r>
      <w:r>
        <w:rPr>
          <w:rStyle w:val="FootnoteAnchor"/>
          <w:rtl w:val="true"/>
        </w:rPr>
        <w:footnoteReference w:id="2360"/>
      </w:r>
      <w:r>
        <w:rPr>
          <w:rFonts w:ascii="Amiri" w:hAnsi="Amiri" w:eastAsia="Amiri" w:cs="Amiri"/>
          <w:color w:val="111111"/>
          <w:sz w:val="28"/>
          <w:sz w:val="28"/>
          <w:szCs w:val="28"/>
          <w:rtl w:val="true"/>
          <w:lang w:bidi="ar-SA"/>
        </w:rPr>
        <w:t xml:space="preserve">القول بالإجزاء ؛ ضرورة أنّ اللازم للقول بالإجزاء هو القول ببدليتها عن الواقع كما في التيمّم لا </w:t>
      </w:r>
      <w:r>
        <w:rPr>
          <w:rStyle w:val="FootnoteAnchor"/>
          <w:rtl w:val="true"/>
        </w:rPr>
        <w:footnoteReference w:id="2361"/>
      </w:r>
      <w:r>
        <w:rPr>
          <w:rFonts w:ascii="Amiri" w:hAnsi="Amiri" w:eastAsia="Amiri" w:cs="Amiri"/>
          <w:color w:val="111111"/>
          <w:sz w:val="28"/>
          <w:sz w:val="28"/>
          <w:szCs w:val="28"/>
          <w:rtl w:val="true"/>
          <w:lang w:bidi="ar-SA"/>
        </w:rPr>
        <w:t xml:space="preserve">القول بطريقيتها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فالحقّ أنّ بعد وجود دليل </w:t>
      </w:r>
      <w:r>
        <w:rPr>
          <w:rStyle w:val="FootnoteAnchor"/>
          <w:rtl w:val="true"/>
        </w:rPr>
        <w:footnoteReference w:id="2363"/>
      </w:r>
      <w:r>
        <w:rPr>
          <w:rFonts w:ascii="Amiri" w:hAnsi="Amiri" w:eastAsia="Amiri" w:cs="Amiri"/>
          <w:color w:val="111111"/>
          <w:sz w:val="28"/>
          <w:sz w:val="28"/>
          <w:szCs w:val="28"/>
          <w:rtl w:val="true"/>
          <w:lang w:bidi="ar-SA"/>
        </w:rPr>
        <w:t xml:space="preserve">الاستصحاب لا يجري دليل البراءة ؛ لأنّ عدم العلم المأخوذ في موضوع البراءة على ما يفسّره أخبار الاستصحاب غير الشكّ الذي يكون مسبوقا بالحالة السابقة ، فتكون أخبار الاستصحاب حاكمة </w:t>
      </w:r>
      <w:r>
        <w:rPr>
          <w:rStyle w:val="FootnoteAnchor"/>
          <w:rtl w:val="true"/>
        </w:rPr>
        <w:footnoteReference w:id="2364"/>
      </w:r>
      <w:r>
        <w:rPr>
          <w:rFonts w:ascii="Amiri" w:hAnsi="Amiri" w:eastAsia="Amiri" w:cs="Amiri"/>
          <w:color w:val="111111"/>
          <w:sz w:val="28"/>
          <w:sz w:val="28"/>
          <w:szCs w:val="28"/>
          <w:rtl w:val="true"/>
          <w:lang w:bidi="ar-SA"/>
        </w:rPr>
        <w:t xml:space="preserve">على أخبار البراءة ، ولا ينافي ذلك حكومة الأدلّة الاجتهادية على الاستصحاب ؛ لأنّ العارف بصناعة الكلام له فهم هذا المقام فهو على وجه يحكم عليه الدليل ويكون حاكما على هذه الأصول ، والسّر في ذلك اختلاف مراتب الشكّ ، ففي موارد الأصول على ما قرّرنا مرارا لا مناص من اعتبار الشكّ فيها </w:t>
      </w:r>
      <w:r>
        <w:rPr>
          <w:rStyle w:val="FootnoteAnchor"/>
          <w:rtl w:val="true"/>
        </w:rPr>
        <w:footnoteReference w:id="2365"/>
      </w:r>
      <w:r>
        <w:rPr>
          <w:rFonts w:ascii="Amiri" w:hAnsi="Amiri" w:eastAsia="Amiri" w:cs="Amiri"/>
          <w:color w:val="111111"/>
          <w:sz w:val="28"/>
          <w:sz w:val="28"/>
          <w:szCs w:val="28"/>
          <w:rtl w:val="true"/>
          <w:lang w:bidi="ar-SA"/>
        </w:rPr>
        <w:t xml:space="preserve">إلاّ أنّه ربّما يكون عدم الشكّ </w:t>
      </w:r>
      <w:r>
        <w:rPr>
          <w:rStyle w:val="FootnoteAnchor"/>
          <w:rtl w:val="true"/>
        </w:rPr>
        <w:footnoteReference w:id="2366"/>
      </w:r>
      <w:r>
        <w:rPr>
          <w:rFonts w:ascii="Amiri" w:hAnsi="Amiri" w:eastAsia="Amiri" w:cs="Amiri"/>
          <w:color w:val="111111"/>
          <w:sz w:val="28"/>
          <w:sz w:val="28"/>
          <w:szCs w:val="28"/>
          <w:rtl w:val="true"/>
          <w:lang w:bidi="ar-SA"/>
        </w:rPr>
        <w:t xml:space="preserve">المعتبر في بعضها مأخوذا في موضوع الآخر فيكون حاكما على الآخر ، وربّما يكون أحدهما </w:t>
      </w:r>
      <w:r>
        <w:rPr>
          <w:rStyle w:val="FootnoteAnchor"/>
          <w:rtl w:val="true"/>
        </w:rPr>
        <w:footnoteReference w:id="2367"/>
      </w:r>
      <w:r>
        <w:rPr>
          <w:rFonts w:ascii="Amiri" w:hAnsi="Amiri" w:eastAsia="Amiri" w:cs="Amiri"/>
          <w:color w:val="111111"/>
          <w:sz w:val="28"/>
          <w:sz w:val="28"/>
          <w:szCs w:val="28"/>
          <w:rtl w:val="true"/>
          <w:lang w:bidi="ar-SA"/>
        </w:rPr>
        <w:t>في عرض الآخر فيتعارضان كما ستعرف</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تعارض الاستصحاب مع الاحتياط ، فتقديم الاستصحاب عليه ممّا لا ينكر </w:t>
      </w:r>
      <w:r>
        <w:rPr>
          <w:rStyle w:val="FootnoteAnchor"/>
          <w:rtl w:val="true"/>
        </w:rPr>
        <w:footnoteReference w:id="236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والوجه التحقيقي فيه ما عرفت من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تعارض الاستصحاب مع أصالة التخيير فيما إذا دار الأمر بين المتباينين ولم يكن للعمل بأحدهما مرجّح في البين ، فمن المعلوم تقديم الاستصحاب عليه ؛ لأنّ التخيير حكم عقلي صرف ومقدّماته لا تجري في موارد وجود الحالة السابقة ؛ لأنّ الأخذ بها مرجّح </w:t>
      </w:r>
      <w:r>
        <w:rPr>
          <w:rStyle w:val="FootnoteAnchor"/>
          <w:rtl w:val="true"/>
        </w:rPr>
        <w:footnoteReference w:id="2369"/>
      </w:r>
      <w:r>
        <w:rPr>
          <w:rFonts w:ascii="IRNazanin" w:hAnsi="IRNazanin" w:eastAsia="IRNazanin"/>
          <w:color w:val="111111"/>
          <w:sz w:val="28"/>
          <w:sz w:val="28"/>
          <w:szCs w:val="28"/>
          <w:rtl w:val="true"/>
          <w:lang w:bidi="fa-IR"/>
        </w:rPr>
        <w:t xml:space="preserve">بمقتضى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 يظهر وجه تقديم الاستصحاب على أصالة الطهارة المعمولة في الموضوعات والأحكام على بعض الوجوه أيضا ؛ لأنّ ما أفاده السيّد </w:t>
      </w:r>
      <w:r>
        <w:rPr>
          <w:rStyle w:val="FootnoteAnchor"/>
          <w:rtl w:val="true"/>
        </w:rPr>
        <w:footnoteReference w:id="2370"/>
      </w:r>
      <w:r>
        <w:rPr>
          <w:rFonts w:ascii="Amiri" w:hAnsi="Amiri" w:eastAsia="Amiri" w:cs="Amiri"/>
          <w:color w:val="111111"/>
          <w:sz w:val="28"/>
          <w:sz w:val="28"/>
          <w:szCs w:val="28"/>
          <w:rtl w:val="true"/>
          <w:lang w:bidi="ar-SA"/>
        </w:rPr>
        <w:t>في البراءة جار فيها من غير مناقشة على ما يظهر من سياق دليلها فلاحظها ، مضافا إلى جريان الوجه المطابق للتحقيق فيها أيضا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تقديم الاستصحاب ومعارضته مع الأصول الكلّية الدائرة في الأحكام الشرعية والموضوعات ، فتفطّن </w:t>
      </w:r>
      <w:r>
        <w:rPr>
          <w:rStyle w:val="FootnoteAnchor"/>
          <w:rtl w:val="true"/>
        </w:rPr>
        <w:footnoteReference w:id="2371"/>
      </w:r>
      <w:r>
        <w:rPr>
          <w:rFonts w:ascii="Amiri" w:hAnsi="Amiri" w:eastAsia="Amiri" w:cs="Amiri"/>
          <w:color w:val="111111"/>
          <w:sz w:val="28"/>
          <w:sz w:val="28"/>
          <w:szCs w:val="28"/>
          <w:rtl w:val="true"/>
          <w:lang w:bidi="ar-SA"/>
        </w:rPr>
        <w:t xml:space="preserve">فإنّ الوصول إلى حقيقة الأمر دونه خرط القتاد ، بل وأصعب منه ، واللّه الموفّق الهادي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 xml:space="preserve">. </w:t>
      </w:r>
      <w:bookmarkStart w:id="262" w:name="pg16284_171413"/>
    </w:p>
    <w:p>
      <w:pPr>
        <w:pStyle w:val="Heading3"/>
        <w:numPr>
          <w:ilvl w:val="2"/>
          <w:numId w:val="1"/>
        </w:numPr>
        <w:rPr/>
      </w:pPr>
      <w:bookmarkStart w:id="263" w:name="__RefHeading___Toc5012188_1280447820"/>
      <w:bookmarkStart w:id="264" w:name="_Toc83"/>
      <w:bookmarkEnd w:id="262"/>
      <w:bookmarkEnd w:id="263"/>
      <w:r>
        <w:rPr>
          <w:rtl w:val="true"/>
        </w:rPr>
        <w:t xml:space="preserve">هداية </w:t>
      </w:r>
      <w:r>
        <w:rPr>
          <w:rtl w:val="true"/>
        </w:rPr>
        <w:t xml:space="preserve">[ </w:t>
      </w:r>
      <w:r>
        <w:rPr>
          <w:rtl w:val="true"/>
        </w:rPr>
        <w:t xml:space="preserve">في تعارض الاستصحاب مع القرعة </w:t>
      </w:r>
      <w:r>
        <w:rPr>
          <w:rtl w:val="true"/>
        </w:rPr>
        <w:t>]</w:t>
      </w:r>
      <w:bookmarkEnd w:id="26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تحقيق الكلام فيما إذا تعارض الاستصحاب مع القرعة التي جعلها الشارع لكلّ أمر مجهول ، فإنّها أيضا من الأصول المعمولة في الموضوعات ولا كلام لأحد من المسلمين ولا المنتحلين إليه في أصل مشروعيتها ، ونقل الإجماع عليها متظافر ، والأخبار الواردة فيها على ما جمعها وانتظمها في سلك التحرير بعض أفاضل متأخّري </w:t>
      </w:r>
      <w:r>
        <w:rPr>
          <w:rStyle w:val="FootnoteAnchor"/>
          <w:rtl w:val="true"/>
        </w:rPr>
        <w:footnoteReference w:id="2373"/>
      </w:r>
      <w:r>
        <w:rPr>
          <w:rFonts w:ascii="Amiri" w:hAnsi="Amiri" w:eastAsia="Amiri" w:cs="Amiri"/>
          <w:color w:val="111111"/>
          <w:sz w:val="28"/>
          <w:sz w:val="28"/>
          <w:szCs w:val="28"/>
          <w:rtl w:val="true"/>
          <w:lang w:bidi="ar-SA"/>
        </w:rPr>
        <w:t xml:space="preserve">المتأخّرين </w:t>
      </w:r>
      <w:r>
        <w:rPr>
          <w:rStyle w:val="FootnoteAnchor"/>
          <w:rtl w:val="true"/>
        </w:rPr>
        <w:footnoteReference w:id="2374"/>
      </w:r>
      <w:r>
        <w:rPr>
          <w:rFonts w:ascii="Amiri" w:hAnsi="Amiri" w:eastAsia="Amiri" w:cs="Amiri"/>
          <w:color w:val="111111"/>
          <w:sz w:val="28"/>
          <w:sz w:val="28"/>
          <w:szCs w:val="28"/>
          <w:rtl w:val="true"/>
          <w:lang w:bidi="ar-SA"/>
        </w:rPr>
        <w:t xml:space="preserve">بالغة حدّ التواتر فإنّها تبلغ حدّ الأربعين ، بل ويزيد عليه خمسة ، ولم نعرف فيها مخالفا إلاّ من لا يعتدّ بخلافه ؛ لعدم اعتداده بمخالفة اللّه ومخالفة رسوله ، بل يمكن </w:t>
      </w:r>
      <w:r>
        <w:rPr>
          <w:rStyle w:val="FootnoteAnchor"/>
          <w:rtl w:val="true"/>
        </w:rPr>
        <w:footnoteReference w:id="2375"/>
      </w:r>
      <w:r>
        <w:rPr>
          <w:rFonts w:ascii="Amiri" w:hAnsi="Amiri" w:eastAsia="Amiri" w:cs="Amiri"/>
          <w:color w:val="111111"/>
          <w:sz w:val="28"/>
          <w:sz w:val="28"/>
          <w:szCs w:val="28"/>
          <w:rtl w:val="true"/>
          <w:lang w:bidi="ar-SA"/>
        </w:rPr>
        <w:t xml:space="preserve">استفادة أصل مشروعيتها من الكتاب العزيز من قوله عزّ من قائل </w:t>
      </w:r>
      <w:r>
        <w:rPr>
          <w:rStyle w:val="FootnoteAnchor"/>
          <w:rtl w:val="true"/>
        </w:rPr>
        <w:footnoteReference w:id="2376"/>
      </w:r>
      <w:r>
        <w:rPr>
          <w:rFonts w:ascii="Amiri" w:hAnsi="Amiri" w:eastAsia="Amiri" w:cs="Amiri"/>
          <w:color w:val="111111"/>
          <w:sz w:val="28"/>
          <w:sz w:val="28"/>
          <w:szCs w:val="28"/>
          <w:rtl w:val="true"/>
          <w:lang w:bidi="ar-SA"/>
        </w:rPr>
        <w:t xml:space="preserve">في حكاية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وعليه‌السلام </w:t>
      </w:r>
      <w:r>
        <w:rPr>
          <w:rStyle w:val="FootnoteAnchor"/>
          <w:rtl w:val="true"/>
        </w:rPr>
        <w:footnoteReference w:id="237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Style w:val="FootnoteAnchor"/>
          <w:rtl w:val="true"/>
        </w:rPr>
        <w:footnoteReference w:id="2378"/>
      </w:r>
      <w:r>
        <w:rPr>
          <w:rFonts w:ascii="IRNazanin" w:hAnsi="IRNazanin" w:eastAsia="IRNazanin"/>
          <w:color w:val="111111"/>
          <w:sz w:val="28"/>
          <w:sz w:val="28"/>
          <w:szCs w:val="28"/>
          <w:rtl w:val="true"/>
          <w:lang w:bidi="fa-IR"/>
        </w:rPr>
        <w:t xml:space="preserve">وقوله جلّ اسمه </w:t>
      </w:r>
      <w:r>
        <w:rPr>
          <w:rStyle w:val="FootnoteAnchor"/>
          <w:rtl w:val="true"/>
        </w:rPr>
        <w:footnoteReference w:id="2379"/>
      </w:r>
      <w:r>
        <w:rPr>
          <w:rFonts w:ascii="Amiri" w:hAnsi="Amiri" w:eastAsia="Amiri" w:cs="Amiri"/>
          <w:color w:val="111111"/>
          <w:sz w:val="28"/>
          <w:sz w:val="28"/>
          <w:szCs w:val="28"/>
          <w:rtl w:val="true"/>
          <w:lang w:bidi="ar-SA"/>
        </w:rPr>
        <w:t xml:space="preserve">في حكاية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يُلْقُونَ أَقْلامَهُمْ أَيُّهُمْ يَكْفُلُ مَرْيَمَ </w:t>
      </w:r>
      <w:r>
        <w:rPr>
          <w:rFonts w:eastAsia="Amiri" w:cs="Amiri" w:ascii="Amiri" w:hAnsi="Amiri"/>
          <w:color w:val="111111"/>
          <w:sz w:val="28"/>
          <w:szCs w:val="28"/>
          <w:rtl w:val="true"/>
          <w:lang w:bidi="ar-SA"/>
        </w:rPr>
        <w:t xml:space="preserve">) </w:t>
      </w:r>
      <w:r>
        <w:rPr>
          <w:rStyle w:val="FootnoteAnchor"/>
          <w:rtl w:val="true"/>
        </w:rPr>
        <w:footnoteReference w:id="2380"/>
      </w:r>
      <w:r>
        <w:rPr>
          <w:rFonts w:ascii="Amiri" w:hAnsi="Amiri" w:eastAsia="Amiri" w:cs="Amiri"/>
          <w:color w:val="111111"/>
          <w:sz w:val="28"/>
          <w:sz w:val="28"/>
          <w:szCs w:val="28"/>
          <w:rtl w:val="true"/>
          <w:lang w:bidi="ar-SA"/>
        </w:rPr>
        <w:t>على تأمّل يظهر الوجه فيه من بعض الهدايات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كثرتها في ذلك ممّا تكفي </w:t>
      </w:r>
      <w:r>
        <w:rPr>
          <w:rStyle w:val="FootnoteAnchor"/>
          <w:rtl w:val="true"/>
        </w:rPr>
        <w:footnoteReference w:id="2381"/>
      </w:r>
      <w:r>
        <w:rPr>
          <w:rFonts w:ascii="Amiri" w:hAnsi="Amiri" w:eastAsia="Amiri" w:cs="Amiri"/>
          <w:color w:val="111111"/>
          <w:sz w:val="28"/>
          <w:sz w:val="28"/>
          <w:szCs w:val="28"/>
          <w:rtl w:val="true"/>
          <w:lang w:bidi="ar-SA"/>
        </w:rPr>
        <w:t xml:space="preserve">عن تجشّم تصحيح السند وتوضيح الدلالة ؛ إذ لا إجمال في مفادها بحسب المفردات الواقعة فيها ، ولا بحسب الهيئة الملتئمة من </w:t>
      </w:r>
      <w:r>
        <w:rPr>
          <w:rStyle w:val="FootnoteAnchor"/>
          <w:rtl w:val="true"/>
        </w:rPr>
        <w:footnoteReference w:id="2382"/>
      </w:r>
      <w:r>
        <w:rPr>
          <w:rFonts w:ascii="Amiri" w:hAnsi="Amiri" w:eastAsia="Amiri" w:cs="Amiri"/>
          <w:color w:val="111111"/>
          <w:sz w:val="28"/>
          <w:sz w:val="28"/>
          <w:szCs w:val="28"/>
          <w:rtl w:val="true"/>
          <w:lang w:bidi="ar-SA"/>
        </w:rPr>
        <w:t xml:space="preserve">ملاحظة بعضها إلى الآخر ، إلاّ أنّ الأخذ بعمومها حتّى في الأحكام ممّا لم يذهب إليه وهم ، ولو عمل بأمثال القرعة في الأحكام الشرعية لم يبق منها عين ولا أثر ويصير الفقه علما جديدا لا يشتمل عليه زبر الأوّلين ولا يوجد شيء منه في كتب الآخرين ، ولعلّك </w:t>
      </w:r>
      <w:r>
        <w:rPr>
          <w:rStyle w:val="FootnoteAnchor"/>
          <w:rtl w:val="true"/>
        </w:rPr>
        <w:footnoteReference w:id="2383"/>
      </w:r>
      <w:r>
        <w:rPr>
          <w:rFonts w:ascii="Amiri" w:hAnsi="Amiri" w:eastAsia="Amiri" w:cs="Amiri"/>
          <w:color w:val="111111"/>
          <w:sz w:val="28"/>
          <w:sz w:val="28"/>
          <w:szCs w:val="28"/>
          <w:rtl w:val="true"/>
          <w:lang w:bidi="ar-SA"/>
        </w:rPr>
        <w:t xml:space="preserve">بعد التأمّل في أخبارها تقدر على استخراج ذلك منها أيضا ، إلاّ أنّ الخطب فيه سهل </w:t>
      </w:r>
      <w:r>
        <w:rPr>
          <w:rStyle w:val="FootnoteAnchor"/>
          <w:rtl w:val="true"/>
        </w:rPr>
        <w:footnoteReference w:id="2384"/>
      </w:r>
      <w:r>
        <w:rPr>
          <w:rFonts w:ascii="Amiri" w:hAnsi="Amiri" w:eastAsia="Amiri" w:cs="Amiri"/>
          <w:color w:val="111111"/>
          <w:sz w:val="28"/>
          <w:sz w:val="28"/>
          <w:szCs w:val="28"/>
          <w:rtl w:val="true"/>
          <w:lang w:bidi="ar-SA"/>
        </w:rPr>
        <w:t>بعد الإجماع القطعي على التخصيص على تقدير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الأخذ به في الموضوعات فلا إشكال فيه من جهة الدلالة اللفظية ؛ لما عرفت من وضوح الدلالة وسلامة السند ، إلاّ أنّ الواقع أنّ دلالتها موهونة في الموارد التي لم يظهر من الأصحاب التعويل عليه والاتّكال به كما في أمثاله من العمومات الموهونة كأخبار نفي الضرر والحرج ونحوهما ، فإنّه لا ينبغي الاجتراء على مثل هذه الأمور بعد إعراض العلماء الأخيار العارفين بمواقع الكلام والآخذين بمجامع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يتخيّل في وجه ذلك أنّ موارد القرعة لا يخلو إمّا أن يكون موارد الدليل ، أو لا ، وعلى التقديرين فلا مجال للقرعة فيها ، أمّا على الأوّل فواضح ؛ لارتفاع الاشتباه والتحيّر بواسطة الدليل ، وأمّا على الثاني فلأنّ الأصول العملية لمكان أخصّية أدلّتها بالنسبة إلى القرعة مقدّمة عليها ، إلاّ أنّ ذلك لا يتمّ في التخيير ؛ إذ لا دليل عليه سوى حكم العقل به بعد التحيّر ، وبعد إمكان الترجيح بالقرعة لا يحكم العقل به ؛ لانتفاء مقدّماته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يخفي أنّ هذا الوجه </w:t>
      </w:r>
      <w:r>
        <w:rPr>
          <w:rStyle w:val="FootnoteAnchor"/>
          <w:rtl w:val="true"/>
        </w:rPr>
        <w:footnoteReference w:id="2385"/>
      </w:r>
      <w:r>
        <w:rPr>
          <w:rFonts w:ascii="Amiri" w:hAnsi="Amiri" w:eastAsia="Amiri" w:cs="Amiri"/>
          <w:color w:val="111111"/>
          <w:sz w:val="28"/>
          <w:sz w:val="28"/>
          <w:szCs w:val="28"/>
          <w:rtl w:val="true"/>
          <w:lang w:bidi="ar-SA"/>
        </w:rPr>
        <w:t xml:space="preserve">لو تمّ فهو يجري </w:t>
      </w:r>
      <w:r>
        <w:rPr>
          <w:rStyle w:val="FootnoteAnchor"/>
          <w:rtl w:val="true"/>
        </w:rPr>
        <w:footnoteReference w:id="2386"/>
      </w:r>
      <w:r>
        <w:rPr>
          <w:rFonts w:ascii="Amiri" w:hAnsi="Amiri" w:eastAsia="Amiri" w:cs="Amiri"/>
          <w:color w:val="111111"/>
          <w:sz w:val="28"/>
          <w:sz w:val="28"/>
          <w:szCs w:val="28"/>
          <w:rtl w:val="true"/>
          <w:lang w:bidi="ar-SA"/>
        </w:rPr>
        <w:t xml:space="preserve">في الأحكام أيضا مع قطع النظر عن </w:t>
      </w:r>
    </w:p>
    <w:p>
      <w:pPr>
        <w:pStyle w:val="BookText"/>
        <w:rPr/>
      </w:pPr>
      <w:r>
        <w:rPr>
          <w:rFonts w:ascii="Amiri" w:hAnsi="Amiri" w:eastAsia="Amiri" w:cs="Amiri"/>
          <w:color w:val="111111"/>
          <w:sz w:val="28"/>
          <w:sz w:val="28"/>
          <w:szCs w:val="28"/>
          <w:rtl w:val="true"/>
          <w:lang w:bidi="ar-SA"/>
        </w:rPr>
        <w:t>انعقاد الإجماع على التخصيص أيضا ، ومع ذلك فلا يتمّ في التخيير إلاّ بدعوى الإجماع ؛ لما ذكره المتخيّل من انتفاء مقدّماته ، وكيف كان فلا إشكال في خروج الأحكام مع قطع النظر عن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الموضوعات فالإنصاف أنّ هذا الوجه لا يتمّ فيه أيضا ؛ لأنّ مبنى هذا الوجه على ملاحظة النسبة بين أخبار الأصول وأدلّة القرعة والأخذ بأحكام التعارض من تقديم </w:t>
      </w:r>
      <w:r>
        <w:rPr>
          <w:rStyle w:val="FootnoteAnchor"/>
          <w:rtl w:val="true"/>
        </w:rPr>
        <w:footnoteReference w:id="2387"/>
      </w:r>
      <w:r>
        <w:rPr>
          <w:rFonts w:ascii="Amiri" w:hAnsi="Amiri" w:eastAsia="Amiri" w:cs="Amiri"/>
          <w:color w:val="111111"/>
          <w:sz w:val="28"/>
          <w:sz w:val="28"/>
          <w:szCs w:val="28"/>
          <w:rtl w:val="true"/>
          <w:lang w:bidi="ar-SA"/>
        </w:rPr>
        <w:t xml:space="preserve">الخاصّ على العامّ ونحوه ، والذي يقتضيه التدبّر في أخبار القرعة من حيث اشتمال بعضها </w:t>
      </w:r>
      <w:r>
        <w:rPr>
          <w:rStyle w:val="FootnoteAnchor"/>
          <w:rtl w:val="true"/>
        </w:rPr>
        <w:footnoteReference w:id="2388"/>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فوّض أمره إلى اللّه هداه اللّه إلى ما هو الأصلح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يقرب مضمونه ؛ لما ذكرنا أنّ القرعة من الطرق الواقعية الموصلة إلى ما هو الثابت في نفس الأمر ، فإنّ من ألطاف اللّه على عباده إهداءهم إلى مثل هذا الطريق </w:t>
      </w:r>
      <w:r>
        <w:rPr>
          <w:rStyle w:val="FootnoteAnchor"/>
          <w:rtl w:val="true"/>
        </w:rPr>
        <w:footnoteReference w:id="2389"/>
      </w:r>
      <w:r>
        <w:rPr>
          <w:rFonts w:ascii="Amiri" w:hAnsi="Amiri" w:eastAsia="Amiri" w:cs="Amiri"/>
          <w:color w:val="111111"/>
          <w:sz w:val="28"/>
          <w:sz w:val="28"/>
          <w:szCs w:val="28"/>
          <w:rtl w:val="true"/>
          <w:lang w:bidi="ar-SA"/>
        </w:rPr>
        <w:t xml:space="preserve">الذي ينكشف الواقع به من اللّه ، فيكون مقدّما على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بحسب مفاد الأدلّة الدالّة على اعتبارهما ، فإن كان في المقام إجماع على تقديم الأصول على القرعة فهو ، وإلاّ فالقول بتقديم القرعة على ما وراء الاستصحاب في غاية القوّة نظرا إلى استفادة الطريقية من سياق </w:t>
      </w:r>
      <w:r>
        <w:rPr>
          <w:rStyle w:val="FootnoteAnchor"/>
          <w:rtl w:val="true"/>
        </w:rPr>
        <w:footnoteReference w:id="2390"/>
      </w:r>
      <w:r>
        <w:rPr>
          <w:rFonts w:ascii="Amiri" w:hAnsi="Amiri" w:eastAsia="Amiri" w:cs="Amiri"/>
          <w:color w:val="111111"/>
          <w:sz w:val="28"/>
          <w:sz w:val="28"/>
          <w:szCs w:val="28"/>
          <w:rtl w:val="true"/>
          <w:lang w:bidi="ar-SA"/>
        </w:rPr>
        <w:t>الأدلّة الواردة في اعتبارها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الاستصحاب فالأمر فيه في غاية الإشكال مع قطع النظر عن دعوى الإجماع على تقديمه عليها فيما لو حاولنا استفادة ذلك من الأدلّة ، فإنّك على ما عرفت يظهر من دليله طريقته بالنسبة إلى بعض الأصول كالبراءة والاحتياط والتخيير ، فيحتمل أيضا بالنسبة إلى القرعة أن يكون طريقا فيكون مقدّما عليها ، كما يحتمل العكس ، ويحتمل أيضا أن يكون أحدهما في عرض الآخر فلا يتحقّق حكومة بينهما ولا بدّ </w:t>
      </w:r>
      <w:r>
        <w:rPr>
          <w:rStyle w:val="FootnoteAnchor"/>
          <w:rtl w:val="true"/>
        </w:rPr>
        <w:footnoteReference w:id="2391"/>
      </w:r>
      <w:r>
        <w:rPr>
          <w:rFonts w:ascii="IRNazanin" w:hAnsi="IRNazanin" w:eastAsia="IRNazanin"/>
          <w:color w:val="111111"/>
          <w:sz w:val="28"/>
          <w:sz w:val="28"/>
          <w:szCs w:val="28"/>
          <w:rtl w:val="true"/>
          <w:lang w:bidi="fa-IR"/>
        </w:rPr>
        <w:t xml:space="preserve">من الأخذ </w:t>
      </w:r>
    </w:p>
    <w:p>
      <w:pPr>
        <w:pStyle w:val="BookText"/>
        <w:rPr/>
      </w:pPr>
      <w:r>
        <w:rPr>
          <w:rFonts w:ascii="Amiri" w:hAnsi="Amiri" w:eastAsia="Amiri" w:cs="Amiri"/>
          <w:color w:val="111111"/>
          <w:sz w:val="28"/>
          <w:sz w:val="28"/>
          <w:szCs w:val="28"/>
          <w:rtl w:val="true"/>
          <w:lang w:bidi="ar-SA"/>
        </w:rPr>
        <w:t>بقواعد المعارضة ، فيقدّم عليه الاستصحاب لمكان الأخصّية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الاحتمالات هو أنّ الجهل المعتبر في موضوع هذه الأصول قد يكون مأخوذا في أحدهما </w:t>
      </w:r>
      <w:r>
        <w:rPr>
          <w:rStyle w:val="FootnoteAnchor"/>
          <w:rtl w:val="true"/>
        </w:rPr>
        <w:footnoteReference w:id="2392"/>
      </w:r>
      <w:r>
        <w:rPr>
          <w:rFonts w:ascii="Amiri" w:hAnsi="Amiri" w:eastAsia="Amiri" w:cs="Amiri"/>
          <w:color w:val="111111"/>
          <w:sz w:val="28"/>
          <w:sz w:val="28"/>
          <w:szCs w:val="28"/>
          <w:rtl w:val="true"/>
          <w:lang w:bidi="ar-SA"/>
        </w:rPr>
        <w:t>بعد الشكّ المأخوذ في آخر ، كما في الشكّ المأخوذ في البراءة فإنّ الحقّ على ما مرّ إنّما هو تأخّره عن الشكّ المأخوذ في الاستصحاب ، ولذا قلنا بحكومة الاستصحاب عليها ، وقد يكون أحدهما في عرض الآخر ، كما في الشكّ في أخبار البناء على الأكثر في عدد الركعات مثلا ، فيعارضان فيحكم بالتخصيص أو يؤخذ بالخاصّ حكومة على اختلاف وجوه الكلام الوارد في عنوان الدليل ، فالشكّ المأخوذ في القرعة يحتمل أن يكون متعلّقا بالواقع والظاهر معا لكن بالنسبة إلى الاستصحاب فيقدّم عليها ، ويحتمل أن يكون الشكّ في مورد الاستصحاب كذلك فيقدّم القرعة عليه ، ويحتمل أن يكون المعتبر فيهما شكّ واحد واقعيا فقط أو ظاهريا أيضا ولازمه التكافؤ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لو حاولنا استفادة ذلك من الأدلّة وإلاّ فالأمر سهل ؛ إذ بعد ما فرضنا من كون القرعة طريقا فلا يجب الأخذ بها في الموضوعات ، لعدم وجوب الفحص في العمل بالأصول فيهما ، ولا يزيد شأن القرعة على البيّنة فكما أنّ مع إمكان إقامة البيّنة على إثبات موضوع يصحّ العمل بالاستصحاب ، بل وسائر الأصول ، فكذا مع إمكان استخراج الواقع بالقرعة يجوز العمل بالأصل ، بل الأمر كذلك مع إمكان تحصيل العلم القطعي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أخبار القرعة هو وجوب إيجادها ولزوم الإقراع ، وبعد الوجود على ما اعترفت </w:t>
      </w:r>
      <w:r>
        <w:rPr>
          <w:rStyle w:val="FootnoteAnchor"/>
          <w:rtl w:val="true"/>
        </w:rPr>
        <w:footnoteReference w:id="2393"/>
      </w:r>
      <w:r>
        <w:rPr>
          <w:rFonts w:ascii="Amiri" w:hAnsi="Amiri" w:eastAsia="Amiri" w:cs="Amiri"/>
          <w:color w:val="111111"/>
          <w:sz w:val="28"/>
          <w:sz w:val="28"/>
          <w:szCs w:val="28"/>
          <w:rtl w:val="true"/>
          <w:lang w:bidi="ar-SA"/>
        </w:rPr>
        <w:t>لا بدّ من الأخذ بما استخرجه القرعة فالإشكال باق بحاله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استفادة وجوب الإقراع من الأدلّة ، بل لا يزيد حالها على البيّنة كما عرفت ، ومعنى اعتبارها أنّها لو أقيمت فهي معتبرة ، وفي المقام أمر آخر </w:t>
      </w:r>
    </w:p>
    <w:p>
      <w:pPr>
        <w:pStyle w:val="BookText"/>
        <w:rPr/>
      </w:pPr>
      <w:r>
        <w:rPr>
          <w:rFonts w:ascii="Amiri" w:hAnsi="Amiri" w:eastAsia="Amiri" w:cs="Amiri"/>
          <w:color w:val="111111"/>
          <w:sz w:val="28"/>
          <w:sz w:val="28"/>
          <w:szCs w:val="28"/>
          <w:rtl w:val="true"/>
          <w:lang w:bidi="ar-SA"/>
        </w:rPr>
        <w:t xml:space="preserve">وهو أنّ الاستصحاب في الموارد الجزئية الفرعية لو سلّم عدم العلم بتقدّمه على القرعة فالاستصحاب في المسألة الأصولية بحاله ؛ إذ يرجع </w:t>
      </w:r>
      <w:r>
        <w:rPr>
          <w:rStyle w:val="FootnoteAnchor"/>
          <w:rtl w:val="true"/>
        </w:rPr>
        <w:footnoteReference w:id="2394"/>
      </w:r>
      <w:r>
        <w:rPr>
          <w:rFonts w:ascii="Amiri" w:hAnsi="Amiri" w:eastAsia="Amiri" w:cs="Amiri"/>
          <w:color w:val="111111"/>
          <w:sz w:val="28"/>
          <w:sz w:val="28"/>
          <w:szCs w:val="28"/>
          <w:rtl w:val="true"/>
          <w:lang w:bidi="ar-SA"/>
        </w:rPr>
        <w:t xml:space="preserve">الكلام إلى أنّ المرجع هو القرعة </w:t>
      </w:r>
      <w:r>
        <w:rPr>
          <w:rStyle w:val="FootnoteAnchor"/>
          <w:rtl w:val="true"/>
        </w:rPr>
        <w:footnoteReference w:id="2395"/>
      </w:r>
      <w:r>
        <w:rPr>
          <w:rFonts w:ascii="Amiri" w:hAnsi="Amiri" w:eastAsia="Amiri" w:cs="Amiri"/>
          <w:color w:val="111111"/>
          <w:sz w:val="28"/>
          <w:sz w:val="28"/>
          <w:szCs w:val="28"/>
          <w:rtl w:val="true"/>
          <w:lang w:bidi="ar-SA"/>
        </w:rPr>
        <w:t xml:space="preserve">وعدم الأخذ بأحكام الشكّ ، أو يجب الحكم بما يقضي </w:t>
      </w:r>
      <w:r>
        <w:rPr>
          <w:rStyle w:val="FootnoteAnchor"/>
          <w:rtl w:val="true"/>
        </w:rPr>
        <w:footnoteReference w:id="2396"/>
      </w:r>
      <w:r>
        <w:rPr>
          <w:rFonts w:ascii="Amiri" w:hAnsi="Amiri" w:eastAsia="Amiri" w:cs="Amiri"/>
          <w:color w:val="111111"/>
          <w:sz w:val="28"/>
          <w:sz w:val="28"/>
          <w:szCs w:val="28"/>
          <w:rtl w:val="true"/>
          <w:lang w:bidi="ar-SA"/>
        </w:rPr>
        <w:t>به الاستصحاب ، والأصل يقضي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يتخيّل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القرعة لمكان عمومها لأنواع </w:t>
      </w:r>
      <w:r>
        <w:rPr>
          <w:rStyle w:val="FootnoteAnchor"/>
          <w:rtl w:val="true"/>
        </w:rPr>
        <w:footnoteReference w:id="2397"/>
      </w:r>
      <w:r>
        <w:rPr>
          <w:rFonts w:ascii="Amiri" w:hAnsi="Amiri" w:eastAsia="Amiri" w:cs="Amiri"/>
          <w:color w:val="111111"/>
          <w:sz w:val="28"/>
          <w:sz w:val="28"/>
          <w:szCs w:val="28"/>
          <w:rtl w:val="true"/>
          <w:lang w:bidi="ar-SA"/>
        </w:rPr>
        <w:t xml:space="preserve">الشكّ المعتبر </w:t>
      </w:r>
      <w:r>
        <w:rPr>
          <w:rStyle w:val="FootnoteAnchor"/>
          <w:rtl w:val="true"/>
        </w:rPr>
        <w:footnoteReference w:id="2398"/>
      </w:r>
      <w:r>
        <w:rPr>
          <w:rFonts w:ascii="Amiri" w:hAnsi="Amiri" w:eastAsia="Amiri" w:cs="Amiri"/>
          <w:color w:val="111111"/>
          <w:sz w:val="28"/>
          <w:sz w:val="28"/>
          <w:szCs w:val="28"/>
          <w:rtl w:val="true"/>
          <w:lang w:bidi="ar-SA"/>
        </w:rPr>
        <w:t>في موارد الأصول أعمّ من أخبار الاستصحاب ، وهي بواسطة شمولها للأحكام والموضوعات أعمّ من أخبار القرعة ، فيتعارضان في مورد الاجتماع فلا وجه لتقديم الاستصحاب على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بعد ما تعلم من أنّ النسبة بين الأدلّة إنّما تلاحظ </w:t>
      </w:r>
      <w:r>
        <w:rPr>
          <w:rStyle w:val="FootnoteAnchor"/>
          <w:rtl w:val="true"/>
        </w:rPr>
        <w:footnoteReference w:id="2399"/>
      </w:r>
      <w:r>
        <w:rPr>
          <w:rFonts w:ascii="Amiri" w:hAnsi="Amiri" w:eastAsia="Amiri" w:cs="Amiri"/>
          <w:color w:val="111111"/>
          <w:sz w:val="28"/>
          <w:sz w:val="28"/>
          <w:szCs w:val="28"/>
          <w:rtl w:val="true"/>
          <w:lang w:bidi="ar-SA"/>
        </w:rPr>
        <w:t xml:space="preserve">قبل خروج فرد من أحد المنتسبين 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المدار على إرادة الخاصّ من العامّ ولا فرق في ذلك بين الفردين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تضعيف هذا الخيال وتزييف هذا الاحتمال </w:t>
      </w:r>
      <w:r>
        <w:rPr>
          <w:rStyle w:val="FootnoteAnchor"/>
          <w:rtl w:val="true"/>
        </w:rPr>
        <w:footnoteReference w:id="2400"/>
      </w:r>
      <w:r>
        <w:rPr>
          <w:rFonts w:ascii="Amiri" w:hAnsi="Amiri" w:eastAsia="Amiri" w:cs="Amiri"/>
          <w:color w:val="111111"/>
          <w:sz w:val="28"/>
          <w:sz w:val="28"/>
          <w:szCs w:val="28"/>
          <w:rtl w:val="true"/>
          <w:lang w:bidi="ar-SA"/>
        </w:rPr>
        <w:t>فإنّه بمكان من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يتخيّل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الأصول على القرعة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المتبادر من الاشتباه والجهل هو الاشتباه في جميع المراتب ، فمورد القرعة فيما إذا لم يكن في المقام شائبة من الدليل ولو كان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مجرّد دعوى لا شاهد عليها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في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وكذا سائر الأصول مقدّم على القرعة طبعا ؛ إذ لا معنى للاستصحاب إلاّ الحالة السابقة والشكّ في ارتفاعها ، وبعد تحقّق مورده فلا بدّ من ترتيب </w:t>
      </w:r>
      <w:r>
        <w:rPr>
          <w:rStyle w:val="FootnoteAnchor"/>
          <w:rtl w:val="true"/>
        </w:rPr>
        <w:footnoteReference w:id="2401"/>
      </w:r>
      <w:r>
        <w:rPr>
          <w:rFonts w:ascii="Amiri" w:hAnsi="Amiri" w:eastAsia="Amiri" w:cs="Amiri"/>
          <w:color w:val="111111"/>
          <w:sz w:val="28"/>
          <w:sz w:val="28"/>
          <w:szCs w:val="28"/>
          <w:rtl w:val="true"/>
          <w:lang w:bidi="ar-SA"/>
        </w:rPr>
        <w:t>آثاره عليه ، فلا يبقى للقرعة موضوع ولا 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Style w:val="FootnoteAnchor"/>
          <w:rtl w:val="true"/>
        </w:rPr>
        <w:footnoteReference w:id="2402"/>
      </w:r>
      <w:r>
        <w:rPr>
          <w:rFonts w:ascii="Amiri" w:hAnsi="Amiri" w:eastAsia="Amiri" w:cs="Amiri"/>
          <w:color w:val="111111"/>
          <w:sz w:val="28"/>
          <w:sz w:val="28"/>
          <w:szCs w:val="28"/>
          <w:rtl w:val="true"/>
          <w:lang w:bidi="ar-SA"/>
        </w:rPr>
        <w:t>ذلك موقوف على عدم استفادة الطريقية من أخبار القرعة ، وإلاّ فهو في الأدلّة الاجتهادية كالبيّنة أيضا كذلك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اعلم </w:t>
      </w:r>
      <w:r>
        <w:rPr>
          <w:rStyle w:val="FootnoteAnchor"/>
          <w:rtl w:val="true"/>
        </w:rPr>
        <w:footnoteReference w:id="2403"/>
      </w:r>
      <w:r>
        <w:rPr>
          <w:rFonts w:ascii="Amiri" w:hAnsi="Amiri" w:eastAsia="Amiri" w:cs="Amiri"/>
          <w:color w:val="111111"/>
          <w:sz w:val="28"/>
          <w:sz w:val="28"/>
          <w:szCs w:val="28"/>
          <w:rtl w:val="true"/>
          <w:lang w:bidi="ar-SA"/>
        </w:rPr>
        <w:t xml:space="preserve">أنّ موارد القرعة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له واقع غير معلوم عندنا كما في قطيعة الغنم الموطوءة واحدة منها ، والآخر ما ليس له واقع كأكثر موارد القرعة التي قالوا بالقرعة فيها اتّفاقا ، كما إذا وقع التشاحّ بين الزوجات في المضاجعة فيمن قدم </w:t>
      </w:r>
      <w:r>
        <w:rPr>
          <w:rStyle w:val="FootnoteAnchor"/>
          <w:rtl w:val="true"/>
        </w:rPr>
        <w:footnoteReference w:id="2404"/>
      </w:r>
      <w:r>
        <w:rPr>
          <w:rFonts w:ascii="IRNazanin" w:hAnsi="IRNazanin" w:eastAsia="IRNazanin"/>
          <w:color w:val="111111"/>
          <w:sz w:val="28"/>
          <w:sz w:val="28"/>
          <w:szCs w:val="28"/>
          <w:rtl w:val="true"/>
          <w:lang w:bidi="fa-IR"/>
        </w:rPr>
        <w:t xml:space="preserve">من سفره أو من </w:t>
      </w:r>
      <w:r>
        <w:rPr>
          <w:rStyle w:val="FootnoteAnchor"/>
          <w:rtl w:val="true"/>
        </w:rPr>
        <w:footnoteReference w:id="2405"/>
      </w:r>
      <w:r>
        <w:rPr>
          <w:rFonts w:ascii="Amiri" w:hAnsi="Amiri" w:eastAsia="Amiri" w:cs="Amiri"/>
          <w:color w:val="111111"/>
          <w:sz w:val="28"/>
          <w:sz w:val="28"/>
          <w:szCs w:val="28"/>
          <w:rtl w:val="true"/>
          <w:lang w:bidi="ar-SA"/>
        </w:rPr>
        <w:t xml:space="preserve">عقد عليهنّ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تنازع المتعلّمان في تقديم أحدهما على الآخر في التعليم ، وكما إذا وردا في مكان من المسجد أو من مباح الأصل للحيازة مثلا ، أو إذا تشاجر الإمامان في الجماعة في المسجد ، وأمثال ذلك ممّا يقرب من عشرين موردا على ما عدّها بعض الأكارم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فبملاحظة هذين القسمين ينقدح لك القول بأنّ تشريع القرعة إنّما هو بواسطة الوصول إلى المصالح الجزئية التي لا تكاد تنضبط ؛ لعدم اجتماعها في عنوان كلّي وأمر جامع لجميعها المكنونة في خصوص الموارد الجزئية والموضوعات الشخصية </w:t>
      </w:r>
      <w:r>
        <w:rPr>
          <w:rStyle w:val="FootnoteAnchor"/>
          <w:rtl w:val="true"/>
        </w:rPr>
        <w:footnoteReference w:id="2406"/>
      </w:r>
      <w:r>
        <w:rPr>
          <w:rFonts w:ascii="Amiri" w:hAnsi="Amiri" w:eastAsia="Amiri" w:cs="Amiri"/>
          <w:color w:val="111111"/>
          <w:sz w:val="28"/>
          <w:sz w:val="28"/>
          <w:szCs w:val="28"/>
          <w:rtl w:val="true"/>
          <w:lang w:bidi="ar-SA"/>
        </w:rPr>
        <w:t xml:space="preserve">، فإنّ المصالح الكلّية المنضبطة المندرجة تحت قاعدة كلّية إنّما بيّنها </w:t>
      </w:r>
      <w:r>
        <w:rPr>
          <w:rStyle w:val="FootnoteAnchor"/>
          <w:rtl w:val="true"/>
        </w:rPr>
        <w:footnoteReference w:id="2407"/>
      </w:r>
      <w:r>
        <w:rPr>
          <w:rFonts w:ascii="Amiri" w:hAnsi="Amiri" w:eastAsia="Amiri" w:cs="Amiri"/>
          <w:color w:val="111111"/>
          <w:sz w:val="28"/>
          <w:sz w:val="28"/>
          <w:szCs w:val="28"/>
          <w:rtl w:val="true"/>
          <w:lang w:bidi="ar-SA"/>
        </w:rPr>
        <w:t xml:space="preserve">الحكيم الخبير </w:t>
      </w:r>
      <w:r>
        <w:rPr>
          <w:rStyle w:val="FootnoteAnchor"/>
          <w:rtl w:val="true"/>
        </w:rPr>
        <w:footnoteReference w:id="2408"/>
      </w:r>
      <w:r>
        <w:rPr>
          <w:rFonts w:ascii="Amiri" w:hAnsi="Amiri" w:eastAsia="Amiri" w:cs="Amiri"/>
          <w:color w:val="111111"/>
          <w:sz w:val="28"/>
          <w:sz w:val="28"/>
          <w:szCs w:val="28"/>
          <w:rtl w:val="true"/>
          <w:lang w:bidi="ar-SA"/>
        </w:rPr>
        <w:t xml:space="preserve">في ضمن أصول كلّية ، وحيث إنّه كان بعد ذلك مصالح جزئية لم يكن يصل إليها المكلّفون إلاّ بجعل طريق للوصول إليها ، شرّع لنا ما به نهتدي إليها أيضا كالقرعة في الموارد المذكورة التي لا واقع </w:t>
      </w:r>
      <w:r>
        <w:rPr>
          <w:rStyle w:val="FootnoteAnchor"/>
          <w:rtl w:val="true"/>
        </w:rPr>
        <w:footnoteReference w:id="2409"/>
      </w:r>
      <w:r>
        <w:rPr>
          <w:rFonts w:ascii="IRNazanin" w:hAnsi="IRNazanin" w:eastAsia="IRNazanin"/>
          <w:color w:val="111111"/>
          <w:sz w:val="28"/>
          <w:sz w:val="28"/>
          <w:szCs w:val="28"/>
          <w:rtl w:val="true"/>
          <w:lang w:bidi="fa-IR"/>
        </w:rPr>
        <w:t xml:space="preserve">لها ، ومنه </w:t>
      </w:r>
      <w:r>
        <w:rPr>
          <w:rStyle w:val="FootnoteAnchor"/>
          <w:rtl w:val="true"/>
        </w:rPr>
        <w:footnoteReference w:id="2410"/>
      </w:r>
      <w:r>
        <w:rPr>
          <w:rFonts w:ascii="Amiri" w:hAnsi="Amiri" w:eastAsia="Amiri" w:cs="Amiri"/>
          <w:color w:val="111111"/>
          <w:sz w:val="28"/>
          <w:sz w:val="28"/>
          <w:szCs w:val="28"/>
          <w:rtl w:val="true"/>
          <w:lang w:bidi="ar-SA"/>
        </w:rPr>
        <w:t>الاستخارة في مقام الحيرة ، كذا أفيد</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اختصاص الإجماع بالعمل بها في الموارد التي لا واقع </w:t>
      </w:r>
      <w:r>
        <w:rPr>
          <w:rStyle w:val="FootnoteAnchor"/>
          <w:rtl w:val="true"/>
        </w:rPr>
        <w:footnoteReference w:id="2411"/>
      </w:r>
      <w:r>
        <w:rPr>
          <w:rFonts w:ascii="Amiri" w:hAnsi="Amiri" w:eastAsia="Amiri" w:cs="Amiri"/>
          <w:color w:val="111111"/>
          <w:sz w:val="28"/>
          <w:sz w:val="28"/>
          <w:szCs w:val="28"/>
          <w:rtl w:val="true"/>
          <w:lang w:bidi="ar-SA"/>
        </w:rPr>
        <w:t xml:space="preserve">لها يكشف عن فهم المجمعين من لفظ الاشتباه والجهل الذي لا يشوبه غيره ظاهرا وواقعا ، فيسهّل الخطب في تقديم الاستصحاب عليه ، إلاّ أنّ دعوى ذلك في الأخبار مكابرة بعد ورود رواية قطيعة الغنم فيما له واقع ، فتدبّر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6284_171421"/>
      <w:bookmarkStart w:id="266" w:name="pg16284_171421"/>
      <w:bookmarkEnd w:id="266"/>
    </w:p>
    <w:p>
      <w:pPr>
        <w:pStyle w:val="Heading3"/>
        <w:numPr>
          <w:ilvl w:val="2"/>
          <w:numId w:val="1"/>
        </w:numPr>
        <w:rPr/>
      </w:pPr>
      <w:bookmarkStart w:id="267" w:name="pg16284_171421"/>
      <w:bookmarkStart w:id="268" w:name="__RefHeading___Toc5012190_1280447820"/>
      <w:bookmarkStart w:id="269" w:name="_Toc84"/>
      <w:bookmarkEnd w:id="267"/>
      <w:bookmarkEnd w:id="268"/>
      <w:r>
        <w:rPr>
          <w:rtl w:val="true"/>
        </w:rPr>
        <w:t xml:space="preserve">هداية </w:t>
      </w:r>
      <w:r>
        <w:rPr>
          <w:rtl w:val="true"/>
        </w:rPr>
        <w:t xml:space="preserve">[ </w:t>
      </w:r>
      <w:r>
        <w:rPr>
          <w:rtl w:val="true"/>
        </w:rPr>
        <w:t xml:space="preserve">في تعارض الاستصحاب مع اليد </w:t>
      </w:r>
      <w:r>
        <w:rPr>
          <w:rtl w:val="true"/>
        </w:rPr>
        <w:t>]</w:t>
      </w:r>
      <w:bookmarkEnd w:id="269"/>
    </w:p>
    <w:p>
      <w:pPr>
        <w:pStyle w:val="BookText"/>
        <w:rPr/>
      </w:pPr>
      <w:r>
        <w:rPr>
          <w:rFonts w:ascii="Amiri" w:hAnsi="Amiri" w:eastAsia="Amiri" w:cs="Amiri"/>
          <w:color w:val="111111"/>
          <w:sz w:val="28"/>
          <w:sz w:val="28"/>
          <w:szCs w:val="28"/>
          <w:rtl w:val="true"/>
          <w:lang w:bidi="ar-SA"/>
        </w:rPr>
        <w:t xml:space="preserve">في بيان الحال في تعارض الاستصحاب مع اليد 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2413"/>
      </w:r>
      <w:r>
        <w:rPr>
          <w:rFonts w:ascii="Amiri" w:hAnsi="Amiri" w:eastAsia="Amiri" w:cs="Amiri"/>
          <w:color w:val="111111"/>
          <w:sz w:val="28"/>
          <w:sz w:val="28"/>
          <w:szCs w:val="28"/>
          <w:rtl w:val="true"/>
          <w:lang w:bidi="ar-SA"/>
        </w:rPr>
        <w:t xml:space="preserve">اليد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Style w:val="FootnoteAnchor"/>
          <w:rtl w:val="true"/>
        </w:rPr>
        <w:footnoteReference w:id="2414"/>
      </w:r>
      <w:r>
        <w:rPr>
          <w:rFonts w:ascii="Amiri" w:hAnsi="Amiri" w:eastAsia="Amiri" w:cs="Amiri"/>
          <w:color w:val="111111"/>
          <w:sz w:val="28"/>
          <w:sz w:val="28"/>
          <w:szCs w:val="28"/>
          <w:rtl w:val="true"/>
          <w:lang w:bidi="ar-SA"/>
        </w:rPr>
        <w:t xml:space="preserve">مثبتة للملك كما في الحيازة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Style w:val="FootnoteAnchor"/>
          <w:rtl w:val="true"/>
        </w:rPr>
        <w:footnoteReference w:id="2415"/>
      </w:r>
      <w:r>
        <w:rPr>
          <w:rFonts w:ascii="Amiri" w:hAnsi="Amiri" w:eastAsia="Amiri" w:cs="Amiri"/>
          <w:color w:val="111111"/>
          <w:sz w:val="28"/>
          <w:sz w:val="28"/>
          <w:szCs w:val="28"/>
          <w:rtl w:val="true"/>
          <w:lang w:bidi="ar-SA"/>
        </w:rPr>
        <w:t xml:space="preserve">كاشفة عنه ، لا كلام في الأولى </w:t>
      </w:r>
      <w:r>
        <w:rPr>
          <w:rStyle w:val="FootnoteAnchor"/>
          <w:rtl w:val="true"/>
        </w:rPr>
        <w:footnoteReference w:id="2416"/>
      </w:r>
      <w:r>
        <w:rPr>
          <w:rFonts w:ascii="Amiri" w:hAnsi="Amiri" w:eastAsia="Amiri" w:cs="Amiri"/>
          <w:color w:val="111111"/>
          <w:sz w:val="28"/>
          <w:sz w:val="28"/>
          <w:szCs w:val="28"/>
          <w:rtl w:val="true"/>
          <w:lang w:bidi="ar-SA"/>
        </w:rPr>
        <w:t xml:space="preserve">منهما ، وأمّا الثانية فلا إشكال في كونها من أمارات الملك وعلامات الاختصاص عرفا ، وأمّا شرعا فلا ينبغي الارتياب في كاشفية اليد عن الملك في الجملة ، بل ونقل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متضافر </w:t>
      </w:r>
      <w:r>
        <w:rPr>
          <w:rStyle w:val="FootnoteAnchor"/>
          <w:rtl w:val="true"/>
        </w:rPr>
        <w:footnoteReference w:id="2417"/>
      </w:r>
      <w:r>
        <w:rPr>
          <w:rFonts w:ascii="Amiri" w:hAnsi="Amiri" w:eastAsia="Amiri" w:cs="Amiri"/>
          <w:color w:val="111111"/>
          <w:sz w:val="28"/>
          <w:sz w:val="28"/>
          <w:szCs w:val="28"/>
          <w:rtl w:val="true"/>
          <w:lang w:bidi="ar-SA"/>
        </w:rPr>
        <w:t xml:space="preserve">، ويكشف عن ذلك </w:t>
      </w:r>
      <w:r>
        <w:rPr>
          <w:rStyle w:val="FootnoteAnchor"/>
          <w:rtl w:val="true"/>
        </w:rPr>
        <w:footnoteReference w:id="2418"/>
      </w:r>
      <w:r>
        <w:rPr>
          <w:rFonts w:ascii="Amiri" w:hAnsi="Amiri" w:eastAsia="Amiri" w:cs="Amiri"/>
          <w:color w:val="111111"/>
          <w:sz w:val="28"/>
          <w:sz w:val="28"/>
          <w:szCs w:val="28"/>
          <w:rtl w:val="true"/>
          <w:lang w:bidi="ar-SA"/>
        </w:rPr>
        <w:t>حكمهم بتقديم قول ذي اليد على غيره في موارد الخصومات ومظانّ المرافعات ونحو ذلك ، والأخبار في ذلك أيضا كثيرة ، وإلاّ لم يقم للمسلمين سوق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المقام ممّا ينبغي فيه تحقيق الكلام فيهما وإنّما الشأن في كيفية تعارضها مع الاستصحاب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الوجه في حجّية اليد إنّما هو باعتبار ظهورها في الملكية فإنّ التعيين الموجود </w:t>
      </w:r>
      <w:r>
        <w:rPr>
          <w:rStyle w:val="FootnoteAnchor"/>
          <w:rtl w:val="true"/>
        </w:rPr>
        <w:footnoteReference w:id="2419"/>
      </w:r>
      <w:r>
        <w:rPr>
          <w:rFonts w:ascii="Amiri" w:hAnsi="Amiri" w:eastAsia="Amiri" w:cs="Amiri"/>
          <w:color w:val="111111"/>
          <w:sz w:val="28"/>
          <w:sz w:val="28"/>
          <w:szCs w:val="28"/>
          <w:rtl w:val="true"/>
          <w:lang w:bidi="ar-SA"/>
        </w:rPr>
        <w:t xml:space="preserve">في اليد يحتمل وجوها </w:t>
      </w:r>
      <w:r>
        <w:rPr>
          <w:rStyle w:val="FootnoteAnchor"/>
          <w:rtl w:val="true"/>
        </w:rPr>
        <w:footnoteReference w:id="2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تكون </w:t>
      </w:r>
      <w:r>
        <w:rPr>
          <w:rStyle w:val="FootnoteAnchor"/>
          <w:rtl w:val="true"/>
        </w:rPr>
        <w:footnoteReference w:id="2421"/>
      </w:r>
      <w:r>
        <w:rPr>
          <w:rFonts w:ascii="Amiri" w:hAnsi="Amiri" w:eastAsia="Amiri" w:cs="Amiri"/>
          <w:color w:val="111111"/>
          <w:sz w:val="28"/>
          <w:sz w:val="28"/>
          <w:szCs w:val="28"/>
          <w:rtl w:val="true"/>
          <w:lang w:bidi="ar-SA"/>
        </w:rPr>
        <w:t xml:space="preserve">مغصوبة أو عارية </w:t>
      </w:r>
    </w:p>
    <w:p>
      <w:pPr>
        <w:pStyle w:val="BookText"/>
        <w:rPr/>
      </w:pPr>
      <w:r>
        <w:rPr>
          <w:rFonts w:ascii="Amiri" w:hAnsi="Amiri" w:eastAsia="Amiri" w:cs="Amiri"/>
          <w:color w:val="111111"/>
          <w:sz w:val="28"/>
          <w:sz w:val="28"/>
          <w:szCs w:val="28"/>
          <w:rtl w:val="true"/>
          <w:lang w:bidi="ar-SA"/>
        </w:rPr>
        <w:t xml:space="preserve">أو مستأجرة أو مرهونة أو مملوكة ونحو ذلك من الوجوه المحتملة لها إلاّ أنّ الغالب في غالب أفراد </w:t>
      </w:r>
      <w:r>
        <w:rPr>
          <w:rStyle w:val="FootnoteAnchor"/>
          <w:rtl w:val="true"/>
        </w:rPr>
        <w:footnoteReference w:id="2422"/>
      </w:r>
      <w:r>
        <w:rPr>
          <w:rFonts w:ascii="Amiri" w:hAnsi="Amiri" w:eastAsia="Amiri" w:cs="Amiri"/>
          <w:color w:val="111111"/>
          <w:sz w:val="28"/>
          <w:sz w:val="28"/>
          <w:szCs w:val="28"/>
          <w:rtl w:val="true"/>
          <w:lang w:bidi="ar-SA"/>
        </w:rPr>
        <w:t xml:space="preserve">النوع هو الملكية ، وهذا الظهور المستفاد من هذه الغلبة قد اعتبره الشارع ، فاليد المردّدة بين هذه الوجوه المختلفة الظاهرة في الملكية قد جعلها الشارع أمارة للملك بإلغاء احتمال الخلاف وعدم لزوم ترتيب </w:t>
      </w:r>
      <w:r>
        <w:rPr>
          <w:rStyle w:val="FootnoteAnchor"/>
          <w:rtl w:val="true"/>
        </w:rPr>
        <w:footnoteReference w:id="2423"/>
      </w:r>
      <w:r>
        <w:rPr>
          <w:rFonts w:ascii="Amiri" w:hAnsi="Amiri" w:eastAsia="Amiri" w:cs="Amiri"/>
          <w:color w:val="111111"/>
          <w:sz w:val="28"/>
          <w:sz w:val="28"/>
          <w:szCs w:val="28"/>
          <w:rtl w:val="true"/>
          <w:lang w:bidi="ar-SA"/>
        </w:rPr>
        <w:t>آثار الاحتمال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جرم لا بدّ من تقديم اليد على الاستصحاب ، فهي </w:t>
      </w:r>
      <w:r>
        <w:rPr>
          <w:rStyle w:val="FootnoteAnchor"/>
          <w:rtl w:val="true"/>
        </w:rPr>
        <w:footnoteReference w:id="2424"/>
      </w:r>
      <w:r>
        <w:rPr>
          <w:rFonts w:ascii="Amiri" w:hAnsi="Amiri" w:eastAsia="Amiri" w:cs="Amiri"/>
          <w:color w:val="111111"/>
          <w:sz w:val="28"/>
          <w:sz w:val="28"/>
          <w:szCs w:val="28"/>
          <w:rtl w:val="true"/>
          <w:lang w:bidi="ar-SA"/>
        </w:rPr>
        <w:t xml:space="preserve">حاكمة على الاستصحاب على نحو حكومة سائر الأدلّة الاجتهادية عليه ، ولا ينافي ذلك ورود البيّنة التي هي أيضا من الأدلّة الاجتهادية والأمارات الواقعية على اليد ؛ لما قد عرفت أنّ اليد المردّدة بين الوجوه المحتملة الظاهرة في واحد منها جعلها الشارع أمارة للملك ، والبيّنة إذا أقيمت فإنّما تدلّ على تعيين واحد من تلك الوجوه ، فتكون </w:t>
      </w:r>
      <w:r>
        <w:rPr>
          <w:rStyle w:val="FootnoteAnchor"/>
          <w:rtl w:val="true"/>
        </w:rPr>
        <w:footnoteReference w:id="2425"/>
      </w:r>
      <w:r>
        <w:rPr>
          <w:rFonts w:ascii="Amiri" w:hAnsi="Amiri" w:eastAsia="Amiri" w:cs="Amiri"/>
          <w:color w:val="111111"/>
          <w:sz w:val="28"/>
          <w:sz w:val="28"/>
          <w:szCs w:val="28"/>
          <w:rtl w:val="true"/>
          <w:lang w:bidi="ar-SA"/>
        </w:rPr>
        <w:t xml:space="preserve">حاكمة عليها ، فإنّ مراتب الشكّ متفاوتة ، فربّما يعتبر موضوعا لحكم </w:t>
      </w:r>
      <w:r>
        <w:rPr>
          <w:rStyle w:val="FootnoteAnchor"/>
          <w:rtl w:val="true"/>
        </w:rPr>
        <w:footnoteReference w:id="2426"/>
      </w:r>
      <w:r>
        <w:rPr>
          <w:rFonts w:ascii="Amiri" w:hAnsi="Amiri" w:eastAsia="Amiri" w:cs="Amiri"/>
          <w:color w:val="111111"/>
          <w:sz w:val="28"/>
          <w:sz w:val="28"/>
          <w:szCs w:val="28"/>
          <w:rtl w:val="true"/>
          <w:lang w:bidi="ar-SA"/>
        </w:rPr>
        <w:t xml:space="preserve">بعد فرض انتفاء العلم وحصول الشكّ في جميع المراتب ، وربّما يختلف ذلك بحسب ما يقتضيه الدليل ، وذلك نظير </w:t>
      </w:r>
      <w:r>
        <w:rPr>
          <w:rStyle w:val="FootnoteAnchor"/>
          <w:rtl w:val="true"/>
        </w:rPr>
        <w:footnoteReference w:id="2427"/>
      </w:r>
      <w:r>
        <w:rPr>
          <w:rFonts w:ascii="Amiri" w:hAnsi="Amiri" w:eastAsia="Amiri" w:cs="Amiri"/>
          <w:color w:val="111111"/>
          <w:sz w:val="28"/>
          <w:sz w:val="28"/>
          <w:szCs w:val="28"/>
          <w:rtl w:val="true"/>
          <w:lang w:bidi="ar-SA"/>
        </w:rPr>
        <w:t>ما قرع الأسماع مرارا من لزوم حمل اللفظ على معناه الحقيقي عند دوران الأمر بين الحقيقة والمجاز لظهوره فيها ، ولا ينافي ذلك الظهور قيام دليل على اعتبار المعنى المجازي في مورد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فالحقّ الحقيق بالتصديق هو حكومة اليد على الاستصحاب ، سواء قلنا به تعبّدا أو ظنّا ، أمّا على الأوّل فظاهر ممّا بيّنّا لك آنفا ، وأمّا على الثاني فقد يتراءى في بعض الأنظار الجليّة تساويهما ؛ لابتنائهما على الظهور والظنّ ، ولا بدّ من الأخذ بالمعالجات المعمولة بين أمثالهما من تقديم الظنّ الشخصي على النوعي مثلا ، والحكم بالمرجّحات عند تساويهما بذهاب الظنّ منهما ، إلاّ أنّه لا وجه لذلك عند </w:t>
      </w:r>
    </w:p>
    <w:p>
      <w:pPr>
        <w:pStyle w:val="BookText"/>
        <w:rPr/>
      </w:pPr>
      <w:r>
        <w:rPr>
          <w:rFonts w:ascii="Amiri" w:hAnsi="Amiri" w:eastAsia="Amiri" w:cs="Amiri"/>
          <w:color w:val="111111"/>
          <w:sz w:val="28"/>
          <w:sz w:val="28"/>
          <w:szCs w:val="28"/>
          <w:rtl w:val="true"/>
          <w:lang w:bidi="ar-SA"/>
        </w:rPr>
        <w:t xml:space="preserve">الأنظار الدقيقة ؛ لأنّ الوجه في ظهور الاستصحاب ليس على ما قيل إلاّ غلبة بقاء الموجودات الممكنات ، ولا ريب في أنّ هذه الغلبة غلبة جنسية لا تكاد تقابل </w:t>
      </w:r>
      <w:r>
        <w:rPr>
          <w:rStyle w:val="FootnoteAnchor"/>
          <w:rtl w:val="true"/>
        </w:rPr>
        <w:footnoteReference w:id="2428"/>
      </w:r>
      <w:r>
        <w:rPr>
          <w:rFonts w:ascii="Amiri" w:hAnsi="Amiri" w:eastAsia="Amiri" w:cs="Amiri"/>
          <w:color w:val="111111"/>
          <w:sz w:val="28"/>
          <w:sz w:val="28"/>
          <w:szCs w:val="28"/>
          <w:rtl w:val="true"/>
          <w:lang w:bidi="ar-SA"/>
        </w:rPr>
        <w:t xml:space="preserve">الغلبة الصنفية ، فإنّ الأغلب فيما يوجد في أيدي الناس في معاملاتهم وتقلّباتهم له المحتملة بين وجوه السلطنة وضروب الاستيلاء من الملكية والإجارة والوكالة والوديعة والعارية والعداوة المردّدة بينها أن يكون على وجه الملكية ، فالظنّ حاصل بانتقاض الحالة السابقة التي هي </w:t>
      </w:r>
      <w:r>
        <w:rPr>
          <w:rStyle w:val="FootnoteAnchor"/>
          <w:rtl w:val="true"/>
        </w:rPr>
        <w:footnoteReference w:id="2429"/>
      </w:r>
      <w:r>
        <w:rPr>
          <w:rFonts w:ascii="Amiri" w:hAnsi="Amiri" w:eastAsia="Amiri" w:cs="Amiri"/>
          <w:color w:val="111111"/>
          <w:sz w:val="28"/>
          <w:sz w:val="28"/>
          <w:szCs w:val="28"/>
          <w:rtl w:val="true"/>
          <w:lang w:bidi="ar-SA"/>
        </w:rPr>
        <w:t>المناط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تقديم اليد على الاستصحاب لم يقم للمسلمين سوق ؛ إذ الأغلب سبق الأعيان الموجودة في الأيدي بالحالة السابقة المنافية </w:t>
      </w:r>
      <w:r>
        <w:rPr>
          <w:rStyle w:val="FootnoteAnchor"/>
          <w:rtl w:val="true"/>
        </w:rPr>
        <w:footnoteReference w:id="2430"/>
      </w:r>
      <w:r>
        <w:rPr>
          <w:rFonts w:ascii="Amiri" w:hAnsi="Amiri" w:eastAsia="Amiri" w:cs="Amiri"/>
          <w:color w:val="111111"/>
          <w:sz w:val="28"/>
          <w:sz w:val="28"/>
          <w:szCs w:val="28"/>
          <w:rtl w:val="true"/>
          <w:lang w:bidi="ar-SA"/>
        </w:rPr>
        <w:t xml:space="preserve">لمقتضى اليد ، ولا فرق في ذلك بين قيام البيّنة على الحالة السابقة أو علمنا بخلاف مقتضى اليد ؛ لعدم التنافي </w:t>
      </w:r>
      <w:r>
        <w:rPr>
          <w:rStyle w:val="FootnoteAnchor"/>
          <w:rtl w:val="true"/>
        </w:rPr>
        <w:footnoteReference w:id="2431"/>
      </w:r>
      <w:r>
        <w:rPr>
          <w:rFonts w:ascii="Amiri" w:hAnsi="Amiri" w:eastAsia="Amiri" w:cs="Amiri"/>
          <w:color w:val="111111"/>
          <w:sz w:val="28"/>
          <w:sz w:val="28"/>
          <w:szCs w:val="28"/>
          <w:rtl w:val="true"/>
          <w:lang w:bidi="ar-SA"/>
        </w:rPr>
        <w:t xml:space="preserve">بين مفاديهما ، فإنّ قضيّة البيّنة هي ملكية العين قبل اليد لغير صاحب اليد ، وقضيّة اليد هي الملكية حالة الاستيلاء ، ولا منافاة بينهما ؛ لإمكان الجمع بينهما ، إذ لا يعقل أن تكون </w:t>
      </w:r>
      <w:r>
        <w:rPr>
          <w:rStyle w:val="FootnoteAnchor"/>
          <w:rtl w:val="true"/>
        </w:rPr>
        <w:footnoteReference w:id="2432"/>
      </w:r>
      <w:r>
        <w:rPr>
          <w:rFonts w:ascii="Amiri" w:hAnsi="Amiri" w:eastAsia="Amiri" w:cs="Amiri"/>
          <w:color w:val="111111"/>
          <w:sz w:val="28"/>
          <w:sz w:val="28"/>
          <w:szCs w:val="28"/>
          <w:rtl w:val="true"/>
          <w:lang w:bidi="ar-SA"/>
        </w:rPr>
        <w:t>الأمارة المنزّلة منزلة العلم أعلى شأنا من نفس العلم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أقرّ ذو اليد على أنّ الموجود في يده كان ملكا لغيره قبل حدوث يده لم يحكم بمقتضى اليد لا لأجل تقديم </w:t>
      </w:r>
      <w:r>
        <w:rPr>
          <w:rStyle w:val="FootnoteAnchor"/>
          <w:rtl w:val="true"/>
        </w:rPr>
        <w:footnoteReference w:id="2433"/>
      </w:r>
      <w:r>
        <w:rPr>
          <w:rFonts w:ascii="Amiri" w:hAnsi="Amiri" w:eastAsia="Amiri" w:cs="Amiri"/>
          <w:color w:val="111111"/>
          <w:sz w:val="28"/>
          <w:sz w:val="28"/>
          <w:szCs w:val="28"/>
          <w:rtl w:val="true"/>
          <w:lang w:bidi="ar-SA"/>
        </w:rPr>
        <w:t xml:space="preserve">الاستصحاب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 مشايخنا المعاصرين على ما يظهر من كلامه في بعض فروع المسألة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المتيقّن من أدلّة اليد هو فيما إذا لم يعارضها الاستصحاب فإنّ ذلك بمكان من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حيث إنّ الإقرار منضمّا إلى اليد دليل على دعوى انتقال الملك من المقرّ له إليه ، فعليه إقامة ما يثبت به الدعوى من بيّنة ونحوها ، وبذلك يظهر الفرق بين الإقرار والبيّنة ، فإنّ الإقرار من حيث إنّه فعله يدلّ بالالتزام على انتقاله منه إليه ، دون البيّنة فإنّه لا دلالة </w:t>
      </w:r>
    </w:p>
    <w:p>
      <w:pPr>
        <w:pStyle w:val="BookText"/>
        <w:rPr/>
      </w:pPr>
      <w:r>
        <w:rPr>
          <w:rFonts w:ascii="Amiri" w:hAnsi="Amiri" w:eastAsia="Amiri" w:cs="Amiri"/>
          <w:color w:val="111111"/>
          <w:sz w:val="28"/>
          <w:sz w:val="28"/>
          <w:szCs w:val="28"/>
          <w:rtl w:val="true"/>
          <w:lang w:bidi="ar-SA"/>
        </w:rPr>
        <w:t xml:space="preserve">فيها على ذلك كما في صورة العلم ، فلو لم نقل باعتبار الاستصحاب كان الوجه </w:t>
      </w:r>
      <w:r>
        <w:rPr>
          <w:rStyle w:val="FootnoteAnchor"/>
          <w:rtl w:val="true"/>
        </w:rPr>
        <w:footnoteReference w:id="2434"/>
      </w:r>
      <w:r>
        <w:rPr>
          <w:rFonts w:ascii="Amiri" w:hAnsi="Amiri" w:eastAsia="Amiri" w:cs="Amiri"/>
          <w:color w:val="111111"/>
          <w:sz w:val="28"/>
          <w:sz w:val="28"/>
          <w:szCs w:val="28"/>
          <w:rtl w:val="true"/>
          <w:lang w:bidi="ar-SA"/>
        </w:rPr>
        <w:t>هو ما ذكرنا أيضا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إشكال آخر وهو أنّهم شكر اللّه مساعيهم </w:t>
      </w:r>
      <w:r>
        <w:rPr>
          <w:rStyle w:val="FootnoteAnchor"/>
          <w:rtl w:val="true"/>
        </w:rPr>
        <w:footnoteReference w:id="2435"/>
      </w:r>
      <w:r>
        <w:rPr>
          <w:rFonts w:ascii="Amiri" w:hAnsi="Amiri" w:eastAsia="Amiri" w:cs="Amiri"/>
          <w:color w:val="111111"/>
          <w:sz w:val="28"/>
          <w:sz w:val="28"/>
          <w:szCs w:val="28"/>
          <w:rtl w:val="true"/>
          <w:lang w:bidi="ar-SA"/>
        </w:rPr>
        <w:t xml:space="preserve">لم يفرّقوا في موارد اليد والحكم بتقديمها على الاستصحاب بين ما هو موجود في الأيدي بحسب الظاهر المتعارف من الاستيلاء والسلطنة ، كاستيلاء الرجل على ملبوسه ومأكوله وداره وما يتقلّب به فيها من أثاث وفراش </w:t>
      </w:r>
      <w:r>
        <w:rPr>
          <w:rStyle w:val="FootnoteAnchor"/>
          <w:rtl w:val="true"/>
        </w:rPr>
        <w:footnoteReference w:id="2436"/>
      </w:r>
      <w:r>
        <w:rPr>
          <w:rFonts w:ascii="Amiri" w:hAnsi="Amiri" w:eastAsia="Amiri" w:cs="Amiri"/>
          <w:color w:val="111111"/>
          <w:sz w:val="28"/>
          <w:sz w:val="28"/>
          <w:szCs w:val="28"/>
          <w:rtl w:val="true"/>
          <w:lang w:bidi="ar-SA"/>
        </w:rPr>
        <w:t xml:space="preserve">وغير ذلك من العقار والمنقول من خيل وأنعام ونحوها ، وبين ما ليس في اليد بحسب ما هو المتعارف فيها ، كالكنز المدفون في الدار المنقولة إلى الغير بسبب من الأسباب الشرعية ، وكالجوهرة المكنونة في جوف الدابّة والسمكة ، فإنّ اليد على الكنز وتلك الجوهرة إنّما هو بواسطة السلطنة على الدار والدابّة وليس للمالك </w:t>
      </w:r>
      <w:r>
        <w:rPr>
          <w:rStyle w:val="FootnoteAnchor"/>
          <w:rtl w:val="true"/>
        </w:rPr>
        <w:footnoteReference w:id="2437"/>
      </w:r>
      <w:r>
        <w:rPr>
          <w:rFonts w:ascii="Amiri" w:hAnsi="Amiri" w:eastAsia="Amiri" w:cs="Amiri"/>
          <w:color w:val="111111"/>
          <w:sz w:val="28"/>
          <w:sz w:val="28"/>
          <w:szCs w:val="28"/>
          <w:rtl w:val="true"/>
          <w:lang w:bidi="ar-SA"/>
        </w:rPr>
        <w:t>عليها سلطنة ابتداء كما في غيرها ، فحكموا بتقديم اليد على الاستصحاب في أمثال المقام كما يظهر من حكمهم بوجوب تعريف المال المذكور للمالك المنتقل منه الملك إليه لو كان حيّا ولوارثه لو كان ميّتا مع عدم نهوض المناط في التقديم في هذا القسم ؛ لعدم ظهور في ذلك لا شخصا ولا نوعا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حكمة التشريع في اليد هي استفادة الظهور منها بكون </w:t>
      </w:r>
      <w:r>
        <w:rPr>
          <w:rStyle w:val="FootnoteAnchor"/>
          <w:rtl w:val="true"/>
        </w:rPr>
        <w:footnoteReference w:id="2438"/>
      </w:r>
      <w:r>
        <w:rPr>
          <w:rFonts w:ascii="Amiri" w:hAnsi="Amiri" w:eastAsia="Amiri" w:cs="Amiri"/>
          <w:color w:val="111111"/>
          <w:sz w:val="28"/>
          <w:sz w:val="28"/>
          <w:szCs w:val="28"/>
          <w:rtl w:val="true"/>
          <w:lang w:bidi="ar-SA"/>
        </w:rPr>
        <w:t xml:space="preserve">ما في اليد ملكا لذيها ولا يجب الاطّراد في ذلك ، إلاّ أنّ هذا مجرّد ادّعاء لم يقم عليه دليل ولا وفت به بيّنة ، ولذلك لا يكون المقام خاليا عن الإشكال كما تشعر </w:t>
      </w:r>
      <w:r>
        <w:rPr>
          <w:rStyle w:val="FootnoteAnchor"/>
          <w:rtl w:val="true"/>
        </w:rPr>
        <w:footnoteReference w:id="2439"/>
      </w:r>
      <w:r>
        <w:rPr>
          <w:rFonts w:ascii="Amiri" w:hAnsi="Amiri" w:eastAsia="Amiri" w:cs="Amiri"/>
          <w:color w:val="111111"/>
          <w:sz w:val="28"/>
          <w:sz w:val="28"/>
          <w:szCs w:val="28"/>
          <w:rtl w:val="true"/>
          <w:lang w:bidi="ar-SA"/>
        </w:rPr>
        <w:t xml:space="preserve">به عبارة المدارك </w:t>
      </w:r>
      <w:r>
        <w:rPr>
          <w:rStyle w:val="FootnoteAnchor"/>
          <w:rtl w:val="true"/>
        </w:rPr>
        <w:footnoteReference w:id="2440"/>
      </w:r>
      <w:r>
        <w:rPr>
          <w:rFonts w:ascii="IRNazanin" w:hAnsi="IRNazanin" w:eastAsia="IRNazanin"/>
          <w:color w:val="111111"/>
          <w:sz w:val="28"/>
          <w:sz w:val="28"/>
          <w:szCs w:val="28"/>
          <w:rtl w:val="true"/>
          <w:lang w:bidi="fa-IR"/>
        </w:rPr>
        <w:t xml:space="preserve">وإن عاتبه بعض من تأخّر عنه </w:t>
      </w:r>
      <w:r>
        <w:rPr>
          <w:rStyle w:val="FootnoteAnchor"/>
          <w:rtl w:val="true"/>
        </w:rPr>
        <w:footnoteReference w:id="2441"/>
      </w:r>
      <w:r>
        <w:rPr>
          <w:rFonts w:ascii="Amiri" w:hAnsi="Amiri" w:eastAsia="Amiri" w:cs="Amiri"/>
          <w:color w:val="111111"/>
          <w:sz w:val="28"/>
          <w:sz w:val="28"/>
          <w:szCs w:val="28"/>
          <w:rtl w:val="true"/>
          <w:lang w:bidi="ar-SA"/>
        </w:rPr>
        <w:t>في ذلك بما ليس في محلّه</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أخبار يدلّ على وجوب التعريف في بعضها صراحة كما في رواية الصرّة </w:t>
      </w:r>
      <w:r>
        <w:rPr>
          <w:rStyle w:val="FootnoteAnchor"/>
          <w:rtl w:val="true"/>
        </w:rPr>
        <w:footnoteReference w:id="2442"/>
      </w:r>
      <w:r>
        <w:rPr>
          <w:rFonts w:ascii="Amiri" w:hAnsi="Amiri" w:eastAsia="Amiri" w:cs="Amiri"/>
          <w:color w:val="111111"/>
          <w:sz w:val="28"/>
          <w:sz w:val="28"/>
          <w:szCs w:val="28"/>
          <w:rtl w:val="true"/>
          <w:lang w:bidi="ar-SA"/>
        </w:rPr>
        <w:t xml:space="preserve">الموجودة في جوف الأضحية يوم النحر ، وعناية في غيرها بدعوى اتّحاد المناط ونحوه ، واللّه الموفّق وهو </w:t>
      </w:r>
      <w:r>
        <w:rPr>
          <w:rStyle w:val="FootnoteAnchor"/>
          <w:rtl w:val="true"/>
        </w:rPr>
        <w:footnoteReference w:id="2443"/>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6284_171427"/>
      <w:bookmarkStart w:id="271" w:name="pg16284_171427"/>
      <w:bookmarkEnd w:id="271"/>
    </w:p>
    <w:p>
      <w:pPr>
        <w:pStyle w:val="Heading3"/>
        <w:numPr>
          <w:ilvl w:val="2"/>
          <w:numId w:val="1"/>
        </w:numPr>
        <w:rPr/>
      </w:pPr>
      <w:bookmarkStart w:id="272" w:name="pg16284_171427"/>
      <w:bookmarkStart w:id="273" w:name="__RefHeading___Toc5012192_1280447820"/>
      <w:bookmarkStart w:id="274" w:name="_Toc85"/>
      <w:bookmarkEnd w:id="272"/>
      <w:bookmarkEnd w:id="273"/>
      <w:r>
        <w:rPr>
          <w:rtl w:val="true"/>
        </w:rPr>
        <w:t xml:space="preserve">هداية </w:t>
      </w:r>
      <w:r>
        <w:rPr>
          <w:rtl w:val="true"/>
        </w:rPr>
        <w:t xml:space="preserve">[ </w:t>
      </w:r>
      <w:r>
        <w:rPr>
          <w:rtl w:val="true"/>
        </w:rPr>
        <w:t xml:space="preserve">في تعارض الاستصحاب مع قاعدة التجاوز </w:t>
      </w:r>
      <w:r>
        <w:rPr>
          <w:rtl w:val="true"/>
        </w:rPr>
        <w:t>]</w:t>
      </w:r>
      <w:bookmarkEnd w:id="274"/>
    </w:p>
    <w:p>
      <w:pPr>
        <w:pStyle w:val="Heading4"/>
        <w:numPr>
          <w:ilvl w:val="3"/>
          <w:numId w:val="1"/>
        </w:numPr>
        <w:rPr/>
      </w:pPr>
      <w:bookmarkStart w:id="275" w:name="__RefHeading___Toc5012194_1280447820"/>
      <w:bookmarkStart w:id="276" w:name="_Toc86"/>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في بيان الحال في تعارض الاستصحاب مع الأصل المدلول عليه بجملة من الأخبار المعتبرة الآتية إن شاء اللّه المعبّر </w:t>
      </w:r>
      <w:r>
        <w:rPr>
          <w:rStyle w:val="FootnoteAnchor"/>
          <w:rtl w:val="true"/>
        </w:rPr>
        <w:footnoteReference w:id="2444"/>
      </w:r>
      <w:r>
        <w:rPr>
          <w:rFonts w:ascii="Amiri" w:hAnsi="Amiri" w:eastAsia="Amiri" w:cs="Amiri"/>
          <w:color w:val="111111"/>
          <w:sz w:val="28"/>
          <w:sz w:val="28"/>
          <w:szCs w:val="28"/>
          <w:rtl w:val="true"/>
          <w:lang w:bidi="ar-SA"/>
        </w:rPr>
        <w:t xml:space="preserve">عنه بأصالة وقوع الفعل عند الشكّ فيه بعد تجاوز المحلّ ، وتحقيق الكلام فيه في مقامين </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5012196_1280447820"/>
      <w:bookmarkStart w:id="278" w:name="_Toc87"/>
      <w:bookmarkEnd w:id="277"/>
      <w:r>
        <w:rPr>
          <w:rtl w:val="true"/>
        </w:rPr>
        <w:t>المقام الأوّل</w:t>
      </w:r>
      <w:bookmarkEnd w:id="278"/>
    </w:p>
    <w:p>
      <w:pPr>
        <w:pStyle w:val="BookText"/>
        <w:rPr/>
      </w:pPr>
      <w:r>
        <w:rPr>
          <w:rFonts w:ascii="Amiri" w:hAnsi="Amiri" w:eastAsia="Amiri" w:cs="Amiri"/>
          <w:color w:val="111111"/>
          <w:sz w:val="28"/>
          <w:sz w:val="28"/>
          <w:szCs w:val="28"/>
          <w:rtl w:val="true"/>
          <w:lang w:bidi="ar-SA"/>
        </w:rPr>
        <w:t xml:space="preserve">في أصل مشروعية الأصل المذكور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الأصل المذكور بعد منقول الإجماع على ما نقله الأستاد دام عزّه المستفيضة </w:t>
      </w:r>
      <w:r>
        <w:rPr>
          <w:rStyle w:val="FootnoteAnchor"/>
          <w:rtl w:val="true"/>
        </w:rPr>
        <w:footnoteReference w:id="2445"/>
      </w:r>
      <w:r>
        <w:rPr>
          <w:rFonts w:ascii="IRNazanin" w:hAnsi="IRNazanin" w:eastAsia="IRNazanin"/>
          <w:color w:val="111111"/>
          <w:sz w:val="28"/>
          <w:sz w:val="28"/>
          <w:szCs w:val="28"/>
          <w:rtl w:val="true"/>
          <w:lang w:bidi="fa-IR"/>
        </w:rPr>
        <w:t xml:space="preserve">من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من الوضوء وقد دخلت في غيره فليس شكّك بشيء إنّما الشكّ في شيء لم تجزه </w:t>
      </w:r>
      <w:r>
        <w:rPr>
          <w:rFonts w:eastAsia="Amiri" w:cs="Amiri" w:ascii="Amiri" w:hAnsi="Amiri"/>
          <w:color w:val="111111"/>
          <w:sz w:val="28"/>
          <w:szCs w:val="28"/>
          <w:rtl w:val="true"/>
          <w:lang w:bidi="ar-SA"/>
        </w:rPr>
        <w:t xml:space="preserve">»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المنقول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شيء ثمّ دخلت في غيره فليس شكّك بشيء </w:t>
      </w:r>
      <w:r>
        <w:rPr>
          <w:rFonts w:eastAsia="Amiri" w:cs="Amiri" w:ascii="Amiri" w:hAnsi="Amiri"/>
          <w:color w:val="111111"/>
          <w:sz w:val="28"/>
          <w:szCs w:val="28"/>
          <w:rtl w:val="true"/>
          <w:lang w:bidi="ar-SA"/>
        </w:rPr>
        <w:t xml:space="preserve">»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فيه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جاوزه ودخل في غيره فليمض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ففيها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قمت من الوضوء وقد فرغت عنه وقد صرت في حال أخرى في الصلاة أو غيرها فشكّك في بعض ما سمّى اللّه ممّا أوجب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عليك فيه </w:t>
      </w:r>
      <w:r>
        <w:rPr>
          <w:rFonts w:eastAsia="Amiri" w:cs="Amiri" w:ascii="Amiri" w:hAnsi="Amiri"/>
          <w:color w:val="111111"/>
          <w:sz w:val="28"/>
          <w:szCs w:val="28"/>
          <w:rtl w:val="true"/>
          <w:lang w:bidi="ar-SA"/>
        </w:rPr>
        <w:t xml:space="preserve">»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الوضوء بعد ما فرغ عن الصلاة؟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على صلاته ولا يعيد </w:t>
      </w:r>
      <w:r>
        <w:rPr>
          <w:rFonts w:eastAsia="Amiri" w:cs="Amiri" w:ascii="Amiri" w:hAnsi="Amiri"/>
          <w:color w:val="111111"/>
          <w:sz w:val="28"/>
          <w:szCs w:val="28"/>
          <w:rtl w:val="true"/>
          <w:lang w:bidi="ar-SA"/>
        </w:rPr>
        <w:t xml:space="preserve">»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يشكّ بعد ما توضّأ </w:t>
      </w:r>
      <w:r>
        <w:rPr>
          <w:rStyle w:val="FootnoteAnchor"/>
          <w:rtl w:val="true"/>
        </w:rPr>
        <w:footnoteReference w:id="245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ما يتوضّأ </w:t>
      </w:r>
      <w:r>
        <w:rPr>
          <w:rStyle w:val="FootnoteAnchor"/>
          <w:rtl w:val="true"/>
        </w:rPr>
        <w:footnoteReference w:id="2452"/>
      </w:r>
      <w:r>
        <w:rPr>
          <w:rFonts w:ascii="Amiri" w:hAnsi="Amiri" w:eastAsia="Amiri" w:cs="Amiri"/>
          <w:color w:val="111111"/>
          <w:sz w:val="28"/>
          <w:sz w:val="28"/>
          <w:szCs w:val="28"/>
          <w:rtl w:val="true"/>
          <w:lang w:bidi="ar-SA"/>
        </w:rPr>
        <w:t xml:space="preserve">أذكر منه حين يشكّ </w:t>
      </w:r>
      <w:r>
        <w:rPr>
          <w:rFonts w:eastAsia="Amiri" w:cs="Amiri" w:ascii="Amiri" w:hAnsi="Amiri"/>
          <w:color w:val="111111"/>
          <w:sz w:val="28"/>
          <w:szCs w:val="28"/>
          <w:rtl w:val="true"/>
          <w:lang w:bidi="ar-SA"/>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التكبير وقد قرء؟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الركوع وقد سجد؟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إذا خرجت من شيء ثمّ دخلت في غيره فشكّك ليس بشيء </w:t>
      </w:r>
      <w:r>
        <w:rPr>
          <w:rFonts w:eastAsia="Amiri" w:cs="Amiri" w:ascii="Amiri" w:hAnsi="Amiri"/>
          <w:color w:val="111111"/>
          <w:sz w:val="28"/>
          <w:szCs w:val="28"/>
          <w:rtl w:val="true"/>
          <w:lang w:bidi="ar-SA"/>
        </w:rPr>
        <w:t xml:space="preserve">»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المشتمل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شكّ في الركوع بعد ما سجد فليمض ، وإن شكّ في السجود بعد ما قام فليمض ، كلّ شيء شكّ فيه ممّا قد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w:t>
      </w:r>
    </w:p>
    <w:p>
      <w:pPr>
        <w:pStyle w:val="BookText"/>
        <w:rPr/>
      </w:pPr>
      <w:r>
        <w:rPr>
          <w:rFonts w:ascii="Amiri" w:hAnsi="Amiri" w:eastAsia="Amiri" w:cs="Amiri"/>
          <w:color w:val="111111"/>
          <w:sz w:val="28"/>
          <w:sz w:val="28"/>
          <w:szCs w:val="28"/>
          <w:rtl w:val="true"/>
          <w:lang w:bidi="ar-SA"/>
        </w:rPr>
        <w:t xml:space="preserve">مضى فامضه كما هو </w:t>
      </w:r>
      <w:r>
        <w:rPr>
          <w:rFonts w:eastAsia="Amiri" w:cs="Amiri" w:ascii="Amiri" w:hAnsi="Amiri"/>
          <w:color w:val="111111"/>
          <w:sz w:val="28"/>
          <w:szCs w:val="28"/>
          <w:rtl w:val="true"/>
          <w:lang w:bidi="ar-SA"/>
        </w:rPr>
        <w:t xml:space="preserve">»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الوسائل عن قرب الإسناد عن عبد اللّه بن الحسن عن جدّه عليّ بن جعفر عن أخيه موسى بن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ركع وسجد ولم يدر هل كبّر أو قال شيئا في ركوعه وسجوده؟ هل يعتدّ بتلك الركعة والسجدة؟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فليمض في صلاته </w:t>
      </w:r>
      <w:r>
        <w:rPr>
          <w:rFonts w:eastAsia="Amiri" w:cs="Amiri" w:ascii="Amiri" w:hAnsi="Amiri"/>
          <w:color w:val="111111"/>
          <w:sz w:val="28"/>
          <w:szCs w:val="28"/>
          <w:rtl w:val="true"/>
          <w:lang w:bidi="ar-SA"/>
        </w:rPr>
        <w:t xml:space="preserve">» </w:t>
      </w:r>
      <w:r>
        <w:rPr>
          <w:rStyle w:val="FootnoteAnchor"/>
          <w:rtl w:val="true"/>
        </w:rPr>
        <w:footnoteReference w:id="2457"/>
      </w:r>
    </w:p>
    <w:p>
      <w:pPr>
        <w:pStyle w:val="BookText"/>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وفي ط الحجري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فتلك عشرة كاملة إلى غيرها من الأخبار الواردة في هذا المضمار ، ولا كلام في استفادة ما ذكر </w:t>
      </w:r>
      <w:r>
        <w:rPr>
          <w:rStyle w:val="FootnoteAnchor"/>
          <w:rtl w:val="true"/>
        </w:rPr>
        <w:footnoteReference w:id="2458"/>
      </w:r>
      <w:r>
        <w:rPr>
          <w:rFonts w:ascii="Amiri" w:hAnsi="Amiri" w:eastAsia="Amiri" w:cs="Amiri"/>
          <w:color w:val="111111"/>
          <w:sz w:val="28"/>
          <w:sz w:val="28"/>
          <w:szCs w:val="28"/>
          <w:rtl w:val="true"/>
          <w:lang w:bidi="ar-SA"/>
        </w:rPr>
        <w:t xml:space="preserve">منها ؛ لظهورها فيه ، وكثرة الأخبار والاعتبار عند الأصحاب تغنينا عن تجشّم تصحيح أسانيدها ، فلا يعتدّ بما قيل من ضعف في بعض رواتها </w:t>
      </w:r>
      <w:r>
        <w:rPr>
          <w:rStyle w:val="FootnoteAnchor"/>
          <w:rtl w:val="true"/>
        </w:rPr>
        <w:footnoteReference w:id="2459"/>
      </w:r>
      <w:r>
        <w:rPr>
          <w:rFonts w:ascii="Amiri" w:hAnsi="Amiri" w:eastAsia="Amiri" w:cs="Amiri"/>
          <w:color w:val="111111"/>
          <w:sz w:val="28"/>
          <w:sz w:val="28"/>
          <w:szCs w:val="28"/>
          <w:rtl w:val="true"/>
          <w:lang w:bidi="ar-SA"/>
        </w:rPr>
        <w:t>أو إضمار في بعضها أو إرسال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 هذه القاعدة هل بعمومها شاملة لما إذا شكّ في الشيء وجودا و </w:t>
      </w:r>
      <w:r>
        <w:rPr>
          <w:rStyle w:val="FootnoteAnchor"/>
          <w:rtl w:val="true"/>
        </w:rPr>
        <w:footnoteReference w:id="2460"/>
      </w:r>
      <w:r>
        <w:rPr>
          <w:rFonts w:ascii="Amiri" w:hAnsi="Amiri" w:eastAsia="Amiri" w:cs="Amiri"/>
          <w:color w:val="111111"/>
          <w:sz w:val="28"/>
          <w:sz w:val="28"/>
          <w:szCs w:val="28"/>
          <w:rtl w:val="true"/>
          <w:lang w:bidi="ar-SA"/>
        </w:rPr>
        <w:t>صفة ، أو يختصّ بالوجود فقط وليست شاملة لما إذا شكّ في اعتبار كيفية زائدة على نفس الوجود في الشيء؟ فلو شكّ في نفس الوضوء ووجوده ، فلا إشكال في أنّ الأصل وقوعه بعد تجاوز محلّه على ما ستقف على 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شكّ في الوضوء لا في وجوده ، بل فيه بمعنى تعلّق الشكّ بما هو معتبر فيه من جزء أو شرط ونحوه ، فعلى الأوّل تدخل في القاعدة الشريفة المزبورة ، وعلى الثاني لا تدخل إلاّ أن يلاحظ ذلك الجزء بنفسه من غير تعلّق له بشيء آخر ، فيكون من موارد القاعدة الشريفة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إشكال ، وتوضيح الكلام وتحقيق المقام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وقوع الفعل عند الشكّ فيه بعد تجاوز المحلّ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حمل </w:t>
      </w:r>
    </w:p>
    <w:p>
      <w:pPr>
        <w:pStyle w:val="BookText"/>
        <w:rPr/>
      </w:pPr>
      <w:r>
        <w:rPr>
          <w:rFonts w:ascii="Amiri" w:hAnsi="Amiri" w:eastAsia="Amiri" w:cs="Amiri"/>
          <w:color w:val="111111"/>
          <w:sz w:val="28"/>
          <w:sz w:val="28"/>
          <w:szCs w:val="28"/>
          <w:rtl w:val="true"/>
          <w:lang w:bidi="ar-SA"/>
        </w:rPr>
        <w:t xml:space="preserve">فعل المسلم على الصحّة وستعرف تفصيل الكلام 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محلّها </w:t>
      </w:r>
      <w:r>
        <w:rPr>
          <w:rStyle w:val="FootnoteAnchor"/>
          <w:rtl w:val="true"/>
        </w:rPr>
        <w:footnoteReference w:id="2462"/>
      </w:r>
      <w:r>
        <w:rPr>
          <w:rFonts w:ascii="Amiri" w:hAnsi="Amiri" w:eastAsia="Amiri" w:cs="Amiri"/>
          <w:color w:val="111111"/>
          <w:sz w:val="28"/>
          <w:sz w:val="28"/>
          <w:szCs w:val="28"/>
          <w:rtl w:val="true"/>
          <w:lang w:bidi="ar-SA"/>
        </w:rPr>
        <w:t xml:space="preserve">، ولا إشكال في شمول تلك القاعدة للموارد التي يشكّ فيها في غير الوجود على تقدير التسرية من فعل الغير إلى فعل النفس كما ستطّلع عليها ، وإنّما الإشكال في شمول القاعدة التي نحن بصددها لهذه الموارد ، ووجه الإشكال أنّ الظرفية المستفادة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المذكورة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الظرفية المتداولة عندهم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شكّ في أصل وجوده وعدمه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مبيّنة </w:t>
      </w:r>
      <w:r>
        <w:rPr>
          <w:rStyle w:val="FootnoteAnchor"/>
          <w:rtl w:val="true"/>
        </w:rPr>
        <w:footnoteReference w:id="2463"/>
      </w:r>
      <w:r>
        <w:rPr>
          <w:rFonts w:ascii="Amiri" w:hAnsi="Amiri" w:eastAsia="Amiri" w:cs="Amiri"/>
          <w:color w:val="111111"/>
          <w:sz w:val="28"/>
          <w:sz w:val="28"/>
          <w:szCs w:val="28"/>
          <w:rtl w:val="true"/>
          <w:lang w:bidi="ar-SA"/>
        </w:rPr>
        <w:t xml:space="preserve">لما وقع في </w:t>
      </w:r>
      <w:r>
        <w:rPr>
          <w:rStyle w:val="FootnoteAnchor"/>
          <w:rtl w:val="true"/>
        </w:rPr>
        <w:footnoteReference w:id="2464"/>
      </w:r>
      <w:r>
        <w:rPr>
          <w:rFonts w:ascii="Amiri" w:hAnsi="Amiri" w:eastAsia="Amiri" w:cs="Amiri"/>
          <w:color w:val="111111"/>
          <w:sz w:val="28"/>
          <w:sz w:val="28"/>
          <w:szCs w:val="28"/>
          <w:rtl w:val="true"/>
          <w:lang w:bidi="ar-SA"/>
        </w:rPr>
        <w:t xml:space="preserve">محلّ الشكّ ولما هو مشكوك ، كما في اللام الداخلة على المراد المبيّنة </w:t>
      </w:r>
      <w:r>
        <w:rPr>
          <w:rStyle w:val="FootnoteAnchor"/>
          <w:rtl w:val="true"/>
        </w:rPr>
        <w:footnoteReference w:id="2465"/>
      </w:r>
      <w:r>
        <w:rPr>
          <w:rFonts w:ascii="Amiri" w:hAnsi="Amiri" w:eastAsia="Amiri" w:cs="Amiri"/>
          <w:color w:val="111111"/>
          <w:sz w:val="28"/>
          <w:sz w:val="28"/>
          <w:szCs w:val="28"/>
          <w:rtl w:val="true"/>
          <w:lang w:bidi="ar-SA"/>
        </w:rPr>
        <w:t>لأنّ ما دخلته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Style w:val="FootnoteAnchor"/>
          <w:rtl w:val="true"/>
        </w:rPr>
        <w:footnoteReference w:id="2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الظرفية التي ليست من هذا القبيل ، فالشكّ </w:t>
      </w:r>
      <w:r>
        <w:rPr>
          <w:rStyle w:val="FootnoteAnchor"/>
          <w:rtl w:val="true"/>
        </w:rPr>
        <w:footnoteReference w:id="2467"/>
      </w:r>
      <w:r>
        <w:rPr>
          <w:rFonts w:ascii="Amiri" w:hAnsi="Amiri" w:eastAsia="Amiri" w:cs="Amiri"/>
          <w:color w:val="111111"/>
          <w:sz w:val="28"/>
          <w:sz w:val="28"/>
          <w:szCs w:val="28"/>
          <w:rtl w:val="true"/>
          <w:lang w:bidi="ar-SA"/>
        </w:rPr>
        <w:t>في شيء معناه الشكّ في أثنائه لا في نفسه ووجوده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المعنيين مختلفان </w:t>
      </w:r>
      <w:r>
        <w:rPr>
          <w:rStyle w:val="FootnoteAnchor"/>
          <w:rtl w:val="true"/>
        </w:rPr>
        <w:footnoteReference w:id="2468"/>
      </w:r>
      <w:r>
        <w:rPr>
          <w:rFonts w:ascii="Amiri" w:hAnsi="Amiri" w:eastAsia="Amiri" w:cs="Amiri"/>
          <w:color w:val="111111"/>
          <w:sz w:val="28"/>
          <w:sz w:val="28"/>
          <w:szCs w:val="28"/>
          <w:rtl w:val="true"/>
          <w:lang w:bidi="ar-SA"/>
        </w:rPr>
        <w:t xml:space="preserve">ولا جامع بينهما ، فإن أريد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الأوّل كما هو الظاهر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عدم اشتمال القاعدة المزبورة لهذه الموارد إلاّ أن يرجع الشكّ إلى نفس ذلك الشيء الذي شكّ باعتباره في أثناء المشكوك فيه كما عرفت وإن كانت هذه الموارد مشمولة لقاعدة حمل الفعل على الصحّة على تقدير التسرية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 فيلزم خروج الموارد التي شكّ في نفس العمل وإن شملت الموارد التي حصل في العمل شكّ مع بعده عن مساق الرواية ، مضافا إلى لزوم تخصيص مورد الخبر ، فإنّ الشكّ في أجزاء الوضوء حين الاشتغال به ممّا يعتدّ به ولا بدّ من الأخذ بأصالة العدم فيها</w:t>
      </w:r>
      <w:r>
        <w:rPr>
          <w:rFonts w:eastAsia="Amiri" w:cs="Amiri" w:ascii="Amiri" w:hAnsi="Amiri"/>
          <w:color w:val="111111"/>
          <w:sz w:val="28"/>
          <w:szCs w:val="28"/>
          <w:rtl w:val="true"/>
          <w:lang w:bidi="ar-SA"/>
        </w:rPr>
        <w:t xml:space="preserve">. </w:t>
      </w:r>
      <w:bookmarkStart w:id="279" w:name="pg16284_171431"/>
    </w:p>
    <w:p>
      <w:pPr>
        <w:pStyle w:val="BookText"/>
        <w:rPr/>
      </w:pPr>
      <w:bookmarkEnd w:id="279"/>
      <w:r>
        <w:rPr>
          <w:rFonts w:ascii="Amiri" w:hAnsi="Amiri" w:eastAsia="Amiri" w:cs="Amiri"/>
          <w:color w:val="111111"/>
          <w:sz w:val="28"/>
          <w:sz w:val="28"/>
          <w:szCs w:val="28"/>
          <w:rtl w:val="true"/>
          <w:lang w:bidi="ar-SA"/>
        </w:rPr>
        <w:t xml:space="preserve">وإن أريد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يلزم إرادة المعنيين من لفظ واحد مع ما قرّر في </w:t>
      </w:r>
      <w:r>
        <w:rPr>
          <w:rStyle w:val="FootnoteAnchor"/>
          <w:rtl w:val="true"/>
        </w:rPr>
        <w:footnoteReference w:id="2469"/>
      </w:r>
      <w:r>
        <w:rPr>
          <w:rFonts w:ascii="Amiri" w:hAnsi="Amiri" w:eastAsia="Amiri" w:cs="Amiri"/>
          <w:color w:val="111111"/>
          <w:sz w:val="28"/>
          <w:sz w:val="28"/>
          <w:szCs w:val="28"/>
          <w:rtl w:val="true"/>
          <w:lang w:bidi="ar-SA"/>
        </w:rPr>
        <w:t xml:space="preserve">محلّه من شناعة </w:t>
      </w:r>
      <w:r>
        <w:rPr>
          <w:rStyle w:val="FootnoteAnchor"/>
          <w:rtl w:val="true"/>
        </w:rPr>
        <w:footnoteReference w:id="2470"/>
      </w:r>
      <w:r>
        <w:rPr>
          <w:rFonts w:ascii="Amiri" w:hAnsi="Amiri" w:eastAsia="Amiri" w:cs="Amiri"/>
          <w:color w:val="111111"/>
          <w:sz w:val="28"/>
          <w:sz w:val="28"/>
          <w:szCs w:val="28"/>
          <w:rtl w:val="true"/>
          <w:lang w:bidi="ar-SA"/>
        </w:rPr>
        <w:t>مثله ، اللّهمّ إلاّ أن يتمسّك بذيل ما يجمع بين المعنيين من القدر المشترك وهو 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إرجاع الشكوك الأثنائية إلى الشكوك الوجودية بملاحظة وجود نفس الجزء أو الشرط وإيجاد الكيفية التي باعتبارها حصل الشكّ في العمل المشتمل عليها كما لا يخفى</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5012198_1280447820"/>
      <w:bookmarkStart w:id="281" w:name="_Toc88"/>
      <w:bookmarkEnd w:id="280"/>
      <w:r>
        <w:rPr>
          <w:rtl w:val="true"/>
        </w:rPr>
        <w:t>المقام الثاني</w:t>
      </w:r>
      <w:bookmarkEnd w:id="281"/>
    </w:p>
    <w:p>
      <w:pPr>
        <w:pStyle w:val="BookText"/>
        <w:rPr/>
      </w:pPr>
      <w:r>
        <w:rPr>
          <w:rFonts w:ascii="Amiri" w:hAnsi="Amiri" w:eastAsia="Amiri" w:cs="Amiri"/>
          <w:color w:val="111111"/>
          <w:sz w:val="28"/>
          <w:sz w:val="28"/>
          <w:szCs w:val="28"/>
          <w:rtl w:val="true"/>
          <w:lang w:bidi="ar-SA"/>
        </w:rPr>
        <w:t xml:space="preserve">في تعارض الاستصحاب مع هذه القاعدة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حكومة هذه القاعدة على الاستصحاب أيضا ؛ لمكان تعرّض أخبارها لفظا لأخبار الاستصحاب على ما عرفت في غيرها من الموارد ، وإن أبيت عن ذلك فلا إشكال في تقدّمها على الاستصحاب ؛ لمكان أخصّية هذه الأخبار عن أخبار الاستصحاب ، كما في أخبار البناء على الأكثر عند الشكّ في عدد الركعات ، على أنّ الإمام عليه‌السلام إنّما قدّم تلك القاعدة في مواردها على الاستصحاب ، ولو لم يكن هذه القاعدة مقدّمة عليه لم يتحقّق لها مورد أصلا ؛ لاستحالة انفكاكه عنها في شيء من مواردها ، وذلك أمر ظاهر لا سترة عليه</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5012200_1280447820"/>
      <w:bookmarkStart w:id="283" w:name="_Toc89"/>
      <w:bookmarkEnd w:id="282"/>
      <w:r>
        <w:rPr>
          <w:rtl w:val="true"/>
        </w:rPr>
        <w:t xml:space="preserve">وينبغي التنبيه على أمور </w:t>
      </w:r>
      <w:r>
        <w:rPr>
          <w:rtl w:val="true"/>
        </w:rPr>
        <w:t>:</w:t>
      </w:r>
      <w:bookmarkEnd w:id="283"/>
    </w:p>
    <w:p>
      <w:pPr>
        <w:pStyle w:val="Heading5"/>
        <w:numPr>
          <w:ilvl w:val="4"/>
          <w:numId w:val="1"/>
        </w:numPr>
        <w:rPr/>
      </w:pPr>
      <w:bookmarkStart w:id="284" w:name="__RefHeading___Toc5012202_1280447820"/>
      <w:bookmarkStart w:id="285" w:name="_Toc90"/>
      <w:bookmarkEnd w:id="284"/>
      <w:r>
        <w:rPr>
          <w:rtl w:val="true"/>
        </w:rPr>
        <w:t xml:space="preserve">[ </w:t>
      </w:r>
      <w:r>
        <w:rPr>
          <w:rtl w:val="true"/>
        </w:rPr>
        <w:t xml:space="preserve">لتنبيه </w:t>
      </w:r>
      <w:r>
        <w:rPr>
          <w:rtl w:val="true"/>
        </w:rPr>
        <w:t xml:space="preserve">] </w:t>
      </w:r>
      <w:r>
        <w:rPr>
          <w:rtl w:val="true"/>
        </w:rPr>
        <w:t>الأوّل</w:t>
      </w:r>
      <w:bookmarkEnd w:id="28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المستفاد من هذه الأخبار هو الحكم بوجود المشكوك فيه ليترتّب مطلقا </w:t>
      </w:r>
      <w:r>
        <w:rPr>
          <w:rStyle w:val="FootnoteAnchor"/>
          <w:rtl w:val="true"/>
        </w:rPr>
        <w:footnoteReference w:id="2471"/>
      </w:r>
      <w:r>
        <w:rPr>
          <w:rFonts w:ascii="Amiri" w:hAnsi="Amiri" w:eastAsia="Amiri" w:cs="Amiri"/>
          <w:color w:val="111111"/>
          <w:sz w:val="28"/>
          <w:sz w:val="28"/>
          <w:szCs w:val="28"/>
          <w:rtl w:val="true"/>
          <w:lang w:bidi="ar-SA"/>
        </w:rPr>
        <w:t xml:space="preserve">عليه جميع ما يترتّب على وجوده واقعا من الآثار الشرعية كما في الاستصحاب </w:t>
      </w:r>
    </w:p>
    <w:p>
      <w:pPr>
        <w:pStyle w:val="BookText"/>
        <w:rPr/>
      </w:pPr>
      <w:r>
        <w:rPr>
          <w:rFonts w:ascii="Amiri" w:hAnsi="Amiri" w:eastAsia="Amiri" w:cs="Amiri"/>
          <w:color w:val="111111"/>
          <w:sz w:val="28"/>
          <w:sz w:val="28"/>
          <w:szCs w:val="28"/>
          <w:rtl w:val="true"/>
          <w:lang w:bidi="ar-SA"/>
        </w:rPr>
        <w:t xml:space="preserve">الوجودي ، أو وقوعه من الحيثية التي وقع الشكّ باعتبارها فقط لا الحكم بوجوده مطلقا فلا يترتّب عليه إلاّ الآثار الشرعية التي تلحق المشكوك بالحيثية </w:t>
      </w:r>
      <w:r>
        <w:rPr>
          <w:rStyle w:val="FootnoteAnchor"/>
          <w:rtl w:val="true"/>
        </w:rPr>
        <w:footnoteReference w:id="2472"/>
      </w:r>
      <w:r>
        <w:rPr>
          <w:rFonts w:ascii="Amiri" w:hAnsi="Amiri" w:eastAsia="Amiri" w:cs="Amiri"/>
          <w:color w:val="111111"/>
          <w:sz w:val="28"/>
          <w:sz w:val="28"/>
          <w:szCs w:val="28"/>
          <w:rtl w:val="true"/>
          <w:lang w:bidi="ar-SA"/>
        </w:rPr>
        <w:t xml:space="preserve">التي يصدق باعتبارها التجاوز عن محلّ المشكوك؟ وجهان ، بل يمكن أن يقال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فيلسوف القوم الشيخ الجليل كاشف الغطاء في مقدّمات الكشف </w:t>
      </w:r>
      <w:r>
        <w:rPr>
          <w:rStyle w:val="FootnoteAnchor"/>
          <w:rtl w:val="true"/>
        </w:rPr>
        <w:footnoteReference w:id="2473"/>
      </w:r>
      <w:r>
        <w:rPr>
          <w:rFonts w:ascii="IRNazanin" w:hAnsi="IRNazanin" w:eastAsia="IRNazanin"/>
          <w:color w:val="111111"/>
          <w:sz w:val="28"/>
          <w:sz w:val="28"/>
          <w:szCs w:val="28"/>
          <w:rtl w:val="true"/>
          <w:lang w:bidi="fa-IR"/>
        </w:rPr>
        <w:t>القول بالوجود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على ما يقتضيه القواعد الراجعة إلى استفادة الأحكام من الأدلّة هو الثاني على ما أفاده الأستاد أنار اللّه برهانه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الثمرة في ترتيب غير الآثار المترتّبة على تلك الحيثية من الأحكام اللاحقة لمطلق الوجود ، كما إذا شكّ في الوضوء بعد الفراغ من الظهر ، فعلى الأوّل يصحّ الدخول في العصر لوجود الطهارة الشرعية التي يجوز معها الدخول في جميع ما هو مشروط بها شرعا ، وعلى الثاني يجب الاقتصار بالظهر فقط ولا يجوز الاكتفاء به لصلاة العصر ؛ لأنّ الوضوء إنّما تجاوز محلّه بالنسبة إلى الظهر فقط دون العصر ، فلا بدّ من تحصيل الطهارة للعصر شرعا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يتوقّف على تمهيد مقدّمة وهي أنّه لا يكاد يخفى على أحد أنّ الحكم بوجود الشيء المشكوك مع العلم بكونه مشكوكا ممّا لا يعقل ، فلا بدّ من تنزيل الكلام الدالّ على ذلك على وجه لا ينافي حكم العقل بفساد ذلك كما في غيره من المواضع التي لا بدّ صرف الكلام الوارد فيها إلى خلاف ما يظهر منه صونا لكلام الحكيم عن </w:t>
      </w:r>
      <w:r>
        <w:rPr>
          <w:rStyle w:val="FootnoteAnchor"/>
          <w:rtl w:val="true"/>
        </w:rPr>
        <w:footnoteReference w:id="2475"/>
      </w:r>
      <w:r>
        <w:rPr>
          <w:rFonts w:ascii="IRNazanin" w:hAnsi="IRNazanin" w:eastAsia="IRNazanin"/>
          <w:color w:val="111111"/>
          <w:sz w:val="28"/>
          <w:sz w:val="28"/>
          <w:szCs w:val="28"/>
          <w:rtl w:val="true"/>
          <w:lang w:bidi="fa-IR"/>
        </w:rPr>
        <w:t xml:space="preserve">أمثال هذه </w:t>
      </w:r>
      <w:r>
        <w:rPr>
          <w:rStyle w:val="FootnoteAnchor"/>
          <w:rtl w:val="true"/>
        </w:rPr>
        <w:footnoteReference w:id="2476"/>
      </w:r>
      <w:r>
        <w:rPr>
          <w:rFonts w:ascii="Amiri" w:hAnsi="Amiri" w:eastAsia="Amiri" w:cs="Amiri"/>
          <w:color w:val="111111"/>
          <w:sz w:val="28"/>
          <w:sz w:val="28"/>
          <w:szCs w:val="28"/>
          <w:rtl w:val="true"/>
          <w:lang w:bidi="ar-SA"/>
        </w:rPr>
        <w:t xml:space="preserve">المحاذير على ما عرفت في جملة من التنزيلات الشرعية وتعبّديات الشارع </w:t>
      </w:r>
    </w:p>
    <w:p>
      <w:pPr>
        <w:pStyle w:val="BookText"/>
        <w:rPr/>
      </w:pPr>
      <w:r>
        <w:rPr>
          <w:rFonts w:ascii="Amiri" w:hAnsi="Amiri" w:eastAsia="Amiri" w:cs="Amiri"/>
          <w:color w:val="111111"/>
          <w:sz w:val="28"/>
          <w:sz w:val="28"/>
          <w:szCs w:val="28"/>
          <w:rtl w:val="true"/>
          <w:lang w:bidi="ar-SA"/>
        </w:rPr>
        <w:t xml:space="preserve">كما في الاستصحاب أيضا كذلك ، ولا يخفى أيضا أنّ بعد ما بنينا على صرف الكلام عن ظاهره بارتكاب تقدير </w:t>
      </w:r>
      <w:r>
        <w:rPr>
          <w:rStyle w:val="FootnoteAnchor"/>
          <w:rtl w:val="true"/>
        </w:rPr>
        <w:footnoteReference w:id="2477"/>
      </w:r>
      <w:r>
        <w:rPr>
          <w:rFonts w:ascii="Amiri" w:hAnsi="Amiri" w:eastAsia="Amiri" w:cs="Amiri"/>
          <w:color w:val="111111"/>
          <w:sz w:val="28"/>
          <w:sz w:val="28"/>
          <w:szCs w:val="28"/>
          <w:rtl w:val="true"/>
          <w:lang w:bidi="ar-SA"/>
        </w:rPr>
        <w:t>فيه من قبيل الدلالة الاقتضائية ، فذلك ليس أمرا منضبطا كأن يكون على طور واحد وطرز فارد لا يمكن التخلّص عنه ، بل إنّما هو على حسب ما يظهر للمنزّل من مصالح التنزيل ومفاسده ، فربّما يحكم بوجود شيء مشكوك تنزيلا له منزلة الموجود على وجه الإطلاق لمصلحة دعته إلى التنزيل المذكور على الوجه المذكور ، وربّما يحكم بوجود شيء لا على وجه الإطلاق ، بل يحكم بوجوده معنونا بعنوان خاصّ ، فعلى الأوّل يجوز ترتيب آثار ذلك الشيء عليه حال الشكّ على وجه الإطلاق ، وعلى الثاني لا بدّ من الاقتصار على الأحكام الشرعية المترتّبة على ذلك العنوان فقط</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w:t>
      </w:r>
      <w:r>
        <w:rPr>
          <w:rStyle w:val="FootnoteAnchor"/>
          <w:rtl w:val="true"/>
        </w:rPr>
        <w:footnoteReference w:id="2478"/>
      </w:r>
      <w:r>
        <w:rPr>
          <w:rFonts w:ascii="Amiri" w:hAnsi="Amiri" w:eastAsia="Amiri" w:cs="Amiri"/>
          <w:color w:val="111111"/>
          <w:sz w:val="28"/>
          <w:sz w:val="28"/>
          <w:szCs w:val="28"/>
          <w:rtl w:val="true"/>
          <w:lang w:bidi="ar-SA"/>
        </w:rPr>
        <w:t xml:space="preserve">ذلك يجيء التفكيك بين اللوازم والملزومات العقلية ، بل الشرعية أيضا ، كما فيما لو أقرّ واحد بأبوّته لزيد وأنكرها زيد ، فإنّه يحكم بلوازم الأبوّة للمقرّ ولا يجب أن يقيم زيد بلوازم البنوّة ، فيعطى ميراث الأب ولا يؤخذ من </w:t>
      </w:r>
      <w:r>
        <w:rPr>
          <w:rStyle w:val="FootnoteAnchor"/>
          <w:rtl w:val="true"/>
        </w:rPr>
        <w:footnoteReference w:id="2479"/>
      </w:r>
      <w:r>
        <w:rPr>
          <w:rFonts w:ascii="IRNazanin" w:hAnsi="IRNazanin" w:eastAsia="IRNazanin"/>
          <w:color w:val="111111"/>
          <w:sz w:val="28"/>
          <w:sz w:val="28"/>
          <w:szCs w:val="28"/>
          <w:rtl w:val="true"/>
          <w:lang w:bidi="fa-IR"/>
        </w:rPr>
        <w:t xml:space="preserve">ورثته </w:t>
      </w:r>
      <w:r>
        <w:rPr>
          <w:rStyle w:val="FootnoteAnchor"/>
          <w:rtl w:val="true"/>
        </w:rPr>
        <w:footnoteReference w:id="2480"/>
      </w:r>
      <w:r>
        <w:rPr>
          <w:rFonts w:ascii="Amiri" w:hAnsi="Amiri" w:eastAsia="Amiri" w:cs="Amiri"/>
          <w:color w:val="111111"/>
          <w:sz w:val="28"/>
          <w:sz w:val="28"/>
          <w:szCs w:val="28"/>
          <w:rtl w:val="true"/>
          <w:lang w:bidi="ar-SA"/>
        </w:rPr>
        <w:t xml:space="preserve">ميراثه ، وأمثال هذه التفكيكات </w:t>
      </w:r>
      <w:r>
        <w:rPr>
          <w:rStyle w:val="FootnoteAnchor"/>
          <w:rtl w:val="true"/>
        </w:rPr>
        <w:footnoteReference w:id="2481"/>
      </w:r>
      <w:r>
        <w:rPr>
          <w:rFonts w:ascii="Amiri" w:hAnsi="Amiri" w:eastAsia="Amiri" w:cs="Amiri"/>
          <w:color w:val="111111"/>
          <w:sz w:val="28"/>
          <w:sz w:val="28"/>
          <w:szCs w:val="28"/>
          <w:rtl w:val="true"/>
          <w:lang w:bidi="ar-SA"/>
        </w:rPr>
        <w:t xml:space="preserve">في الشريعة غير عزيز ، وإنّما المائز بين القسمين الرجوع إلى عنوان الدليل ، فإن استفدنا منه الحكم بوجود الشيء مطلقا كما في الاستصحاب فما يترتّب عليه هي </w:t>
      </w:r>
      <w:r>
        <w:rPr>
          <w:rStyle w:val="FootnoteAnchor"/>
          <w:rtl w:val="true"/>
        </w:rPr>
        <w:footnoteReference w:id="2482"/>
      </w:r>
      <w:r>
        <w:rPr>
          <w:rFonts w:ascii="Amiri" w:hAnsi="Amiri" w:eastAsia="Amiri" w:cs="Amiri"/>
          <w:color w:val="111111"/>
          <w:sz w:val="28"/>
          <w:sz w:val="28"/>
          <w:szCs w:val="28"/>
          <w:rtl w:val="true"/>
          <w:lang w:bidi="ar-SA"/>
        </w:rPr>
        <w:t xml:space="preserve">الأحكام الشرعية المترتّبة على ذلك بجميع عناوينه ، وإن استفدنا منه حكمه </w:t>
      </w:r>
      <w:r>
        <w:rPr>
          <w:rStyle w:val="FootnoteAnchor"/>
          <w:rtl w:val="true"/>
        </w:rPr>
        <w:footnoteReference w:id="2483"/>
      </w:r>
      <w:r>
        <w:rPr>
          <w:rFonts w:ascii="Amiri" w:hAnsi="Amiri" w:eastAsia="Amiri" w:cs="Amiri"/>
          <w:color w:val="111111"/>
          <w:sz w:val="28"/>
          <w:sz w:val="28"/>
          <w:szCs w:val="28"/>
          <w:rtl w:val="true"/>
          <w:lang w:bidi="ar-SA"/>
        </w:rPr>
        <w:t xml:space="preserve">بوجوده بعنوان خاصّ فلا يجوز التعدّي إلى حكم ذلك الشيء بغير العنوان الذي باعتباره حكم بوجوده ، بل لا بدّ من الاقتصار عليه ؛ لعدم ما يقضي </w:t>
      </w:r>
      <w:r>
        <w:rPr>
          <w:rStyle w:val="FootnoteAnchor"/>
          <w:rtl w:val="true"/>
        </w:rPr>
        <w:footnoteReference w:id="2484"/>
      </w:r>
      <w:r>
        <w:rPr>
          <w:rFonts w:ascii="Amiri" w:hAnsi="Amiri" w:eastAsia="Amiri" w:cs="Amiri"/>
          <w:color w:val="111111"/>
          <w:sz w:val="28"/>
          <w:sz w:val="28"/>
          <w:szCs w:val="28"/>
          <w:rtl w:val="true"/>
          <w:lang w:bidi="ar-SA"/>
        </w:rPr>
        <w:t xml:space="preserve">بذلك من دليل عقلي أو نقلي ، والأصل يقضي </w:t>
      </w:r>
      <w:r>
        <w:rPr>
          <w:rStyle w:val="FootnoteAnchor"/>
          <w:rtl w:val="true"/>
        </w:rPr>
        <w:footnoteReference w:id="2485"/>
      </w: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 قد تمهّد هذا </w:t>
      </w:r>
      <w:r>
        <w:rPr>
          <w:rStyle w:val="FootnoteAnchor"/>
          <w:rtl w:val="true"/>
        </w:rPr>
        <w:footnoteReference w:id="2486"/>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قد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2487"/>
      </w:r>
      <w:r>
        <w:rPr>
          <w:rFonts w:ascii="Amiri" w:hAnsi="Amiri" w:eastAsia="Amiri" w:cs="Amiri"/>
          <w:color w:val="111111"/>
          <w:sz w:val="28"/>
          <w:sz w:val="28"/>
          <w:szCs w:val="28"/>
          <w:rtl w:val="true"/>
          <w:lang w:bidi="ar-SA"/>
        </w:rPr>
        <w:t xml:space="preserve">إنّما هو تنزيل للمشكوك فيه منزلة الموجود لكن على عنوان مخصوص </w:t>
      </w:r>
      <w:r>
        <w:rPr>
          <w:rStyle w:val="FootnoteAnchor"/>
          <w:rtl w:val="true"/>
        </w:rPr>
        <w:footnoteReference w:id="2488"/>
      </w:r>
      <w:r>
        <w:rPr>
          <w:rFonts w:ascii="Amiri" w:hAnsi="Amiri" w:eastAsia="Amiri" w:cs="Amiri"/>
          <w:color w:val="111111"/>
          <w:sz w:val="28"/>
          <w:sz w:val="28"/>
          <w:szCs w:val="28"/>
          <w:rtl w:val="true"/>
          <w:lang w:bidi="ar-SA"/>
        </w:rPr>
        <w:t>باعتبار قيد المجاوزة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الحكم بوجود الشيء المشكوك من غير أن يكون مقيّدا بهذا القيد كان الحكم بوجوده مطلقا على إطلاقه في محلّه ؛ لعدم ما ينافي ذلك بعد وجود ما يقضي </w:t>
      </w:r>
      <w:r>
        <w:rPr>
          <w:rStyle w:val="FootnoteAnchor"/>
          <w:rtl w:val="true"/>
        </w:rPr>
        <w:footnoteReference w:id="2489"/>
      </w:r>
      <w:r>
        <w:rPr>
          <w:rFonts w:ascii="Amiri" w:hAnsi="Amiri" w:eastAsia="Amiri" w:cs="Amiri"/>
          <w:color w:val="111111"/>
          <w:sz w:val="28"/>
          <w:sz w:val="28"/>
          <w:szCs w:val="28"/>
          <w:rtl w:val="true"/>
          <w:lang w:bidi="ar-SA"/>
        </w:rPr>
        <w:t xml:space="preserve">به ، وأمّا بعد التقييد </w:t>
      </w:r>
      <w:r>
        <w:rPr>
          <w:rStyle w:val="FootnoteAnchor"/>
          <w:rtl w:val="true"/>
        </w:rPr>
        <w:footnoteReference w:id="2490"/>
      </w:r>
      <w:r>
        <w:rPr>
          <w:rFonts w:ascii="Amiri" w:hAnsi="Amiri" w:eastAsia="Amiri" w:cs="Amiri"/>
          <w:color w:val="111111"/>
          <w:sz w:val="28"/>
          <w:sz w:val="28"/>
          <w:szCs w:val="28"/>
          <w:rtl w:val="true"/>
          <w:lang w:bidi="ar-SA"/>
        </w:rPr>
        <w:t xml:space="preserve">فلا ، فالوضوء إنّما هو شيء قد شكّ فيه ، ولكن باعتبار أنّه معنون بعنوان الوجوب </w:t>
      </w:r>
      <w:r>
        <w:rPr>
          <w:rStyle w:val="FootnoteAnchor"/>
          <w:rtl w:val="true"/>
        </w:rPr>
        <w:footnoteReference w:id="2491"/>
      </w:r>
      <w:r>
        <w:rPr>
          <w:rFonts w:ascii="Amiri" w:hAnsi="Amiri" w:eastAsia="Amiri" w:cs="Amiri"/>
          <w:color w:val="111111"/>
          <w:sz w:val="28"/>
          <w:sz w:val="28"/>
          <w:szCs w:val="28"/>
          <w:rtl w:val="true"/>
          <w:lang w:bidi="ar-SA"/>
        </w:rPr>
        <w:t xml:space="preserve">الغيري لصلاة الظهر قد جاوز محلّه ؛ لأنّ محلّ الشرط </w:t>
      </w:r>
      <w:r>
        <w:rPr>
          <w:rStyle w:val="FootnoteAnchor"/>
          <w:rtl w:val="true"/>
        </w:rPr>
        <w:footnoteReference w:id="2492"/>
      </w:r>
      <w:r>
        <w:rPr>
          <w:rFonts w:ascii="Amiri" w:hAnsi="Amiri" w:eastAsia="Amiri" w:cs="Amiri"/>
          <w:color w:val="111111"/>
          <w:sz w:val="28"/>
          <w:sz w:val="28"/>
          <w:szCs w:val="28"/>
          <w:rtl w:val="true"/>
          <w:lang w:bidi="ar-SA"/>
        </w:rPr>
        <w:t>هو مقارنته مع المشروط والمفروض انقضاء المشروط ، ولكن باعتبار أنّه مقدّمة للعصر ممّا لم يتجاوز محلّه ، نعم لو بنينا على المحلّ العرفي ففيما لو شكّ قبل الشروع في الصلاة مطلقا في الوضوء ، فيحكم بوجوده ويصحّ معه الدخول في الصلاتين ؛ لإحراز القيد الأخير في المشكوك المحكوم بالوجود شرعا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الواحد حقيقة يكفي عن جملة من الصلوات ، وبعد ما فرضنا من أنّ صلاة الظهر إنّما وقعت على طهارة ووضوء فلا بدّ من الحكم بجواز الدخول في العصر أيضا ، وإلاّ فيلزم أن لا يكون الظهر واقعا على طهارة وقد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2493"/>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فالطهارة أمر مقدّمي ويكفي في وجود المقدّمة وترتيب ذويها </w:t>
      </w:r>
      <w:r>
        <w:rPr>
          <w:rStyle w:val="FootnoteAnchor"/>
          <w:rtl w:val="true"/>
        </w:rPr>
        <w:footnoteReference w:id="2494"/>
      </w:r>
      <w:r>
        <w:rPr>
          <w:rFonts w:ascii="Amiri" w:hAnsi="Amiri" w:eastAsia="Amiri" w:cs="Amiri"/>
          <w:color w:val="111111"/>
          <w:sz w:val="28"/>
          <w:sz w:val="28"/>
          <w:szCs w:val="28"/>
          <w:rtl w:val="true"/>
          <w:lang w:bidi="ar-SA"/>
        </w:rPr>
        <w:t xml:space="preserve">عليها ترتيب واحد منها والمفروض تحقّقه بالنسبة إلى صلاة الظهر التي هي </w:t>
      </w:r>
    </w:p>
    <w:p>
      <w:pPr>
        <w:pStyle w:val="BookText"/>
        <w:rPr/>
      </w:pPr>
      <w:r>
        <w:rPr>
          <w:rFonts w:ascii="Amiri" w:hAnsi="Amiri" w:eastAsia="Amiri" w:cs="Amiri"/>
          <w:color w:val="111111"/>
          <w:sz w:val="28"/>
          <w:sz w:val="28"/>
          <w:szCs w:val="28"/>
          <w:rtl w:val="true"/>
          <w:lang w:bidi="ar-SA"/>
        </w:rPr>
        <w:t>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شيئا وغابت عنك أشياء ، فإنّ وجود المقدّمة حقيقة وواقعا يكفي في ترتيب ذويها </w:t>
      </w:r>
      <w:r>
        <w:rPr>
          <w:rStyle w:val="FootnoteAnchor"/>
          <w:rtl w:val="true"/>
        </w:rPr>
        <w:footnoteReference w:id="2495"/>
      </w:r>
      <w:r>
        <w:rPr>
          <w:rFonts w:ascii="Amiri" w:hAnsi="Amiri" w:eastAsia="Amiri" w:cs="Amiri"/>
          <w:color w:val="111111"/>
          <w:sz w:val="28"/>
          <w:sz w:val="28"/>
          <w:szCs w:val="28"/>
          <w:rtl w:val="true"/>
          <w:lang w:bidi="ar-SA"/>
        </w:rPr>
        <w:t xml:space="preserve">عليها من غير إعادة </w:t>
      </w:r>
      <w:r>
        <w:rPr>
          <w:rStyle w:val="FootnoteAnchor"/>
          <w:rtl w:val="true"/>
        </w:rPr>
        <w:footnoteReference w:id="2496"/>
      </w:r>
      <w:r>
        <w:rPr>
          <w:rFonts w:ascii="Amiri" w:hAnsi="Amiri" w:eastAsia="Amiri" w:cs="Amiri"/>
          <w:color w:val="111111"/>
          <w:sz w:val="28"/>
          <w:sz w:val="28"/>
          <w:szCs w:val="28"/>
          <w:rtl w:val="true"/>
          <w:lang w:bidi="ar-SA"/>
        </w:rPr>
        <w:t xml:space="preserve">لها وتكرار فيها </w:t>
      </w:r>
      <w:r>
        <w:rPr>
          <w:rStyle w:val="FootnoteAnchor"/>
          <w:rtl w:val="true"/>
        </w:rPr>
        <w:footnoteReference w:id="2497"/>
      </w:r>
      <w:r>
        <w:rPr>
          <w:rFonts w:ascii="Amiri" w:hAnsi="Amiri" w:eastAsia="Amiri" w:cs="Amiri"/>
          <w:color w:val="111111"/>
          <w:sz w:val="28"/>
          <w:sz w:val="28"/>
          <w:szCs w:val="28"/>
          <w:rtl w:val="true"/>
          <w:lang w:bidi="ar-SA"/>
        </w:rPr>
        <w:t xml:space="preserve">، وأمّا وجودها التنزيلي فلا بدّ من الاقتصار على قدر التنزيل شرعا ، وأمّا حديث الطهور </w:t>
      </w:r>
      <w:r>
        <w:rPr>
          <w:rStyle w:val="FootnoteAnchor"/>
          <w:rtl w:val="true"/>
        </w:rPr>
        <w:footnoteReference w:id="2498"/>
      </w:r>
      <w:r>
        <w:rPr>
          <w:rFonts w:ascii="Amiri" w:hAnsi="Amiri" w:eastAsia="Amiri" w:cs="Amiri"/>
          <w:color w:val="111111"/>
          <w:sz w:val="28"/>
          <w:sz w:val="28"/>
          <w:szCs w:val="28"/>
          <w:rtl w:val="true"/>
          <w:lang w:bidi="ar-SA"/>
        </w:rPr>
        <w:t xml:space="preserve">فواه جدّا ؛ لكونه طهارة شرعية على حسب التنزيل كما في الاستصحاب ، فهذه القاعدة أيضا محكّمة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تحكيم الاستصحاب عليه إلاّ أنّه لا بدّ من مراعاة مقدار التنزيل في كلّ واحد منهما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من مراعاة العنوان المنزّل ومقدار التنزيل ليس بذلك البعيد ، فإنّ كثيرا ما يوجد أمثاله </w:t>
      </w:r>
      <w:r>
        <w:rPr>
          <w:rStyle w:val="FootnoteAnchor"/>
          <w:rtl w:val="true"/>
        </w:rPr>
        <w:footnoteReference w:id="2499"/>
      </w:r>
      <w:r>
        <w:rPr>
          <w:rFonts w:ascii="Amiri" w:hAnsi="Amiri" w:eastAsia="Amiri" w:cs="Amiri"/>
          <w:color w:val="111111"/>
          <w:sz w:val="28"/>
          <w:sz w:val="28"/>
          <w:szCs w:val="28"/>
          <w:rtl w:val="true"/>
          <w:lang w:bidi="ar-SA"/>
        </w:rPr>
        <w:t xml:space="preserve">في الأحكام الشرعية ، فإنّ للشيء قد يكون وجوها مختلفة وعناوين متعدّدة يستتبع كلّ واحد منها أحكاما متفاوتة كما عرفت في الوضوء ، وكذلك في الغسل فإنّه من حيث إنّه حركة وسكون له أحكام ومن حيث إنّه تصرّف في مال الغير له أحكام أخر ، فلو شكّ في الغسل بعد التجاوز عن محلّه يحكم بوجوده من حيث إنّه شرط شيء </w:t>
      </w:r>
      <w:r>
        <w:rPr>
          <w:rStyle w:val="FootnoteAnchor"/>
          <w:rtl w:val="true"/>
        </w:rPr>
        <w:footnoteReference w:id="2500"/>
      </w:r>
      <w:r>
        <w:rPr>
          <w:rFonts w:ascii="Amiri" w:hAnsi="Amiri" w:eastAsia="Amiri" w:cs="Amiri"/>
          <w:color w:val="111111"/>
          <w:sz w:val="28"/>
          <w:sz w:val="28"/>
          <w:szCs w:val="28"/>
          <w:rtl w:val="true"/>
          <w:lang w:bidi="ar-SA"/>
        </w:rPr>
        <w:t xml:space="preserve">لا يجوز الدخول فيه بدونه مثلا ، ولا يثبت بذلك جميع عناوينه ، فلا يجب على الشاكّ في الغسل بعد البناء على وجوده دفع الأجرة إلى صاحب الحمّام مثلا ، وذلك أمر ظاهر بعد ظهور تعقّل التفكيك بين الأمور المتضايفة في الشريعة والعناوين المتلازمة كما في الأقارير والدعاوي ونحوها ممّا لا حدّ له ولا حصر </w:t>
      </w:r>
      <w:r>
        <w:rPr>
          <w:rStyle w:val="FootnoteAnchor"/>
          <w:rtl w:val="true"/>
        </w:rPr>
        <w:footnoteReference w:id="2501"/>
      </w:r>
      <w:r>
        <w:rPr>
          <w:rFonts w:ascii="Amiri" w:hAnsi="Amiri" w:eastAsia="Amiri" w:cs="Amiri"/>
          <w:color w:val="111111"/>
          <w:sz w:val="28"/>
          <w:sz w:val="28"/>
          <w:szCs w:val="28"/>
          <w:rtl w:val="true"/>
          <w:lang w:bidi="ar-SA"/>
        </w:rPr>
        <w:t xml:space="preserve">فيه ، وبعد دلالة الدليل على الوجه المذكور فإنّ قضيّة القواعد المعمولة في استخراج المطالب من الألفاظ الواردة في بيانها هو الأخذ بجميع ما يظهر من القيود في </w:t>
      </w:r>
    </w:p>
    <w:p>
      <w:pPr>
        <w:pStyle w:val="BookText"/>
        <w:rPr/>
      </w:pPr>
      <w:r>
        <w:rPr>
          <w:rFonts w:ascii="Amiri" w:hAnsi="Amiri" w:eastAsia="Amiri" w:cs="Amiri"/>
          <w:color w:val="111111"/>
          <w:sz w:val="28"/>
          <w:sz w:val="28"/>
          <w:szCs w:val="28"/>
          <w:rtl w:val="true"/>
          <w:lang w:bidi="ar-SA"/>
        </w:rPr>
        <w:t xml:space="preserve">الدليل عند استفادة المطلوب منه ، وقد عرفت أنّ مضمون هذه الأخبار مع جميع القيود الملحوظة فيه من صدق الشيء والشكّ فيه والتجاوز عن محلّه لا يصدق على الشيء المشكوك فيه بجميع عناوينه وتمام حيثياته ؛ لعدم صدق المضمون على الوضوء في الملاحظة المذكورة ، لانتفاء القيد </w:t>
      </w:r>
      <w:r>
        <w:rPr>
          <w:rStyle w:val="FootnoteAnchor"/>
          <w:rtl w:val="true"/>
        </w:rPr>
        <w:footnoteReference w:id="2502"/>
      </w:r>
      <w:r>
        <w:rPr>
          <w:rFonts w:ascii="Amiri" w:hAnsi="Amiri" w:eastAsia="Amiri" w:cs="Amiri"/>
          <w:color w:val="111111"/>
          <w:sz w:val="28"/>
          <w:sz w:val="28"/>
          <w:szCs w:val="28"/>
          <w:rtl w:val="true"/>
          <w:lang w:bidi="ar-SA"/>
        </w:rPr>
        <w:t xml:space="preserve">الأخير ، فيختلف عن أحكام يترتّب </w:t>
      </w:r>
      <w:r>
        <w:rPr>
          <w:rStyle w:val="FootnoteAnchor"/>
          <w:rtl w:val="true"/>
        </w:rPr>
        <w:footnoteReference w:id="2503"/>
      </w:r>
      <w:r>
        <w:rPr>
          <w:rFonts w:ascii="Amiri" w:hAnsi="Amiri" w:eastAsia="Amiri" w:cs="Amiri"/>
          <w:color w:val="111111"/>
          <w:sz w:val="28"/>
          <w:sz w:val="28"/>
          <w:szCs w:val="28"/>
          <w:rtl w:val="true"/>
          <w:lang w:bidi="ar-SA"/>
        </w:rPr>
        <w:t>على عنوان غير مشتمل على هذا القيد وقد مرّ مرارا بأنّه لا غرو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504"/>
      </w:r>
      <w:r>
        <w:rPr>
          <w:rFonts w:ascii="Amiri" w:hAnsi="Amiri" w:eastAsia="Amiri" w:cs="Amiri"/>
          <w:color w:val="111111"/>
          <w:sz w:val="28"/>
          <w:sz w:val="28"/>
          <w:szCs w:val="28"/>
          <w:rtl w:val="true"/>
          <w:lang w:bidi="ar-SA"/>
        </w:rPr>
        <w:t xml:space="preserve">من ذلك ما لو نذر قراءة سورة معيّنة كسورة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 فإنّ التجاوز من محلّ السورة إنّما يجدي في الحكم بقراءة مطلق السورة لا السورة الخاصّة ؛ لعدم ثبوت هذا </w:t>
      </w:r>
      <w:r>
        <w:rPr>
          <w:rStyle w:val="FootnoteAnchor"/>
          <w:rtl w:val="true"/>
        </w:rPr>
        <w:footnoteReference w:id="2505"/>
      </w:r>
      <w:r>
        <w:rPr>
          <w:rFonts w:ascii="IRNazanin" w:hAnsi="IRNazanin" w:eastAsia="IRNazanin"/>
          <w:color w:val="111111"/>
          <w:sz w:val="28"/>
          <w:sz w:val="28"/>
          <w:szCs w:val="28"/>
          <w:rtl w:val="true"/>
          <w:lang w:bidi="fa-IR"/>
        </w:rPr>
        <w:t>العنوان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ونظيره في غير المقام ما </w:t>
      </w:r>
      <w:r>
        <w:rPr>
          <w:rStyle w:val="FootnoteAnchor"/>
          <w:rtl w:val="true"/>
        </w:rPr>
        <w:footnoteReference w:id="2506"/>
      </w:r>
      <w:r>
        <w:rPr>
          <w:rFonts w:ascii="Amiri" w:hAnsi="Amiri" w:eastAsia="Amiri" w:cs="Amiri"/>
          <w:color w:val="111111"/>
          <w:sz w:val="28"/>
          <w:sz w:val="28"/>
          <w:szCs w:val="28"/>
          <w:rtl w:val="true"/>
          <w:lang w:bidi="ar-SA"/>
        </w:rPr>
        <w:t>لو ثبت اشتغال ذمّة واحد لآخر بإقامة شاهد على استراقه منه شيئا وإتمامه باليمين ، فإنّه يحكم بمجرّد الاشتغال دون عنوان السرقة فلا يجوز قطع يده ، بخلاف ما لو ثبت بشاهدين فإنّ عنوان السرقة يثبت بذلك فيترتّب عليه أحكامها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مناص ممّا ذكرنا إلاّ بدعوى أنّ المستفاد من الأخبار هو الحكم بوجود المشكوك فيه مطلقا ، وعدم الاعتناء بأمثال هذه النكات والدقائق في استنباط الأحكام من الأدلّة واستخراج المطالب من الألفاظ </w:t>
      </w:r>
      <w:r>
        <w:rPr>
          <w:rStyle w:val="FootnoteAnchor"/>
          <w:rtl w:val="true"/>
        </w:rPr>
        <w:footnoteReference w:id="2507"/>
      </w:r>
      <w:r>
        <w:rPr>
          <w:rFonts w:ascii="Amiri" w:hAnsi="Amiri" w:eastAsia="Amiri" w:cs="Amiri"/>
          <w:color w:val="111111"/>
          <w:sz w:val="28"/>
          <w:sz w:val="28"/>
          <w:szCs w:val="28"/>
          <w:rtl w:val="true"/>
          <w:lang w:bidi="ar-SA"/>
        </w:rPr>
        <w:t>الواردة في مقامها ولعلّها خارجة عن طريق العلم والاستدلال ، فإنّ الأحكام العرفية مع كمال سهولتها فهي في عين الصعوبة ، فليس كلّ ما يكون حاله إليهم سهلا فإنّه صعب مستصعب ، فتدبّر</w:t>
      </w:r>
      <w:r>
        <w:rPr>
          <w:rFonts w:eastAsia="Amiri" w:cs="Amiri" w:ascii="Amiri" w:hAnsi="Amiri"/>
          <w:color w:val="111111"/>
          <w:sz w:val="28"/>
          <w:szCs w:val="28"/>
          <w:rtl w:val="true"/>
          <w:lang w:bidi="ar-SA"/>
        </w:rPr>
        <w:t xml:space="preserve">. </w:t>
      </w:r>
      <w:bookmarkStart w:id="286" w:name="pg16284_171437"/>
    </w:p>
    <w:p>
      <w:pPr>
        <w:pStyle w:val="Heading5"/>
        <w:numPr>
          <w:ilvl w:val="4"/>
          <w:numId w:val="1"/>
        </w:numPr>
        <w:rPr/>
      </w:pPr>
      <w:bookmarkStart w:id="287" w:name="__RefHeading___Toc5012204_1280447820"/>
      <w:bookmarkStart w:id="288" w:name="_Toc91"/>
      <w:bookmarkEnd w:id="286"/>
      <w:bookmarkEnd w:id="287"/>
      <w:r>
        <w:rPr>
          <w:rtl w:val="true"/>
        </w:rPr>
        <w:t xml:space="preserve">[ </w:t>
      </w:r>
      <w:r>
        <w:rPr>
          <w:rtl w:val="true"/>
        </w:rPr>
        <w:t xml:space="preserve">لتنبيه </w:t>
      </w:r>
      <w:r>
        <w:rPr>
          <w:rtl w:val="true"/>
        </w:rPr>
        <w:t xml:space="preserve">] </w:t>
      </w:r>
      <w:r>
        <w:rPr>
          <w:rtl w:val="true"/>
        </w:rPr>
        <w:t>الثاني</w:t>
      </w:r>
      <w:bookmarkEnd w:id="288"/>
    </w:p>
    <w:p>
      <w:pPr>
        <w:pStyle w:val="BookText"/>
        <w:rPr/>
      </w:pPr>
      <w:r>
        <w:rPr>
          <w:rFonts w:ascii="Amiri" w:hAnsi="Amiri" w:eastAsia="Amiri" w:cs="Amiri"/>
          <w:color w:val="111111"/>
          <w:sz w:val="28"/>
          <w:sz w:val="28"/>
          <w:szCs w:val="28"/>
          <w:rtl w:val="true"/>
          <w:lang w:bidi="ar-SA"/>
        </w:rPr>
        <w:t xml:space="preserve">لا إشكال في شمول هذه القاعدة وجريانها فيما إذا </w:t>
      </w:r>
      <w:r>
        <w:rPr>
          <w:rStyle w:val="FootnoteAnchor"/>
          <w:rtl w:val="true"/>
        </w:rPr>
        <w:footnoteReference w:id="2508"/>
      </w:r>
      <w:r>
        <w:rPr>
          <w:rFonts w:ascii="Amiri" w:hAnsi="Amiri" w:eastAsia="Amiri" w:cs="Amiri"/>
          <w:color w:val="111111"/>
          <w:sz w:val="28"/>
          <w:sz w:val="28"/>
          <w:szCs w:val="28"/>
          <w:rtl w:val="true"/>
          <w:lang w:bidi="ar-SA"/>
        </w:rPr>
        <w:t xml:space="preserve">شكّ في وجود شيء يحتمل تركه نسيانا بعد التجاوز عن محلّه ، كما لو شكّ في الوضوء بعد الدخول في الصلاة باحتمال ترك الوضوء نسيانا ؛ لظهور الأخبار المذكورة في هذه الصورة ولا ينبغي الارتياب فيه ، كما أنّه لا إشكال في عدم شمولها وجريانها فيما لو شكّ في صحّة أصل العمل مع العلم بالكيفية </w:t>
      </w:r>
      <w:r>
        <w:rPr>
          <w:rStyle w:val="FootnoteAnchor"/>
          <w:rtl w:val="true"/>
        </w:rPr>
        <w:footnoteReference w:id="2509"/>
      </w:r>
      <w:r>
        <w:rPr>
          <w:rFonts w:ascii="Amiri" w:hAnsi="Amiri" w:eastAsia="Amiri" w:cs="Amiri"/>
          <w:color w:val="111111"/>
          <w:sz w:val="28"/>
          <w:sz w:val="28"/>
          <w:szCs w:val="28"/>
          <w:rtl w:val="true"/>
          <w:lang w:bidi="ar-SA"/>
        </w:rPr>
        <w:t xml:space="preserve">التي وقع العمل عليها وحضور صورة العمل عند الشاكّ ، كما إذا علمنا بكيفية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 كون القراءة المتكيّفة بالكيفية المخصوصة مبرئة أو لا ، والوجه في ذلك أيضا ظاهر ؛ لعدم ظهور الأخبار في مثل هذه الصورة ، ويمكن استظهار عدم الشمول من عدم كون المورد </w:t>
      </w:r>
      <w:r>
        <w:rPr>
          <w:rStyle w:val="FootnoteAnchor"/>
          <w:rtl w:val="true"/>
        </w:rPr>
        <w:footnoteReference w:id="2510"/>
      </w:r>
      <w:r>
        <w:rPr>
          <w:rFonts w:ascii="Amiri" w:hAnsi="Amiri" w:eastAsia="Amiri" w:cs="Amiri"/>
          <w:color w:val="111111"/>
          <w:sz w:val="28"/>
          <w:sz w:val="28"/>
          <w:szCs w:val="28"/>
          <w:rtl w:val="true"/>
          <w:lang w:bidi="ar-SA"/>
        </w:rPr>
        <w:t>في هذه الأخبار من هذا القبيل ، مضافا إلى أنّ تجاوز المحلّ ممّا لا دخل له في هذا الشكّ ؛ لكونه شكّا في الحكم الشرعي أو ما هو بمنزلة ذلك كما لا يخفى ، لوجود الشكّ قبل العمل وبعده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تجري </w:t>
      </w:r>
      <w:r>
        <w:rPr>
          <w:rStyle w:val="FootnoteAnchor"/>
          <w:rtl w:val="true"/>
        </w:rPr>
        <w:footnoteReference w:id="2511"/>
      </w:r>
      <w:r>
        <w:rPr>
          <w:rFonts w:ascii="Amiri" w:hAnsi="Amiri" w:eastAsia="Amiri" w:cs="Amiri"/>
          <w:color w:val="111111"/>
          <w:sz w:val="28"/>
          <w:sz w:val="28"/>
          <w:szCs w:val="28"/>
          <w:rtl w:val="true"/>
          <w:lang w:bidi="ar-SA"/>
        </w:rPr>
        <w:t xml:space="preserve">فيما إذا شكّ في العمل بغير النسيان كالعصيان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إذا شكّ في العمل لا من عذر ، كما إذا شكّ في وصول الماء حال التوضّؤ بالبشرة لاحتمال وجود مانع كالخاتم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بعموم بعض الأخبار المتقدّمة ؛ لكونه شكّا بعد التجاوز فلا بدّ من الإمضاء فيه وعدم الاعتداد به ، ومن ظهورها في مورد النسيان فقط</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الثاني أقرب نظرا إلى قوله عليه‌السلام في مضمرة بكير بن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ما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2512"/>
      </w:r>
      <w:r>
        <w:rPr>
          <w:rFonts w:ascii="Amiri" w:hAnsi="Amiri" w:eastAsia="Amiri" w:cs="Amiri"/>
          <w:color w:val="111111"/>
          <w:sz w:val="28"/>
          <w:sz w:val="28"/>
          <w:szCs w:val="28"/>
          <w:rtl w:val="true"/>
          <w:lang w:bidi="ar-SA"/>
        </w:rPr>
        <w:t xml:space="preserve">والتقريب من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ما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إنّما هو وارد في مقام الجواب ؛ لكونه علّة له كما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المسك بعض دم الغزال </w:t>
      </w:r>
      <w:r>
        <w:rPr>
          <w:rFonts w:eastAsia="Amiri" w:cs="Amiri" w:ascii="Amiri" w:hAnsi="Amiri"/>
          <w:color w:val="111111"/>
          <w:sz w:val="28"/>
          <w:szCs w:val="28"/>
          <w:rtl w:val="true"/>
          <w:lang w:bidi="ar-SA"/>
        </w:rPr>
        <w:t>»</w:t>
      </w:r>
      <w:r>
        <w:rPr>
          <w:rStyle w:val="FootnoteAnchor"/>
          <w:rtl w:val="true"/>
        </w:rPr>
        <w:footnoteReference w:id="2513"/>
      </w:r>
    </w:p>
    <w:p>
      <w:pPr>
        <w:pStyle w:val="BookText"/>
        <w:rPr/>
      </w:pPr>
      <w:r>
        <w:rPr>
          <w:rFonts w:ascii="IRNazanin" w:hAnsi="IRNazanin" w:eastAsia="IRNazanin"/>
          <w:color w:val="111111"/>
          <w:sz w:val="28"/>
          <w:sz w:val="28"/>
          <w:szCs w:val="28"/>
          <w:rtl w:val="true"/>
          <w:lang w:bidi="fa-IR"/>
        </w:rPr>
        <w:t>فان تفق الأنام وأنت منهم</w:t>
      </w:r>
    </w:p>
    <w:p>
      <w:pPr>
        <w:pStyle w:val="BookText"/>
        <w:rPr/>
      </w:pPr>
      <w:r>
        <w:rPr>
          <w:rFonts w:ascii="Amiri" w:hAnsi="Amiri" w:eastAsia="Amiri" w:cs="Amiri"/>
          <w:color w:val="111111"/>
          <w:sz w:val="28"/>
          <w:sz w:val="28"/>
          <w:szCs w:val="28"/>
          <w:rtl w:val="true"/>
          <w:lang w:bidi="ar-SA"/>
        </w:rPr>
        <w:t xml:space="preserve">كما لا يخفى على العارف بصناعة الكلام ، والعلّة لا بدّ من أن تكون </w:t>
      </w:r>
      <w:r>
        <w:rPr>
          <w:rStyle w:val="FootnoteAnchor"/>
          <w:rtl w:val="true"/>
        </w:rPr>
        <w:footnoteReference w:id="2514"/>
      </w:r>
      <w:r>
        <w:rPr>
          <w:rFonts w:ascii="Amiri" w:hAnsi="Amiri" w:eastAsia="Amiri" w:cs="Amiri"/>
          <w:color w:val="111111"/>
          <w:sz w:val="28"/>
          <w:sz w:val="28"/>
          <w:szCs w:val="28"/>
          <w:rtl w:val="true"/>
          <w:lang w:bidi="ar-SA"/>
        </w:rPr>
        <w:t xml:space="preserve">مطّردة جامعة لتمام مواردها وجميع مواضعها ، كما أنّه لا بدّ من أن تكون </w:t>
      </w:r>
      <w:r>
        <w:rPr>
          <w:rStyle w:val="FootnoteAnchor"/>
          <w:rtl w:val="true"/>
        </w:rPr>
        <w:footnoteReference w:id="2515"/>
      </w:r>
      <w:r>
        <w:rPr>
          <w:rFonts w:ascii="Amiri" w:hAnsi="Amiri" w:eastAsia="Amiri" w:cs="Amiri"/>
          <w:color w:val="111111"/>
          <w:sz w:val="28"/>
          <w:sz w:val="28"/>
          <w:szCs w:val="28"/>
          <w:rtl w:val="true"/>
          <w:lang w:bidi="ar-SA"/>
        </w:rPr>
        <w:t xml:space="preserve">منعكسة غير شاملة لما لا يوجد فيه تلك العلّة ، كما يظهر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حرام ؛ لأنّه مسكر فإنّ بعموم </w:t>
      </w:r>
      <w:r>
        <w:rPr>
          <w:rStyle w:val="FootnoteAnchor"/>
          <w:rtl w:val="true"/>
        </w:rPr>
        <w:footnoteReference w:id="2516"/>
      </w:r>
      <w:r>
        <w:rPr>
          <w:rFonts w:ascii="Amiri" w:hAnsi="Amiri" w:eastAsia="Amiri" w:cs="Amiri"/>
          <w:color w:val="111111"/>
          <w:sz w:val="28"/>
          <w:sz w:val="28"/>
          <w:szCs w:val="28"/>
          <w:rtl w:val="true"/>
          <w:lang w:bidi="ar-SA"/>
        </w:rPr>
        <w:t>العلّة كما يمكن استكشاف حرمة المسكر في غير الخمر كذا يمكن استكشاف عدم حرمة الخمر الغير المسكر مثلا ، فمفهوم التعليل يخصّص العمومات الدالّة على الإمضاء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الشكّ الواقع في السؤال إلى الشكّ في صورة النسيان كما استظهره الإمام عليه‌السلام فأجابه بما يلائمه من الأذكرية </w:t>
      </w:r>
      <w:r>
        <w:rPr>
          <w:rStyle w:val="FootnoteAnchor"/>
          <w:rtl w:val="true"/>
        </w:rPr>
        <w:footnoteReference w:id="2517"/>
      </w:r>
      <w:r>
        <w:rPr>
          <w:rFonts w:ascii="Amiri" w:hAnsi="Amiri" w:eastAsia="Amiri" w:cs="Amiri"/>
          <w:color w:val="111111"/>
          <w:sz w:val="28"/>
          <w:sz w:val="28"/>
          <w:szCs w:val="28"/>
          <w:rtl w:val="true"/>
          <w:lang w:bidi="ar-SA"/>
        </w:rPr>
        <w:t>مع تركه الاستفصال بين صور الشكّ في سؤال السائل كما هو ظاهر ، وفهم الإمام إنّما هو إمام الأفهام ، وهو كذلك واقعا ؛ لما عرفت من ظهور الشكّ الواقع في هذه الأخبار في الشكّ النسياني جميعا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ممّا لا ريب فيه إلاّ أنّ العموم أيضا بحاله </w:t>
      </w:r>
      <w:r>
        <w:rPr>
          <w:rStyle w:val="FootnoteAnchor"/>
          <w:rtl w:val="true"/>
        </w:rPr>
        <w:footnoteReference w:id="2518"/>
      </w:r>
      <w:r>
        <w:rPr>
          <w:rFonts w:ascii="Amiri" w:hAnsi="Amiri" w:eastAsia="Amiri" w:cs="Amiri"/>
          <w:color w:val="111111"/>
          <w:sz w:val="28"/>
          <w:sz w:val="28"/>
          <w:szCs w:val="28"/>
          <w:rtl w:val="true"/>
          <w:lang w:bidi="ar-SA"/>
        </w:rPr>
        <w:t>لو قطع عن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الاستناد إلى ظهور حال المسلم فيما لو شكّ في العصيان كما ستقف عليه إن شاء اللّه ، ولا مدخل للمقام له ؛ للفرق الواضح بينهما كما ستعرف فإنّ النسبة هي العموم من وجه</w:t>
      </w:r>
      <w:r>
        <w:rPr>
          <w:rFonts w:eastAsia="Amiri" w:cs="Amiri" w:ascii="Amiri" w:hAnsi="Amiri"/>
          <w:color w:val="111111"/>
          <w:sz w:val="28"/>
          <w:szCs w:val="28"/>
          <w:rtl w:val="true"/>
          <w:lang w:bidi="ar-SA"/>
        </w:rPr>
        <w:t xml:space="preserve">. </w:t>
      </w:r>
      <w:bookmarkStart w:id="289" w:name="pg16284_171439"/>
    </w:p>
    <w:p>
      <w:pPr>
        <w:pStyle w:val="Heading5"/>
        <w:numPr>
          <w:ilvl w:val="4"/>
          <w:numId w:val="1"/>
        </w:numPr>
        <w:rPr/>
      </w:pPr>
      <w:bookmarkStart w:id="290" w:name="__RefHeading___Toc5012206_1280447820"/>
      <w:bookmarkStart w:id="291" w:name="_Toc92"/>
      <w:bookmarkEnd w:id="289"/>
      <w:bookmarkEnd w:id="290"/>
      <w:r>
        <w:rPr>
          <w:rtl w:val="true"/>
        </w:rPr>
        <w:t xml:space="preserve">[ </w:t>
      </w:r>
      <w:r>
        <w:rPr>
          <w:rtl w:val="true"/>
        </w:rPr>
        <w:t xml:space="preserve">لتنبيه </w:t>
      </w:r>
      <w:r>
        <w:rPr>
          <w:rtl w:val="true"/>
        </w:rPr>
        <w:t xml:space="preserve">] </w:t>
      </w:r>
      <w:r>
        <w:rPr>
          <w:rtl w:val="true"/>
        </w:rPr>
        <w:t>الثالث</w:t>
      </w:r>
      <w:bookmarkEnd w:id="291"/>
    </w:p>
    <w:p>
      <w:pPr>
        <w:pStyle w:val="BookText"/>
        <w:rPr/>
      </w:pPr>
      <w:r>
        <w:rPr>
          <w:rFonts w:ascii="Amiri" w:hAnsi="Amiri" w:eastAsia="Amiri" w:cs="Amiri"/>
          <w:color w:val="111111"/>
          <w:sz w:val="28"/>
          <w:sz w:val="28"/>
          <w:szCs w:val="28"/>
          <w:rtl w:val="true"/>
          <w:lang w:bidi="ar-SA"/>
        </w:rPr>
        <w:t xml:space="preserve">لا إشكال في اعتبار هذه القاعدة الشريفة ؛ لكونها متلقّاة عن معدن الوحي ومهبط التنزيل ولا يخفى شرافتها على أحد ، بل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كونها أتقن من القاعدة التي نحن بصددها من قاعدة الاستصحاب ، وإنّما الشأن في بيان المراد من المحلّ الذي اعتبر التجاوز عنه فيما هو المناط في هذه القاعدة ، فهل يتحقّق بمجرّد الفراغ عن الشيء ، أو يعتبر مع ذلك الدخول في شيء غيره؟ وعلى الثاني فهل يكتفى فيه بمجرّد المغايرة ولو مثل تحريك اليد والتنفّس </w:t>
      </w:r>
      <w:r>
        <w:rPr>
          <w:rStyle w:val="FootnoteAnchor"/>
          <w:rtl w:val="true"/>
        </w:rPr>
        <w:footnoteReference w:id="2519"/>
      </w:r>
      <w:r>
        <w:rPr>
          <w:rFonts w:ascii="Amiri" w:hAnsi="Amiri" w:eastAsia="Amiri" w:cs="Amiri"/>
          <w:color w:val="111111"/>
          <w:sz w:val="28"/>
          <w:sz w:val="28"/>
          <w:szCs w:val="28"/>
          <w:rtl w:val="true"/>
          <w:lang w:bidi="ar-SA"/>
        </w:rPr>
        <w:t>ونحوهما ، أو لا بدّ من الدخول فيما هو من أجزاء المركّب ، أو شيء آخر مستقلّ؟</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الشكّ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بما هو معتبر في شيء شرطا أو شطرا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بنفس الشيء ، فعلى الأوّل لا إشكال في ظهور المراد من المحلّ في الأجزاء ، فإنّ محلّ كلّ جزء هو بعد الجزء الذي اعتبره الشارع قبله وقبل كلّ جزء اعتبره بعده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كلّ جزء يفرض ، سواء كان آية مستقلّة أو كلمة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شكّ في أجزاء الكلمات كما فيما إذا شكّ في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فالتجاوز عن محلّها إنّما يصدق فيما إذا احتاج التكرار في المشكوك إلى تكرار في الأجزاء الأخر ، فإنّ إعادة لين لا يمكن إلاّ بإعادة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استفادة شيء ممّا هو المقصود من لين فقط أو النون فقط ، ولا فرق في ذلك بين الدخول في شيء آخر وبين عدمه ، سواء كان ذلك الشيء من الواجبات النفسية أو الغيرية أو المندوبات أو المباحات ؛ لعدم مدخلية شيء </w:t>
      </w:r>
      <w:r>
        <w:rPr>
          <w:rStyle w:val="FootnoteAnchor"/>
          <w:rtl w:val="true"/>
        </w:rPr>
        <w:footnoteReference w:id="2520"/>
      </w:r>
      <w:r>
        <w:rPr>
          <w:rFonts w:ascii="IRNazanin" w:hAnsi="IRNazanin" w:eastAsia="IRNazanin"/>
          <w:color w:val="111111"/>
          <w:sz w:val="28"/>
          <w:sz w:val="28"/>
          <w:szCs w:val="28"/>
          <w:rtl w:val="true"/>
          <w:lang w:bidi="fa-IR"/>
        </w:rPr>
        <w:t xml:space="preserve">منها </w:t>
      </w:r>
      <w:r>
        <w:rPr>
          <w:rStyle w:val="FootnoteAnchor"/>
          <w:rtl w:val="true"/>
        </w:rPr>
        <w:footnoteReference w:id="2521"/>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الشرائط فيحتمل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محلّها قبل الدخول في المشروط ؛ لكونها أمورا </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خارجة عن حقيقة المشروط ينبغي تحصيلها قبل الدخول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لا بدّ من أن يكون مقارنا مع المشروط ، ففيما </w:t>
      </w:r>
      <w:r>
        <w:rPr>
          <w:rStyle w:val="FootnoteAnchor"/>
          <w:rtl w:val="true"/>
        </w:rPr>
        <w:footnoteReference w:id="2523"/>
      </w:r>
      <w:r>
        <w:rPr>
          <w:rFonts w:ascii="Amiri" w:hAnsi="Amiri" w:eastAsia="Amiri" w:cs="Amiri"/>
          <w:color w:val="111111"/>
          <w:sz w:val="28"/>
          <w:sz w:val="28"/>
          <w:szCs w:val="28"/>
          <w:rtl w:val="true"/>
          <w:lang w:bidi="ar-SA"/>
        </w:rPr>
        <w:t xml:space="preserve">لو شكّ في أثناء العمل في الشرط لم يكن ممّا تجاوز محلّه ولا بدّ من الإتيان به </w:t>
      </w:r>
      <w:r>
        <w:rPr>
          <w:rStyle w:val="FootnoteAnchor"/>
          <w:rtl w:val="true"/>
        </w:rPr>
        <w:footnoteReference w:id="2524"/>
      </w:r>
      <w:r>
        <w:rPr>
          <w:rFonts w:ascii="Amiri" w:hAnsi="Amiri" w:eastAsia="Amiri" w:cs="Amiri"/>
          <w:color w:val="111111"/>
          <w:sz w:val="28"/>
          <w:sz w:val="28"/>
          <w:szCs w:val="28"/>
          <w:rtl w:val="true"/>
          <w:lang w:bidi="ar-SA"/>
        </w:rPr>
        <w:t xml:space="preserve">بالنسبة إلى الأجزاء الباقية ، فلو شكّ في طهارة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تطهيرها ممكنا على وجه لا يفوته الترتيب في المأمور به المشروط بالطهارة فطهّرها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العمل ، نعم لو لم يتمكّن من إيجاد الشرط ولو بواسطة فقد شرط آخر لو حاول إيجاده كفوات الموالات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 القول ببطلان العمل ولا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يقال بالتفصيل بين الشرائط ، فإنّ منها ما هو شرط للأفعال الواقعة في العمل كما في الطهارة بالنسبة إلى الصلاة ، ومنها ما هو شرط للأفعال والأكوان أيضا كما في الستر والاستقبال مثلا ، ففي الأوّل يقال بعدم التجاوز ، وفي الثاني بالتجاوز ، والوجه في ذلك صدق الأخبار وعدمه في المقامين ، فلا قاطع لأصالة عدم الوقوع </w:t>
      </w:r>
      <w:r>
        <w:rPr>
          <w:rStyle w:val="FootnoteAnchor"/>
          <w:rtl w:val="true"/>
        </w:rPr>
        <w:footnoteReference w:id="2525"/>
      </w:r>
      <w:r>
        <w:rPr>
          <w:rFonts w:ascii="Amiri" w:hAnsi="Amiri" w:eastAsia="Amiri" w:cs="Amiri"/>
          <w:color w:val="111111"/>
          <w:sz w:val="28"/>
          <w:sz w:val="28"/>
          <w:szCs w:val="28"/>
          <w:rtl w:val="true"/>
          <w:lang w:bidi="ar-SA"/>
        </w:rPr>
        <w:t>على تقدير عدم الصدق وعلى تقدير الصدق فالقاطع موجود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التفصيل هو الأوجه إلاّ أنّه قد يستفاد من رواية عليّ بن جعفر المرويّة في قرب الإسناد عن أخيه موسى بن جعفر عليهما‌السلام ما ينافي هذا التفصيل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يكون على وضوء ويشكّ على وضوء هو أم 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 وهو في صلاته انصرف وأعادها ، وإن ذكره وقد فرغ من صلاته أجزأ ذلك </w:t>
      </w:r>
      <w:r>
        <w:rPr>
          <w:rFonts w:eastAsia="Amiri" w:cs="Amiri" w:ascii="Amiri" w:hAnsi="Amiri"/>
          <w:color w:val="111111"/>
          <w:sz w:val="28"/>
          <w:szCs w:val="28"/>
          <w:rtl w:val="true"/>
          <w:lang w:bidi="ar-SA"/>
        </w:rPr>
        <w:t xml:space="preserve">» </w:t>
      </w:r>
      <w:r>
        <w:rPr>
          <w:rStyle w:val="FootnoteAnchor"/>
          <w:rtl w:val="true"/>
        </w:rPr>
        <w:footnoteReference w:id="2526"/>
      </w:r>
      <w:r>
        <w:rPr>
          <w:rFonts w:ascii="Amiri" w:hAnsi="Amiri" w:eastAsia="Amiri" w:cs="Amiri"/>
          <w:color w:val="111111"/>
          <w:sz w:val="28"/>
          <w:sz w:val="28"/>
          <w:szCs w:val="28"/>
          <w:rtl w:val="true"/>
          <w:lang w:bidi="ar-SA"/>
        </w:rPr>
        <w:t xml:space="preserve">فإنّ حكم الإمام عليه‌السلام بالانصراف والإعادة في الصورة </w:t>
      </w:r>
      <w:r>
        <w:rPr>
          <w:rStyle w:val="FootnoteAnchor"/>
          <w:rtl w:val="true"/>
        </w:rPr>
        <w:footnoteReference w:id="2527"/>
      </w:r>
      <w:r>
        <w:rPr>
          <w:rFonts w:ascii="Amiri" w:hAnsi="Amiri" w:eastAsia="Amiri" w:cs="Amiri"/>
          <w:color w:val="111111"/>
          <w:sz w:val="28"/>
          <w:sz w:val="28"/>
          <w:szCs w:val="28"/>
          <w:rtl w:val="true"/>
          <w:lang w:bidi="ar-SA"/>
        </w:rPr>
        <w:t xml:space="preserve">المفروضة ينبئ عن بقاء محلّ الشرط في الأثناء مطلقا ؛ لأنّ الوضوء من شروط الأفعال ، ومع ذلك فالتفصيل أقرب كما يساعده </w:t>
      </w:r>
    </w:p>
    <w:p>
      <w:pPr>
        <w:pStyle w:val="BookText"/>
        <w:rPr/>
      </w:pPr>
      <w:r>
        <w:rPr>
          <w:rFonts w:ascii="Amiri" w:hAnsi="Amiri" w:eastAsia="Amiri" w:cs="Amiri"/>
          <w:color w:val="111111"/>
          <w:sz w:val="28"/>
          <w:sz w:val="28"/>
          <w:szCs w:val="28"/>
          <w:rtl w:val="true"/>
          <w:lang w:bidi="ar-SA"/>
        </w:rPr>
        <w:t xml:space="preserve">الاعتبار الصحيح بعد ظهور اعتبار تجاوز المحلّ وعدمه في أسباب هذه الشروط وهي الأفعال كما لا يخفى ، والرواية المذكورة معمولة في موردها لا ينبغي التسرية منها إلى مورد آخر ، لكونها قضيّة في </w:t>
      </w:r>
      <w:r>
        <w:rPr>
          <w:rStyle w:val="FootnoteAnchor"/>
          <w:rtl w:val="true"/>
        </w:rPr>
        <w:footnoteReference w:id="2528"/>
      </w:r>
      <w:r>
        <w:rPr>
          <w:rFonts w:ascii="Amiri" w:hAnsi="Amiri" w:eastAsia="Amiri" w:cs="Amiri"/>
          <w:color w:val="111111"/>
          <w:sz w:val="28"/>
          <w:sz w:val="28"/>
          <w:szCs w:val="28"/>
          <w:rtl w:val="true"/>
          <w:lang w:bidi="ar-SA"/>
        </w:rPr>
        <w:t xml:space="preserve">واقعة ، وعلى الثاني ففيما إذا تعلّق الشكّ بنفس الشيء مستقلاّ كما إذا شكّ في الاستنجاء أو الغسل أو الوضوء أو التيمّم فهل المدار في محالّها هو المحلّ المعتبر لها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موقّتا بانقضاء وقته ، وبسقوط التكليف في غير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المناط على محلّ وقوع هذه الأفعال عادة ، سواء يوافق محلّها الشرعي أو </w:t>
      </w:r>
      <w:r>
        <w:rPr>
          <w:rStyle w:val="FootnoteAnchor"/>
          <w:rtl w:val="true"/>
        </w:rPr>
        <w:footnoteReference w:id="2529"/>
      </w:r>
      <w:r>
        <w:rPr>
          <w:rFonts w:ascii="Amiri" w:hAnsi="Amiri" w:eastAsia="Amiri" w:cs="Amiri"/>
          <w:color w:val="111111"/>
          <w:sz w:val="28"/>
          <w:sz w:val="28"/>
          <w:szCs w:val="28"/>
          <w:rtl w:val="true"/>
          <w:lang w:bidi="ar-SA"/>
        </w:rPr>
        <w:t xml:space="preserve">لا زيادة ونقصانا؟ وعلى الثاني فهل المعتبر هي العادة النوعية التي عليها مدار معاش أبناء النوع ، أو العادة الشخصية التي اعتادها الشاكّ خاصّة كمن اعتاد الاستبراء بعد البول أو الوضوء بعد إيجاد أسبابه؟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العلاّمة وجماعة من متابعيه ومنهم الشهيد في شرح الألفية وكاشف الغطاء في الكشف </w:t>
      </w:r>
      <w:r>
        <w:rPr>
          <w:rStyle w:val="FootnoteAnchor"/>
          <w:rtl w:val="true"/>
        </w:rPr>
        <w:footnoteReference w:id="2530"/>
      </w:r>
      <w:r>
        <w:rPr>
          <w:rFonts w:ascii="Amiri" w:hAnsi="Amiri" w:eastAsia="Amiri" w:cs="Amiri"/>
          <w:color w:val="111111"/>
          <w:sz w:val="28"/>
          <w:sz w:val="28"/>
          <w:szCs w:val="28"/>
          <w:rtl w:val="true"/>
          <w:lang w:bidi="ar-SA"/>
        </w:rPr>
        <w:t>اعتبار العادة الشخصية حيث حكموا بصحّة الغسل فيما لو شكّ في غسل الشقّ الأيسر إن كان من عادة المغتسل إتمام العمل مع بقاء محلّ الغسل شرعا لعدم وجوب الموالاة فيه ، وعلّله بظنّ الكمال بعد الانتقال عن العمل من دون افتقار إلى تدارك فعل المشكوك ، وحكم بالفساد من دون العادة المذكورة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ذلك لأجل تقديم الظاهر على الأصل عندهم كما قد يتوهّم ، فإنّ ذلك في موارد معدودة كما في عدد ركعات الصلاة على ما قيل ، بل الاستناد </w:t>
      </w:r>
      <w:r>
        <w:rPr>
          <w:rStyle w:val="FootnoteAnchor"/>
          <w:rtl w:val="true"/>
        </w:rPr>
        <w:footnoteReference w:id="2531"/>
      </w:r>
      <w:r>
        <w:rPr>
          <w:rFonts w:ascii="IRNazanin" w:hAnsi="IRNazanin" w:eastAsia="IRNazanin"/>
          <w:color w:val="111111"/>
          <w:sz w:val="28"/>
          <w:sz w:val="28"/>
          <w:szCs w:val="28"/>
          <w:rtl w:val="true"/>
          <w:lang w:bidi="fa-IR"/>
        </w:rPr>
        <w:t xml:space="preserve">إلى الظهور </w:t>
      </w:r>
      <w:r>
        <w:rPr>
          <w:rStyle w:val="FootnoteAnchor"/>
          <w:rtl w:val="true"/>
        </w:rPr>
        <w:footnoteReference w:id="2532"/>
      </w:r>
      <w:r>
        <w:rPr>
          <w:rFonts w:ascii="Amiri" w:hAnsi="Amiri" w:eastAsia="Amiri" w:cs="Amiri"/>
          <w:color w:val="111111"/>
          <w:sz w:val="28"/>
          <w:sz w:val="28"/>
          <w:szCs w:val="28"/>
          <w:rtl w:val="true"/>
          <w:lang w:bidi="ar-SA"/>
        </w:rPr>
        <w:t xml:space="preserve">في مثل المقام على ما يستفاد من التعليل المذكور في الروايات السابقة وهو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2533"/>
      </w:r>
      <w:r>
        <w:rPr>
          <w:rFonts w:ascii="Amiri" w:hAnsi="Amiri" w:eastAsia="Amiri" w:cs="Amiri"/>
          <w:color w:val="111111"/>
          <w:sz w:val="28"/>
          <w:sz w:val="28"/>
          <w:szCs w:val="28"/>
          <w:rtl w:val="true"/>
          <w:lang w:bidi="ar-SA"/>
        </w:rPr>
        <w:t xml:space="preserve">ولا ضير في ذلك ؛ لأنّ عمومه معوّل </w:t>
      </w:r>
      <w:r>
        <w:rPr>
          <w:rStyle w:val="FootnoteAnchor"/>
          <w:rtl w:val="true"/>
        </w:rPr>
        <w:footnoteReference w:id="2534"/>
      </w:r>
      <w:r>
        <w:rPr>
          <w:rFonts w:ascii="Amiri" w:hAnsi="Amiri" w:eastAsia="Amiri" w:cs="Amiri"/>
          <w:color w:val="111111"/>
          <w:sz w:val="28"/>
          <w:sz w:val="28"/>
          <w:szCs w:val="28"/>
          <w:rtl w:val="true"/>
          <w:lang w:bidi="ar-SA"/>
        </w:rPr>
        <w:t xml:space="preserve">عليه وإن كان مورده خاصّا ، فلا فرق بين أن يكون العمل مربوطا بعمل آخر كما في الأجزاء ، أو </w:t>
      </w:r>
      <w:r>
        <w:rPr>
          <w:rStyle w:val="FootnoteAnchor"/>
          <w:rtl w:val="true"/>
        </w:rPr>
        <w:footnoteReference w:id="2535"/>
      </w:r>
      <w:r>
        <w:rPr>
          <w:rFonts w:ascii="Amiri" w:hAnsi="Amiri" w:eastAsia="Amiri" w:cs="Amiri"/>
          <w:color w:val="111111"/>
          <w:sz w:val="28"/>
          <w:sz w:val="28"/>
          <w:szCs w:val="28"/>
          <w:rtl w:val="true"/>
          <w:lang w:bidi="ar-SA"/>
        </w:rPr>
        <w:t>مستقلاّ كما في الاستبراء بعد تجاوز محلّ 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البناء على العادة الشخصية مناف لما عرفت من التفصيل بين شرط الأكوان والأفعال ؛ لوضوح وجود العلّة في القسمين ولكنّ الإنصاف على ما أفاده الأستاد أدام اللّه أيّام إفادته </w:t>
      </w:r>
      <w:r>
        <w:rPr>
          <w:rStyle w:val="FootnoteAnchor"/>
          <w:rtl w:val="true"/>
        </w:rPr>
        <w:footnoteReference w:id="2536"/>
      </w:r>
      <w:r>
        <w:rPr>
          <w:rFonts w:ascii="Amiri" w:hAnsi="Amiri" w:eastAsia="Amiri" w:cs="Amiri"/>
          <w:color w:val="111111"/>
          <w:sz w:val="28"/>
          <w:sz w:val="28"/>
          <w:szCs w:val="28"/>
          <w:rtl w:val="true"/>
          <w:lang w:bidi="ar-SA"/>
        </w:rPr>
        <w:t xml:space="preserve">أنّ البناء على العادة </w:t>
      </w:r>
      <w:r>
        <w:rPr>
          <w:rStyle w:val="FootnoteAnchor"/>
          <w:rtl w:val="true"/>
        </w:rPr>
        <w:footnoteReference w:id="2537"/>
      </w:r>
      <w:r>
        <w:rPr>
          <w:rFonts w:ascii="Amiri" w:hAnsi="Amiri" w:eastAsia="Amiri" w:cs="Amiri"/>
          <w:color w:val="111111"/>
          <w:sz w:val="28"/>
          <w:sz w:val="28"/>
          <w:szCs w:val="28"/>
          <w:rtl w:val="true"/>
          <w:lang w:bidi="ar-SA"/>
        </w:rPr>
        <w:t>الشخصية في غاية الإشكال ، فإنّ دعوى تنزيل الأخبار عليها والقول بأنّ المراد بمحلّ الشيء هو المحلّ الذي من عادة الفاعل إيقاع ذلك الشيء فيه ، لا يساعدها نقل ولا عقل بعد ظهور أنّ المراد بالمحلّ المأخوذ في أخبار الباب هو محلّه التكليفي دون محلّه التكويني ، ولعلّ العلاّمة أيضا لا يلتزم بذلك في نظير المقام فإنّهم حكموا بوجوب التوضّؤ على من كان من عادته ذلك أوّل الوقت فيما لو شكّ في وقت العصر في ذلك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ذلك من جهة النصوص القاضية به </w:t>
      </w:r>
      <w:r>
        <w:rPr>
          <w:rStyle w:val="FootnoteAnchor"/>
          <w:rtl w:val="true"/>
        </w:rPr>
        <w:footnoteReference w:id="2538"/>
      </w:r>
      <w:r>
        <w:rPr>
          <w:rFonts w:ascii="Amiri" w:hAnsi="Amiri" w:eastAsia="Amiri" w:cs="Amiri"/>
          <w:color w:val="111111"/>
          <w:sz w:val="28"/>
          <w:sz w:val="28"/>
          <w:szCs w:val="28"/>
          <w:rtl w:val="true"/>
          <w:lang w:bidi="ar-SA"/>
        </w:rPr>
        <w:t xml:space="preserve">،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نظر الأخبار الآمرة بذلك أيضا إلى عدم تجاوز المحلّ فتدلّ على المقصود ، وحملها على الحكم التعبّدي ممّا يأباه مساقها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التعليل المذكور فشموله للأعمال المستقلّة مشكل ، فإنّ ظاهره هو البناء على الوقوع حال التجاوز فيما إذا علم الدخول في العمل ، وتذكّر الاشتغال </w:t>
      </w:r>
      <w:r>
        <w:rPr>
          <w:rStyle w:val="FootnoteAnchor"/>
          <w:rtl w:val="true"/>
        </w:rPr>
        <w:footnoteReference w:id="2539"/>
      </w:r>
      <w:r>
        <w:rPr>
          <w:rFonts w:ascii="Amiri" w:hAnsi="Amiri" w:eastAsia="Amiri" w:cs="Amiri"/>
          <w:color w:val="111111"/>
          <w:sz w:val="28"/>
          <w:sz w:val="28"/>
          <w:szCs w:val="28"/>
          <w:rtl w:val="true"/>
          <w:lang w:bidi="ar-SA"/>
        </w:rPr>
        <w:t xml:space="preserve">به وهو إنّما يكون فيما إذا كان المشكوك جزء كالشكّ في جزء من الوضوء بعد الفراغ ، وغاية ما يتعسّف في الإلحاق به هو ما إذا كان الشيء المشكوك كالجزء للعمل السابق عرفا </w:t>
      </w:r>
      <w:bookmarkStart w:id="292" w:name="pg16284_171443"/>
    </w:p>
    <w:p>
      <w:pPr>
        <w:pStyle w:val="BookText"/>
        <w:rPr/>
      </w:pPr>
      <w:bookmarkEnd w:id="292"/>
      <w:r>
        <w:rPr>
          <w:rFonts w:ascii="Amiri" w:hAnsi="Amiri" w:eastAsia="Amiri" w:cs="Amiri"/>
          <w:color w:val="111111"/>
          <w:sz w:val="28"/>
          <w:sz w:val="28"/>
          <w:szCs w:val="28"/>
          <w:rtl w:val="true"/>
          <w:lang w:bidi="ar-SA"/>
        </w:rPr>
        <w:t xml:space="preserve">وعادة ولعلّ الاستنجاء منه في العرف ، وأين ذلك من الشكّ في الأفعال المستقلّة التي لا يناط أحدهما </w:t>
      </w:r>
      <w:r>
        <w:rPr>
          <w:rStyle w:val="FootnoteAnchor"/>
          <w:rtl w:val="true"/>
        </w:rPr>
        <w:footnoteReference w:id="2540"/>
      </w:r>
      <w:r>
        <w:rPr>
          <w:rFonts w:ascii="Amiri" w:hAnsi="Amiri" w:eastAsia="Amiri" w:cs="Amiri"/>
          <w:color w:val="111111"/>
          <w:sz w:val="28"/>
          <w:sz w:val="28"/>
          <w:szCs w:val="28"/>
          <w:rtl w:val="true"/>
          <w:lang w:bidi="ar-SA"/>
        </w:rPr>
        <w:t xml:space="preserve">بالآخر أصلا؟ نعم لك القول بذلك فيما لو ادّعيت أنّ المستفاد من أخبار الباب أنّ بعد وجود ما يقتضي لشيء </w:t>
      </w:r>
      <w:r>
        <w:rPr>
          <w:rStyle w:val="FootnoteAnchor"/>
          <w:rtl w:val="true"/>
        </w:rPr>
        <w:footnoteReference w:id="2541"/>
      </w:r>
      <w:r>
        <w:rPr>
          <w:rFonts w:ascii="Amiri" w:hAnsi="Amiri" w:eastAsia="Amiri" w:cs="Amiri"/>
          <w:color w:val="111111"/>
          <w:sz w:val="28"/>
          <w:sz w:val="28"/>
          <w:szCs w:val="28"/>
          <w:rtl w:val="true"/>
          <w:lang w:bidi="ar-SA"/>
        </w:rPr>
        <w:t xml:space="preserve">شرعا أو عقلا أو عادة وعدم مانع من ذلك إلاّ متابعة السهوي </w:t>
      </w:r>
      <w:r>
        <w:rPr>
          <w:rStyle w:val="FootnoteAnchor"/>
          <w:rtl w:val="true"/>
        </w:rPr>
        <w:footnoteReference w:id="2542"/>
      </w:r>
      <w:r>
        <w:rPr>
          <w:rFonts w:ascii="Amiri" w:hAnsi="Amiri" w:eastAsia="Amiri" w:cs="Amiri"/>
          <w:color w:val="111111"/>
          <w:sz w:val="28"/>
          <w:sz w:val="28"/>
          <w:szCs w:val="28"/>
          <w:rtl w:val="true"/>
          <w:lang w:bidi="ar-SA"/>
        </w:rPr>
        <w:t>في الأوّل والسهو والنسيان في الأخيرين ، لا بدّ من الحكم بوجوده وصحّته والإمضاء عليه من جهة الظهور المستفاد من وجود المقتضي والشكّ في المانع وأنّى لك بهذا؟</w:t>
      </w:r>
    </w:p>
    <w:p>
      <w:pPr>
        <w:pStyle w:val="BookText"/>
        <w:rPr/>
      </w:pPr>
      <w:r>
        <w:rPr>
          <w:rFonts w:ascii="Amiri" w:hAnsi="Amiri" w:eastAsia="Amiri" w:cs="Amiri"/>
          <w:color w:val="111111"/>
          <w:sz w:val="28"/>
          <w:sz w:val="28"/>
          <w:szCs w:val="28"/>
          <w:rtl w:val="true"/>
          <w:lang w:bidi="ar-SA"/>
        </w:rPr>
        <w:t xml:space="preserve">وممّا ذكرنا يظهر </w:t>
      </w:r>
      <w:r>
        <w:rPr>
          <w:rStyle w:val="FootnoteAnchor"/>
          <w:rtl w:val="true"/>
        </w:rPr>
        <w:footnoteReference w:id="2543"/>
      </w:r>
      <w:r>
        <w:rPr>
          <w:rFonts w:ascii="Amiri" w:hAnsi="Amiri" w:eastAsia="Amiri" w:cs="Amiri"/>
          <w:color w:val="111111"/>
          <w:sz w:val="28"/>
          <w:sz w:val="28"/>
          <w:szCs w:val="28"/>
          <w:rtl w:val="true"/>
          <w:lang w:bidi="ar-SA"/>
        </w:rPr>
        <w:t xml:space="preserve">ضعف اعتبار العاديّة النوعية وإن كان </w:t>
      </w:r>
      <w:r>
        <w:rPr>
          <w:rStyle w:val="FootnoteAnchor"/>
          <w:rtl w:val="true"/>
        </w:rPr>
        <w:footnoteReference w:id="2544"/>
      </w:r>
      <w:r>
        <w:rPr>
          <w:rFonts w:ascii="Amiri" w:hAnsi="Amiri" w:eastAsia="Amiri" w:cs="Amiri"/>
          <w:color w:val="111111"/>
          <w:sz w:val="28"/>
          <w:sz w:val="28"/>
          <w:szCs w:val="28"/>
          <w:rtl w:val="true"/>
          <w:lang w:bidi="ar-SA"/>
        </w:rPr>
        <w:t xml:space="preserve">أقلّ فسادا من سابقها ، فإنّ الظاهر من المحلّ هو محلّ التكليف لا التكوين ، فالأسلم القول بأنّ قبل تجاوز محلّ الفعل شرعا يجب الأخذ بالقاعدة المزبورة وانقطاع الأصل بها ، وبعده فالأصل المذكور في محلّه ولا محلّ للمحلّ العاديّ بقسميه </w:t>
      </w:r>
      <w:r>
        <w:rPr>
          <w:rStyle w:val="FootnoteAnchor"/>
          <w:rtl w:val="true"/>
        </w:rPr>
        <w:footnoteReference w:id="2545"/>
      </w:r>
      <w:r>
        <w:rPr>
          <w:rFonts w:ascii="Amiri" w:hAnsi="Amiri" w:eastAsia="Amiri" w:cs="Amiri"/>
          <w:color w:val="111111"/>
          <w:sz w:val="28"/>
          <w:sz w:val="28"/>
          <w:szCs w:val="28"/>
          <w:rtl w:val="true"/>
          <w:lang w:bidi="ar-SA"/>
        </w:rPr>
        <w:t xml:space="preserve">، وقد عرفت أنّ محلّ الشيء شرعا إمّا بانقضاء زمانه لو كان موقّتا ، أو بسقوط التكليف عنه في غيره ، ثمّ إنّه هل يتوقّف صدق التجاوز على الدخول في الغير أو لا؟ الظاهر هو الثاني ، وعلى الأوّل فالمعتبر في الغير هو ما يترتّب عليه شرعا لا مطلقة ، فيحكم بالقاعدة القاطعة لأصالة عدم وقوع الفعل فيما إذا لم يدخل فيما يترتّب على المشكوك شرعا ، فلا يضرّ التنفّس </w:t>
      </w:r>
      <w:r>
        <w:rPr>
          <w:rStyle w:val="FootnoteAnchor"/>
          <w:rtl w:val="true"/>
        </w:rPr>
        <w:footnoteReference w:id="2546"/>
      </w:r>
      <w:r>
        <w:rPr>
          <w:rFonts w:ascii="Amiri" w:hAnsi="Amiri" w:eastAsia="Amiri" w:cs="Amiri"/>
          <w:color w:val="111111"/>
          <w:sz w:val="28"/>
          <w:sz w:val="28"/>
          <w:szCs w:val="28"/>
          <w:rtl w:val="true"/>
          <w:lang w:bidi="ar-SA"/>
        </w:rPr>
        <w:t>ونحوه ممّا لا دخل له في المركّب ، فتدبّر</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5012208_1280447820"/>
      <w:bookmarkStart w:id="294" w:name="_Toc93"/>
      <w:bookmarkEnd w:id="293"/>
      <w:r>
        <w:rPr>
          <w:rtl w:val="true"/>
        </w:rPr>
        <w:t xml:space="preserve">[ </w:t>
      </w:r>
      <w:r>
        <w:rPr>
          <w:rtl w:val="true"/>
        </w:rPr>
        <w:t xml:space="preserve">لتنبيه </w:t>
      </w:r>
      <w:r>
        <w:rPr>
          <w:rtl w:val="true"/>
        </w:rPr>
        <w:t xml:space="preserve">] </w:t>
      </w:r>
      <w:r>
        <w:rPr>
          <w:rtl w:val="true"/>
        </w:rPr>
        <w:t>الرابع</w:t>
      </w:r>
      <w:bookmarkEnd w:id="29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القاعدة المذكورة محكّمة فيما إذا شكّ في صحّة الاعتقاد السابق مطلقا أو فيما إذا لم يكن متذكّرا لموجب الاعتقاد ، أو ليست محكّمة فيها مطلقا؟ وجوه ، بل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p>
    <w:p>
      <w:pPr>
        <w:pStyle w:val="BookText"/>
        <w:rPr/>
      </w:pPr>
      <w:r>
        <w:rPr>
          <w:rFonts w:ascii="Amiri" w:hAnsi="Amiri" w:eastAsia="Amiri" w:cs="Amiri"/>
          <w:color w:val="111111"/>
          <w:sz w:val="28"/>
          <w:sz w:val="28"/>
          <w:szCs w:val="28"/>
          <w:rtl w:val="true"/>
          <w:lang w:bidi="ar-SA"/>
        </w:rPr>
        <w:t xml:space="preserve">الأوّل من بعض سادات مشايخ الأستاد دام عزّه </w:t>
      </w:r>
      <w:r>
        <w:rPr>
          <w:rStyle w:val="FootnoteAnchor"/>
          <w:rtl w:val="true"/>
        </w:rPr>
        <w:footnoteReference w:id="2547"/>
      </w:r>
      <w:r>
        <w:rPr>
          <w:rFonts w:ascii="Amiri" w:hAnsi="Amiri" w:eastAsia="Amiri" w:cs="Amiri"/>
          <w:color w:val="111111"/>
          <w:sz w:val="28"/>
          <w:sz w:val="28"/>
          <w:szCs w:val="28"/>
          <w:rtl w:val="true"/>
          <w:lang w:bidi="ar-SA"/>
        </w:rPr>
        <w:t xml:space="preserve">في المناهل </w:t>
      </w:r>
      <w:r>
        <w:rPr>
          <w:rStyle w:val="FootnoteAnchor"/>
          <w:rtl w:val="true"/>
        </w:rPr>
        <w:footnoteReference w:id="2548"/>
      </w:r>
      <w:r>
        <w:rPr>
          <w:rFonts w:ascii="Amiri" w:hAnsi="Amiri" w:eastAsia="Amiri" w:cs="Amiri"/>
          <w:color w:val="111111"/>
          <w:sz w:val="28"/>
          <w:sz w:val="28"/>
          <w:szCs w:val="28"/>
          <w:rtl w:val="true"/>
          <w:lang w:bidi="ar-SA"/>
        </w:rPr>
        <w:t xml:space="preserve">، والثاني من فيلسوف القوم في الكشف </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وأمّا ما وقع منه من العمل فيحكم بصحّته ما لم يعلم بعدم مقتضى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كشف الغطاء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 وفي ط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 العلم بتقدّم شيء أو تأخّره ثمّ طرأ الشكّ ، غير متذكّر لسبب العلم بنى على علمه على إشكال ، وإن ذكر سببه ورأى أنّه غير قابل لترتّب العلم فلا بناء عليه ؛ لأنّ المراد بعدم نقض اليقين بالشكّ عدم النقض بالشكّ الطارئ بعده بقسميه ـ ما اقترن بسبب الاستدامة وغيره ـ دون الطارئ عليه ، والظاهر عدم الفرق في شكّ الصلاة والوضوء بين المنصوص عليه وبين غيره ؛ لظاهر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ذيل الاستصحاب ، والحقّ على ما أفاده الأستاد المحقّق هو الثالث ، فلو اعتقدنا عدالة زيد أو وقوع فعل في الأمس وشككنا في اليوم في صحّة الاعتقاد السابق ، لا بدّ من البناء على الصحّة على الأوّل ، وفيما إذا لم يكن متذكّرا لدليل الاعتقاد دون ما إذا كان متذكّرا على الثاني ، ولا بدّ من الحكم بالفساد أخذا بأصالة العدم على الثالث</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يمكن الاستناد به للأوّلين في مورد </w:t>
      </w:r>
      <w:r>
        <w:rPr>
          <w:rStyle w:val="FootnoteAnchor"/>
          <w:rtl w:val="true"/>
        </w:rPr>
        <w:footnoteReference w:id="2550"/>
      </w:r>
      <w:r>
        <w:rPr>
          <w:rFonts w:ascii="Amiri" w:hAnsi="Amiri" w:eastAsia="Amiri" w:cs="Amiri"/>
          <w:color w:val="111111"/>
          <w:sz w:val="28"/>
          <w:sz w:val="28"/>
          <w:szCs w:val="28"/>
          <w:rtl w:val="true"/>
          <w:lang w:bidi="ar-SA"/>
        </w:rPr>
        <w:t xml:space="preserve">وفاقهما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الشيخ في ذيل الاستصحاب من ذهابه إلى جريان أخبار الاستصحاب في المقام ، فإنّ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w:t>
      </w:r>
      <w:r>
        <w:rPr>
          <w:rFonts w:eastAsia="Amiri" w:cs="Amiri" w:ascii="Amiri" w:hAnsi="Amiri"/>
          <w:color w:val="111111"/>
          <w:sz w:val="28"/>
          <w:szCs w:val="28"/>
          <w:rtl w:val="true"/>
          <w:lang w:bidi="ar-SA"/>
        </w:rPr>
        <w:t xml:space="preserve">» </w:t>
      </w:r>
      <w:r>
        <w:rPr>
          <w:rStyle w:val="FootnoteAnchor"/>
          <w:rtl w:val="true"/>
        </w:rPr>
        <w:footnoteReference w:id="2551"/>
      </w:r>
      <w:r>
        <w:rPr>
          <w:rFonts w:ascii="Amiri" w:hAnsi="Amiri" w:eastAsia="Amiri" w:cs="Amiri"/>
          <w:color w:val="111111"/>
          <w:sz w:val="28"/>
          <w:sz w:val="28"/>
          <w:szCs w:val="28"/>
          <w:rtl w:val="true"/>
          <w:lang w:bidi="ar-SA"/>
        </w:rPr>
        <w:t xml:space="preserve">هو الأخذ بصحّة اليقين السابق والبناء عليه ، وكذا ما 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أبدا </w:t>
      </w:r>
      <w:r>
        <w:rPr>
          <w:rFonts w:eastAsia="Amiri" w:cs="Amiri" w:ascii="Amiri" w:hAnsi="Amiri"/>
          <w:color w:val="111111"/>
          <w:sz w:val="28"/>
          <w:szCs w:val="28"/>
          <w:rtl w:val="true"/>
          <w:lang w:bidi="ar-SA"/>
        </w:rPr>
        <w:t xml:space="preserve">» </w:t>
      </w:r>
      <w:r>
        <w:rPr>
          <w:rStyle w:val="FootnoteAnchor"/>
          <w:rtl w:val="true"/>
        </w:rPr>
        <w:footnoteReference w:id="2552"/>
      </w:r>
      <w:r>
        <w:rPr>
          <w:rFonts w:ascii="Amiri" w:hAnsi="Amiri" w:eastAsia="Amiri" w:cs="Amiri"/>
          <w:color w:val="111111"/>
          <w:sz w:val="28"/>
          <w:sz w:val="28"/>
          <w:szCs w:val="28"/>
          <w:rtl w:val="true"/>
          <w:lang w:bidi="ar-SA"/>
        </w:rPr>
        <w:t xml:space="preserve">مطابق للرواية المذكورة في الدلالة على المطلوب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صحّة العمل الذي قد جاوز محلّه ولو كان الشكّ في الاعتقاد وصحّته</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وكلاهما فاسدان لا ينبغي للمتأمّل التعويل عليهما ، أمّا الأوّل فقد عرفت </w:t>
      </w:r>
      <w:r>
        <w:rPr>
          <w:rStyle w:val="FootnoteAnchor"/>
          <w:rtl w:val="true"/>
        </w:rPr>
        <w:footnoteReference w:id="2553"/>
      </w:r>
      <w:r>
        <w:rPr>
          <w:rFonts w:ascii="Amiri" w:hAnsi="Amiri" w:eastAsia="Amiri" w:cs="Amiri"/>
          <w:color w:val="111111"/>
          <w:sz w:val="28"/>
          <w:sz w:val="28"/>
          <w:szCs w:val="28"/>
          <w:rtl w:val="true"/>
          <w:lang w:bidi="ar-SA"/>
        </w:rPr>
        <w:t xml:space="preserve">في بعض الهدايات </w:t>
      </w:r>
      <w:r>
        <w:rPr>
          <w:rStyle w:val="FootnoteAnchor"/>
          <w:rtl w:val="true"/>
        </w:rPr>
        <w:footnoteReference w:id="2554"/>
      </w:r>
      <w:r>
        <w:rPr>
          <w:rFonts w:ascii="Amiri" w:hAnsi="Amiri" w:eastAsia="Amiri" w:cs="Amiri"/>
          <w:color w:val="111111"/>
          <w:sz w:val="28"/>
          <w:sz w:val="28"/>
          <w:szCs w:val="28"/>
          <w:rtl w:val="true"/>
          <w:lang w:bidi="ar-SA"/>
        </w:rPr>
        <w:t xml:space="preserve">السابقة فساد هذا التوهّم بما لا مزيد </w:t>
      </w:r>
      <w:r>
        <w:rPr>
          <w:rStyle w:val="FootnoteAnchor"/>
          <w:rtl w:val="true"/>
        </w:rPr>
        <w:footnoteReference w:id="2555"/>
      </w:r>
      <w:r>
        <w:rPr>
          <w:rFonts w:ascii="Amiri" w:hAnsi="Amiri" w:eastAsia="Amiri" w:cs="Amiri"/>
          <w:color w:val="111111"/>
          <w:sz w:val="28"/>
          <w:sz w:val="28"/>
          <w:szCs w:val="28"/>
          <w:rtl w:val="true"/>
          <w:lang w:bidi="ar-SA"/>
        </w:rPr>
        <w:t>عليه إلاّ أنّه إلى الآن لم نكن عالمين بأنّ مثل هذا التوهّم ممّا يمكن من أمثال الشيخ الجليل ، بل إنّما أوردناه في قبال بعض أهل العصر وبعض من الطلبة ، ولكنّا بعد محتاجين إلى الإفصاح عن هذا المقصد على وجه لا يشكّ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ملخّص ما ذكره يرجع إلى اعتبار الاستصحاب في الشكوك السارية ، وذلك ليس في محلّه ؛ لاختلاف مناط القاعدتين وموردهما ، فلا يمكن أن يكون اللفظ الواحد مفيدا لهما ، فإنّ ملاك الأمر في الشكوك السارية على مجرّد وصف اليقين والشكّ </w:t>
      </w:r>
      <w:r>
        <w:rPr>
          <w:rStyle w:val="FootnoteAnchor"/>
          <w:rtl w:val="true"/>
        </w:rPr>
        <w:footnoteReference w:id="2556"/>
      </w:r>
      <w:r>
        <w:rPr>
          <w:rFonts w:ascii="Amiri" w:hAnsi="Amiri" w:eastAsia="Amiri" w:cs="Amiri"/>
          <w:color w:val="111111"/>
          <w:sz w:val="28"/>
          <w:sz w:val="28"/>
          <w:szCs w:val="28"/>
          <w:rtl w:val="true"/>
          <w:lang w:bidi="ar-SA"/>
        </w:rPr>
        <w:t xml:space="preserve">في صحّة ذلك اليقين ، فلا يلاحظ فيه وجود المتيقّن في السابق ، بل يكفي فيه حصول نفس اليقين وإن لم يكن مطابقا للواقع ، فلو فرض وجود المتيقّن في الواقع مع انتفاء وصف اليقين لم يكن من محلّ الشكوك السارية ؛ لانتفاء ما هو القوام فيه ، فمتعلّق الشكّ واليقين أمر واحد وهو الثبوت ، ومناط الحكم في الاستصحاب على ثبوت متيقّن في السابق والشكّ في وجوده في اللاحق ، فلا حاجة إلى وصف اليقين في الاستصحاب إلاّ من حيث إنّه مرآة عن وجود المتيقّن ، ولذلك لا يفرق بين اقتران وصفي الشكّ واليقين أو </w:t>
      </w:r>
      <w:r>
        <w:rPr>
          <w:rStyle w:val="FootnoteAnchor"/>
          <w:rtl w:val="true"/>
        </w:rPr>
        <w:footnoteReference w:id="2557"/>
      </w:r>
      <w:r>
        <w:rPr>
          <w:rFonts w:ascii="Amiri" w:hAnsi="Amiri" w:eastAsia="Amiri" w:cs="Amiri"/>
          <w:color w:val="111111"/>
          <w:sz w:val="28"/>
          <w:sz w:val="28"/>
          <w:szCs w:val="28"/>
          <w:rtl w:val="true"/>
          <w:lang w:bidi="ar-SA"/>
        </w:rPr>
        <w:t xml:space="preserve">سبق أحدهما على الآخر ، فمتعلّق الشكّ واليقين فيه أمران ، فإنّ متعلّق الشكّ هو البقاء ، ومتعلّق اليقين هو الثبوت ، فإحدى القاعدتين تباين الأخرى ، فأخبار الاستصحاب لا يمكن أن تكون </w:t>
      </w:r>
      <w:r>
        <w:rPr>
          <w:rStyle w:val="FootnoteAnchor"/>
          <w:rtl w:val="true"/>
        </w:rPr>
        <w:footnoteReference w:id="2558"/>
      </w:r>
      <w:r>
        <w:rPr>
          <w:rFonts w:ascii="Amiri" w:hAnsi="Amiri" w:eastAsia="Amiri" w:cs="Amiri"/>
          <w:color w:val="111111"/>
          <w:sz w:val="28"/>
          <w:sz w:val="28"/>
          <w:szCs w:val="28"/>
          <w:rtl w:val="true"/>
          <w:lang w:bidi="ar-SA"/>
        </w:rPr>
        <w:t xml:space="preserve">مسوقة لبيانهما </w:t>
      </w:r>
      <w:r>
        <w:rPr>
          <w:rStyle w:val="FootnoteAnchor"/>
          <w:rtl w:val="true"/>
        </w:rPr>
        <w:footnoteReference w:id="2559"/>
      </w:r>
      <w:r>
        <w:rPr>
          <w:rFonts w:ascii="IRNazanin" w:hAnsi="IRNazanin" w:eastAsia="IRNazanin"/>
          <w:color w:val="111111"/>
          <w:sz w:val="28"/>
          <w:sz w:val="28"/>
          <w:szCs w:val="28"/>
          <w:rtl w:val="true"/>
          <w:lang w:bidi="fa-IR"/>
        </w:rPr>
        <w:t xml:space="preserve">فلا بدّ من حملها على إحداهما والمفروض دلالتها </w:t>
      </w:r>
      <w:r>
        <w:rPr>
          <w:rStyle w:val="FootnoteAnchor"/>
          <w:rtl w:val="true"/>
        </w:rPr>
        <w:footnoteReference w:id="2560"/>
      </w:r>
      <w:r>
        <w:rPr>
          <w:rFonts w:ascii="Amiri" w:hAnsi="Amiri" w:eastAsia="Amiri" w:cs="Amiri"/>
          <w:color w:val="111111"/>
          <w:sz w:val="28"/>
          <w:sz w:val="28"/>
          <w:szCs w:val="28"/>
          <w:rtl w:val="true"/>
          <w:lang w:bidi="ar-SA"/>
        </w:rPr>
        <w:t>على الاستصحاب بتسليم من الخصم فتعيّن حملها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بعدم دلالتها على الشكّ الساري وإن كان اللفظ لا يأبى عن ذلك لو لوحظ مجرّدا عن موارد </w:t>
      </w:r>
      <w:r>
        <w:rPr>
          <w:rStyle w:val="FootnoteAnchor"/>
          <w:rtl w:val="true"/>
        </w:rPr>
        <w:footnoteReference w:id="2561"/>
      </w:r>
      <w:r>
        <w:rPr>
          <w:rFonts w:ascii="Amiri" w:hAnsi="Amiri" w:eastAsia="Amiri" w:cs="Amiri"/>
          <w:color w:val="111111"/>
          <w:sz w:val="28"/>
          <w:sz w:val="28"/>
          <w:szCs w:val="28"/>
          <w:rtl w:val="true"/>
          <w:lang w:bidi="ar-SA"/>
        </w:rPr>
        <w:t xml:space="preserve">الروايات ، بل قد نبّهنا </w:t>
      </w:r>
      <w:r>
        <w:rPr>
          <w:rStyle w:val="FootnoteAnchor"/>
          <w:rtl w:val="true"/>
        </w:rPr>
        <w:footnoteReference w:id="2562"/>
      </w:r>
      <w:r>
        <w:rPr>
          <w:rFonts w:ascii="Amiri" w:hAnsi="Amiri" w:eastAsia="Amiri" w:cs="Amiri"/>
          <w:color w:val="111111"/>
          <w:sz w:val="28"/>
          <w:sz w:val="28"/>
          <w:szCs w:val="28"/>
          <w:rtl w:val="true"/>
          <w:lang w:bidi="ar-SA"/>
        </w:rPr>
        <w:t xml:space="preserve">على ظهوره بعد امتناع إرادة المعنى الحقيقي من تلك الأخبار لامتناع التناقض بين الشكّ واليقين في الهداية الخوانسارية ، لكن 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w:t>
      </w:r>
      <w:r>
        <w:rPr>
          <w:rFonts w:eastAsia="Amiri" w:cs="Amiri" w:ascii="Amiri" w:hAnsi="Amiri"/>
          <w:color w:val="111111"/>
          <w:sz w:val="28"/>
          <w:szCs w:val="28"/>
          <w:rtl w:val="true"/>
          <w:lang w:bidi="ar-SA"/>
        </w:rPr>
        <w:t xml:space="preserve">» </w:t>
      </w:r>
      <w:r>
        <w:rPr>
          <w:rStyle w:val="FootnoteAnchor"/>
          <w:rtl w:val="true"/>
        </w:rPr>
        <w:footnoteReference w:id="2563"/>
      </w:r>
      <w:r>
        <w:rPr>
          <w:rFonts w:ascii="Amiri" w:hAnsi="Amiri" w:eastAsia="Amiri" w:cs="Amiri"/>
          <w:color w:val="111111"/>
          <w:sz w:val="28"/>
          <w:sz w:val="28"/>
          <w:szCs w:val="28"/>
          <w:rtl w:val="true"/>
          <w:lang w:bidi="ar-SA"/>
        </w:rPr>
        <w:t>من أقوى الشواهد على إرادة هذا المعنى دون ما هو المناط في الشكوك السارية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الروايات التي احتجّ الأصحاب بها على الاستصحاب ما هو محتمل الوجهين كما أشرنا إليه عند </w:t>
      </w:r>
      <w:r>
        <w:rPr>
          <w:rStyle w:val="FootnoteAnchor"/>
          <w:rtl w:val="true"/>
        </w:rPr>
        <w:footnoteReference w:id="2564"/>
      </w:r>
      <w:r>
        <w:rPr>
          <w:rFonts w:ascii="Amiri" w:hAnsi="Amiri" w:eastAsia="Amiri" w:cs="Amiri"/>
          <w:color w:val="111111"/>
          <w:sz w:val="28"/>
          <w:sz w:val="28"/>
          <w:szCs w:val="28"/>
          <w:rtl w:val="true"/>
          <w:lang w:bidi="ar-SA"/>
        </w:rPr>
        <w:t xml:space="preserve">الاحتجاج بها وهو رواية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w:t>
      </w:r>
      <w:r>
        <w:rPr>
          <w:rFonts w:eastAsia="Amiri" w:cs="Amiri" w:ascii="Amiri" w:hAnsi="Amiri"/>
          <w:color w:val="111111"/>
          <w:sz w:val="28"/>
          <w:szCs w:val="28"/>
          <w:rtl w:val="true"/>
          <w:lang w:bidi="ar-SA"/>
        </w:rPr>
        <w:t xml:space="preserve">» </w:t>
      </w:r>
      <w:r>
        <w:rPr>
          <w:rStyle w:val="FootnoteAnchor"/>
          <w:rtl w:val="true"/>
        </w:rPr>
        <w:footnoteReference w:id="2565"/>
      </w:r>
      <w:r>
        <w:rPr>
          <w:rFonts w:ascii="Amiri" w:hAnsi="Amiri" w:eastAsia="Amiri" w:cs="Amiri"/>
          <w:color w:val="111111"/>
          <w:sz w:val="28"/>
          <w:sz w:val="28"/>
          <w:szCs w:val="28"/>
          <w:rtl w:val="true"/>
          <w:lang w:bidi="ar-SA"/>
        </w:rPr>
        <w:t>إلاّ أنّه قد يستظهر دلالتها على الاستصحاب أيضا نظرا إلى اتّحاد مساقها لما هو مساق أخبار الاستصحاب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سلّمنا إمكان اجتماعهما في الإرادة من دليل واحد فالشكوك السارية ممّا لا عبرة بها ؛ لابتلائها بالمعارض دائما ، فإنّ اليقين بشيء لا محالة مسبوق بحالة سابقة على ذلك اليقين وهي مستصحبة حال الشكّ في صحّة اليقين ؛ إذ المفروض أنّ </w:t>
      </w:r>
      <w:r>
        <w:rPr>
          <w:rStyle w:val="FootnoteAnchor"/>
          <w:rtl w:val="true"/>
        </w:rPr>
        <w:footnoteReference w:id="2566"/>
      </w:r>
      <w:r>
        <w:rPr>
          <w:rFonts w:ascii="Amiri" w:hAnsi="Amiri" w:eastAsia="Amiri" w:cs="Amiri"/>
          <w:color w:val="111111"/>
          <w:sz w:val="28"/>
          <w:sz w:val="28"/>
          <w:szCs w:val="28"/>
          <w:rtl w:val="true"/>
          <w:lang w:bidi="ar-SA"/>
        </w:rPr>
        <w:t xml:space="preserve">اليقين السابق مشكوك الصحّة فيؤول الأمر إلى ارتفاع تلك الحالة وبقائها ، الأصل يقضي </w:t>
      </w:r>
      <w:r>
        <w:rPr>
          <w:rStyle w:val="FootnoteAnchor"/>
          <w:rtl w:val="true"/>
        </w:rPr>
        <w:footnoteReference w:id="2567"/>
      </w:r>
      <w:r>
        <w:rPr>
          <w:rFonts w:ascii="Amiri" w:hAnsi="Amiri" w:eastAsia="Amiri" w:cs="Amiri"/>
          <w:color w:val="111111"/>
          <w:sz w:val="28"/>
          <w:sz w:val="28"/>
          <w:szCs w:val="28"/>
          <w:rtl w:val="true"/>
          <w:lang w:bidi="ar-SA"/>
        </w:rPr>
        <w:t xml:space="preserve">بالثاني فلو اعتقدنا عدالة زيد بعد العلم بفسقه أو مع جهل حاله فلو شكّ في صحّة ذلك الاعتقاد لا بدّ من استصحاب الفسق </w:t>
      </w:r>
      <w:r>
        <w:rPr>
          <w:rStyle w:val="FootnoteAnchor"/>
          <w:rtl w:val="true"/>
        </w:rPr>
        <w:footnoteReference w:id="2568"/>
      </w:r>
      <w:r>
        <w:rPr>
          <w:rFonts w:ascii="Amiri" w:hAnsi="Amiri" w:eastAsia="Amiri" w:cs="Amiri"/>
          <w:color w:val="111111"/>
          <w:sz w:val="28"/>
          <w:sz w:val="28"/>
          <w:szCs w:val="28"/>
          <w:rtl w:val="true"/>
          <w:lang w:bidi="ar-SA"/>
        </w:rPr>
        <w:t xml:space="preserve">أو حكم الجهل ، فإنّ توهّم سقوط الحالة السابقة بمثل اليقين المشكوك صحّته شطط من القول كما هو ظاهر ، فالقول بالصحّة كما هو قضيّة الاستصحاب </w:t>
      </w:r>
      <w:r>
        <w:rPr>
          <w:rStyle w:val="FootnoteAnchor"/>
          <w:rtl w:val="true"/>
        </w:rPr>
        <w:footnoteReference w:id="2569"/>
      </w:r>
      <w:r>
        <w:rPr>
          <w:rFonts w:ascii="Amiri" w:hAnsi="Amiri" w:eastAsia="Amiri" w:cs="Amiri"/>
          <w:color w:val="111111"/>
          <w:sz w:val="28"/>
          <w:sz w:val="28"/>
          <w:szCs w:val="28"/>
          <w:rtl w:val="true"/>
          <w:lang w:bidi="ar-SA"/>
        </w:rPr>
        <w:t xml:space="preserve">الساري معارض بالقول بعدمها كما هو قضيّة الاستصحاب </w:t>
      </w:r>
      <w:r>
        <w:rPr>
          <w:rStyle w:val="FootnoteAnchor"/>
          <w:rtl w:val="true"/>
        </w:rPr>
        <w:footnoteReference w:id="2570"/>
      </w:r>
      <w:r>
        <w:rPr>
          <w:rFonts w:ascii="IRNazanin" w:hAnsi="IRNazanin" w:eastAsia="IRNazanin"/>
          <w:color w:val="111111"/>
          <w:sz w:val="28"/>
          <w:sz w:val="28"/>
          <w:szCs w:val="28"/>
          <w:rtl w:val="true"/>
          <w:lang w:bidi="fa-IR"/>
        </w:rPr>
        <w:t>الطارئ</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فعدم ظهور أخبار الشكّ بعد الفراغ فيما إذا شكّ في صحّة اليقين ظاهر ، فتأمّل في المقام فلعلّه لا يحتاج إلى زيادة تقرير وبيان واللّه الموفّق وهو الهادي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6284_171449"/>
      <w:bookmarkStart w:id="296" w:name="pg16284_171449"/>
      <w:bookmarkEnd w:id="296"/>
    </w:p>
    <w:p>
      <w:pPr>
        <w:pStyle w:val="Heading3"/>
        <w:numPr>
          <w:ilvl w:val="2"/>
          <w:numId w:val="1"/>
        </w:numPr>
        <w:rPr/>
      </w:pPr>
      <w:bookmarkStart w:id="297" w:name="pg16284_171449"/>
      <w:bookmarkStart w:id="298" w:name="__RefHeading___Toc5012210_1280447820"/>
      <w:bookmarkStart w:id="299" w:name="_Toc94"/>
      <w:bookmarkEnd w:id="297"/>
      <w:bookmarkEnd w:id="298"/>
      <w:r>
        <w:rPr>
          <w:rtl w:val="true"/>
        </w:rPr>
        <w:t xml:space="preserve">هداية </w:t>
      </w:r>
      <w:r>
        <w:rPr>
          <w:rtl w:val="true"/>
        </w:rPr>
        <w:t xml:space="preserve">[ </w:t>
      </w:r>
      <w:r>
        <w:rPr>
          <w:rtl w:val="true"/>
        </w:rPr>
        <w:t xml:space="preserve">في تعارض الاستصحاب مع أصالة الصحّة </w:t>
      </w:r>
      <w:r>
        <w:rPr>
          <w:rtl w:val="true"/>
        </w:rPr>
        <w:t>]</w:t>
      </w:r>
      <w:bookmarkEnd w:id="299"/>
    </w:p>
    <w:p>
      <w:pPr>
        <w:pStyle w:val="Heading4"/>
        <w:numPr>
          <w:ilvl w:val="3"/>
          <w:numId w:val="1"/>
        </w:numPr>
        <w:rPr/>
      </w:pPr>
      <w:bookmarkStart w:id="300" w:name="__RefHeading___Toc5012212_1280447820"/>
      <w:bookmarkStart w:id="301" w:name="_Toc95"/>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في بيان الحال في تعارض الاستصحاب مع أصالة الصحّة ، وتحقيق الكلام في المقام </w:t>
      </w:r>
      <w:r>
        <w:rPr>
          <w:rStyle w:val="FootnoteAnchor"/>
          <w:rtl w:val="true"/>
        </w:rPr>
        <w:footnoteReference w:id="2572"/>
      </w:r>
      <w:r>
        <w:rPr>
          <w:rFonts w:ascii="Amiri" w:hAnsi="Amiri" w:eastAsia="Amiri" w:cs="Amiri"/>
          <w:color w:val="111111"/>
          <w:sz w:val="28"/>
          <w:sz w:val="28"/>
          <w:szCs w:val="28"/>
          <w:rtl w:val="true"/>
          <w:lang w:bidi="ar-SA"/>
        </w:rPr>
        <w:t xml:space="preserve">في مطلبين </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5012214_1280447820"/>
      <w:bookmarkStart w:id="303" w:name="_Toc96"/>
      <w:bookmarkEnd w:id="302"/>
      <w:r>
        <w:rPr>
          <w:rtl w:val="true"/>
        </w:rPr>
        <w:t>المطلب الأوّل</w:t>
      </w:r>
      <w:bookmarkEnd w:id="303"/>
    </w:p>
    <w:p>
      <w:pPr>
        <w:pStyle w:val="BookText"/>
        <w:rPr/>
      </w:pPr>
      <w:r>
        <w:rPr>
          <w:rFonts w:ascii="IRNazanin" w:hAnsi="IRNazanin" w:eastAsia="IRNazanin"/>
          <w:color w:val="111111"/>
          <w:sz w:val="28"/>
          <w:sz w:val="28"/>
          <w:szCs w:val="28"/>
          <w:rtl w:val="true"/>
          <w:lang w:bidi="fa-IR"/>
        </w:rPr>
        <w:t xml:space="preserve">المطلب الأوّل </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في بيان أصل مشروعيتها وأقسامها ، وتنقيح البحث في موارد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الأصل في الأعيان الموجودة في الخارج هل هو الصحّة أو الفساد؟ الذي يظهر من الشيخ الجليل العلم البارع </w:t>
      </w:r>
      <w:r>
        <w:rPr>
          <w:rStyle w:val="FootnoteAnchor"/>
          <w:rtl w:val="true"/>
        </w:rPr>
        <w:footnoteReference w:id="2574"/>
      </w:r>
      <w:r>
        <w:rPr>
          <w:rFonts w:ascii="Amiri" w:hAnsi="Amiri" w:eastAsia="Amiri" w:cs="Amiri"/>
          <w:color w:val="111111"/>
          <w:sz w:val="28"/>
          <w:sz w:val="28"/>
          <w:szCs w:val="28"/>
          <w:rtl w:val="true"/>
          <w:lang w:bidi="ar-SA"/>
        </w:rPr>
        <w:t xml:space="preserve">في مقدّمات الكشف هو الأوّل ، بل ساق الحكم في ذلك إلى كلّ ممكن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فيما خلق </w:t>
      </w:r>
      <w:r>
        <w:rPr>
          <w:rStyle w:val="FootnoteAnchor"/>
          <w:rtl w:val="true"/>
        </w:rPr>
        <w:footnoteReference w:id="2575"/>
      </w:r>
      <w:r>
        <w:rPr>
          <w:rFonts w:ascii="Amiri" w:hAnsi="Amiri" w:eastAsia="Amiri" w:cs="Amiri"/>
          <w:color w:val="111111"/>
          <w:sz w:val="28"/>
          <w:sz w:val="28"/>
          <w:szCs w:val="28"/>
          <w:rtl w:val="true"/>
          <w:lang w:bidi="ar-SA"/>
        </w:rPr>
        <w:t xml:space="preserve">اللّه من الأعيان من عرض أو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أو غير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 وكذا ما أوجده الإنسان البالغ العاقل من أقوال أو أفعال فيبنى فيها على وقوعها على نحو ما وضعت له وعلى وفق الطبيعة التي اتّحدت به من مسلم أو </w:t>
      </w:r>
      <w:r>
        <w:rPr>
          <w:rStyle w:val="FootnoteAnchor"/>
          <w:rtl w:val="true"/>
        </w:rPr>
        <w:footnoteReference w:id="2576"/>
      </w:r>
      <w:r>
        <w:rPr>
          <w:rFonts w:ascii="Amiri" w:hAnsi="Amiri" w:eastAsia="Amiri" w:cs="Amiri"/>
          <w:color w:val="111111"/>
          <w:sz w:val="28"/>
          <w:sz w:val="28"/>
          <w:szCs w:val="28"/>
          <w:rtl w:val="true"/>
          <w:lang w:bidi="ar-SA"/>
        </w:rPr>
        <w:t xml:space="preserve">مؤمن أو مخالف أو كافر كتابي أو غير كتابي ، فيبنى أخباره ودعاويه على الصدق ، وأفعاله وعقوده وإيقاعاته على الصحّة حتّى يقوم شاهد على </w:t>
      </w:r>
    </w:p>
    <w:p>
      <w:pPr>
        <w:pStyle w:val="BookText"/>
        <w:rPr/>
      </w:pPr>
      <w:r>
        <w:rPr>
          <w:rFonts w:ascii="Amiri" w:hAnsi="Amiri" w:eastAsia="Amiri" w:cs="Amiri"/>
          <w:color w:val="111111"/>
          <w:sz w:val="28"/>
          <w:sz w:val="28"/>
          <w:szCs w:val="28"/>
          <w:rtl w:val="true"/>
          <w:lang w:bidi="ar-SA"/>
        </w:rPr>
        <w:t xml:space="preserve">الخلاف إلاّ أن يكون على </w:t>
      </w:r>
      <w:r>
        <w:rPr>
          <w:rStyle w:val="FootnoteAnchor"/>
          <w:rtl w:val="true"/>
        </w:rPr>
        <w:footnoteReference w:id="2577"/>
      </w:r>
      <w:r>
        <w:rPr>
          <w:rFonts w:ascii="IRNazanin" w:hAnsi="IRNazanin" w:eastAsia="IRNazanin"/>
          <w:color w:val="111111"/>
          <w:sz w:val="28"/>
          <w:sz w:val="28"/>
          <w:szCs w:val="28"/>
          <w:rtl w:val="true"/>
          <w:lang w:bidi="fa-IR"/>
        </w:rPr>
        <w:t xml:space="preserve">مقابلته </w:t>
      </w:r>
      <w:r>
        <w:rPr>
          <w:rStyle w:val="FootnoteAnchor"/>
          <w:rtl w:val="true"/>
        </w:rPr>
        <w:footnoteReference w:id="2578"/>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جميع الكائنات من جمادات أو نباتات أو حيوانات أو عبادات أو عقود </w:t>
      </w:r>
      <w:r>
        <w:rPr>
          <w:rStyle w:val="FootnoteAnchor"/>
          <w:rtl w:val="true"/>
        </w:rPr>
        <w:footnoteReference w:id="2579"/>
      </w:r>
      <w:r>
        <w:rPr>
          <w:rFonts w:ascii="Amiri" w:hAnsi="Amiri" w:eastAsia="Amiri" w:cs="Amiri"/>
          <w:color w:val="111111"/>
          <w:sz w:val="28"/>
          <w:sz w:val="28"/>
          <w:szCs w:val="28"/>
          <w:rtl w:val="true"/>
          <w:lang w:bidi="ar-SA"/>
        </w:rPr>
        <w:t xml:space="preserve">أو إيقاعات أو غيرها من إنشاءات أو إخبارات أن تكون </w:t>
      </w:r>
      <w:r>
        <w:rPr>
          <w:rStyle w:val="FootnoteAnchor"/>
          <w:rtl w:val="true"/>
        </w:rPr>
        <w:footnoteReference w:id="2580"/>
      </w:r>
      <w:r>
        <w:rPr>
          <w:rFonts w:ascii="Amiri" w:hAnsi="Amiri" w:eastAsia="Amiri" w:cs="Amiri"/>
          <w:color w:val="111111"/>
          <w:sz w:val="28"/>
          <w:sz w:val="28"/>
          <w:szCs w:val="28"/>
          <w:rtl w:val="true"/>
          <w:lang w:bidi="ar-SA"/>
        </w:rPr>
        <w:t xml:space="preserve">على نحو ما غلبت عليه حقيقتها من التمام في الذات وعدم النقص في الصفات وعلى طور ما وضعت له مبانيها ، وعلى وجه يترتّب </w:t>
      </w:r>
      <w:r>
        <w:rPr>
          <w:rStyle w:val="FootnoteAnchor"/>
          <w:rtl w:val="true"/>
        </w:rPr>
        <w:footnoteReference w:id="2581"/>
      </w:r>
      <w:r>
        <w:rPr>
          <w:rFonts w:ascii="Amiri" w:hAnsi="Amiri" w:eastAsia="Amiri" w:cs="Amiri"/>
          <w:color w:val="111111"/>
          <w:sz w:val="28"/>
          <w:sz w:val="28"/>
          <w:szCs w:val="28"/>
          <w:rtl w:val="true"/>
          <w:lang w:bidi="ar-SA"/>
        </w:rPr>
        <w:t xml:space="preserve">آثارها فيها على معانيها </w:t>
      </w:r>
      <w:r>
        <w:rPr>
          <w:rStyle w:val="FootnoteAnchor"/>
          <w:rtl w:val="true"/>
        </w:rPr>
        <w:footnoteReference w:id="2582"/>
      </w:r>
      <w:r>
        <w:rPr>
          <w:rFonts w:ascii="IRNazanin" w:hAnsi="IRNazanin" w:eastAsia="IRNazanin"/>
          <w:color w:val="111111"/>
          <w:sz w:val="28"/>
          <w:sz w:val="28"/>
          <w:szCs w:val="28"/>
          <w:rtl w:val="true"/>
          <w:lang w:bidi="fa-IR"/>
        </w:rPr>
        <w:t>، انتهى ما أفاده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في المقام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بالأصل ليس هو الدليل لظهور عدم مناسبته لما نحن بصدده ، ولا القاعدة لعدم ما يقضي </w:t>
      </w:r>
      <w:r>
        <w:rPr>
          <w:rStyle w:val="FootnoteAnchor"/>
          <w:rtl w:val="true"/>
        </w:rPr>
        <w:footnoteReference w:id="2583"/>
      </w:r>
      <w:r>
        <w:rPr>
          <w:rFonts w:ascii="Amiri" w:hAnsi="Amiri" w:eastAsia="Amiri" w:cs="Amiri"/>
          <w:color w:val="111111"/>
          <w:sz w:val="28"/>
          <w:sz w:val="28"/>
          <w:szCs w:val="28"/>
          <w:rtl w:val="true"/>
          <w:lang w:bidi="ar-SA"/>
        </w:rPr>
        <w:t>بإقعادها في الأدلّة الشرعية ، فالمراد به إمّا الاستصحاب ، وإمّا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2584"/>
      </w:r>
      <w:r>
        <w:rPr>
          <w:rFonts w:ascii="Amiri" w:hAnsi="Amiri" w:eastAsia="Amiri" w:cs="Amiri"/>
          <w:color w:val="111111"/>
          <w:sz w:val="28"/>
          <w:sz w:val="28"/>
          <w:szCs w:val="28"/>
          <w:rtl w:val="true"/>
          <w:lang w:bidi="ar-SA"/>
        </w:rPr>
        <w:t xml:space="preserve">الأوّل فليس على ذلك الاطّراد ، كما أفاده الشيخ المذكور فإنّ غاية ما يقضي به الصحّة فيما إذا كان الفساد طارئا على الطبيعة ، وأمّا إذا كان الفساد بواسطة عدم وصولها إلى حالة مطلوبة في الطبيعة فالأصل يقضي بعدم الصحّة ، مثلا الجنازة لها حدّ طبيعي مطلوب في ذلك الحدّ وقد يعرضه الفساد من الديدان ، فأصالة عدم الفساد رفع </w:t>
      </w:r>
      <w:r>
        <w:rPr>
          <w:rStyle w:val="FootnoteAnchor"/>
          <w:rtl w:val="true"/>
        </w:rPr>
        <w:footnoteReference w:id="2585"/>
      </w:r>
      <w:r>
        <w:rPr>
          <w:rFonts w:ascii="Amiri" w:hAnsi="Amiri" w:eastAsia="Amiri" w:cs="Amiri"/>
          <w:color w:val="111111"/>
          <w:sz w:val="28"/>
          <w:sz w:val="28"/>
          <w:szCs w:val="28"/>
          <w:rtl w:val="true"/>
          <w:lang w:bidi="ar-SA"/>
        </w:rPr>
        <w:t>الفساد من الجهة الثانية لا الأولى كما هو ظاهر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فالظاهر أنّ المراد هو الظهور الناشئ من غلبة سلامة الممكنات وأعيان الموجودات ، وإلاّ فلو لاحظنا مطلق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الموجودة فيها والمعدومة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فغلبة السلامة ممنوعة ؛ لظهور أنّ الفاسد مفهوما أكثر من الصحيح ، لتوقّف الصحّة في كلّ موجود على قيود متكثّرة يفسد بانتفاء كلّ قيد منها ، فهذه الغلبة وإن كانت مسلّمة </w:t>
      </w:r>
    </w:p>
    <w:p>
      <w:pPr>
        <w:pStyle w:val="BookText"/>
        <w:rPr/>
      </w:pPr>
      <w:r>
        <w:rPr>
          <w:rFonts w:ascii="Amiri" w:hAnsi="Amiri" w:eastAsia="Amiri" w:cs="Amiri"/>
          <w:color w:val="111111"/>
          <w:sz w:val="28"/>
          <w:sz w:val="28"/>
          <w:szCs w:val="28"/>
          <w:rtl w:val="true"/>
          <w:lang w:bidi="ar-SA"/>
        </w:rPr>
        <w:t xml:space="preserve">غير قابلة للإنكار إلاّ أنّه لا دليل على اعتبارها فيا </w:t>
      </w:r>
      <w:r>
        <w:rPr>
          <w:rStyle w:val="FootnoteAnchor"/>
          <w:rtl w:val="true"/>
        </w:rPr>
        <w:footnoteReference w:id="2586"/>
      </w:r>
      <w:r>
        <w:rPr>
          <w:rFonts w:ascii="Amiri" w:hAnsi="Amiri" w:eastAsia="Amiri" w:cs="Amiri"/>
          <w:color w:val="111111"/>
          <w:sz w:val="28"/>
          <w:sz w:val="28"/>
          <w:szCs w:val="28"/>
          <w:rtl w:val="true"/>
          <w:lang w:bidi="ar-SA"/>
        </w:rPr>
        <w:t xml:space="preserve">ليتها كانت معتبرة مع أنّ هذه غلبة جنسية وقد تعارضها الغلبة الصنفية أو النوعية ، فليس المدار على الأخذ بهذه الغلبة ، سيّما في موضوعات الأحكام ، فأصالة الفساد محكّمة عند الشكّ في الصحّة في الأعيان فيما إذا تعلّقت بها العقود وإن كان الظاهر منهم تقديم قول مدّعي الصحّة فيما لو اختلف </w:t>
      </w:r>
      <w:r>
        <w:rPr>
          <w:rStyle w:val="FootnoteAnchor"/>
          <w:rtl w:val="true"/>
        </w:rPr>
        <w:footnoteReference w:id="2587"/>
      </w:r>
      <w:r>
        <w:rPr>
          <w:rFonts w:ascii="Amiri" w:hAnsi="Amiri" w:eastAsia="Amiri" w:cs="Amiri"/>
          <w:color w:val="111111"/>
          <w:sz w:val="28"/>
          <w:sz w:val="28"/>
          <w:szCs w:val="28"/>
          <w:rtl w:val="true"/>
          <w:lang w:bidi="ar-SA"/>
        </w:rPr>
        <w:t xml:space="preserve">البيّعان في صحّة المبيع وفساده ، بل علّله غير واحد منهم </w:t>
      </w:r>
      <w:r>
        <w:rPr>
          <w:rStyle w:val="FootnoteAnchor"/>
          <w:rtl w:val="true"/>
        </w:rPr>
        <w:footnoteReference w:id="2588"/>
      </w:r>
      <w:r>
        <w:rPr>
          <w:rFonts w:ascii="Amiri" w:hAnsi="Amiri" w:eastAsia="Amiri" w:cs="Amiri"/>
          <w:color w:val="111111"/>
          <w:sz w:val="28"/>
          <w:sz w:val="28"/>
          <w:szCs w:val="28"/>
          <w:rtl w:val="true"/>
          <w:lang w:bidi="ar-SA"/>
        </w:rPr>
        <w:t>بأنّ الأصل السلامة ، وهو على إطلاقه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قضيّة الأصل في الأفعال هو حملها على الصحيح ، أو لا؟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النفس فقد عرفت الكلام فيه </w:t>
      </w:r>
      <w:r>
        <w:rPr>
          <w:rStyle w:val="FootnoteAnchor"/>
          <w:rtl w:val="true"/>
        </w:rPr>
        <w:footnoteReference w:id="2589"/>
      </w:r>
      <w:r>
        <w:rPr>
          <w:rFonts w:ascii="Amiri" w:hAnsi="Amiri" w:eastAsia="Amiri" w:cs="Amiri"/>
          <w:color w:val="111111"/>
          <w:sz w:val="28"/>
          <w:sz w:val="28"/>
          <w:szCs w:val="28"/>
          <w:rtl w:val="true"/>
          <w:lang w:bidi="ar-SA"/>
        </w:rPr>
        <w:t xml:space="preserve">في الهداية السابقة بما </w:t>
      </w:r>
      <w:r>
        <w:rPr>
          <w:rStyle w:val="FootnoteAnchor"/>
          <w:rtl w:val="true"/>
        </w:rPr>
        <w:footnoteReference w:id="2590"/>
      </w:r>
      <w:r>
        <w:rPr>
          <w:rFonts w:ascii="Amiri" w:hAnsi="Amiri" w:eastAsia="Amiri" w:cs="Amiri"/>
          <w:color w:val="111111"/>
          <w:sz w:val="28"/>
          <w:sz w:val="28"/>
          <w:szCs w:val="28"/>
          <w:rtl w:val="true"/>
          <w:lang w:bidi="ar-SA"/>
        </w:rPr>
        <w:t xml:space="preserve">لا مزيد عليه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الغير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بمعنى الظاهر المستند إلى الغلبة في وقوع </w:t>
      </w:r>
      <w:r>
        <w:rPr>
          <w:rStyle w:val="FootnoteAnchor"/>
          <w:rtl w:val="true"/>
        </w:rPr>
        <w:footnoteReference w:id="2591"/>
      </w:r>
      <w:r>
        <w:rPr>
          <w:rFonts w:ascii="Amiri" w:hAnsi="Amiri" w:eastAsia="Amiri" w:cs="Amiri"/>
          <w:color w:val="111111"/>
          <w:sz w:val="28"/>
          <w:sz w:val="28"/>
          <w:szCs w:val="28"/>
          <w:rtl w:val="true"/>
          <w:lang w:bidi="ar-SA"/>
        </w:rPr>
        <w:t xml:space="preserve">الأفعال صحيحا فهو أمر ظاهر في الغاية وإنّما الكلام في صحّتها </w:t>
      </w:r>
      <w:r>
        <w:rPr>
          <w:rStyle w:val="FootnoteAnchor"/>
          <w:rtl w:val="true"/>
        </w:rPr>
        <w:footnoteReference w:id="2592"/>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الأصل بمعنى أصالة العدم فيمكن تقريره بوجه يطّرد في جميع الموارد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التديّن بدين الإسلام هو وقوع جميع أفاعيل المسلمين على وجه صدع أحكامها الصادع المقدّس ، إلاّ أن يمنع من وقوعها على وجهها ومشتملة على ما هي معتبرة فيها من إحراز الشروط ورفع الموانع مانع من سهو أو نسيان أو إسهاء أو عصيان ، والأصل عدمه ، فالمقتضي للصحّة موجود بالفرض والمانع مفقود بالأصل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يقضي به الإسلام هو الاعتقاد بالصحّة في الأفعال الجامعة لشرائطها لا إيقاعها على وجهها كما هو المقصود ؛ إذ </w:t>
      </w:r>
      <w:r>
        <w:rPr>
          <w:rStyle w:val="FootnoteAnchor"/>
          <w:rtl w:val="true"/>
        </w:rPr>
        <w:footnoteReference w:id="2593"/>
      </w:r>
      <w:r>
        <w:rPr>
          <w:rFonts w:ascii="Amiri" w:hAnsi="Amiri" w:eastAsia="Amiri" w:cs="Amiri"/>
          <w:color w:val="111111"/>
          <w:sz w:val="28"/>
          <w:sz w:val="28"/>
          <w:szCs w:val="28"/>
          <w:rtl w:val="true"/>
          <w:lang w:bidi="ar-SA"/>
        </w:rPr>
        <w:t xml:space="preserve">لا يعتبر في الإسلام بعد الاعتقاد </w:t>
      </w:r>
    </w:p>
    <w:p>
      <w:pPr>
        <w:pStyle w:val="BookText"/>
        <w:rPr/>
      </w:pPr>
      <w:r>
        <w:rPr>
          <w:rFonts w:ascii="Amiri" w:hAnsi="Amiri" w:eastAsia="Amiri" w:cs="Amiri"/>
          <w:color w:val="111111"/>
          <w:sz w:val="28"/>
          <w:sz w:val="28"/>
          <w:szCs w:val="28"/>
          <w:rtl w:val="true"/>
          <w:lang w:bidi="ar-SA"/>
        </w:rPr>
        <w:t xml:space="preserve">شيء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للإنسان أيضا قوّة تقضي </w:t>
      </w:r>
      <w:r>
        <w:rPr>
          <w:rStyle w:val="FootnoteAnchor"/>
          <w:rtl w:val="true"/>
        </w:rPr>
        <w:footnoteReference w:id="2594"/>
      </w:r>
      <w:r>
        <w:rPr>
          <w:rFonts w:ascii="Amiri" w:hAnsi="Amiri" w:eastAsia="Amiri" w:cs="Amiri"/>
          <w:color w:val="111111"/>
          <w:sz w:val="28"/>
          <w:sz w:val="28"/>
          <w:szCs w:val="28"/>
          <w:rtl w:val="true"/>
          <w:lang w:bidi="ar-SA"/>
        </w:rPr>
        <w:t xml:space="preserve">بعدم وقوع الفعل على وجهها خلاف ما يقضي به </w:t>
      </w:r>
      <w:r>
        <w:rPr>
          <w:rStyle w:val="FootnoteAnchor"/>
          <w:rtl w:val="true"/>
        </w:rPr>
        <w:footnoteReference w:id="2595"/>
      </w:r>
      <w:r>
        <w:rPr>
          <w:rFonts w:ascii="Amiri" w:hAnsi="Amiri" w:eastAsia="Amiri" w:cs="Amiri"/>
          <w:color w:val="111111"/>
          <w:sz w:val="28"/>
          <w:sz w:val="28"/>
          <w:szCs w:val="28"/>
          <w:rtl w:val="true"/>
          <w:lang w:bidi="ar-SA"/>
        </w:rPr>
        <w:t xml:space="preserve">الإسلام من قوّتيه الغضبية والشهوية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غاية ما يقضي به هو عدم صدور الفاسد عنه مع علمه بالحكم ، وأمّا الجهل فلا يقضي </w:t>
      </w:r>
      <w:r>
        <w:rPr>
          <w:rStyle w:val="FootnoteAnchor"/>
          <w:rtl w:val="true"/>
        </w:rPr>
        <w:footnoteReference w:id="2596"/>
      </w:r>
      <w:r>
        <w:rPr>
          <w:rFonts w:ascii="Amiri" w:hAnsi="Amiri" w:eastAsia="Amiri" w:cs="Amiri"/>
          <w:color w:val="111111"/>
          <w:sz w:val="28"/>
          <w:sz w:val="28"/>
          <w:szCs w:val="28"/>
          <w:rtl w:val="true"/>
          <w:lang w:bidi="ar-SA"/>
        </w:rPr>
        <w:t>الإسلام بعدمه ، اللّهمّ إلاّ على ما يراه ابن الجنيد من أنّ الأصل في المسلم العدالة إلاّ أن يكون معلوم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فالأصل على الوجه المذكور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يستند في إثبات هذه القاعدة إلى 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كَثِيراً مِنَ الظَّنِّ إِنَّ بَعْضَ الظَّنِّ إِثْمٌ </w:t>
      </w:r>
      <w:r>
        <w:rPr>
          <w:rFonts w:eastAsia="Amiri" w:cs="Amiri" w:ascii="Amiri" w:hAnsi="Amiri"/>
          <w:color w:val="111111"/>
          <w:sz w:val="28"/>
          <w:szCs w:val="28"/>
          <w:rtl w:val="true"/>
          <w:lang w:bidi="ar-SA"/>
        </w:rPr>
        <w:t xml:space="preserve">) </w:t>
      </w:r>
      <w:r>
        <w:rPr>
          <w:rStyle w:val="FootnoteAnchor"/>
          <w:rtl w:val="true"/>
        </w:rPr>
        <w:footnoteReference w:id="2597"/>
      </w:r>
      <w:r>
        <w:rPr>
          <w:rFonts w:ascii="Amiri" w:hAnsi="Amiri" w:eastAsia="Amiri" w:cs="Amiri"/>
          <w:color w:val="111111"/>
          <w:sz w:val="28"/>
          <w:sz w:val="28"/>
          <w:szCs w:val="28"/>
          <w:rtl w:val="true"/>
          <w:lang w:bidi="ar-SA"/>
        </w:rPr>
        <w:t xml:space="preserve">وجه الدلالة أنّ النهي عن حصول الظنّ لكونه خارجا عن مقدرة </w:t>
      </w:r>
      <w:r>
        <w:rPr>
          <w:rStyle w:val="FootnoteAnchor"/>
          <w:rtl w:val="true"/>
        </w:rPr>
        <w:footnoteReference w:id="2598"/>
      </w:r>
      <w:r>
        <w:rPr>
          <w:rFonts w:ascii="Amiri" w:hAnsi="Amiri" w:eastAsia="Amiri" w:cs="Amiri"/>
          <w:color w:val="111111"/>
          <w:sz w:val="28"/>
          <w:sz w:val="28"/>
          <w:szCs w:val="28"/>
          <w:rtl w:val="true"/>
          <w:lang w:bidi="ar-SA"/>
        </w:rPr>
        <w:t xml:space="preserve">المكلّف غير معقول ، فلا بدّ من أن يراد به النهي عن ترتيب </w:t>
      </w:r>
      <w:r>
        <w:rPr>
          <w:rStyle w:val="FootnoteAnchor"/>
          <w:rtl w:val="true"/>
        </w:rPr>
        <w:footnoteReference w:id="2599"/>
      </w:r>
      <w:r>
        <w:rPr>
          <w:rFonts w:ascii="Amiri" w:hAnsi="Amiri" w:eastAsia="Amiri" w:cs="Amiri"/>
          <w:color w:val="111111"/>
          <w:sz w:val="28"/>
          <w:sz w:val="28"/>
          <w:szCs w:val="28"/>
          <w:rtl w:val="true"/>
          <w:lang w:bidi="ar-SA"/>
        </w:rPr>
        <w:t xml:space="preserve">أثر الإثم فيما فعله الفاعل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2600"/>
      </w:r>
      <w:r>
        <w:rPr>
          <w:rFonts w:ascii="Amiri" w:hAnsi="Amiri" w:eastAsia="Amiri" w:cs="Amiri"/>
          <w:color w:val="111111"/>
          <w:sz w:val="28"/>
          <w:sz w:val="28"/>
          <w:szCs w:val="28"/>
          <w:rtl w:val="true"/>
          <w:lang w:bidi="ar-SA"/>
        </w:rPr>
        <w:t xml:space="preserve">فإنّ المستفاد من بعض الروايات </w:t>
      </w:r>
      <w:r>
        <w:rPr>
          <w:rStyle w:val="FootnoteAnchor"/>
          <w:rtl w:val="true"/>
        </w:rPr>
        <w:footnoteReference w:id="2601"/>
      </w:r>
      <w:r>
        <w:rPr>
          <w:rFonts w:ascii="Amiri" w:hAnsi="Amiri" w:eastAsia="Amiri" w:cs="Amiri"/>
          <w:color w:val="111111"/>
          <w:sz w:val="28"/>
          <w:sz w:val="28"/>
          <w:szCs w:val="28"/>
          <w:rtl w:val="true"/>
          <w:lang w:bidi="ar-SA"/>
        </w:rPr>
        <w:t xml:space="preserve">أنّ المراد القول في أفعالهم بحملها على الحسن دون الحمل على القبيح ، وبعد ذلك فدلالته ظاهرة على المطلوب ، بل وهو أوضح من الآية الأولى ؛ لاحتمال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602"/>
      </w:r>
      <w:r>
        <w:rPr>
          <w:rFonts w:ascii="Amiri" w:hAnsi="Amiri" w:eastAsia="Amiri" w:cs="Amiri"/>
          <w:color w:val="111111"/>
          <w:sz w:val="28"/>
          <w:sz w:val="28"/>
          <w:szCs w:val="28"/>
          <w:rtl w:val="true"/>
          <w:lang w:bidi="ar-SA"/>
        </w:rPr>
        <w:t>عدم ترتيب أحكام الإثم والنهي عنه لا يلازم ترتيب آثار الحسن على الفعل كما هو المقصود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الأمير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أمر أخيك على أحسنه حتّى يأتيك ما يغلبك منه ، ولا تظنّنّ بكلمة خرجت سوء وأنت تجد له في الخير محملا </w:t>
      </w:r>
      <w:r>
        <w:rPr>
          <w:rFonts w:eastAsia="Amiri" w:cs="Amiri" w:ascii="Amiri" w:hAnsi="Amiri"/>
          <w:color w:val="111111"/>
          <w:sz w:val="28"/>
          <w:szCs w:val="28"/>
          <w:rtl w:val="true"/>
          <w:lang w:bidi="ar-SA"/>
        </w:rPr>
        <w:t xml:space="preserve">» </w:t>
      </w:r>
      <w:r>
        <w:rPr>
          <w:rStyle w:val="FootnoteAnchor"/>
          <w:rtl w:val="true"/>
        </w:rPr>
        <w:footnoteReference w:id="2603"/>
      </w:r>
      <w:r>
        <w:rPr>
          <w:rFonts w:ascii="IRNazanin" w:hAnsi="IRNazanin" w:eastAsia="IRNazanin"/>
          <w:color w:val="111111"/>
          <w:sz w:val="28"/>
          <w:sz w:val="28"/>
          <w:szCs w:val="28"/>
          <w:rtl w:val="true"/>
          <w:lang w:bidi="fa-IR"/>
        </w:rPr>
        <w:t xml:space="preserve">وقول </w:t>
      </w:r>
    </w:p>
    <w:p>
      <w:pPr>
        <w:pStyle w:val="BookText"/>
        <w:rPr/>
      </w:pPr>
      <w:r>
        <w:rPr>
          <w:rFonts w:ascii="Amiri" w:hAnsi="Amiri" w:eastAsia="Amiri" w:cs="Amiri"/>
          <w:color w:val="111111"/>
          <w:sz w:val="28"/>
          <w:sz w:val="28"/>
          <w:szCs w:val="28"/>
          <w:rtl w:val="true"/>
          <w:lang w:bidi="ar-SA"/>
        </w:rPr>
        <w:t xml:space="preserve">الصادق عليه‌السلام لمحمّد بن 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كذّب سمعك وبصرك عن أخيك فإن شهد عندك خمسون قسامة أنّه قال قولا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أقله فصدّقه </w:t>
      </w:r>
      <w:r>
        <w:rPr>
          <w:rStyle w:val="FootnoteAnchor"/>
          <w:rtl w:val="true"/>
        </w:rPr>
        <w:footnoteReference w:id="2604"/>
      </w:r>
      <w:r>
        <w:rPr>
          <w:rFonts w:ascii="Amiri" w:hAnsi="Amiri" w:eastAsia="Amiri" w:cs="Amiri"/>
          <w:color w:val="111111"/>
          <w:sz w:val="28"/>
          <w:sz w:val="28"/>
          <w:szCs w:val="28"/>
          <w:rtl w:val="true"/>
          <w:lang w:bidi="ar-SA"/>
        </w:rPr>
        <w:t xml:space="preserve">وكذّبهم </w:t>
      </w:r>
      <w:r>
        <w:rPr>
          <w:rFonts w:eastAsia="Amiri" w:cs="Amiri" w:ascii="Amiri" w:hAnsi="Amiri"/>
          <w:color w:val="111111"/>
          <w:sz w:val="28"/>
          <w:szCs w:val="28"/>
          <w:rtl w:val="true"/>
          <w:lang w:bidi="ar-SA"/>
        </w:rPr>
        <w:t xml:space="preserve">» </w:t>
      </w:r>
      <w:r>
        <w:rPr>
          <w:rStyle w:val="FootnoteAnchor"/>
          <w:rtl w:val="true"/>
        </w:rPr>
        <w:footnoteReference w:id="2605"/>
      </w:r>
      <w:r>
        <w:rPr>
          <w:rFonts w:ascii="Amiri" w:hAnsi="Amiri" w:eastAsia="Amiri" w:cs="Amiri"/>
          <w:color w:val="111111"/>
          <w:sz w:val="28"/>
          <w:sz w:val="28"/>
          <w:szCs w:val="28"/>
          <w:rtl w:val="true"/>
          <w:lang w:bidi="ar-SA"/>
        </w:rPr>
        <w:t xml:space="preserve">ودلالتهما ظاهرة ، سيّما الأخير كما يشعر بذلك حكمه تكذيب السمع والبصر مع أنّهما من أظهر الحواسّ الظاهرة ، وقوله عليه‌السلام في رواية اليماني في عداد حقّ المؤمن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يتّهمه </w:t>
      </w:r>
      <w:r>
        <w:rPr>
          <w:rStyle w:val="FootnoteAnchor"/>
          <w:rtl w:val="true"/>
        </w:rPr>
        <w:footnoteReference w:id="2606"/>
      </w:r>
      <w:r>
        <w:rPr>
          <w:rFonts w:ascii="Amiri" w:hAnsi="Amiri" w:eastAsia="Amiri" w:cs="Amiri"/>
          <w:color w:val="111111"/>
          <w:sz w:val="28"/>
          <w:sz w:val="28"/>
          <w:szCs w:val="28"/>
          <w:rtl w:val="true"/>
          <w:lang w:bidi="ar-SA"/>
        </w:rPr>
        <w:t xml:space="preserve">فلو اتّهمه انماث الإيمان في قلبه </w:t>
      </w:r>
      <w:r>
        <w:rPr>
          <w:rStyle w:val="FootnoteAnchor"/>
          <w:rtl w:val="true"/>
        </w:rPr>
        <w:footnoteReference w:id="2607"/>
      </w:r>
      <w:r>
        <w:rPr>
          <w:rFonts w:ascii="Amiri" w:hAnsi="Amiri" w:eastAsia="Amiri" w:cs="Amiri"/>
          <w:color w:val="111111"/>
          <w:sz w:val="28"/>
          <w:sz w:val="28"/>
          <w:szCs w:val="28"/>
          <w:rtl w:val="true"/>
          <w:lang w:bidi="ar-SA"/>
        </w:rPr>
        <w:t xml:space="preserve">كما ينماث الملح في الماء </w:t>
      </w:r>
      <w:r>
        <w:rPr>
          <w:rFonts w:eastAsia="Amiri" w:cs="Amiri" w:ascii="Amiri" w:hAnsi="Amiri"/>
          <w:color w:val="111111"/>
          <w:sz w:val="28"/>
          <w:szCs w:val="28"/>
          <w:rtl w:val="true"/>
          <w:lang w:bidi="ar-SA"/>
        </w:rPr>
        <w:t xml:space="preserve">» </w:t>
      </w:r>
      <w:r>
        <w:rPr>
          <w:rStyle w:val="FootnoteAnchor"/>
          <w:rtl w:val="true"/>
        </w:rPr>
        <w:footnoteReference w:id="2608"/>
      </w:r>
      <w:r>
        <w:rPr>
          <w:rFonts w:ascii="Amiri" w:hAnsi="Amiri" w:eastAsia="Amiri" w:cs="Amiri"/>
          <w:color w:val="111111"/>
          <w:sz w:val="28"/>
          <w:sz w:val="28"/>
          <w:szCs w:val="28"/>
          <w:rtl w:val="true"/>
          <w:lang w:bidi="ar-SA"/>
        </w:rPr>
        <w:t xml:space="preserve">ومثله رواية أبي المأمون الحارثي واليماني </w:t>
      </w:r>
      <w:r>
        <w:rPr>
          <w:rStyle w:val="FootnoteAnchor"/>
          <w:rtl w:val="true"/>
        </w:rPr>
        <w:footnoteReference w:id="2609"/>
      </w:r>
      <w:r>
        <w:rPr>
          <w:rFonts w:ascii="Amiri" w:hAnsi="Amiri" w:eastAsia="Amiri" w:cs="Amiri"/>
          <w:color w:val="111111"/>
          <w:sz w:val="28"/>
          <w:sz w:val="28"/>
          <w:szCs w:val="28"/>
          <w:rtl w:val="true"/>
          <w:lang w:bidi="ar-SA"/>
        </w:rPr>
        <w:t xml:space="preserve">أيضا بتغيير ما فيهما ، وقوله عليه‌السلام في 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اتّهم أخاه فلا حرمة بينهما ، ومن عامل أخاه بمثل ما عامل به الناس فهو بريء عمّا ينتحل </w:t>
      </w:r>
      <w:r>
        <w:rPr>
          <w:rFonts w:eastAsia="Amiri" w:cs="Amiri" w:ascii="Amiri" w:hAnsi="Amiri"/>
          <w:color w:val="111111"/>
          <w:sz w:val="28"/>
          <w:szCs w:val="28"/>
          <w:rtl w:val="true"/>
          <w:lang w:bidi="ar-SA"/>
        </w:rPr>
        <w:t xml:space="preserve">» </w:t>
      </w:r>
      <w:r>
        <w:rPr>
          <w:rStyle w:val="FootnoteAnchor"/>
          <w:rtl w:val="true"/>
        </w:rPr>
        <w:footnoteReference w:id="2610"/>
      </w:r>
      <w:r>
        <w:rPr>
          <w:rFonts w:ascii="Amiri" w:hAnsi="Amiri" w:eastAsia="Amiri" w:cs="Amiri"/>
          <w:color w:val="111111"/>
          <w:sz w:val="28"/>
          <w:sz w:val="28"/>
          <w:szCs w:val="28"/>
          <w:rtl w:val="true"/>
          <w:lang w:bidi="ar-SA"/>
        </w:rPr>
        <w:t xml:space="preserve">وقوله عليه‌السلام في رواية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يقبل اللّه من مؤمن وهو مضمر من </w:t>
      </w:r>
      <w:r>
        <w:rPr>
          <w:rStyle w:val="FootnoteAnchor"/>
          <w:rtl w:val="true"/>
        </w:rPr>
        <w:footnoteReference w:id="2611"/>
      </w:r>
      <w:r>
        <w:rPr>
          <w:rFonts w:ascii="Amiri" w:hAnsi="Amiri" w:eastAsia="Amiri" w:cs="Amiri"/>
          <w:color w:val="111111"/>
          <w:sz w:val="28"/>
          <w:sz w:val="28"/>
          <w:szCs w:val="28"/>
          <w:rtl w:val="true"/>
          <w:lang w:bidi="ar-SA"/>
        </w:rPr>
        <w:t xml:space="preserve">أخيه المؤمن سوء </w:t>
      </w:r>
      <w:r>
        <w:rPr>
          <w:rFonts w:eastAsia="Amiri" w:cs="Amiri" w:ascii="Amiri" w:hAnsi="Amiri"/>
          <w:color w:val="111111"/>
          <w:sz w:val="28"/>
          <w:szCs w:val="28"/>
          <w:rtl w:val="true"/>
          <w:lang w:bidi="ar-SA"/>
        </w:rPr>
        <w:t xml:space="preserve">» </w:t>
      </w:r>
      <w:r>
        <w:rPr>
          <w:rStyle w:val="FootnoteAnchor"/>
          <w:rtl w:val="true"/>
        </w:rPr>
        <w:footnoteReference w:id="2612"/>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 ملعون من اتّهم أخاه المؤمن </w:t>
      </w:r>
      <w:r>
        <w:rPr>
          <w:rFonts w:eastAsia="IRNazanin" w:cs="IRNazanin"/>
          <w:color w:val="111111"/>
          <w:sz w:val="28"/>
          <w:szCs w:val="28"/>
          <w:rtl w:val="true"/>
          <w:lang w:bidi="fa-IR"/>
        </w:rPr>
        <w:t xml:space="preserve">» </w:t>
      </w:r>
      <w:r>
        <w:rPr>
          <w:rStyle w:val="FootnoteAnchor"/>
          <w:rtl w:val="true"/>
        </w:rPr>
        <w:footnoteReference w:id="2613"/>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مع كثرتها ممّا لا يغني ولا يجدي ؛ لعدم دلالتها على المقصود في وجه ، لأنّ المراد هو إثبات قاعدة تقضي بحمل الأفعال على الصحيح فيما إذا دار الأمر بينه وبين الفاسد ، والصحّة والفساد غير ملازمين للحسن والقبح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وغاية ما يسلّم من دلالة الآيتين والأخبار المذكورة أنّه لا بدّ من عدم حمل الأفعال على القبيح </w:t>
      </w:r>
      <w:r>
        <w:rPr>
          <w:rStyle w:val="FootnoteAnchor"/>
          <w:rtl w:val="true"/>
        </w:rPr>
        <w:footnoteReference w:id="2614"/>
      </w:r>
      <w:r>
        <w:rPr>
          <w:rFonts w:ascii="Amiri" w:hAnsi="Amiri" w:eastAsia="Amiri" w:cs="Amiri"/>
          <w:color w:val="111111"/>
          <w:sz w:val="28"/>
          <w:sz w:val="28"/>
          <w:szCs w:val="28"/>
          <w:rtl w:val="true"/>
          <w:lang w:bidi="ar-SA"/>
        </w:rPr>
        <w:t xml:space="preserve">لا حملها على الصحيح ، نعم لو كان كلّ قبيح فاسدا وكلّ صحيح حسنا كان الاستناد إلى مثل هذه الروايات والآيات في محلّه ، ولعلّ الملازمة أغلبية في العبادات ، وأمّا المعاملات فتباين المعنيين فيها غير خفيّ ، مضافا إلى أنّ الآية الثانية ظاهرها ملاحظة اللين في المعاشرة ، فإنّها بظاهرها نهي عن الغضاضة والغلاظة ، وقضيّة قول الأمير هو الحمل على الأحسن </w:t>
      </w:r>
      <w:r>
        <w:rPr>
          <w:rStyle w:val="FootnoteAnchor"/>
          <w:rtl w:val="true"/>
        </w:rPr>
        <w:footnoteReference w:id="2615"/>
      </w:r>
      <w:r>
        <w:rPr>
          <w:rFonts w:ascii="Amiri" w:hAnsi="Amiri" w:eastAsia="Amiri" w:cs="Amiri"/>
          <w:color w:val="111111"/>
          <w:sz w:val="28"/>
          <w:sz w:val="28"/>
          <w:szCs w:val="28"/>
          <w:rtl w:val="true"/>
          <w:lang w:bidi="ar-SA"/>
        </w:rPr>
        <w:t xml:space="preserve">، فلو تردّد الأمر بين القول بوقوع صلاة زيد في الدار أو في المسجد لا بدّ من القول بوقوعها فيه دون الدار ، والإجماع على خلافه ، فلا بدّ من تأويله بخلع معنى التفضيل عن اسمه </w:t>
      </w:r>
      <w:r>
        <w:rPr>
          <w:rStyle w:val="FootnoteAnchor"/>
          <w:rtl w:val="true"/>
        </w:rPr>
        <w:footnoteReference w:id="2616"/>
      </w:r>
      <w:r>
        <w:rPr>
          <w:rFonts w:ascii="Amiri" w:hAnsi="Amiri" w:eastAsia="Amiri" w:cs="Amiri"/>
          <w:color w:val="111111"/>
          <w:sz w:val="28"/>
          <w:sz w:val="28"/>
          <w:szCs w:val="28"/>
          <w:rtl w:val="true"/>
          <w:lang w:bidi="ar-SA"/>
        </w:rPr>
        <w:t xml:space="preserve">، فلا يزيد على سائر الأخبار المذكورة ، وقول الصادق عليه‌السلام لابن فضيل لا يدلّ على أزيد ممّا ذكرنا مع ما قد يستشكل فيه من أنّ تكذيب خمسين قسامة لتصديق </w:t>
      </w:r>
      <w:r>
        <w:rPr>
          <w:rStyle w:val="FootnoteAnchor"/>
          <w:rtl w:val="true"/>
        </w:rPr>
        <w:footnoteReference w:id="2617"/>
      </w:r>
      <w:r>
        <w:rPr>
          <w:rFonts w:ascii="Amiri" w:hAnsi="Amiri" w:eastAsia="Amiri" w:cs="Amiri"/>
          <w:color w:val="111111"/>
          <w:sz w:val="28"/>
          <w:sz w:val="28"/>
          <w:szCs w:val="28"/>
          <w:rtl w:val="true"/>
          <w:lang w:bidi="ar-SA"/>
        </w:rPr>
        <w:t xml:space="preserve">واحد ممّا لا يعلم الوجه فيه ، إلاّ أنّه مدفوع بأنّ التكذيب في نفس الخبر لا غبار عليه لصدق </w:t>
      </w:r>
      <w:r>
        <w:rPr>
          <w:rStyle w:val="FootnoteAnchor"/>
          <w:rtl w:val="true"/>
        </w:rPr>
        <w:footnoteReference w:id="2618"/>
      </w:r>
      <w:r>
        <w:rPr>
          <w:rFonts w:ascii="Amiri" w:hAnsi="Amiri" w:eastAsia="Amiri" w:cs="Amiri"/>
          <w:color w:val="111111"/>
          <w:sz w:val="28"/>
          <w:sz w:val="28"/>
          <w:szCs w:val="28"/>
          <w:rtl w:val="true"/>
          <w:lang w:bidi="ar-SA"/>
        </w:rPr>
        <w:t>الأوّل بملاحظة المخبر ، وكذب الثاني بملاحظة الخبر ، ولا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الأخبار معارضة بجملة أخرى تدلّ على خلاف ذلك ، ففيها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تثق بأخيك كلّ الثقة فإنّ سرعة </w:t>
      </w:r>
      <w:r>
        <w:rPr>
          <w:rStyle w:val="FootnoteAnchor"/>
          <w:rtl w:val="true"/>
        </w:rPr>
        <w:footnoteReference w:id="2619"/>
      </w:r>
      <w:r>
        <w:rPr>
          <w:rFonts w:ascii="IRNazanin" w:hAnsi="IRNazanin" w:eastAsia="IRNazanin"/>
          <w:color w:val="111111"/>
          <w:sz w:val="28"/>
          <w:sz w:val="28"/>
          <w:szCs w:val="28"/>
          <w:rtl w:val="true"/>
          <w:lang w:bidi="fa-IR"/>
        </w:rPr>
        <w:t xml:space="preserve">الاسترسال لا </w:t>
      </w:r>
      <w:r>
        <w:rPr>
          <w:rStyle w:val="FootnoteAnchor"/>
          <w:rtl w:val="true"/>
        </w:rPr>
        <w:footnoteReference w:id="2620"/>
      </w:r>
      <w:r>
        <w:rPr>
          <w:rFonts w:ascii="IRNazanin" w:hAnsi="IRNazanin" w:eastAsia="IRNazanin"/>
          <w:color w:val="111111"/>
          <w:sz w:val="28"/>
          <w:sz w:val="28"/>
          <w:szCs w:val="28"/>
          <w:rtl w:val="true"/>
          <w:lang w:bidi="fa-IR"/>
        </w:rPr>
        <w:t xml:space="preserve">تستقال </w:t>
      </w:r>
      <w:r>
        <w:rPr>
          <w:rFonts w:eastAsia="IRNazanin" w:cs="IRNazanin"/>
          <w:color w:val="111111"/>
          <w:sz w:val="28"/>
          <w:szCs w:val="28"/>
          <w:rtl w:val="true"/>
          <w:lang w:bidi="fa-IR"/>
        </w:rPr>
        <w:t xml:space="preserve">»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ثابت نقلا وتحصيلا على ما هو الظاهر ، ويكشف عنه </w:t>
      </w:r>
      <w:r>
        <w:rPr>
          <w:rStyle w:val="FootnoteAnchor"/>
          <w:rtl w:val="true"/>
        </w:rPr>
        <w:footnoteReference w:id="2622"/>
      </w:r>
      <w:r>
        <w:rPr>
          <w:rFonts w:ascii="Amiri" w:hAnsi="Amiri" w:eastAsia="Amiri" w:cs="Amiri"/>
          <w:color w:val="111111"/>
          <w:sz w:val="28"/>
          <w:sz w:val="28"/>
          <w:szCs w:val="28"/>
          <w:rtl w:val="true"/>
          <w:lang w:bidi="ar-SA"/>
        </w:rPr>
        <w:t xml:space="preserve">ملاحظة فتاوى الفقهاء في موارد جمّة من تقديم قول مدّعي الصحّة في موارد التداعي على </w:t>
      </w:r>
    </w:p>
    <w:p>
      <w:pPr>
        <w:pStyle w:val="BookText"/>
        <w:rPr/>
      </w:pPr>
      <w:r>
        <w:rPr>
          <w:rFonts w:ascii="Amiri" w:hAnsi="Amiri" w:eastAsia="Amiri" w:cs="Amiri"/>
          <w:color w:val="111111"/>
          <w:sz w:val="28"/>
          <w:sz w:val="28"/>
          <w:szCs w:val="28"/>
          <w:rtl w:val="true"/>
          <w:lang w:bidi="ar-SA"/>
        </w:rPr>
        <w:t xml:space="preserve">مدّعي الفساد ، وغير ذلك ممّا لا يمكن اختفاؤه على من سلك سبيل الفقه ولو لحظة </w:t>
      </w:r>
      <w:r>
        <w:rPr>
          <w:rStyle w:val="FootnoteAnchor"/>
          <w:rtl w:val="true"/>
        </w:rPr>
        <w:footnoteReference w:id="2623"/>
      </w:r>
      <w:r>
        <w:rPr>
          <w:rFonts w:ascii="Amiri" w:hAnsi="Amiri" w:eastAsia="Amiri" w:cs="Amiri"/>
          <w:color w:val="111111"/>
          <w:sz w:val="28"/>
          <w:sz w:val="28"/>
          <w:szCs w:val="28"/>
          <w:rtl w:val="true"/>
          <w:lang w:bidi="ar-SA"/>
        </w:rPr>
        <w:t xml:space="preserve">، مع اعتضاده بالسيرة القاطعة المستمرّة المتّبعة فإنّ بناء العمل خلفا عن سلف على حمل الأفعال الصادرة عن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ومعاملة على أنحائها المختلفة وأقسامها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 ويكفيك ملاحظة الأعمال الصادرة عنهم في مقامات متفاوتة كما لا يخفى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 على هذا الأصل الشريف أظهر من أن ينكر وأوضح من أن يحرّر ؛ إذ </w:t>
      </w:r>
      <w:r>
        <w:rPr>
          <w:rStyle w:val="FootnoteAnchor"/>
          <w:rtl w:val="true"/>
        </w:rPr>
        <w:footnoteReference w:id="2625"/>
      </w:r>
      <w:r>
        <w:rPr>
          <w:rFonts w:ascii="Amiri" w:hAnsi="Amiri" w:eastAsia="Amiri" w:cs="Amiri"/>
          <w:color w:val="111111"/>
          <w:sz w:val="28"/>
          <w:sz w:val="28"/>
          <w:szCs w:val="28"/>
          <w:rtl w:val="true"/>
          <w:lang w:bidi="ar-SA"/>
        </w:rPr>
        <w:t xml:space="preserve">لولاه لاختلّ النظام وينهدم ما عليه القوام فلا يتأتّى التصرّف في الأموال ولا التمتّع منها ولا تقوم </w:t>
      </w:r>
      <w:r>
        <w:rPr>
          <w:rStyle w:val="FootnoteAnchor"/>
          <w:rtl w:val="true"/>
        </w:rPr>
        <w:footnoteReference w:id="2626"/>
      </w:r>
      <w:r>
        <w:rPr>
          <w:rFonts w:ascii="Amiri" w:hAnsi="Amiri" w:eastAsia="Amiri" w:cs="Amiri"/>
          <w:color w:val="111111"/>
          <w:sz w:val="28"/>
          <w:sz w:val="28"/>
          <w:szCs w:val="28"/>
          <w:rtl w:val="true"/>
          <w:lang w:bidi="ar-SA"/>
        </w:rPr>
        <w:t xml:space="preserve">جماعة للمسلمين ولا سوق ، بل لا يمكن المعاش في البلدان </w:t>
      </w:r>
      <w:r>
        <w:rPr>
          <w:rStyle w:val="FootnoteAnchor"/>
          <w:rtl w:val="true"/>
        </w:rPr>
        <w:footnoteReference w:id="2627"/>
      </w:r>
      <w:r>
        <w:rPr>
          <w:rFonts w:ascii="Amiri" w:hAnsi="Amiri" w:eastAsia="Amiri" w:cs="Amiri"/>
          <w:color w:val="111111"/>
          <w:sz w:val="28"/>
          <w:sz w:val="28"/>
          <w:szCs w:val="28"/>
          <w:rtl w:val="true"/>
          <w:lang w:bidi="ar-SA"/>
        </w:rPr>
        <w:t xml:space="preserve">وشواهق الجبال والبرايا ، وذلك أمر ظاهر جدّا ، إلاّ أن يناقش في ذلك بأنّ بعد إعمال الأصول المقرّرة في الشريعة من الاستصحاب المعتبر في الموضوعات واليد والإقرار </w:t>
      </w:r>
      <w:r>
        <w:rPr>
          <w:rStyle w:val="FootnoteAnchor"/>
          <w:rtl w:val="true"/>
        </w:rPr>
        <w:footnoteReference w:id="2628"/>
      </w:r>
      <w:r>
        <w:rPr>
          <w:rFonts w:ascii="Amiri" w:hAnsi="Amiri" w:eastAsia="Amiri" w:cs="Amiri"/>
          <w:color w:val="111111"/>
          <w:sz w:val="28"/>
          <w:sz w:val="28"/>
          <w:szCs w:val="28"/>
          <w:rtl w:val="true"/>
          <w:lang w:bidi="ar-SA"/>
        </w:rPr>
        <w:t>ونحوها لا نسلّم لزوم الاختلال على تقدير الإهمال ، ومع ذلك فالإنصاف ممّن جانب الاعتساف قاض باللزوم كما هو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إثبات هذا الأصل هو الإجماع والسيرة والوجه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w:t>
      </w:r>
      <w:r>
        <w:rPr>
          <w:rStyle w:val="FootnoteAnchor"/>
          <w:rtl w:val="true"/>
        </w:rPr>
        <w:footnoteReference w:id="2629"/>
      </w:r>
      <w:r>
        <w:rPr>
          <w:rFonts w:ascii="Amiri" w:hAnsi="Amiri" w:eastAsia="Amiri" w:cs="Amiri"/>
          <w:color w:val="111111"/>
          <w:sz w:val="28"/>
          <w:sz w:val="28"/>
          <w:szCs w:val="28"/>
          <w:rtl w:val="true"/>
          <w:lang w:bidi="ar-SA"/>
        </w:rPr>
        <w:t xml:space="preserve">أنّ الشيخ الجليل البارع صرّح بأنّ </w:t>
      </w:r>
      <w:r>
        <w:rPr>
          <w:rStyle w:val="FootnoteAnchor"/>
          <w:rtl w:val="true"/>
        </w:rPr>
        <w:footnoteReference w:id="2630"/>
      </w:r>
      <w:r>
        <w:rPr>
          <w:rFonts w:ascii="Amiri" w:hAnsi="Amiri" w:eastAsia="Amiri" w:cs="Amiri"/>
          <w:color w:val="111111"/>
          <w:sz w:val="28"/>
          <w:sz w:val="28"/>
          <w:szCs w:val="28"/>
          <w:rtl w:val="true"/>
          <w:lang w:bidi="ar-SA"/>
        </w:rPr>
        <w:t xml:space="preserve">الأصل في الأقوال الصحّة </w:t>
      </w:r>
      <w:r>
        <w:rPr>
          <w:rStyle w:val="FootnoteAnchor"/>
          <w:rtl w:val="true"/>
        </w:rPr>
        <w:footnoteReference w:id="2631"/>
      </w:r>
      <w:r>
        <w:rPr>
          <w:rFonts w:ascii="Amiri" w:hAnsi="Amiri" w:eastAsia="Amiri" w:cs="Amiri"/>
          <w:color w:val="111111"/>
          <w:sz w:val="28"/>
          <w:sz w:val="28"/>
          <w:szCs w:val="28"/>
          <w:rtl w:val="true"/>
          <w:lang w:bidi="ar-SA"/>
        </w:rPr>
        <w:t xml:space="preserve">، وتحقيق القول فيه أنّ القول يلاحظ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فعل من الأفعال مع قطع النظر عن الدلالة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دالّ على المعنى الموضوع تحقيقا أو تقديرا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مطابقة النسبة المأخوذة فيه للواقع وعدمها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لزوم حمله على الصحيح فيما لو دار بينه وبين الفاسد من حيث إنّه </w:t>
      </w:r>
    </w:p>
    <w:p>
      <w:pPr>
        <w:pStyle w:val="BookText"/>
        <w:rPr/>
      </w:pPr>
      <w:r>
        <w:rPr>
          <w:rFonts w:ascii="Amiri" w:hAnsi="Amiri" w:eastAsia="Amiri" w:cs="Amiri"/>
          <w:color w:val="111111"/>
          <w:sz w:val="28"/>
          <w:sz w:val="28"/>
          <w:szCs w:val="28"/>
          <w:rtl w:val="true"/>
          <w:lang w:bidi="ar-SA"/>
        </w:rPr>
        <w:t>تحريك للأعضاء على وجه يوجد به الصوت المعتمد على بعض المخارج بعد ما عرفت من لزوم الحمل في مطلق الأفعال ؛ لأنّه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ريب في لزوم الحمل على الصحيح فيما لو شكّ في القول من الجهة الثانية بمعنى أنّه لو شكّ أنّ القول الصادر من فلان هل هو صادر منه تعزيرا </w:t>
      </w:r>
      <w:r>
        <w:rPr>
          <w:rStyle w:val="FootnoteAnchor"/>
          <w:rtl w:val="true"/>
        </w:rPr>
        <w:footnoteReference w:id="2632"/>
      </w:r>
      <w:r>
        <w:rPr>
          <w:rFonts w:ascii="IRNazanin" w:hAnsi="IRNazanin" w:eastAsia="IRNazanin"/>
          <w:color w:val="111111"/>
          <w:sz w:val="28"/>
          <w:sz w:val="28"/>
          <w:szCs w:val="28"/>
          <w:rtl w:val="true"/>
          <w:lang w:bidi="fa-IR"/>
        </w:rPr>
        <w:t xml:space="preserve">، أو </w:t>
      </w:r>
      <w:r>
        <w:rPr>
          <w:rStyle w:val="FootnoteAnchor"/>
          <w:rtl w:val="true"/>
        </w:rPr>
        <w:footnoteReference w:id="2633"/>
      </w:r>
      <w:r>
        <w:rPr>
          <w:rFonts w:ascii="Amiri" w:hAnsi="Amiri" w:eastAsia="Amiri" w:cs="Amiri"/>
          <w:color w:val="111111"/>
          <w:sz w:val="28"/>
          <w:sz w:val="28"/>
          <w:szCs w:val="28"/>
          <w:rtl w:val="true"/>
          <w:lang w:bidi="ar-SA"/>
        </w:rPr>
        <w:t>استهزاء ، أو هو صادر منه إظهارا لما يكشف عنه ذلك القول؟ فاللازم حمله على الثاني ؛ لكونه هو الغالب في المحاورات ولولاه لا نسدّ باب المحاورة وانفتح طريق المكابرة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من الجهة الثالثة فتحقيقه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قول غير المسلم ، وأمّا المسلم مطلقا فلا دليل على حمل قوله على الواقع وترتيب آثار المطابقة عليه ، أمّا </w:t>
      </w:r>
      <w:r>
        <w:rPr>
          <w:rStyle w:val="FootnoteAnchor"/>
          <w:rtl w:val="true"/>
        </w:rPr>
        <w:footnoteReference w:id="2634"/>
      </w:r>
      <w:r>
        <w:rPr>
          <w:rFonts w:ascii="Amiri" w:hAnsi="Amiri" w:eastAsia="Amiri" w:cs="Amiri"/>
          <w:color w:val="111111"/>
          <w:sz w:val="28"/>
          <w:sz w:val="28"/>
          <w:szCs w:val="28"/>
          <w:rtl w:val="true"/>
          <w:lang w:bidi="ar-SA"/>
        </w:rPr>
        <w:t xml:space="preserve">الأدلّة المتقدّمة فالآيتان والأخبار منها قاضية بعدم حملها على الكذب المخبري وهو أعمّ من صدق الخبر كما هو المطلوب ، والإجماع فقده في محلّ الخلاف ظاهر ، والعقل غير قاض بذلك بعد </w:t>
      </w:r>
      <w:r>
        <w:rPr>
          <w:rStyle w:val="FootnoteAnchor"/>
          <w:rtl w:val="true"/>
        </w:rPr>
        <w:footnoteReference w:id="2635"/>
      </w:r>
      <w:r>
        <w:rPr>
          <w:rFonts w:ascii="Amiri" w:hAnsi="Amiri" w:eastAsia="Amiri" w:cs="Amiri"/>
          <w:color w:val="111111"/>
          <w:sz w:val="28"/>
          <w:sz w:val="28"/>
          <w:szCs w:val="28"/>
          <w:rtl w:val="true"/>
          <w:lang w:bidi="ar-SA"/>
        </w:rPr>
        <w:t xml:space="preserve">اعتبار قول ذي اليد والإقرار في الملك والطهارة والنجاسة ، أمّا </w:t>
      </w:r>
      <w:r>
        <w:rPr>
          <w:rStyle w:val="FootnoteAnchor"/>
          <w:rtl w:val="true"/>
        </w:rPr>
        <w:footnoteReference w:id="2636"/>
      </w:r>
      <w:r>
        <w:rPr>
          <w:rFonts w:ascii="Amiri" w:hAnsi="Amiri" w:eastAsia="Amiri" w:cs="Amiri"/>
          <w:color w:val="111111"/>
          <w:sz w:val="28"/>
          <w:sz w:val="28"/>
          <w:szCs w:val="28"/>
          <w:rtl w:val="true"/>
          <w:lang w:bidi="ar-SA"/>
        </w:rPr>
        <w:t xml:space="preserve">الأدلّة التي يتوهّم نهوضها في المقام فمنها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 xml:space="preserve">) </w:t>
      </w:r>
      <w:r>
        <w:rPr>
          <w:rStyle w:val="FootnoteAnchor"/>
          <w:rtl w:val="true"/>
        </w:rPr>
        <w:footnoteReference w:id="2637"/>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عندك المسلمون فصدّقهم </w:t>
      </w:r>
      <w:r>
        <w:rPr>
          <w:rFonts w:eastAsia="Amiri" w:cs="Amiri" w:ascii="Amiri" w:hAnsi="Amiri"/>
          <w:color w:val="111111"/>
          <w:sz w:val="28"/>
          <w:szCs w:val="28"/>
          <w:rtl w:val="true"/>
          <w:lang w:bidi="ar-SA"/>
        </w:rPr>
        <w:t xml:space="preserve">» </w:t>
      </w:r>
      <w:r>
        <w:rPr>
          <w:rStyle w:val="FootnoteAnchor"/>
          <w:rtl w:val="true"/>
        </w:rPr>
        <w:footnoteReference w:id="2638"/>
      </w:r>
      <w:r>
        <w:rPr>
          <w:rFonts w:ascii="Amiri" w:hAnsi="Amiri" w:eastAsia="Amiri" w:cs="Amiri"/>
          <w:color w:val="111111"/>
          <w:sz w:val="28"/>
          <w:sz w:val="28"/>
          <w:szCs w:val="28"/>
          <w:rtl w:val="true"/>
          <w:lang w:bidi="ar-SA"/>
        </w:rPr>
        <w:t xml:space="preserve">وقوله في حقوق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يكذّبه </w:t>
      </w:r>
      <w:r>
        <w:rPr>
          <w:rFonts w:eastAsia="Amiri" w:cs="Amiri" w:ascii="Amiri" w:hAnsi="Amiri"/>
          <w:color w:val="111111"/>
          <w:sz w:val="28"/>
          <w:szCs w:val="28"/>
          <w:rtl w:val="true"/>
          <w:lang w:bidi="ar-SA"/>
        </w:rPr>
        <w:t xml:space="preserve">» </w:t>
      </w:r>
      <w:r>
        <w:rPr>
          <w:rStyle w:val="FootnoteAnchor"/>
          <w:rtl w:val="true"/>
        </w:rPr>
        <w:footnoteReference w:id="263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وحده حجّة </w:t>
      </w:r>
      <w:r>
        <w:rPr>
          <w:rFonts w:eastAsia="Amiri" w:cs="Amiri" w:ascii="Amiri" w:hAnsi="Amiri"/>
          <w:color w:val="111111"/>
          <w:sz w:val="28"/>
          <w:szCs w:val="28"/>
          <w:rtl w:val="true"/>
          <w:lang w:bidi="ar-SA"/>
        </w:rPr>
        <w:t xml:space="preserve">» </w:t>
      </w:r>
      <w:r>
        <w:rPr>
          <w:rStyle w:val="FootnoteAnchor"/>
          <w:rtl w:val="true"/>
        </w:rPr>
        <w:footnoteReference w:id="2640"/>
      </w:r>
      <w:r>
        <w:rPr>
          <w:rFonts w:ascii="Amiri" w:hAnsi="Amiri" w:eastAsia="Amiri" w:cs="Amiri"/>
          <w:color w:val="111111"/>
          <w:sz w:val="28"/>
          <w:sz w:val="28"/>
          <w:szCs w:val="28"/>
          <w:rtl w:val="true"/>
          <w:lang w:bidi="ar-SA"/>
        </w:rPr>
        <w:t xml:space="preserve">ولا دلالة في شيء منها على المطلوب ؛ لظهورها جميعا سوى الأخير في لزوم التصديق المخبري وعدم تكذيبهم بإنشائهم قولا </w:t>
      </w:r>
    </w:p>
    <w:p>
      <w:pPr>
        <w:pStyle w:val="BookText"/>
        <w:rPr/>
      </w:pPr>
      <w:r>
        <w:rPr>
          <w:rFonts w:ascii="IRNazanin" w:hAnsi="IRNazanin" w:eastAsia="IRNazanin"/>
          <w:color w:val="111111"/>
          <w:sz w:val="28"/>
          <w:sz w:val="28"/>
          <w:szCs w:val="28"/>
          <w:rtl w:val="true"/>
          <w:lang w:bidi="fa-IR"/>
        </w:rPr>
        <w:t xml:space="preserve">مخالفا للواقع عملا </w:t>
      </w:r>
      <w:r>
        <w:rPr>
          <w:rStyle w:val="FootnoteAnchor"/>
          <w:rtl w:val="true"/>
        </w:rPr>
        <w:footnoteReference w:id="2641"/>
      </w:r>
      <w:r>
        <w:rPr>
          <w:rFonts w:ascii="Amiri" w:hAnsi="Amiri" w:eastAsia="Amiri" w:cs="Amiri"/>
          <w:color w:val="111111"/>
          <w:sz w:val="28"/>
          <w:sz w:val="28"/>
          <w:szCs w:val="28"/>
          <w:rtl w:val="true"/>
          <w:lang w:bidi="ar-SA"/>
        </w:rPr>
        <w:t xml:space="preserve">في اعتقادهم ، وأمّا صدق نفس الخبر ممّا لا رائحة فيها وقد أشبعنا الكلام في ذلك في مباحث الظنّ </w:t>
      </w:r>
      <w:r>
        <w:rPr>
          <w:rStyle w:val="FootnoteAnchor"/>
          <w:rtl w:val="true"/>
        </w:rPr>
        <w:footnoteReference w:id="2642"/>
      </w:r>
      <w:r>
        <w:rPr>
          <w:rFonts w:ascii="Amiri" w:hAnsi="Amiri" w:eastAsia="Amiri" w:cs="Amiri"/>
          <w:color w:val="111111"/>
          <w:sz w:val="28"/>
          <w:sz w:val="28"/>
          <w:szCs w:val="28"/>
          <w:rtl w:val="true"/>
          <w:lang w:bidi="ar-SA"/>
        </w:rPr>
        <w:t xml:space="preserve">، وأمّا الرواية الأخيرة فهي مجملة في غاية الإجمال فكيف يكون المؤمن الواحد حجّة في أفعاله وأقواله؟ ولا إشكال في ذلك وإنّما الإشكال في أنّ الأصل في خبر العادل هو القبول خرج ما خرج من الشهادة ، فلا يكفي فيها إلاّ عادلان ، أو عدم القبول ، ويثمر ذلك في الوكالة والنيابة ونحوها وقد ذكرنا </w:t>
      </w:r>
      <w:r>
        <w:rPr>
          <w:rStyle w:val="FootnoteAnchor"/>
          <w:rtl w:val="true"/>
        </w:rPr>
        <w:footnoteReference w:id="2643"/>
      </w:r>
      <w:r>
        <w:rPr>
          <w:rFonts w:ascii="Amiri" w:hAnsi="Amiri" w:eastAsia="Amiri" w:cs="Amiri"/>
          <w:color w:val="111111"/>
          <w:sz w:val="28"/>
          <w:sz w:val="28"/>
          <w:szCs w:val="28"/>
          <w:rtl w:val="true"/>
          <w:lang w:bidi="ar-SA"/>
        </w:rPr>
        <w:t xml:space="preserve">ذلك مفصّلا في محلّه في مباحث الظنّ فراجعه متأمّلا مغتنما ، واللّه الموفّق الهادي إلى طريق السداد وسبيل الرشاد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يحمل الاعتقاد على الصحّة ، أو لا؟ و </w:t>
      </w:r>
      <w:r>
        <w:rPr>
          <w:rStyle w:val="FootnoteAnchor"/>
          <w:rtl w:val="true"/>
        </w:rPr>
        <w:footnoteReference w:id="2645"/>
      </w:r>
      <w:r>
        <w:rPr>
          <w:rFonts w:ascii="Amiri" w:hAnsi="Amiri" w:eastAsia="Amiri" w:cs="Amiri"/>
          <w:color w:val="111111"/>
          <w:sz w:val="28"/>
          <w:sz w:val="28"/>
          <w:szCs w:val="28"/>
          <w:rtl w:val="true"/>
          <w:lang w:bidi="ar-SA"/>
        </w:rPr>
        <w:t xml:space="preserve">الحقّ هو الأوّل من حيث نفس الاعتقاد ، فلا يترتّب عليه الآثار </w:t>
      </w:r>
      <w:r>
        <w:rPr>
          <w:rStyle w:val="FootnoteAnchor"/>
          <w:rtl w:val="true"/>
        </w:rPr>
        <w:footnoteReference w:id="2646"/>
      </w:r>
      <w:r>
        <w:rPr>
          <w:rFonts w:ascii="Amiri" w:hAnsi="Amiri" w:eastAsia="Amiri" w:cs="Amiri"/>
          <w:color w:val="111111"/>
          <w:sz w:val="28"/>
          <w:sz w:val="28"/>
          <w:szCs w:val="28"/>
          <w:rtl w:val="true"/>
          <w:lang w:bidi="ar-SA"/>
        </w:rPr>
        <w:t xml:space="preserve">المترتّبة على فساد نفس الاعتقاد ، فيحكم </w:t>
      </w:r>
      <w:r>
        <w:rPr>
          <w:rStyle w:val="FootnoteAnchor"/>
          <w:rtl w:val="true"/>
        </w:rPr>
        <w:footnoteReference w:id="2647"/>
      </w:r>
      <w:r>
        <w:rPr>
          <w:rFonts w:ascii="IRNazanin" w:hAnsi="IRNazanin" w:eastAsia="IRNazanin"/>
          <w:color w:val="111111"/>
          <w:sz w:val="28"/>
          <w:sz w:val="28"/>
          <w:szCs w:val="28"/>
          <w:rtl w:val="true"/>
          <w:lang w:bidi="fa-IR"/>
        </w:rPr>
        <w:t xml:space="preserve">بأنّ اعتقاده </w:t>
      </w:r>
      <w:r>
        <w:rPr>
          <w:rStyle w:val="FootnoteAnchor"/>
          <w:rtl w:val="true"/>
        </w:rPr>
        <w:footnoteReference w:id="2648"/>
      </w:r>
      <w:r>
        <w:rPr>
          <w:rFonts w:ascii="Amiri" w:hAnsi="Amiri" w:eastAsia="Amiri" w:cs="Amiri"/>
          <w:color w:val="111111"/>
          <w:sz w:val="28"/>
          <w:sz w:val="28"/>
          <w:szCs w:val="28"/>
          <w:rtl w:val="true"/>
          <w:lang w:bidi="ar-SA"/>
        </w:rPr>
        <w:t xml:space="preserve">حاصل من الوجوه التي ينبغي تحصيل الاعتقاد </w:t>
      </w:r>
      <w:r>
        <w:rPr>
          <w:rStyle w:val="FootnoteAnchor"/>
          <w:rtl w:val="true"/>
        </w:rPr>
        <w:footnoteReference w:id="2649"/>
      </w:r>
      <w:r>
        <w:rPr>
          <w:rFonts w:ascii="Amiri" w:hAnsi="Amiri" w:eastAsia="Amiri" w:cs="Amiri"/>
          <w:color w:val="111111"/>
          <w:sz w:val="28"/>
          <w:sz w:val="28"/>
          <w:szCs w:val="28"/>
          <w:rtl w:val="true"/>
          <w:lang w:bidi="ar-SA"/>
        </w:rPr>
        <w:t>منها دون الوجوه التي لا يجوز تحصيله منها ، وأمّا صحّته على وجه يتسرّى إلى صحّة المعتقد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حملها على الصحيح فيما لو دار بينه وبين الفاسد نظرا إلى اختلال نظام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قضيّة إجمالية ولا بدّ في تفصيلها من التنبيه على أمور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الأصل المذكور ممّا يتساوى فيه العالم والجاهل بالأحكام الشرعية أو 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 المتصوّرة في المقام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بأنّ الفاعل عالم بالأحكام </w:t>
      </w:r>
    </w:p>
    <w:p>
      <w:pPr>
        <w:pStyle w:val="BookText"/>
        <w:rPr/>
      </w:pPr>
      <w:r>
        <w:rPr>
          <w:rFonts w:ascii="Amiri" w:hAnsi="Amiri" w:eastAsia="Amiri" w:cs="Amiri"/>
          <w:color w:val="111111"/>
          <w:sz w:val="28"/>
          <w:sz w:val="28"/>
          <w:szCs w:val="28"/>
          <w:rtl w:val="true"/>
          <w:lang w:bidi="ar-SA"/>
        </w:rPr>
        <w:t>الشرعية عبادة كانت أو معاملة ، ولا ينبغي الارتياب في لزوم حمل فعله على الصحيح ولا سيّما إذا لم يكن ممّن لا يبالي بالأحكام الشرعية ، وأمّا إذا كان منهم كما يرى في بعض الظلمة والفسقة من علمهم بوجوه الصحّة وضروب الفساد فالظاهر نهوض الأدلّة السابقة من السيرة وغيرها على الحمل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أنّه عالم أو جاهل ، سواء كان ممّن يبالي بالأحكام الشرعية أو لم يكن ، أو لم نعلم بأنّه من أيّ القسمين ، والظاهر أنّ هذه الصورة أيضا بصورها </w:t>
      </w:r>
      <w:r>
        <w:rPr>
          <w:rStyle w:val="FootnoteAnchor"/>
          <w:rtl w:val="true"/>
        </w:rPr>
        <w:footnoteReference w:id="2650"/>
      </w:r>
      <w:r>
        <w:rPr>
          <w:rFonts w:ascii="Amiri" w:hAnsi="Amiri" w:eastAsia="Amiri" w:cs="Amiri"/>
          <w:color w:val="111111"/>
          <w:sz w:val="28"/>
          <w:sz w:val="28"/>
          <w:szCs w:val="28"/>
          <w:rtl w:val="true"/>
          <w:lang w:bidi="ar-SA"/>
        </w:rPr>
        <w:t>ممّا لا إشكال فيها ، فيجب الحمل على الصحيح للأدلّة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بأنّه جاهل بالأحكام الشرعية ، كما إذا اختلف المتعاقدان في وقوع العقد في الإحرام أو في الإحلال مع العلم بجهلهما بالحكم الشرعي من عدم الصحّة في الإحرام ، فهل يحكم بوقوعه صحيحا ، أو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سيّد المدارك </w:t>
      </w:r>
      <w:r>
        <w:rPr>
          <w:rStyle w:val="FootnoteAnchor"/>
          <w:rtl w:val="true"/>
        </w:rPr>
        <w:footnoteReference w:id="2651"/>
      </w:r>
      <w:r>
        <w:rPr>
          <w:rFonts w:ascii="Amiri" w:hAnsi="Amiri" w:eastAsia="Amiri" w:cs="Amiri"/>
          <w:color w:val="111111"/>
          <w:sz w:val="28"/>
          <w:sz w:val="28"/>
          <w:szCs w:val="28"/>
          <w:rtl w:val="true"/>
          <w:lang w:bidi="ar-SA"/>
        </w:rPr>
        <w:t xml:space="preserve">الثاني </w:t>
      </w:r>
      <w:r>
        <w:rPr>
          <w:rStyle w:val="FootnoteAnchor"/>
          <w:rtl w:val="true"/>
        </w:rPr>
        <w:footnoteReference w:id="2652"/>
      </w:r>
      <w:r>
        <w:rPr>
          <w:rFonts w:ascii="Amiri" w:hAnsi="Amiri" w:eastAsia="Amiri" w:cs="Amiri"/>
          <w:color w:val="111111"/>
          <w:sz w:val="28"/>
          <w:sz w:val="28"/>
          <w:szCs w:val="28"/>
          <w:rtl w:val="true"/>
          <w:lang w:bidi="ar-SA"/>
        </w:rPr>
        <w:t xml:space="preserve">، والظاهر هو الأوّل ؛ لقيام السيرة على الحمل ، ولعلّها ليس بمحلّ لا يقبل إنكارها </w:t>
      </w:r>
      <w:r>
        <w:rPr>
          <w:rStyle w:val="FootnoteAnchor"/>
          <w:rtl w:val="true"/>
        </w:rPr>
        <w:footnoteReference w:id="2653"/>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بوقوع الفعل من المسلم على وجه الفساد الظاهري ، كما إذا باع أحد أطراف الشبهة المحصورة ، فهل يجب الحمل على الصحيح بالقول بأنّ الواقع هو كون المبيع هو الفرد الجائز نقله وانتقاله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البخت والاتّفاق ، أو لا؟ الظاهر هو الثاني ، لعدم ما يدلّ على ذلك في خصوص الفرض وهو ظاهر لا سترة عليه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أصالة الصحّة في كلّ ما يتعلّق بالعقد شرطا كان أو جزء ، ركنا كان أو غيره ، أو يختصّ بغير الأركان؟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ثاني المحقّقين </w:t>
      </w:r>
      <w:r>
        <w:rPr>
          <w:rStyle w:val="FootnoteAnchor"/>
          <w:rtl w:val="true"/>
        </w:rPr>
        <w:footnoteReference w:id="2654"/>
      </w:r>
      <w:r>
        <w:rPr>
          <w:rFonts w:ascii="Amiri" w:hAnsi="Amiri" w:eastAsia="Amiri" w:cs="Amiri"/>
          <w:color w:val="111111"/>
          <w:sz w:val="28"/>
          <w:sz w:val="28"/>
          <w:szCs w:val="28"/>
          <w:rtl w:val="true"/>
          <w:lang w:bidi="ar-SA"/>
        </w:rPr>
        <w:t>الثاني ، فلا محلّ عنده لأصالة الصحّة ما لم يكن أركان العقد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الصحّة وعدمها </w:t>
      </w:r>
    </w:p>
    <w:p>
      <w:pPr>
        <w:pStyle w:val="BookText"/>
        <w:rPr/>
      </w:pPr>
      <w:r>
        <w:rPr>
          <w:rFonts w:ascii="Amiri" w:hAnsi="Amiri" w:eastAsia="Amiri" w:cs="Amiri"/>
          <w:color w:val="111111"/>
          <w:sz w:val="28"/>
          <w:sz w:val="28"/>
          <w:szCs w:val="28"/>
          <w:rtl w:val="true"/>
          <w:lang w:bidi="ar-SA"/>
        </w:rPr>
        <w:t>بواسطة عدم إحراز شرط كالقبض في الصرف أو من جهة وجود مانع ، فلا بأس في الاستناد إلى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الأوّل ؛ لانتهاض الوجوه المتقدّمة في المقام من غير فرق بين الأجزاء والأركان وغيرها ، ولعلّ الوجه فيما ذهب إليه هو أنّ دليل الحمل عنده ليس إلاّ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655"/>
      </w:r>
      <w:r>
        <w:rPr>
          <w:rFonts w:ascii="Amiri" w:hAnsi="Amiri" w:eastAsia="Amiri" w:cs="Amiri"/>
          <w:color w:val="111111"/>
          <w:sz w:val="28"/>
          <w:sz w:val="28"/>
          <w:szCs w:val="28"/>
          <w:rtl w:val="true"/>
          <w:lang w:bidi="ar-SA"/>
        </w:rPr>
        <w:t xml:space="preserve">تحكيما له في الشبهة المصداقية ، فعلى هذا لا بدّ من إحراز ما به يصدق العقد على المشكوك من الأركان ، وأمّا بدونه فلا يصدق أنّه عقد فلا يشمله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إذا كان في وجود المقتضي فلا تنهض </w:t>
      </w:r>
      <w:r>
        <w:rPr>
          <w:rStyle w:val="FootnoteAnchor"/>
          <w:rtl w:val="true"/>
        </w:rPr>
        <w:footnoteReference w:id="2656"/>
      </w:r>
      <w:r>
        <w:rPr>
          <w:rFonts w:ascii="Amiri" w:hAnsi="Amiri" w:eastAsia="Amiri" w:cs="Amiri"/>
          <w:color w:val="111111"/>
          <w:sz w:val="28"/>
          <w:sz w:val="28"/>
          <w:szCs w:val="28"/>
          <w:rtl w:val="true"/>
          <w:lang w:bidi="ar-SA"/>
        </w:rPr>
        <w:t xml:space="preserve">الآية الشريفة دليلا على الصحّة في العقد فإنّها </w:t>
      </w:r>
      <w:r>
        <w:rPr>
          <w:rStyle w:val="FootnoteAnchor"/>
          <w:rtl w:val="true"/>
        </w:rPr>
        <w:footnoteReference w:id="2657"/>
      </w:r>
      <w:r>
        <w:rPr>
          <w:rFonts w:ascii="Amiri" w:hAnsi="Amiri" w:eastAsia="Amiri" w:cs="Amiri"/>
          <w:color w:val="111111"/>
          <w:sz w:val="28"/>
          <w:sz w:val="28"/>
          <w:szCs w:val="28"/>
          <w:rtl w:val="true"/>
          <w:lang w:bidi="ar-SA"/>
        </w:rPr>
        <w:t xml:space="preserve">مقيّد بالقيود التي اعتبرها الشارع في صحّتها ، فلا يصحّ التمسّك بالآية ما لم يحرز المقتضي للصحّة وهو الذي يعبّر عنه بالأركان ، وأمّا إذا أحرز المقتضي وكان الشكّ في ثبوت شرط أو رفع مانع فيصحّ التمسّك بالآية في رفع </w:t>
      </w:r>
      <w:r>
        <w:rPr>
          <w:rStyle w:val="FootnoteAnchor"/>
          <w:rtl w:val="true"/>
        </w:rPr>
        <w:footnoteReference w:id="2658"/>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من التفصيل والمبنى نظر ، أمّا المبنى فلأنّ التمسّك بالعامّ المخصّص بمجمل </w:t>
      </w:r>
      <w:r>
        <w:rPr>
          <w:rStyle w:val="FootnoteAnchor"/>
          <w:rtl w:val="true"/>
        </w:rPr>
        <w:footnoteReference w:id="2659"/>
      </w:r>
      <w:r>
        <w:rPr>
          <w:rFonts w:ascii="Amiri" w:hAnsi="Amiri" w:eastAsia="Amiri" w:cs="Amiri"/>
          <w:color w:val="111111"/>
          <w:sz w:val="28"/>
          <w:sz w:val="28"/>
          <w:szCs w:val="28"/>
          <w:rtl w:val="true"/>
          <w:lang w:bidi="ar-SA"/>
        </w:rPr>
        <w:t xml:space="preserve">في الشبهة المصداقية محلّ منع ؛ إذ وجوب الوفاء بالعقد مخصّص لا محالة ، والمفروض وقوع الشكّ في أنّ المورد الخاصّ من الأفراد التي لم يصادفها </w:t>
      </w:r>
      <w:r>
        <w:rPr>
          <w:rStyle w:val="FootnoteAnchor"/>
          <w:rtl w:val="true"/>
        </w:rPr>
        <w:footnoteReference w:id="2660"/>
      </w:r>
      <w:r>
        <w:rPr>
          <w:rFonts w:ascii="Amiri" w:hAnsi="Amiri" w:eastAsia="Amiri" w:cs="Amiri"/>
          <w:color w:val="111111"/>
          <w:sz w:val="28"/>
          <w:sz w:val="28"/>
          <w:szCs w:val="28"/>
          <w:rtl w:val="true"/>
          <w:lang w:bidi="ar-SA"/>
        </w:rPr>
        <w:t xml:space="preserve">التخصيص أو لا ، فكيف يتأتّى الاستناد إلى </w:t>
      </w:r>
      <w:r>
        <w:rPr>
          <w:rStyle w:val="FootnoteAnchor"/>
          <w:rtl w:val="true"/>
        </w:rPr>
        <w:footnoteReference w:id="2661"/>
      </w:r>
      <w:r>
        <w:rPr>
          <w:rFonts w:ascii="Amiri" w:hAnsi="Amiri" w:eastAsia="Amiri" w:cs="Amiri"/>
          <w:color w:val="111111"/>
          <w:sz w:val="28"/>
          <w:sz w:val="28"/>
          <w:szCs w:val="28"/>
          <w:rtl w:val="true"/>
          <w:lang w:bidi="ar-SA"/>
        </w:rPr>
        <w:t>العامّ في مثل المقام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أصل التفصيل فلأنّ قضيّة ما ذكره التفصيل بين ما هو من أجزاء المقتضي جزء كان أو شرطا ، وبين المانع ؛ إذ </w:t>
      </w:r>
      <w:r>
        <w:rPr>
          <w:rStyle w:val="FootnoteAnchor"/>
          <w:rtl w:val="true"/>
        </w:rPr>
        <w:footnoteReference w:id="2662"/>
      </w:r>
      <w:r>
        <w:rPr>
          <w:rFonts w:ascii="Amiri" w:hAnsi="Amiri" w:eastAsia="Amiri" w:cs="Amiri"/>
          <w:color w:val="111111"/>
          <w:sz w:val="28"/>
          <w:sz w:val="28"/>
          <w:szCs w:val="28"/>
          <w:rtl w:val="true"/>
          <w:lang w:bidi="ar-SA"/>
        </w:rPr>
        <w:t xml:space="preserve">الشروط قد يلاحظ في كلمات الشارع على وجه </w:t>
      </w:r>
    </w:p>
    <w:p>
      <w:pPr>
        <w:pStyle w:val="BookText"/>
        <w:rPr/>
      </w:pPr>
      <w:r>
        <w:rPr>
          <w:rFonts w:ascii="Amiri" w:hAnsi="Amiri" w:eastAsia="Amiri" w:cs="Amiri"/>
          <w:color w:val="111111"/>
          <w:sz w:val="28"/>
          <w:sz w:val="28"/>
          <w:szCs w:val="28"/>
          <w:rtl w:val="true"/>
          <w:lang w:bidi="ar-SA"/>
        </w:rPr>
        <w:t>يحتمل أن يكون من أجزاء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على تقدير اختصاص ذلك بالموانع يصحّ ما ذكره ، مع أنّ أصالة عدم المانع أيضا </w:t>
      </w:r>
      <w:r>
        <w:rPr>
          <w:rStyle w:val="FootnoteAnchor"/>
          <w:rtl w:val="true"/>
        </w:rPr>
        <w:footnoteReference w:id="2663"/>
      </w:r>
      <w:r>
        <w:rPr>
          <w:rFonts w:ascii="Amiri" w:hAnsi="Amiri" w:eastAsia="Amiri" w:cs="Amiri"/>
          <w:color w:val="111111"/>
          <w:sz w:val="28"/>
          <w:sz w:val="28"/>
          <w:szCs w:val="28"/>
          <w:rtl w:val="true"/>
          <w:lang w:bidi="ar-SA"/>
        </w:rPr>
        <w:t xml:space="preserve">تجدي هذه الجدوى كما لا يخفى ، ولعلّه لذلك قد عدل عن المقالة المذكورة إلى جريان الأصل في الشروط أيضا في مقام </w:t>
      </w:r>
      <w:r>
        <w:rPr>
          <w:rStyle w:val="FootnoteAnchor"/>
          <w:rtl w:val="true"/>
        </w:rPr>
        <w:footnoteReference w:id="2664"/>
      </w:r>
      <w:r>
        <w:rPr>
          <w:rFonts w:ascii="Amiri" w:hAnsi="Amiri" w:eastAsia="Amiri" w:cs="Amiri"/>
          <w:color w:val="111111"/>
          <w:sz w:val="28"/>
          <w:sz w:val="28"/>
          <w:szCs w:val="28"/>
          <w:rtl w:val="true"/>
          <w:lang w:bidi="ar-SA"/>
        </w:rPr>
        <w:t xml:space="preserve">، فإنّها تظهر منه عند شرح قول العلاّمة في كتاب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من الصبيّ وإن أذن له الولي ، فلو اختلفا قدّم قول الضامن ؛ لأصالة براءة ذمّته </w:t>
      </w:r>
      <w:r>
        <w:rPr>
          <w:rStyle w:val="FootnoteAnchor"/>
          <w:rtl w:val="true"/>
        </w:rPr>
        <w:footnoteReference w:id="2665"/>
      </w:r>
      <w:r>
        <w:rPr>
          <w:rFonts w:ascii="Amiri" w:hAnsi="Amiri" w:eastAsia="Amiri" w:cs="Amiri"/>
          <w:color w:val="111111"/>
          <w:sz w:val="28"/>
          <w:sz w:val="28"/>
          <w:szCs w:val="28"/>
          <w:rtl w:val="true"/>
          <w:lang w:bidi="ar-SA"/>
        </w:rPr>
        <w:t>، وليس لمدّعي الأهلية أصل يستند إليه ولا ظاهر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Style w:val="FootnoteAnchor"/>
          <w:rtl w:val="true"/>
        </w:rPr>
        <w:footnoteReference w:id="2666"/>
      </w:r>
      <w:r>
        <w:rPr>
          <w:rFonts w:ascii="Amiri" w:hAnsi="Amiri" w:eastAsia="Amiri" w:cs="Amiri"/>
          <w:color w:val="111111"/>
          <w:sz w:val="28"/>
          <w:sz w:val="28"/>
          <w:szCs w:val="28"/>
          <w:rtl w:val="true"/>
          <w:lang w:bidi="ar-SA"/>
        </w:rPr>
        <w:t xml:space="preserve">أفاد في توجيه كلام العلاّمة ما ذكرنا من التفصيل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8"/>
      </w:r>
      <w:r>
        <w:rPr>
          <w:rFonts w:ascii="Amiri" w:hAnsi="Amiri" w:eastAsia="Amiri" w:cs="Amiri"/>
          <w:color w:val="111111"/>
          <w:sz w:val="28"/>
          <w:sz w:val="28"/>
          <w:szCs w:val="28"/>
          <w:rtl w:val="true"/>
          <w:lang w:bidi="ar-SA"/>
        </w:rPr>
        <w:t xml:space="preserve">، وصرّح بذلك في موضع آخر في كتاب الإجارة أيضا </w:t>
      </w:r>
      <w:r>
        <w:rPr>
          <w:rStyle w:val="FootnoteAnchor"/>
          <w:rtl w:val="true"/>
        </w:rPr>
        <w:footnoteReference w:id="266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وأنا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قول مدّعي الصحّة واندفاع أصالة عدم البلوغ بهذا الأصل </w:t>
      </w:r>
      <w:r>
        <w:rPr>
          <w:rStyle w:val="FootnoteAnchor"/>
          <w:rtl w:val="true"/>
        </w:rPr>
        <w:footnoteReference w:id="2670"/>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اتّحدت الصحّة عند الفاعل والحامل ، أو كانت الصحّة عند الفاعل أخصّ ، فلا إشكال في الحمل على الصحيح عند دوران الأمر بينه وبين الفاسد ، والوجه فيه ظاهر سيّما على الأخصّية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الصحّة عند الفاعل مباينة للصحّة عند الحامل كما إذا رأى الفاعل أنّ الأخرس طلاقه بالإشارة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بالكتابة ، ورأى الآخر أنّ الأخرس طلاقه بالكتابة ولا يقع بالإشارة ، فهل يحمل الفعل على الصحيح عند العامل ، أو عند الحامل؟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الحمل على الصحيح عند الفاعل ؛ إذ ربّما يعدّ ذلك من الحمل على الفاسد ولو عند العامل ، بل قد يكون عند العامل حمله على ما هو عند </w:t>
      </w:r>
    </w:p>
    <w:p>
      <w:pPr>
        <w:pStyle w:val="BookText"/>
        <w:rPr/>
      </w:pPr>
      <w:r>
        <w:rPr>
          <w:rFonts w:ascii="Amiri" w:hAnsi="Amiri" w:eastAsia="Amiri" w:cs="Amiri"/>
          <w:color w:val="111111"/>
          <w:sz w:val="28"/>
          <w:sz w:val="28"/>
          <w:szCs w:val="28"/>
          <w:rtl w:val="true"/>
          <w:lang w:bidi="ar-SA"/>
        </w:rPr>
        <w:t xml:space="preserve">الحامل معصية </w:t>
      </w:r>
      <w:r>
        <w:rPr>
          <w:rStyle w:val="FootnoteAnchor"/>
          <w:rtl w:val="true"/>
        </w:rPr>
        <w:footnoteReference w:id="2671"/>
      </w:r>
      <w:r>
        <w:rPr>
          <w:rFonts w:ascii="Amiri" w:hAnsi="Amiri" w:eastAsia="Amiri" w:cs="Amiri"/>
          <w:color w:val="111111"/>
          <w:sz w:val="28"/>
          <w:sz w:val="28"/>
          <w:szCs w:val="28"/>
          <w:rtl w:val="true"/>
          <w:lang w:bidi="ar-SA"/>
        </w:rPr>
        <w:t>كما لا يخفى ، فيشمله أدلّة النهي عن الحمل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الصحّة عند الحامل أخصّ من الصحّة عند العامل والفاعل عكس الصورة الأولى ، فعند العلم بوقوعه على وجه يوافق مذهب الحامل فلا إشكال أيضا في الحمل ، وأمّا مع عدم العلم بالمخالفة والمباينة فيصير مثل ما إذا تباينت </w:t>
      </w:r>
      <w:r>
        <w:rPr>
          <w:rStyle w:val="FootnoteAnchor"/>
          <w:rtl w:val="true"/>
        </w:rPr>
        <w:footnoteReference w:id="2672"/>
      </w:r>
      <w:r>
        <w:rPr>
          <w:rFonts w:ascii="Amiri" w:hAnsi="Amiri" w:eastAsia="Amiri" w:cs="Amiri"/>
          <w:color w:val="111111"/>
          <w:sz w:val="28"/>
          <w:sz w:val="28"/>
          <w:szCs w:val="28"/>
          <w:rtl w:val="true"/>
          <w:lang w:bidi="ar-SA"/>
        </w:rPr>
        <w:t xml:space="preserve">الصحّتان رأسا ، فلا بدّ من الحمل على الصحيح عند العامل ؛ لأنّ الحمل </w:t>
      </w:r>
      <w:r>
        <w:rPr>
          <w:rStyle w:val="FootnoteAnchor"/>
          <w:rtl w:val="true"/>
        </w:rPr>
        <w:footnoteReference w:id="2673"/>
      </w:r>
      <w:r>
        <w:rPr>
          <w:rFonts w:ascii="Amiri" w:hAnsi="Amiri" w:eastAsia="Amiri" w:cs="Amiri"/>
          <w:color w:val="111111"/>
          <w:sz w:val="28"/>
          <w:sz w:val="28"/>
          <w:szCs w:val="28"/>
          <w:rtl w:val="true"/>
          <w:lang w:bidi="ar-SA"/>
        </w:rPr>
        <w:t xml:space="preserve">على ما هو الصحيح عند الحامل إنّما هو حمل على الفاسد ، وهل يحكم بترتيب الآثار بالنسبة إلى غير العامل عند العلم بوقوعه على وجه المخالفة والمباينة ، أو لا؟ وجهان ، فلو حكم أحدهما بصحّة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الآخر بالفساد مع علمه بوقوع المعاطاة من الحاكم بالصحّة ، فعلى الأوّل يجوز التصرّف في المبيع المزبور من غير الفاعل ، وعلى الثاني لا يجوز ، والكلام في هذه المسألة خارج عمّا نحن بصدده ، فإنّ الموضوع </w:t>
      </w:r>
      <w:r>
        <w:rPr>
          <w:rStyle w:val="FootnoteAnchor"/>
          <w:rtl w:val="true"/>
        </w:rPr>
        <w:footnoteReference w:id="2674"/>
      </w:r>
      <w:r>
        <w:rPr>
          <w:rFonts w:ascii="Amiri" w:hAnsi="Amiri" w:eastAsia="Amiri" w:cs="Amiri"/>
          <w:color w:val="111111"/>
          <w:sz w:val="28"/>
          <w:sz w:val="28"/>
          <w:szCs w:val="28"/>
          <w:rtl w:val="true"/>
          <w:lang w:bidi="ar-SA"/>
        </w:rPr>
        <w:t>المفروض ممّا علم فيه وجه الفعل والمعتبر في أصالة الصحّة عدم العلم بوجه الفعل كأن يكون مردّدا بين وجهي الصحيح والفاسد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مذكور في محلّه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مدرك الحكم المذكور إذا كان من المدارك التي يتعاطونها أرباب الاستنباط وأصحاب الاجتهاد من الأخبار والكتاب والعقل والإجماع </w:t>
      </w:r>
      <w:r>
        <w:rPr>
          <w:rStyle w:val="FootnoteAnchor"/>
          <w:rtl w:val="true"/>
        </w:rPr>
        <w:footnoteReference w:id="2675"/>
      </w:r>
      <w:r>
        <w:rPr>
          <w:rFonts w:ascii="Amiri" w:hAnsi="Amiri" w:eastAsia="Amiri" w:cs="Amiri"/>
          <w:color w:val="111111"/>
          <w:sz w:val="28"/>
          <w:sz w:val="28"/>
          <w:szCs w:val="28"/>
          <w:rtl w:val="true"/>
          <w:lang w:bidi="ar-SA"/>
        </w:rPr>
        <w:t xml:space="preserve">، فإن كان الفعل المذكور من قبيل العبادات فلا يحكم بالصحّة فلا يصحّ استنابة من يرى عدم وجوب السورة مع العلم بعدم قراءتها للصلاة ولا يصحّ الايتمام به ، وكذا إذا كان من الأحكام فلا يحلّ أكل الذبيحة التي يرى بعضهم حلّيتها عند فري الودجين مثلا ، وأمّا إذا كان </w:t>
      </w:r>
      <w:r>
        <w:rPr>
          <w:rStyle w:val="FootnoteAnchor"/>
          <w:rtl w:val="true"/>
        </w:rPr>
        <w:footnoteReference w:id="2676"/>
      </w:r>
      <w:r>
        <w:rPr>
          <w:rFonts w:ascii="Amiri" w:hAnsi="Amiri" w:eastAsia="Amiri" w:cs="Amiri"/>
          <w:color w:val="111111"/>
          <w:sz w:val="28"/>
          <w:sz w:val="28"/>
          <w:szCs w:val="28"/>
          <w:rtl w:val="true"/>
          <w:lang w:bidi="ar-SA"/>
        </w:rPr>
        <w:t xml:space="preserve">الفعل معاملة كما إذا باع أحدهما بالفارسية أو </w:t>
      </w:r>
    </w:p>
    <w:p>
      <w:pPr>
        <w:pStyle w:val="BookText"/>
        <w:rPr/>
      </w:pPr>
      <w:r>
        <w:rPr>
          <w:rFonts w:ascii="Amiri" w:hAnsi="Amiri" w:eastAsia="Amiri" w:cs="Amiri"/>
          <w:color w:val="111111"/>
          <w:sz w:val="28"/>
          <w:sz w:val="28"/>
          <w:szCs w:val="28"/>
          <w:rtl w:val="true"/>
          <w:lang w:bidi="ar-SA"/>
        </w:rPr>
        <w:t xml:space="preserve">بالمعاطاة فالذي قوّيناه </w:t>
      </w:r>
      <w:r>
        <w:rPr>
          <w:rStyle w:val="FootnoteAnchor"/>
          <w:rtl w:val="true"/>
        </w:rPr>
        <w:footnoteReference w:id="2677"/>
      </w:r>
      <w:r>
        <w:rPr>
          <w:rFonts w:ascii="Amiri" w:hAnsi="Amiri" w:eastAsia="Amiri" w:cs="Amiri"/>
          <w:color w:val="111111"/>
          <w:sz w:val="28"/>
          <w:sz w:val="28"/>
          <w:szCs w:val="28"/>
          <w:rtl w:val="true"/>
          <w:lang w:bidi="ar-SA"/>
        </w:rPr>
        <w:t xml:space="preserve">في محلّه هو إمضاء هذه المعاملة بترتيب </w:t>
      </w:r>
      <w:r>
        <w:rPr>
          <w:rStyle w:val="FootnoteAnchor"/>
          <w:rtl w:val="true"/>
        </w:rPr>
        <w:footnoteReference w:id="2678"/>
      </w:r>
      <w:r>
        <w:rPr>
          <w:rFonts w:ascii="Amiri" w:hAnsi="Amiri" w:eastAsia="Amiri" w:cs="Amiri"/>
          <w:color w:val="111111"/>
          <w:sz w:val="28"/>
          <w:sz w:val="28"/>
          <w:szCs w:val="28"/>
          <w:rtl w:val="true"/>
          <w:lang w:bidi="ar-SA"/>
        </w:rPr>
        <w:t>آثار الملك عليها ، والوجه في الفرق بينهما مذكور في محلّه ، وأمّا إذا كان المدرك أمرا باطلا فلا عبرة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الأصل المذكور يعمّ المسلم بأقسامه من المؤمن والمخالف والكافر أيضا ، أو يختصّ </w:t>
      </w:r>
      <w:r>
        <w:rPr>
          <w:rStyle w:val="FootnoteAnchor"/>
          <w:rtl w:val="true"/>
        </w:rPr>
        <w:footnoteReference w:id="2679"/>
      </w:r>
      <w:r>
        <w:rPr>
          <w:rFonts w:ascii="IRNazanin" w:hAnsi="IRNazanin" w:eastAsia="IRNazanin"/>
          <w:color w:val="111111"/>
          <w:sz w:val="28"/>
          <w:sz w:val="28"/>
          <w:szCs w:val="28"/>
          <w:rtl w:val="true"/>
          <w:lang w:bidi="fa-IR"/>
        </w:rPr>
        <w:t xml:space="preserve">بالمسلم </w:t>
      </w:r>
      <w:r>
        <w:rPr>
          <w:rStyle w:val="FootnoteAnchor"/>
          <w:rtl w:val="true"/>
        </w:rPr>
        <w:footnoteReference w:id="2680"/>
      </w:r>
      <w:r>
        <w:rPr>
          <w:rFonts w:ascii="Amiri" w:hAnsi="Amiri" w:eastAsia="Amiri" w:cs="Amiri"/>
          <w:color w:val="111111"/>
          <w:sz w:val="28"/>
          <w:sz w:val="28"/>
          <w:szCs w:val="28"/>
          <w:rtl w:val="true"/>
          <w:lang w:bidi="ar-SA"/>
        </w:rPr>
        <w:t xml:space="preserve">مطلقا ، أو يخصّ </w:t>
      </w:r>
      <w:r>
        <w:rPr>
          <w:rStyle w:val="FootnoteAnchor"/>
          <w:rtl w:val="true"/>
        </w:rPr>
        <w:footnoteReference w:id="2681"/>
      </w:r>
      <w:r>
        <w:rPr>
          <w:rFonts w:ascii="Amiri" w:hAnsi="Amiri" w:eastAsia="Amiri" w:cs="Amiri"/>
          <w:color w:val="111111"/>
          <w:sz w:val="28"/>
          <w:sz w:val="28"/>
          <w:szCs w:val="28"/>
          <w:rtl w:val="true"/>
          <w:lang w:bidi="ar-SA"/>
        </w:rPr>
        <w:t xml:space="preserve">المؤمن فقط؟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الأوّل ؛ لقيام السيرة المستمرّة على حمل أفعال المخالفين والكفّار على الصحيح فيرتّبون </w:t>
      </w:r>
      <w:r>
        <w:rPr>
          <w:rStyle w:val="FootnoteAnchor"/>
          <w:rtl w:val="true"/>
        </w:rPr>
        <w:footnoteReference w:id="2682"/>
      </w:r>
      <w:r>
        <w:rPr>
          <w:rFonts w:ascii="Amiri" w:hAnsi="Amiri" w:eastAsia="Amiri" w:cs="Amiri"/>
          <w:color w:val="111111"/>
          <w:sz w:val="28"/>
          <w:sz w:val="28"/>
          <w:szCs w:val="28"/>
          <w:rtl w:val="true"/>
          <w:lang w:bidi="ar-SA"/>
        </w:rPr>
        <w:t xml:space="preserve">عليها آثارها المطلوبة منها من النقل والانتقال وإن كان ظاهر العنوان مخالفا لما ذكرنا كظاهر قول الأمير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w:t>
      </w:r>
      <w:r>
        <w:rPr>
          <w:rFonts w:eastAsia="Amiri" w:cs="Amiri" w:ascii="Amiri" w:hAnsi="Amiri"/>
          <w:color w:val="111111"/>
          <w:sz w:val="28"/>
          <w:szCs w:val="28"/>
          <w:rtl w:val="true"/>
          <w:lang w:bidi="ar-SA"/>
        </w:rPr>
        <w:t xml:space="preserve">» </w:t>
      </w:r>
      <w:r>
        <w:rPr>
          <w:rStyle w:val="FootnoteAnchor"/>
          <w:rtl w:val="true"/>
        </w:rPr>
        <w:footnoteReference w:id="2683"/>
      </w:r>
      <w:r>
        <w:rPr>
          <w:rFonts w:ascii="Amiri" w:hAnsi="Amiri" w:eastAsia="Amiri" w:cs="Amiri"/>
          <w:color w:val="111111"/>
          <w:sz w:val="28"/>
          <w:sz w:val="28"/>
          <w:szCs w:val="28"/>
          <w:rtl w:val="true"/>
          <w:lang w:bidi="ar-SA"/>
        </w:rPr>
        <w:t>لانتفاء الاخوة بين المؤمن والمخالف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ترتيب </w:t>
      </w:r>
      <w:r>
        <w:rPr>
          <w:rStyle w:val="FootnoteAnchor"/>
          <w:rtl w:val="true"/>
        </w:rPr>
        <w:footnoteReference w:id="2684"/>
      </w:r>
      <w:r>
        <w:rPr>
          <w:rFonts w:ascii="Amiri" w:hAnsi="Amiri" w:eastAsia="Amiri" w:cs="Amiri"/>
          <w:color w:val="111111"/>
          <w:sz w:val="28"/>
          <w:sz w:val="28"/>
          <w:szCs w:val="28"/>
          <w:rtl w:val="true"/>
          <w:lang w:bidi="ar-SA"/>
        </w:rPr>
        <w:t xml:space="preserve">الآثار على تلك الأفعال ليس بواسطة حمل أفعالهم على الصحيح فيما لو دار بينه وبين الفاسد ، بل بواسطة وجوب إلزامهم على أمر ألزموا </w:t>
      </w:r>
      <w:r>
        <w:rPr>
          <w:rStyle w:val="FootnoteAnchor"/>
          <w:rtl w:val="true"/>
        </w:rPr>
        <w:footnoteReference w:id="2685"/>
      </w:r>
      <w:r>
        <w:rPr>
          <w:rFonts w:ascii="Amiri" w:hAnsi="Amiri" w:eastAsia="Amiri" w:cs="Amiri"/>
          <w:color w:val="111111"/>
          <w:sz w:val="28"/>
          <w:sz w:val="28"/>
          <w:szCs w:val="28"/>
          <w:rtl w:val="true"/>
          <w:lang w:bidi="ar-SA"/>
        </w:rPr>
        <w:t xml:space="preserve">به أنفسهم كما هو مفاد النصّ ، فيجوز التصرّف في المتعارضين في عقودهم وإن كان باطلا عندنا كما في ثمن الخمر ، ولا تحلّ </w:t>
      </w:r>
      <w:r>
        <w:rPr>
          <w:rStyle w:val="FootnoteAnchor"/>
          <w:rtl w:val="true"/>
        </w:rPr>
        <w:footnoteReference w:id="2686"/>
      </w:r>
      <w:r>
        <w:rPr>
          <w:rFonts w:ascii="Amiri" w:hAnsi="Amiri" w:eastAsia="Amiri" w:cs="Amiri"/>
          <w:color w:val="111111"/>
          <w:sz w:val="28"/>
          <w:sz w:val="28"/>
          <w:szCs w:val="28"/>
          <w:rtl w:val="true"/>
          <w:lang w:bidi="ar-SA"/>
        </w:rPr>
        <w:t xml:space="preserve">لنا نساؤهم إلى غير ذلك من الآثار ما لم تكن </w:t>
      </w:r>
      <w:r>
        <w:rPr>
          <w:rStyle w:val="FootnoteAnchor"/>
          <w:rtl w:val="true"/>
        </w:rPr>
        <w:footnoteReference w:id="2687"/>
      </w:r>
      <w:r>
        <w:rPr>
          <w:rFonts w:ascii="Amiri" w:hAnsi="Amiri" w:eastAsia="Amiri" w:cs="Amiri"/>
          <w:color w:val="111111"/>
          <w:sz w:val="28"/>
          <w:sz w:val="28"/>
          <w:szCs w:val="28"/>
          <w:rtl w:val="true"/>
          <w:lang w:bidi="ar-SA"/>
        </w:rPr>
        <w:t>متجاوزة عنهم إلينا ، وأمّا مع التجاوز كما في معاملتهم بشيء معاملة الطهارة أو النجاسة فلا يحمل على الصحّة كما لا يخفى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الصحّة لا تقضي </w:t>
      </w:r>
      <w:r>
        <w:rPr>
          <w:rStyle w:val="FootnoteAnchor"/>
          <w:rtl w:val="true"/>
        </w:rPr>
        <w:footnoteReference w:id="2688"/>
      </w:r>
      <w:r>
        <w:rPr>
          <w:rFonts w:ascii="Amiri" w:hAnsi="Amiri" w:eastAsia="Amiri" w:cs="Amiri"/>
          <w:color w:val="111111"/>
          <w:sz w:val="28"/>
          <w:sz w:val="28"/>
          <w:szCs w:val="28"/>
          <w:rtl w:val="true"/>
          <w:lang w:bidi="ar-SA"/>
        </w:rPr>
        <w:t xml:space="preserve">إلاّ بإثبات </w:t>
      </w:r>
      <w:r>
        <w:rPr>
          <w:rStyle w:val="FootnoteAnchor"/>
          <w:rtl w:val="true"/>
        </w:rPr>
        <w:footnoteReference w:id="2689"/>
      </w:r>
      <w:r>
        <w:rPr>
          <w:rFonts w:ascii="Amiri" w:hAnsi="Amiri" w:eastAsia="Amiri" w:cs="Amiri"/>
          <w:color w:val="111111"/>
          <w:sz w:val="28"/>
          <w:sz w:val="28"/>
          <w:szCs w:val="28"/>
          <w:rtl w:val="true"/>
          <w:lang w:bidi="ar-SA"/>
        </w:rPr>
        <w:t xml:space="preserve">الصحّة من الجهة المشكوكة ، </w:t>
      </w:r>
    </w:p>
    <w:p>
      <w:pPr>
        <w:pStyle w:val="BookText"/>
        <w:rPr/>
      </w:pPr>
      <w:r>
        <w:rPr>
          <w:rFonts w:ascii="Amiri" w:hAnsi="Amiri" w:eastAsia="Amiri" w:cs="Amiri"/>
          <w:color w:val="111111"/>
          <w:sz w:val="28"/>
          <w:sz w:val="28"/>
          <w:szCs w:val="28"/>
          <w:rtl w:val="true"/>
          <w:lang w:bidi="ar-SA"/>
        </w:rPr>
        <w:t xml:space="preserve">وأمّا الجهة التي لا تناط </w:t>
      </w:r>
      <w:r>
        <w:rPr>
          <w:rStyle w:val="FootnoteAnchor"/>
          <w:rtl w:val="true"/>
        </w:rPr>
        <w:footnoteReference w:id="2690"/>
      </w:r>
      <w:r>
        <w:rPr>
          <w:rFonts w:ascii="Amiri" w:hAnsi="Amiri" w:eastAsia="Amiri" w:cs="Amiri"/>
          <w:color w:val="111111"/>
          <w:sz w:val="28"/>
          <w:sz w:val="28"/>
          <w:szCs w:val="28"/>
          <w:rtl w:val="true"/>
          <w:lang w:bidi="ar-SA"/>
        </w:rPr>
        <w:t xml:space="preserve">بالجهة المشكوكة فلا سبيل إلى إحرازها بالأصل المذكور ، مثلا لو شكّ في صحّة الإيجاب في العقد فحمله على الصحيح لا ينافي عدم تعقّبه </w:t>
      </w:r>
      <w:r>
        <w:rPr>
          <w:rStyle w:val="FootnoteAnchor"/>
          <w:rtl w:val="true"/>
        </w:rPr>
        <w:footnoteReference w:id="2691"/>
      </w:r>
      <w:r>
        <w:rPr>
          <w:rFonts w:ascii="Amiri" w:hAnsi="Amiri" w:eastAsia="Amiri" w:cs="Amiri"/>
          <w:color w:val="111111"/>
          <w:sz w:val="28"/>
          <w:sz w:val="28"/>
          <w:szCs w:val="28"/>
          <w:rtl w:val="true"/>
          <w:lang w:bidi="ar-SA"/>
        </w:rPr>
        <w:t>بالقبول ؛ لأنّ صحّة الإيجاب لا يناط بتعقّبه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صحّة الإيجاب بمعنى وقوعه مؤثّرا في حصول مضمونه منوط بتعقّبه للقبول وهذه ممّا لم يقم عليها دليل ، ومن هنا ينقدح فساد ما قد توهّمه بعض الأواخر انتصارا للمشهور فيما إذا اختلف الراهن والمرتهن في وقوع البيع على العين المرهونة فيما إذا أذن المرتهن بذلك قبل الإذن وبعده ، فزعم أنّ الوجه في تقديم قول المرتهن هو أصالة صحّة البيع فإنّ صحة البيع معناها وقوعه على وجه يترتّب عليه آثاره الشرعية ، و </w:t>
      </w:r>
      <w:r>
        <w:rPr>
          <w:rStyle w:val="FootnoteAnchor"/>
          <w:rtl w:val="true"/>
        </w:rPr>
        <w:footnoteReference w:id="2692"/>
      </w:r>
      <w:r>
        <w:rPr>
          <w:rFonts w:ascii="Amiri" w:hAnsi="Amiri" w:eastAsia="Amiri" w:cs="Amiri"/>
          <w:color w:val="111111"/>
          <w:sz w:val="28"/>
          <w:sz w:val="28"/>
          <w:szCs w:val="28"/>
          <w:rtl w:val="true"/>
          <w:lang w:bidi="ar-SA"/>
        </w:rPr>
        <w:t xml:space="preserve">أمّا وقوعه قبل الإذن أو بعد الإذن فمن الأمور العقلية التي لا مدخل للصحّة فيها </w:t>
      </w:r>
      <w:r>
        <w:rPr>
          <w:rStyle w:val="FootnoteAnchor"/>
          <w:rtl w:val="true"/>
        </w:rPr>
        <w:footnoteReference w:id="2693"/>
      </w:r>
      <w:r>
        <w:rPr>
          <w:rFonts w:ascii="Amiri" w:hAnsi="Amiri" w:eastAsia="Amiri" w:cs="Amiri"/>
          <w:color w:val="111111"/>
          <w:sz w:val="28"/>
          <w:sz w:val="28"/>
          <w:szCs w:val="28"/>
          <w:rtl w:val="true"/>
          <w:lang w:bidi="ar-SA"/>
        </w:rPr>
        <w:t xml:space="preserve">، ونظير ما لو تمسّك بأصالة الصحّة في الإذن فإنّ </w:t>
      </w:r>
      <w:r>
        <w:rPr>
          <w:rStyle w:val="FootnoteAnchor"/>
          <w:rtl w:val="true"/>
        </w:rPr>
        <w:footnoteReference w:id="2694"/>
      </w:r>
      <w:r>
        <w:rPr>
          <w:rFonts w:ascii="Amiri" w:hAnsi="Amiri" w:eastAsia="Amiri" w:cs="Amiri"/>
          <w:color w:val="111111"/>
          <w:sz w:val="28"/>
          <w:sz w:val="28"/>
          <w:szCs w:val="28"/>
          <w:rtl w:val="true"/>
          <w:lang w:bidi="ar-SA"/>
        </w:rPr>
        <w:t xml:space="preserve">حمل الإذن على الصحيح لا يقضي </w:t>
      </w:r>
      <w:r>
        <w:rPr>
          <w:rStyle w:val="FootnoteAnchor"/>
          <w:rtl w:val="true"/>
        </w:rPr>
        <w:footnoteReference w:id="2695"/>
      </w:r>
      <w:r>
        <w:rPr>
          <w:rFonts w:ascii="Amiri" w:hAnsi="Amiri" w:eastAsia="Amiri" w:cs="Amiri"/>
          <w:color w:val="111111"/>
          <w:sz w:val="28"/>
          <w:sz w:val="28"/>
          <w:szCs w:val="28"/>
          <w:rtl w:val="true"/>
          <w:lang w:bidi="ar-SA"/>
        </w:rPr>
        <w:t>بوقوع البيع بعد الإذن كما هو المطلوب ، ومن هنا نقول بتقديم قول منكر الإجارة والقبض في الفضولي والصرف والهبة مع جريان أصالة الصحّة في البيع والهبة كما لا يخفى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بعض من لا دربة </w:t>
      </w:r>
      <w:r>
        <w:rPr>
          <w:rStyle w:val="FootnoteAnchor"/>
          <w:rtl w:val="true"/>
        </w:rPr>
        <w:footnoteReference w:id="2696"/>
      </w:r>
      <w:r>
        <w:rPr>
          <w:rFonts w:ascii="Amiri" w:hAnsi="Amiri" w:eastAsia="Amiri" w:cs="Amiri"/>
          <w:color w:val="111111"/>
          <w:sz w:val="28"/>
          <w:sz w:val="28"/>
          <w:szCs w:val="28"/>
          <w:rtl w:val="true"/>
          <w:lang w:bidi="ar-SA"/>
        </w:rPr>
        <w:t xml:space="preserve">له إنكار جريان أصالة حمل الفعل على الصحيح فيما إذا كان الفاعل هو الغير ، وهو على إطلاقه من أسخف الاحتمالات ؛ لظهور أنّ مدارك الأصل إنّما هي تجري </w:t>
      </w:r>
      <w:r>
        <w:rPr>
          <w:rStyle w:val="FootnoteAnchor"/>
          <w:rtl w:val="true"/>
        </w:rPr>
        <w:footnoteReference w:id="2697"/>
      </w:r>
      <w:r>
        <w:rPr>
          <w:rFonts w:ascii="Amiri" w:hAnsi="Amiri" w:eastAsia="Amiri" w:cs="Amiri"/>
          <w:color w:val="111111"/>
          <w:sz w:val="28"/>
          <w:sz w:val="28"/>
          <w:szCs w:val="28"/>
          <w:rtl w:val="true"/>
          <w:lang w:bidi="ar-SA"/>
        </w:rPr>
        <w:t xml:space="preserve">في فعل الغير فقط ، ولذلك أفردناه </w:t>
      </w:r>
      <w:r>
        <w:rPr>
          <w:rStyle w:val="FootnoteAnchor"/>
          <w:rtl w:val="true"/>
        </w:rPr>
        <w:footnoteReference w:id="2698"/>
      </w:r>
      <w:r>
        <w:rPr>
          <w:rFonts w:ascii="IRNazanin" w:hAnsi="IRNazanin" w:eastAsia="IRNazanin"/>
          <w:color w:val="111111"/>
          <w:sz w:val="28"/>
          <w:sz w:val="28"/>
          <w:szCs w:val="28"/>
          <w:rtl w:val="true"/>
          <w:lang w:bidi="fa-IR"/>
        </w:rPr>
        <w:t xml:space="preserve">عن الأصل المتقدّم </w:t>
      </w:r>
      <w:r>
        <w:rPr>
          <w:rStyle w:val="FootnoteAnchor"/>
          <w:rtl w:val="true"/>
        </w:rPr>
        <w:footnoteReference w:id="2699"/>
      </w:r>
      <w:r>
        <w:rPr>
          <w:rFonts w:ascii="Amiri" w:hAnsi="Amiri" w:eastAsia="Amiri" w:cs="Amiri"/>
          <w:color w:val="111111"/>
          <w:sz w:val="28"/>
          <w:sz w:val="28"/>
          <w:szCs w:val="28"/>
          <w:rtl w:val="true"/>
          <w:lang w:bidi="ar-SA"/>
        </w:rPr>
        <w:t>في هداية مستقلّة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في المقام شيء يجب الالتفات إليه وهو أنّ الأفعال الصادرة عن الغير على وجوه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متعلقا لتكليف الحامل إلاّ على وجه عرضي فرضي ، كما لو باع شيئا وشكّ في صحّته وفساده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متعلّقا لتكليفه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الوجوب الكفائي ، كما في دفن الأموات وكفنها والصلاة عليها والقضاء بين المسلمين ونحوها من الواجبات الكفائية المتعلّقة بجميع أرباب التكليف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الوجوب الكفائي ، كما فيما </w:t>
      </w:r>
      <w:r>
        <w:rPr>
          <w:rStyle w:val="FootnoteAnchor"/>
          <w:rtl w:val="true"/>
        </w:rPr>
        <w:footnoteReference w:id="2700"/>
      </w:r>
      <w:r>
        <w:rPr>
          <w:rFonts w:ascii="Amiri" w:hAnsi="Amiri" w:eastAsia="Amiri" w:cs="Amiri"/>
          <w:color w:val="111111"/>
          <w:sz w:val="28"/>
          <w:sz w:val="28"/>
          <w:szCs w:val="28"/>
          <w:rtl w:val="true"/>
          <w:lang w:bidi="ar-SA"/>
        </w:rPr>
        <w:t>لو استناب أحدا ليعمل عنه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جريان أصالة الصحّة في الأوّل وإن كان صحّة الفعل مؤدّيا إلى ما هو متعلّق بتكليف </w:t>
      </w:r>
      <w:r>
        <w:rPr>
          <w:rStyle w:val="FootnoteAnchor"/>
          <w:rtl w:val="true"/>
        </w:rPr>
        <w:footnoteReference w:id="2701"/>
      </w:r>
      <w:r>
        <w:rPr>
          <w:rFonts w:ascii="Amiri" w:hAnsi="Amiri" w:eastAsia="Amiri" w:cs="Amiri"/>
          <w:color w:val="111111"/>
          <w:sz w:val="28"/>
          <w:sz w:val="28"/>
          <w:szCs w:val="28"/>
          <w:rtl w:val="true"/>
          <w:lang w:bidi="ar-SA"/>
        </w:rPr>
        <w:t>الحامل بالعرض ، كما لو نذر التصدّق بشاة مخصوصة باعها غيره ، فإنّ أصالة الصحّة في البيع المذكور يكفي في الحكم ببراءة ذمّته عن النذر فيما لو تصدّق بها كما أنّه لا ريب في كفاية أصالة الصحّة في الواجبات الكفائية ، ولذلك لا تراهم بعد علمهم بمباشرة واحد من أهل الكفّار بالفعل متفحّصين عن وجه الفعل وصحّته وفساده وليس ذلك إلاّ بواسطة الحمل على الصحّة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الأخير فقد يظهر من جماعة اعتبار العدالة في النائب وعدم اكتفائهم بحمل فعله </w:t>
      </w:r>
      <w:r>
        <w:rPr>
          <w:rStyle w:val="FootnoteAnchor"/>
          <w:rtl w:val="true"/>
        </w:rPr>
        <w:footnoteReference w:id="2702"/>
      </w:r>
      <w:r>
        <w:rPr>
          <w:rFonts w:ascii="Amiri" w:hAnsi="Amiri" w:eastAsia="Amiri" w:cs="Amiri"/>
          <w:color w:val="111111"/>
          <w:sz w:val="28"/>
          <w:sz w:val="28"/>
          <w:szCs w:val="28"/>
          <w:rtl w:val="true"/>
          <w:lang w:bidi="ar-SA"/>
        </w:rPr>
        <w:t>على الصحيح من حيث إنّه متعلّق بتكليفه وإن كان يحمل عليه من جهة تعلّقه بالفاعل ، مثلا لو استناب أحدا للحجّ الواجب عليه فأصالة الصحّة في فعل النائب يجدي في استحقاقه الأجرة ولا يجدي في الحكم ببراءة ذمّة المنوب عنه ، فاعتبروا في ذلك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ذلك من حيث عدم ظهور الفرق بينه وبين القسم الثاني من الواجبات الكفائية ، ولعلّ الوجه في الفرق بينهما أنّ المطلوب في الواجب الكفائي هو وقوع الفعل صحيحا في الخارج فهو مركّب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وجود الفعل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على وجه الصحّة ، وكلاهما محرزان ، أمّا الأوّل </w:t>
      </w:r>
      <w:bookmarkStart w:id="304" w:name="pg16284_171465"/>
    </w:p>
    <w:p>
      <w:pPr>
        <w:pStyle w:val="BookText"/>
        <w:rPr/>
      </w:pPr>
      <w:bookmarkEnd w:id="304"/>
      <w:r>
        <w:rPr>
          <w:rFonts w:ascii="Amiri" w:hAnsi="Amiri" w:eastAsia="Amiri" w:cs="Amiri"/>
          <w:color w:val="111111"/>
          <w:sz w:val="28"/>
          <w:sz w:val="28"/>
          <w:szCs w:val="28"/>
          <w:rtl w:val="true"/>
          <w:lang w:bidi="ar-SA"/>
        </w:rPr>
        <w:t xml:space="preserve">فبالفرض ، وأمّا الثاني فبالأصل ، فلا وجه للقول بعدم الاكتفاء ، والمطلوب في أعمال النائب هو وقوع الفعل في الخارج صحيحا عن المنوب عنه ، فهو مركّب من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وثانيها </w:t>
      </w:r>
      <w:r>
        <w:rPr>
          <w:rStyle w:val="FootnoteAnchor"/>
          <w:rtl w:val="true"/>
        </w:rPr>
        <w:footnoteReference w:id="2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عنه ، وغاية ما يستفاد من الأصل هو وقوعه صحيحا ، وأمّا وقوعه صحيحا عنه فلا يقضي </w:t>
      </w:r>
      <w:r>
        <w:rPr>
          <w:rStyle w:val="FootnoteAnchor"/>
          <w:rtl w:val="true"/>
        </w:rPr>
        <w:footnoteReference w:id="2704"/>
      </w:r>
      <w:r>
        <w:rPr>
          <w:rFonts w:ascii="Amiri" w:hAnsi="Amiri" w:eastAsia="Amiri" w:cs="Amiri"/>
          <w:color w:val="111111"/>
          <w:sz w:val="28"/>
          <w:sz w:val="28"/>
          <w:szCs w:val="28"/>
          <w:rtl w:val="true"/>
          <w:lang w:bidi="ar-SA"/>
        </w:rPr>
        <w:t xml:space="preserve">أصالة الصحّة به فلا بدّ في إحراز ذلك </w:t>
      </w:r>
      <w:r>
        <w:rPr>
          <w:rStyle w:val="FootnoteAnchor"/>
          <w:rtl w:val="true"/>
        </w:rPr>
        <w:footnoteReference w:id="2705"/>
      </w:r>
      <w:r>
        <w:rPr>
          <w:rFonts w:ascii="Amiri" w:hAnsi="Amiri" w:eastAsia="Amiri" w:cs="Amiri"/>
          <w:color w:val="111111"/>
          <w:sz w:val="28"/>
          <w:sz w:val="28"/>
          <w:szCs w:val="28"/>
          <w:rtl w:val="true"/>
          <w:lang w:bidi="ar-SA"/>
        </w:rPr>
        <w:t xml:space="preserve">من التماس وجه آخر كاخباره إذا كان ممّن يعتدّ بأخباره كما إذا كان عادلا ، كذا أفاد ولعمري إنّه </w:t>
      </w:r>
      <w:r>
        <w:rPr>
          <w:rStyle w:val="FootnoteAnchor"/>
          <w:rtl w:val="true"/>
        </w:rPr>
        <w:footnoteReference w:id="2706"/>
      </w:r>
      <w:r>
        <w:rPr>
          <w:rFonts w:ascii="Amiri" w:hAnsi="Amiri" w:eastAsia="Amiri" w:cs="Amiri"/>
          <w:color w:val="111111"/>
          <w:sz w:val="28"/>
          <w:sz w:val="28"/>
          <w:szCs w:val="28"/>
          <w:rtl w:val="true"/>
          <w:lang w:bidi="ar-SA"/>
        </w:rPr>
        <w:t>قد أجاد فهو الجواد الذي لا يكبو</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5012216_1280447820"/>
      <w:bookmarkStart w:id="306" w:name="_Toc97"/>
      <w:bookmarkEnd w:id="305"/>
      <w:r>
        <w:rPr>
          <w:rtl w:val="true"/>
        </w:rPr>
        <w:t>المطلب الثاني</w:t>
      </w:r>
      <w:bookmarkEnd w:id="306"/>
    </w:p>
    <w:p>
      <w:pPr>
        <w:pStyle w:val="BookText"/>
        <w:rPr/>
      </w:pPr>
      <w:r>
        <w:rPr>
          <w:rFonts w:ascii="Amiri" w:hAnsi="Amiri" w:eastAsia="Amiri" w:cs="Amiri"/>
          <w:color w:val="111111"/>
          <w:sz w:val="28"/>
          <w:sz w:val="28"/>
          <w:szCs w:val="28"/>
          <w:rtl w:val="true"/>
          <w:lang w:bidi="ar-SA"/>
        </w:rPr>
        <w:t xml:space="preserve">المطلب الثاني </w:t>
      </w:r>
      <w:r>
        <w:rPr>
          <w:rStyle w:val="FootnoteAnchor"/>
          <w:rtl w:val="true"/>
        </w:rPr>
        <w:footnoteReference w:id="2707"/>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تعارضها مع الاستصحاب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تقدّم </w:t>
      </w:r>
      <w:r>
        <w:rPr>
          <w:rStyle w:val="FootnoteAnchor"/>
          <w:rtl w:val="true"/>
        </w:rPr>
        <w:footnoteReference w:id="2708"/>
      </w:r>
      <w:r>
        <w:rPr>
          <w:rFonts w:ascii="Amiri" w:hAnsi="Amiri" w:eastAsia="Amiri" w:cs="Amiri"/>
          <w:color w:val="111111"/>
          <w:sz w:val="28"/>
          <w:sz w:val="28"/>
          <w:szCs w:val="28"/>
          <w:rtl w:val="true"/>
          <w:lang w:bidi="ar-SA"/>
        </w:rPr>
        <w:t xml:space="preserve">أصالة الصحّة على استصحاب حكمي عدمي لا ينفكّ عنه دائما وهو استصحاب الفساد </w:t>
      </w:r>
      <w:r>
        <w:rPr>
          <w:rStyle w:val="FootnoteAnchor"/>
          <w:rtl w:val="true"/>
        </w:rPr>
        <w:footnoteReference w:id="2709"/>
      </w:r>
      <w:r>
        <w:rPr>
          <w:rFonts w:ascii="Amiri" w:hAnsi="Amiri" w:eastAsia="Amiri" w:cs="Amiri"/>
          <w:color w:val="111111"/>
          <w:sz w:val="28"/>
          <w:sz w:val="28"/>
          <w:szCs w:val="28"/>
          <w:rtl w:val="true"/>
          <w:lang w:bidi="ar-SA"/>
        </w:rPr>
        <w:t xml:space="preserve">المعمول في كلّ المعاملات والعبادات وعدم وقوع العقد على وجه يترتّب </w:t>
      </w:r>
      <w:r>
        <w:rPr>
          <w:rStyle w:val="FootnoteAnchor"/>
          <w:rtl w:val="true"/>
        </w:rPr>
        <w:footnoteReference w:id="2710"/>
      </w:r>
      <w:r>
        <w:rPr>
          <w:rFonts w:ascii="Amiri" w:hAnsi="Amiri" w:eastAsia="Amiri" w:cs="Amiri"/>
          <w:color w:val="111111"/>
          <w:sz w:val="28"/>
          <w:sz w:val="28"/>
          <w:szCs w:val="28"/>
          <w:rtl w:val="true"/>
          <w:lang w:bidi="ar-SA"/>
        </w:rPr>
        <w:t xml:space="preserve">عليه الأثر ، وإلاّ فلم يكن لجعل الأصل المذكور مورد </w:t>
      </w:r>
      <w:r>
        <w:rPr>
          <w:rStyle w:val="FootnoteAnchor"/>
          <w:rtl w:val="true"/>
        </w:rPr>
        <w:footnoteReference w:id="2711"/>
      </w:r>
      <w:r>
        <w:rPr>
          <w:rFonts w:ascii="Amiri" w:hAnsi="Amiri" w:eastAsia="Amiri" w:cs="Amiri"/>
          <w:color w:val="111111"/>
          <w:sz w:val="28"/>
          <w:sz w:val="28"/>
          <w:szCs w:val="28"/>
          <w:rtl w:val="true"/>
          <w:lang w:bidi="ar-SA"/>
        </w:rPr>
        <w:t xml:space="preserve">كما قد عرفت ورود أصالة وقوع الفعل فيما تجاوز محلّه على أصالة عدم وقوعه ، ولا ينبغي الإشكال أيضا في تقدّم </w:t>
      </w:r>
      <w:r>
        <w:rPr>
          <w:rStyle w:val="FootnoteAnchor"/>
          <w:rtl w:val="true"/>
        </w:rPr>
        <w:footnoteReference w:id="2712"/>
      </w:r>
      <w:r>
        <w:rPr>
          <w:rFonts w:ascii="Amiri" w:hAnsi="Amiri" w:eastAsia="Amiri" w:cs="Amiri"/>
          <w:color w:val="111111"/>
          <w:sz w:val="28"/>
          <w:sz w:val="28"/>
          <w:szCs w:val="28"/>
          <w:rtl w:val="true"/>
          <w:lang w:bidi="ar-SA"/>
        </w:rPr>
        <w:t xml:space="preserve">أصالة الصحّة على استصحاب موضوعي لا ينفكّ عنه دائما أيضا وهو أصالة عدم وقوع هذا الفعل المخصوص المشكوك صحّته وفساده صحيحا ، ولا يعارضه أصالة عدم وقوعه فاسدا كما هو الشأن في جميع الأصول الخارجة في الأمور الحادثة ؛ لعدم ترتّب شيء على </w:t>
      </w:r>
    </w:p>
    <w:p>
      <w:pPr>
        <w:pStyle w:val="BookText"/>
        <w:rPr/>
      </w:pPr>
      <w:r>
        <w:rPr>
          <w:rFonts w:ascii="Amiri" w:hAnsi="Amiri" w:eastAsia="Amiri" w:cs="Amiri"/>
          <w:color w:val="111111"/>
          <w:sz w:val="28"/>
          <w:sz w:val="28"/>
          <w:szCs w:val="28"/>
          <w:rtl w:val="true"/>
          <w:lang w:bidi="ar-SA"/>
        </w:rPr>
        <w:t>أصالة عدم وقوعه فاسدا إلاّ على القول بالأصول المثبتة التي لا تعويل عليها عند التحقيق ، لأنّ القول بتقديم هذا الاستصحاب على أصالة الصحّة هدم لما أسّسناه من القول بالأصل المذكور ، واللازم ضروري الفساد ؛ لما عرفت من المفاسد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تقديم أصالة الصحّة على استصحاب موضوعي ينفكّ عنه في بعض الأحيان ، وهو أصالة عدم وقوع الموضوع الذي يشكّ من جهته في صحّة العقد وفساده ، مثلا إذا شكّ في صحّة العقد بواسطة الشكّ في رؤية المبيع أو بواسطة الشكّ في القبض في الصرف أو في الهبة ، فالأصل عدم وقوع الرؤية وعدم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انفكاكه عنه أنّ الشكّ في الصحّة قد يكون بواسطة وقوع العقد على واحد من الحادثين ، وقد يكون بواسطة وجود أمر معلوم العدم في السابق ، أو انتفاء أمر معلوم الوجود في السابق ، فعلى الأخيرين يتعارضان بخلاف الأوّل ؛ لأنّ الأصل الموضوعي على الأوّل متعارضان ، كما إذا شكّ في وقوع العقد على الخلّ أو الخمر ، أو وقوعه في الإحلال أو الإحرام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 فهل الأصل المذكور مقدّم على الاستصحاب الموضوعي الذي ينفكّ عنه مع كونه مزيلا للشكّ في الصحّة والفساد ، أو لا؟ فيه إشكال نظرا إلى اختلاف كلمات الفحول في المقام وعدم مساعدة الأصول عليه أيضا ، فإنّ المحقّق في مقامه أنّ الأصول التي هي مزيلة للشكّ المأخوذ في موضوع الأصول الأخر مقدّمة عليها وقضيّة ذلك تقديم الاستصحاب الموضوعي عليه ، ومع ذلك فلا نرى للتقديم وجها وجيها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العلاّمة </w:t>
      </w:r>
      <w:r>
        <w:rPr>
          <w:rStyle w:val="FootnoteAnchor"/>
          <w:rtl w:val="true"/>
        </w:rPr>
        <w:footnoteReference w:id="2713"/>
      </w:r>
      <w:r>
        <w:rPr>
          <w:rFonts w:ascii="Amiri" w:hAnsi="Amiri" w:eastAsia="Amiri" w:cs="Amiri"/>
          <w:color w:val="111111"/>
          <w:sz w:val="28"/>
          <w:sz w:val="28"/>
          <w:szCs w:val="28"/>
          <w:rtl w:val="true"/>
          <w:lang w:bidi="ar-SA"/>
        </w:rPr>
        <w:t xml:space="preserve">تقديم الاستصحاب عليه وتبعه في ذلك أوّل الشهيدين وثاني المحقّقين ، قال العلاّمة في كتاب الضمان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من الصبيّ وإن أذن له الوليّ ، فإن </w:t>
      </w:r>
      <w:r>
        <w:rPr>
          <w:rStyle w:val="FootnoteAnchor"/>
          <w:rtl w:val="true"/>
        </w:rPr>
        <w:footnoteReference w:id="2714"/>
      </w:r>
      <w:r>
        <w:rPr>
          <w:rFonts w:ascii="Amiri" w:hAnsi="Amiri" w:eastAsia="Amiri" w:cs="Amiri"/>
          <w:color w:val="111111"/>
          <w:sz w:val="28"/>
          <w:sz w:val="28"/>
          <w:szCs w:val="28"/>
          <w:rtl w:val="true"/>
          <w:lang w:bidi="ar-SA"/>
        </w:rPr>
        <w:t xml:space="preserve">اختلفا قدّم قول الضامن ؛ لأصالة براءة الذمّة وعدم البلوغ </w:t>
      </w:r>
      <w:r>
        <w:rPr>
          <w:rStyle w:val="FootnoteAnchor"/>
          <w:rtl w:val="true"/>
        </w:rPr>
        <w:footnoteReference w:id="2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المضمون له أنّ الضامن ضمن بعد البلوغ وقال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ضمنت لك قبله ، فإن عيّنا الضمان </w:t>
      </w:r>
      <w:r>
        <w:rPr>
          <w:rStyle w:val="FootnoteAnchor"/>
          <w:rtl w:val="true"/>
        </w:rPr>
        <w:footnoteReference w:id="2716"/>
      </w:r>
      <w:r>
        <w:rPr>
          <w:rFonts w:ascii="Amiri" w:hAnsi="Amiri" w:eastAsia="Amiri" w:cs="Amiri"/>
          <w:color w:val="111111"/>
          <w:sz w:val="28"/>
          <w:sz w:val="28"/>
          <w:szCs w:val="28"/>
          <w:rtl w:val="true"/>
          <w:lang w:bidi="ar-SA"/>
        </w:rPr>
        <w:t xml:space="preserve">وقتا وكان البلوغ </w:t>
      </w:r>
      <w:r>
        <w:rPr>
          <w:rStyle w:val="FootnoteAnchor"/>
          <w:rtl w:val="true"/>
        </w:rPr>
        <w:footnoteReference w:id="2717"/>
      </w:r>
      <w:r>
        <w:rPr>
          <w:rFonts w:ascii="Amiri" w:hAnsi="Amiri" w:eastAsia="Amiri" w:cs="Amiri"/>
          <w:color w:val="111111"/>
          <w:sz w:val="28"/>
          <w:sz w:val="28"/>
          <w:szCs w:val="28"/>
          <w:rtl w:val="true"/>
          <w:lang w:bidi="ar-SA"/>
        </w:rPr>
        <w:t xml:space="preserve">غير محتمل فيه قدّم قول الصبيّ ، لحصول العلم بعدم البلوغ ولا يمين على الصبي لأنّها إنّما تثبت في المحتمل ، وإن كان الصغر غير محتمل قدّم قول المضمون له من غير يمين ؛ للعلم بصدقه ، فإن احتمل </w:t>
      </w:r>
      <w:r>
        <w:rPr>
          <w:rStyle w:val="FootnoteAnchor"/>
          <w:rtl w:val="true"/>
        </w:rPr>
        <w:footnoteReference w:id="2718"/>
      </w:r>
      <w:r>
        <w:rPr>
          <w:rFonts w:ascii="IRNazanin" w:hAnsi="IRNazanin" w:eastAsia="IRNazanin"/>
          <w:color w:val="111111"/>
          <w:sz w:val="28"/>
          <w:sz w:val="28"/>
          <w:szCs w:val="28"/>
          <w:rtl w:val="true"/>
          <w:lang w:bidi="fa-IR"/>
        </w:rPr>
        <w:t xml:space="preserve">الأمران و </w:t>
      </w:r>
      <w:r>
        <w:rPr>
          <w:rStyle w:val="FootnoteAnchor"/>
          <w:rtl w:val="true"/>
        </w:rPr>
        <w:footnoteReference w:id="2719"/>
      </w:r>
      <w:r>
        <w:rPr>
          <w:rFonts w:ascii="Amiri" w:hAnsi="Amiri" w:eastAsia="Amiri" w:cs="Amiri"/>
          <w:color w:val="111111"/>
          <w:sz w:val="28"/>
          <w:sz w:val="28"/>
          <w:szCs w:val="28"/>
          <w:rtl w:val="true"/>
          <w:lang w:bidi="ar-SA"/>
        </w:rPr>
        <w:t xml:space="preserve">لم يعيّنا له وقتا فالقول قول الضامن مع يمينه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فحكم العلاّمة بتقديم قول الصبيّ في هذه الصورة مع جريان أصالة الصحّة يكشف عن تقديمه أصالة عدم الصبيّ على أصالة الصحّة ، وقوله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لمدّعي الصحّة أصل يعوّل عليه ولا ظاهر يستند إليه ، صريح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الشهيد رحمه‌اللّه </w:t>
      </w:r>
      <w:r>
        <w:rPr>
          <w:rStyle w:val="FootnoteAnchor"/>
          <w:rtl w:val="true"/>
        </w:rPr>
        <w:footnoteReference w:id="2721"/>
      </w:r>
      <w:r>
        <w:rPr>
          <w:rFonts w:ascii="Amiri" w:hAnsi="Amiri" w:eastAsia="Amiri" w:cs="Amiri"/>
          <w:color w:val="111111"/>
          <w:sz w:val="28"/>
          <w:sz w:val="28"/>
          <w:szCs w:val="28"/>
          <w:rtl w:val="true"/>
          <w:lang w:bidi="ar-SA"/>
        </w:rPr>
        <w:t xml:space="preserve">بمعارضة أصالة الصحّة لأصالة عدم الصبيّ وحكم بالرجوع إلى أصالة البراءة ، وقد عرفت أنّ المحقّق الثاني أيضا قد اختار مذهب مصنّفه في شرح العبارة ، ويظهر من الشهيد الثاني </w:t>
      </w:r>
      <w:r>
        <w:rPr>
          <w:rStyle w:val="FootnoteAnchor"/>
          <w:rtl w:val="true"/>
        </w:rPr>
        <w:footnoteReference w:id="2722"/>
      </w:r>
      <w:r>
        <w:rPr>
          <w:rFonts w:ascii="Amiri" w:hAnsi="Amiri" w:eastAsia="Amiri" w:cs="Amiri"/>
          <w:color w:val="111111"/>
          <w:sz w:val="28"/>
          <w:sz w:val="28"/>
          <w:szCs w:val="28"/>
          <w:rtl w:val="true"/>
          <w:lang w:bidi="ar-SA"/>
        </w:rPr>
        <w:t>تقديم أصالة الصحّة على الاستصحاب في جملة من الموارد ، ولعلّه هو الأقرب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يحتاج إلى تمهيد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لزوم الأخذ بأصالة الصحّة فيما إذا كان الشكّ في الصحّة وعدمها </w:t>
      </w:r>
      <w:r>
        <w:rPr>
          <w:rStyle w:val="FootnoteAnchor"/>
          <w:rtl w:val="true"/>
        </w:rPr>
        <w:footnoteReference w:id="2723"/>
      </w:r>
      <w:r>
        <w:rPr>
          <w:rFonts w:ascii="Amiri" w:hAnsi="Amiri" w:eastAsia="Amiri" w:cs="Amiri"/>
          <w:color w:val="111111"/>
          <w:sz w:val="28"/>
          <w:sz w:val="28"/>
          <w:szCs w:val="28"/>
          <w:rtl w:val="true"/>
          <w:lang w:bidi="ar-SA"/>
        </w:rPr>
        <w:t xml:space="preserve">مستندا إلى الشكّ في وقوع العقد على أحد الحادثين لتساقط الأصل من الجانبين ، فلا بدّ من الرجوع إلى أصالة الصحّة على تقدير تأخيرها عنه أيضا ، وأمّا إذا كان الشكّ مسبّبا عن الشكّ في وجود أمر غير معلوم كما في الشكّ في الصحة الناشئة عن الشكّ في الرؤية فلا بدّ من ملاحظة أنّ الثابت بأصالة </w:t>
      </w:r>
    </w:p>
    <w:p>
      <w:pPr>
        <w:pStyle w:val="BookText"/>
        <w:rPr/>
      </w:pPr>
      <w:r>
        <w:rPr>
          <w:rFonts w:ascii="Amiri" w:hAnsi="Amiri" w:eastAsia="Amiri" w:cs="Amiri"/>
          <w:color w:val="111111"/>
          <w:sz w:val="28"/>
          <w:sz w:val="28"/>
          <w:szCs w:val="28"/>
          <w:rtl w:val="true"/>
          <w:lang w:bidi="ar-SA"/>
        </w:rPr>
        <w:t xml:space="preserve">الصحّة ما ذا فهل هو مجرّد وصف الصحّة بدون الموصوف فيحكم بترتيب </w:t>
      </w:r>
      <w:r>
        <w:rPr>
          <w:rStyle w:val="FootnoteAnchor"/>
          <w:rtl w:val="true"/>
        </w:rPr>
        <w:footnoteReference w:id="2724"/>
      </w:r>
      <w:r>
        <w:rPr>
          <w:rFonts w:ascii="Amiri" w:hAnsi="Amiri" w:eastAsia="Amiri" w:cs="Amiri"/>
          <w:color w:val="111111"/>
          <w:sz w:val="28"/>
          <w:sz w:val="28"/>
          <w:szCs w:val="28"/>
          <w:rtl w:val="true"/>
          <w:lang w:bidi="ar-SA"/>
        </w:rPr>
        <w:t xml:space="preserve">آثار الوصف فقط دون الموصوف ، أو وصف الصحّة في موصوف بقدر احتياجه </w:t>
      </w:r>
      <w:r>
        <w:rPr>
          <w:rStyle w:val="FootnoteAnchor"/>
          <w:rtl w:val="true"/>
        </w:rPr>
        <w:footnoteReference w:id="2725"/>
      </w:r>
      <w:r>
        <w:rPr>
          <w:rFonts w:ascii="Amiri" w:hAnsi="Amiri" w:eastAsia="Amiri" w:cs="Amiri"/>
          <w:color w:val="111111"/>
          <w:sz w:val="28"/>
          <w:sz w:val="28"/>
          <w:szCs w:val="28"/>
          <w:rtl w:val="true"/>
          <w:lang w:bidi="ar-SA"/>
        </w:rPr>
        <w:t xml:space="preserve">إليه فيحكم بثبوت الموصوف على وجه يتحمّل إثبات الوصف والصحّة ، أو يحكم بثبوت الموصوف على جميع وجوهه وعناوينه فيترتّب عليه جميع الآثار المترتّبة على ذلك الموضوع كما إذا ثبت الموضوع بالاستصحاب ، فلو قلنا بأنّ الثابت بالأصل هو الوصف فقط فلا إشكال في ورود الأصل الموضوعي على أصالة الصحّة ؛ لأنّ المزيل مقدّم على المزال كيف ما كان ، ولو </w:t>
      </w:r>
      <w:r>
        <w:rPr>
          <w:rStyle w:val="FootnoteAnchor"/>
          <w:rtl w:val="true"/>
        </w:rPr>
        <w:footnoteReference w:id="2726"/>
      </w:r>
      <w:r>
        <w:rPr>
          <w:rFonts w:ascii="Amiri" w:hAnsi="Amiri" w:eastAsia="Amiri" w:cs="Amiri"/>
          <w:color w:val="111111"/>
          <w:sz w:val="28"/>
          <w:sz w:val="28"/>
          <w:szCs w:val="28"/>
          <w:rtl w:val="true"/>
          <w:lang w:bidi="ar-SA"/>
        </w:rPr>
        <w:t>قلنا بأحد الأخيرين فالتحقيق هو تقديم أصالة الصحّة على الأصل الموضوعي من باب الحكومة ، فإنّ السيرة القائمة على الأخذ بأصالة الصحّة تكشف عن أنّ مورد الشكّ المعتبر في الاستصحاب ليس فيما يجري فيه أصالة الصحّة ، وليس الاستصحاب حينئذ مزيلا ؛ لأنّ الثابت بأصالة الصحّة هو نفس الرؤية لا الصحّة المتفرّعة عليها ليكون استصحاب عدم الرؤية كافيا في إثبات عدم الصحّة 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الرؤية وأصالة وقوعها كما هو مفاد الأصلين تعارضهما ، وقضيّة حكومة أصالة الصحّة على أصالة العدم تقدّمها عليها ، وإن أبيت عن الحكومة فلا شكّ في أنّ الظهور في أصالة الصحّة أخصّ من الظهور في الاستصحاب كما في تعارض الغلبة النوعية والصنفية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التحقيق هو إثبات وصف الصحّة في موصوف لا على جميع عناوينه ، فلا يحكم بوجود الرؤية فيما لو </w:t>
      </w:r>
      <w:r>
        <w:rPr>
          <w:rStyle w:val="FootnoteAnchor"/>
          <w:rtl w:val="true"/>
        </w:rPr>
        <w:footnoteReference w:id="2727"/>
      </w:r>
      <w:r>
        <w:rPr>
          <w:rFonts w:ascii="Amiri" w:hAnsi="Amiri" w:eastAsia="Amiri" w:cs="Amiri"/>
          <w:color w:val="111111"/>
          <w:sz w:val="28"/>
          <w:sz w:val="28"/>
          <w:szCs w:val="28"/>
          <w:rtl w:val="true"/>
          <w:lang w:bidi="ar-SA"/>
        </w:rPr>
        <w:t xml:space="preserve">شكّ فيها مطلقا أخذا بأصالة الصحّة ؛ إذ لم يقم عليه دليل ، بل الثابت بالدليل هو إثبات الرؤية على وجه يكفي في قيام الوصف به شرعا ، كما عرفت نظيره في أصالة وقوع الفعل فيما جاوز محلّه فإنّه لا يحكم بوقوعه مطلقا </w:t>
      </w:r>
    </w:p>
    <w:p>
      <w:pPr>
        <w:pStyle w:val="BookText"/>
        <w:rPr/>
      </w:pPr>
      <w:r>
        <w:rPr>
          <w:rFonts w:ascii="Amiri" w:hAnsi="Amiri" w:eastAsia="Amiri" w:cs="Amiri"/>
          <w:color w:val="111111"/>
          <w:sz w:val="28"/>
          <w:sz w:val="28"/>
          <w:szCs w:val="28"/>
          <w:rtl w:val="true"/>
          <w:lang w:bidi="ar-SA"/>
        </w:rPr>
        <w:t xml:space="preserve">على جميع وجوهه وعناوينه ، فلو فرضنا أنّ </w:t>
      </w:r>
      <w:r>
        <w:rPr>
          <w:rStyle w:val="FootnoteAnchor"/>
          <w:rtl w:val="true"/>
        </w:rPr>
        <w:footnoteReference w:id="2728"/>
      </w:r>
      <w:r>
        <w:rPr>
          <w:rFonts w:ascii="Amiri" w:hAnsi="Amiri" w:eastAsia="Amiri" w:cs="Amiri"/>
          <w:color w:val="111111"/>
          <w:sz w:val="28"/>
          <w:sz w:val="28"/>
          <w:szCs w:val="28"/>
          <w:rtl w:val="true"/>
          <w:lang w:bidi="ar-SA"/>
        </w:rPr>
        <w:t>الرؤية ممّا يترتّب عليه أحكام أخر كما لو نذر على تقديرها شيئا لا يحكم بوجوبه كما لا يخفى ، وقد يظهر منهم الحكم بوقوعه مطلقا وليس في محلّه فإنّ أصالة عدم الرؤية محكّمة فيه ، فبالحقيقة يؤخذ بأصالة الصحّة في إثبات الرؤية لأجل إثبات الصحّة ، ويؤخذ بأصالة العدم لإثبات سائر الأحكام ، وذلك ظاهر فيجمع بينهما على الوجه المذكور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فيما إذا كان الشكّ في الصحّة باعتبار الشكّ في وقوع العقد على أحد الحادثين كما لو باع شيئا واختلفا في أنّه الخمر أو الخلّ ، قد يظهر </w:t>
      </w:r>
      <w:r>
        <w:rPr>
          <w:rStyle w:val="FootnoteAnchor"/>
          <w:rtl w:val="true"/>
        </w:rPr>
        <w:footnoteReference w:id="2729"/>
      </w:r>
      <w:r>
        <w:rPr>
          <w:rFonts w:ascii="Amiri" w:hAnsi="Amiri" w:eastAsia="Amiri" w:cs="Amiri"/>
          <w:color w:val="111111"/>
          <w:sz w:val="28"/>
          <w:sz w:val="28"/>
          <w:szCs w:val="28"/>
          <w:rtl w:val="true"/>
          <w:lang w:bidi="ar-SA"/>
        </w:rPr>
        <w:t xml:space="preserve">من غير واحد منهم وقوع العقد على الخلّ دون الخمر مع أنّ الاقتصار على ثبوت الصحّة لا يقتضي </w:t>
      </w:r>
      <w:r>
        <w:rPr>
          <w:rStyle w:val="FootnoteAnchor"/>
          <w:rtl w:val="true"/>
        </w:rPr>
        <w:footnoteReference w:id="2730"/>
      </w:r>
      <w:r>
        <w:rPr>
          <w:rFonts w:ascii="Amiri" w:hAnsi="Amiri" w:eastAsia="Amiri" w:cs="Amiri"/>
          <w:color w:val="111111"/>
          <w:sz w:val="28"/>
          <w:sz w:val="28"/>
          <w:szCs w:val="28"/>
          <w:rtl w:val="true"/>
          <w:lang w:bidi="ar-SA"/>
        </w:rPr>
        <w:t xml:space="preserve">تعيين </w:t>
      </w:r>
      <w:r>
        <w:rPr>
          <w:rStyle w:val="FootnoteAnchor"/>
          <w:rtl w:val="true"/>
        </w:rPr>
        <w:footnoteReference w:id="2731"/>
      </w:r>
      <w:r>
        <w:rPr>
          <w:rFonts w:ascii="Amiri" w:hAnsi="Amiri" w:eastAsia="Amiri" w:cs="Amiri"/>
          <w:color w:val="111111"/>
          <w:sz w:val="28"/>
          <w:sz w:val="28"/>
          <w:szCs w:val="28"/>
          <w:rtl w:val="true"/>
          <w:lang w:bidi="ar-SA"/>
        </w:rPr>
        <w:t xml:space="preserve">الموصوف كما لا يخفى ، فتدبّر في المقام فإنّه في غاية الإعضال </w:t>
      </w:r>
      <w:r>
        <w:rPr>
          <w:rStyle w:val="FootnoteAnchor"/>
          <w:rtl w:val="true"/>
        </w:rPr>
        <w:footnoteReference w:id="2732"/>
      </w:r>
      <w:r>
        <w:rPr>
          <w:rFonts w:ascii="Amiri" w:hAnsi="Amiri" w:eastAsia="Amiri" w:cs="Amiri"/>
          <w:color w:val="111111"/>
          <w:sz w:val="28"/>
          <w:sz w:val="28"/>
          <w:szCs w:val="28"/>
          <w:rtl w:val="true"/>
          <w:lang w:bidi="ar-SA"/>
        </w:rPr>
        <w:t xml:space="preserve">ونهاية الإشكال واللّه الموفّق وهو </w:t>
      </w:r>
      <w:r>
        <w:rPr>
          <w:rStyle w:val="FootnoteAnchor"/>
          <w:rtl w:val="true"/>
        </w:rPr>
        <w:footnoteReference w:id="2733"/>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6284_171471"/>
      <w:bookmarkStart w:id="308" w:name="pg16284_171471"/>
      <w:bookmarkEnd w:id="308"/>
    </w:p>
    <w:p>
      <w:pPr>
        <w:pStyle w:val="Heading3"/>
        <w:numPr>
          <w:ilvl w:val="2"/>
          <w:numId w:val="1"/>
        </w:numPr>
        <w:rPr/>
      </w:pPr>
      <w:bookmarkStart w:id="309" w:name="pg16284_171471"/>
      <w:bookmarkStart w:id="310" w:name="__RefHeading___Toc5012218_1280447820"/>
      <w:bookmarkStart w:id="311" w:name="_Toc98"/>
      <w:bookmarkEnd w:id="309"/>
      <w:bookmarkEnd w:id="310"/>
      <w:r>
        <w:rPr>
          <w:rtl w:val="true"/>
        </w:rPr>
        <w:t>هداية في تعارض الاستصحابين</w:t>
      </w:r>
      <w:bookmarkEnd w:id="311"/>
    </w:p>
    <w:p>
      <w:pPr>
        <w:pStyle w:val="BookText"/>
        <w:rPr/>
      </w:pPr>
      <w:r>
        <w:rPr>
          <w:rFonts w:ascii="IRNazanin" w:hAnsi="IRNazanin" w:eastAsia="IRNazanin"/>
          <w:color w:val="111111"/>
          <w:sz w:val="28"/>
          <w:sz w:val="28"/>
          <w:szCs w:val="28"/>
          <w:rtl w:val="true"/>
          <w:lang w:bidi="fa-IR"/>
        </w:rPr>
        <w:t xml:space="preserve">وقد تصدّى بعضهم </w:t>
      </w:r>
      <w:r>
        <w:rPr>
          <w:rStyle w:val="FootnoteAnchor"/>
          <w:rtl w:val="true"/>
        </w:rPr>
        <w:footnoteReference w:id="2734"/>
      </w:r>
      <w:r>
        <w:rPr>
          <w:rFonts w:ascii="Amiri" w:hAnsi="Amiri" w:eastAsia="Amiri" w:cs="Amiri"/>
          <w:color w:val="111111"/>
          <w:sz w:val="28"/>
          <w:sz w:val="28"/>
          <w:szCs w:val="28"/>
          <w:rtl w:val="true"/>
          <w:lang w:bidi="ar-SA"/>
        </w:rPr>
        <w:t xml:space="preserve">في المقام بإيراد أقسام التعارض فيهما على حسب اختلاف الوجوه المتصوّرة فيه ، فقسّمهما </w:t>
      </w:r>
      <w:r>
        <w:rPr>
          <w:rStyle w:val="FootnoteAnchor"/>
          <w:rtl w:val="true"/>
        </w:rPr>
        <w:footnoteReference w:id="2735"/>
      </w:r>
      <w:r>
        <w:rPr>
          <w:rFonts w:ascii="Amiri" w:hAnsi="Amiri" w:eastAsia="Amiri" w:cs="Amiri"/>
          <w:color w:val="111111"/>
          <w:sz w:val="28"/>
          <w:sz w:val="28"/>
          <w:szCs w:val="28"/>
          <w:rtl w:val="true"/>
          <w:lang w:bidi="ar-SA"/>
        </w:rPr>
        <w:t xml:space="preserve">موردا إلى ما تعارضا في مورد واحد كاستصحابي </w:t>
      </w:r>
      <w:r>
        <w:rPr>
          <w:rStyle w:val="FootnoteAnchor"/>
          <w:rtl w:val="true"/>
        </w:rPr>
        <w:footnoteReference w:id="2736"/>
      </w:r>
      <w:r>
        <w:rPr>
          <w:rFonts w:ascii="Amiri" w:hAnsi="Amiri" w:eastAsia="Amiri" w:cs="Amiri"/>
          <w:color w:val="111111"/>
          <w:sz w:val="28"/>
          <w:sz w:val="28"/>
          <w:szCs w:val="28"/>
          <w:rtl w:val="true"/>
          <w:lang w:bidi="ar-SA"/>
        </w:rPr>
        <w:t>الطهارة والحدث مع العلم بهما فيما إذا شكّ في السبق واللحوق ، أو في موردين كاستصحاب طهارة الماء الواقع فيه الصيد واستصحاب عدم زهوق روحه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ومستصحبا إلى الوجوديين أو العدميين أو مختلفين ، إمّا حكميين أو موضوعيين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وباعتبار وجه التعارض إلى ما كان التعارض بينهما بالذات كاستصحابي الطهارة والحدث ، أو بواسطة التضادّ بين لازميهما كما في استصحابي </w:t>
      </w:r>
      <w:r>
        <w:rPr>
          <w:rStyle w:val="FootnoteAnchor"/>
          <w:rtl w:val="true"/>
        </w:rPr>
        <w:footnoteReference w:id="2737"/>
      </w:r>
      <w:r>
        <w:rPr>
          <w:rFonts w:ascii="Amiri" w:hAnsi="Amiri" w:eastAsia="Amiri" w:cs="Amiri"/>
          <w:color w:val="111111"/>
          <w:sz w:val="28"/>
          <w:sz w:val="28"/>
          <w:szCs w:val="28"/>
          <w:rtl w:val="true"/>
          <w:lang w:bidi="ar-SA"/>
        </w:rPr>
        <w:t xml:space="preserve">الطهارة والاشتغال إذ لا تعارض بينهما إلاّ </w:t>
      </w:r>
      <w:r>
        <w:rPr>
          <w:rStyle w:val="FootnoteAnchor"/>
          <w:rtl w:val="true"/>
        </w:rPr>
        <w:footnoteReference w:id="2738"/>
      </w:r>
      <w:r>
        <w:rPr>
          <w:rFonts w:ascii="Amiri" w:hAnsi="Amiri" w:eastAsia="Amiri" w:cs="Amiri"/>
          <w:color w:val="111111"/>
          <w:sz w:val="28"/>
          <w:sz w:val="28"/>
          <w:szCs w:val="28"/>
          <w:rtl w:val="true"/>
          <w:lang w:bidi="ar-SA"/>
        </w:rPr>
        <w:t>بملاحظة أنّ لازم الأوّل عدم المؤاخذة ولازم الثاني العقاب ، أو بواسطة أمر خارج من علم إجمالي كما في الشبهة المحصورة ، أو إجماع كما في استصحاب طهارة الماء إذا انضمّ إليه ماء نجس مجموعهما كرّ واحد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وباعتبار الشكّ المأخوذ فيهما إلى ما يكون أحد الشكّين دائرا مدار الآخر وجودا </w:t>
      </w:r>
    </w:p>
    <w:p>
      <w:pPr>
        <w:pStyle w:val="BookText"/>
        <w:rPr/>
      </w:pPr>
      <w:r>
        <w:rPr>
          <w:rFonts w:ascii="Amiri" w:hAnsi="Amiri" w:eastAsia="Amiri" w:cs="Amiri"/>
          <w:color w:val="111111"/>
          <w:sz w:val="28"/>
          <w:sz w:val="28"/>
          <w:szCs w:val="28"/>
          <w:rtl w:val="true"/>
          <w:lang w:bidi="ar-SA"/>
        </w:rPr>
        <w:t>وعدما متولّدا منه مسبّبا عنه كما في استصحاب الاشتغال عند الشكّ في الطهارة ، وإلى ما لا يكون أحد الشكّين مسبّبا عن الآخر كما في استصحابي الطهارة والحدث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توهّم بعضهم </w:t>
      </w:r>
      <w:r>
        <w:rPr>
          <w:rStyle w:val="FootnoteAnchor"/>
          <w:rtl w:val="true"/>
        </w:rPr>
        <w:footnoteReference w:id="2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كلّ من الشكّين مسبّبا عن الآخر ومثّله باستصحابي عدم التخصيص في العامّين من وجه في مورد التعارض ، فإنّ الشكّ في تخصيص كلّ منهما مسبّب عن الشكّ في تخصيص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بسديد ؛ لعدم معقولية العلّة </w:t>
      </w:r>
      <w:r>
        <w:rPr>
          <w:rStyle w:val="FootnoteAnchor"/>
          <w:rtl w:val="true"/>
        </w:rPr>
        <w:footnoteReference w:id="2740"/>
      </w:r>
      <w:r>
        <w:rPr>
          <w:rFonts w:ascii="Amiri" w:hAnsi="Amiri" w:eastAsia="Amiri" w:cs="Amiri"/>
          <w:color w:val="111111"/>
          <w:sz w:val="28"/>
          <w:sz w:val="28"/>
          <w:szCs w:val="28"/>
          <w:rtl w:val="true"/>
          <w:lang w:bidi="ar-SA"/>
        </w:rPr>
        <w:t xml:space="preserve">من الطرفين فإنّه دور ظاهر ، وأمّا ما أورده من التمثيل فواضح السقوط ؛ لأنّ الشكّ إنّما هو من أمر خارج ثالث وهو عدم البيان </w:t>
      </w:r>
      <w:r>
        <w:rPr>
          <w:rStyle w:val="FootnoteAnchor"/>
          <w:rtl w:val="true"/>
        </w:rPr>
        <w:footnoteReference w:id="2741"/>
      </w:r>
      <w:r>
        <w:rPr>
          <w:rFonts w:ascii="Amiri" w:hAnsi="Amiri" w:eastAsia="Amiri" w:cs="Amiri"/>
          <w:color w:val="111111"/>
          <w:sz w:val="28"/>
          <w:sz w:val="28"/>
          <w:szCs w:val="28"/>
          <w:rtl w:val="true"/>
          <w:lang w:bidi="ar-SA"/>
        </w:rPr>
        <w:t xml:space="preserve">، ويشعر بذلك انتفاؤهما عنده فإنّ علّة ارتفاعهما عدمها </w:t>
      </w:r>
      <w:r>
        <w:rPr>
          <w:rStyle w:val="FootnoteAnchor"/>
          <w:rtl w:val="true"/>
        </w:rPr>
        <w:footnoteReference w:id="2742"/>
      </w:r>
      <w:r>
        <w:rPr>
          <w:rFonts w:ascii="Amiri" w:hAnsi="Amiri" w:eastAsia="Amiri" w:cs="Amiri"/>
          <w:color w:val="111111"/>
          <w:sz w:val="28"/>
          <w:sz w:val="28"/>
          <w:szCs w:val="28"/>
          <w:rtl w:val="true"/>
          <w:lang w:bidi="ar-SA"/>
        </w:rPr>
        <w:t>علّة حدوثهما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التقسيمات المذكورة </w:t>
      </w:r>
      <w:r>
        <w:rPr>
          <w:rStyle w:val="FootnoteAnchor"/>
          <w:rtl w:val="true"/>
        </w:rPr>
        <w:footnoteReference w:id="2743"/>
      </w:r>
      <w:r>
        <w:rPr>
          <w:rFonts w:ascii="Amiri" w:hAnsi="Amiri" w:eastAsia="Amiri" w:cs="Amiri"/>
          <w:color w:val="111111"/>
          <w:sz w:val="28"/>
          <w:sz w:val="28"/>
          <w:szCs w:val="28"/>
          <w:rtl w:val="true"/>
          <w:lang w:bidi="ar-SA"/>
        </w:rPr>
        <w:t xml:space="preserve">ممّا لا يجدي شيئا فيما نحن بصدده إلاّ التقسيم الأخير ، وأمّا باقي الأقسام فلا يختلف الحكم باختلافها </w:t>
      </w:r>
      <w:r>
        <w:rPr>
          <w:rStyle w:val="FootnoteAnchor"/>
          <w:rtl w:val="true"/>
        </w:rPr>
        <w:footnoteReference w:id="2744"/>
      </w:r>
      <w:r>
        <w:rPr>
          <w:rFonts w:ascii="Amiri" w:hAnsi="Amiri" w:eastAsia="Amiri" w:cs="Amiri"/>
          <w:color w:val="111111"/>
          <w:sz w:val="28"/>
          <w:sz w:val="28"/>
          <w:szCs w:val="28"/>
          <w:rtl w:val="true"/>
          <w:lang w:bidi="ar-SA"/>
        </w:rPr>
        <w:t xml:space="preserve">، فلا فائدة في تطويل البحث بإيراد كلّ منها </w:t>
      </w:r>
      <w:r>
        <w:rPr>
          <w:rStyle w:val="FootnoteAnchor"/>
          <w:rtl w:val="true"/>
        </w:rPr>
        <w:footnoteReference w:id="2745"/>
      </w:r>
      <w:r>
        <w:rPr>
          <w:rFonts w:ascii="Amiri" w:hAnsi="Amiri" w:eastAsia="Amiri" w:cs="Amiri"/>
          <w:color w:val="111111"/>
          <w:sz w:val="28"/>
          <w:sz w:val="28"/>
          <w:szCs w:val="28"/>
          <w:rtl w:val="true"/>
          <w:lang w:bidi="ar-SA"/>
        </w:rPr>
        <w:t>في مقام كما صنعه المتصدّي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الأصلان المتعارضان ممّا يترتّب على كلّ منهما شيء لا يترتّب على الآخر ، فإن كان الشكّ في أحدهما مسبّبا عن الشكّ في الآخر فالحكم هو تقديم </w:t>
      </w:r>
      <w:r>
        <w:rPr>
          <w:rStyle w:val="FootnoteAnchor"/>
          <w:rtl w:val="true"/>
        </w:rPr>
        <w:footnoteReference w:id="2746"/>
      </w:r>
      <w:r>
        <w:rPr>
          <w:rFonts w:ascii="Amiri" w:hAnsi="Amiri" w:eastAsia="Amiri" w:cs="Amiri"/>
          <w:color w:val="111111"/>
          <w:sz w:val="28"/>
          <w:sz w:val="28"/>
          <w:szCs w:val="28"/>
          <w:rtl w:val="true"/>
          <w:lang w:bidi="ar-SA"/>
        </w:rPr>
        <w:t xml:space="preserve">الاستصحاب الذي في مورد الشكّ السببي على الاستصحاب في الشكّ المسبّبي ، وإن لم يكن أحدهما مسبّبا عن الآخر فالحكم هو التساقط لا التخيير ولا الترجيح فالمرجع </w:t>
      </w:r>
      <w:r>
        <w:rPr>
          <w:rStyle w:val="FootnoteAnchor"/>
          <w:rtl w:val="true"/>
        </w:rPr>
        <w:footnoteReference w:id="2747"/>
      </w:r>
      <w:r>
        <w:rPr>
          <w:rFonts w:ascii="Amiri" w:hAnsi="Amiri" w:eastAsia="Amiri" w:cs="Amiri"/>
          <w:color w:val="111111"/>
          <w:sz w:val="28"/>
          <w:sz w:val="28"/>
          <w:szCs w:val="28"/>
          <w:rtl w:val="true"/>
          <w:lang w:bidi="ar-SA"/>
        </w:rPr>
        <w:t xml:space="preserve">إلى أصل آخر ، وإذا لم يكن الأصلان ممّا يترتّب على </w:t>
      </w:r>
      <w:r>
        <w:rPr>
          <w:rStyle w:val="FootnoteAnchor"/>
          <w:rtl w:val="true"/>
        </w:rPr>
        <w:footnoteReference w:id="2748"/>
      </w:r>
      <w:r>
        <w:rPr>
          <w:rFonts w:ascii="Amiri" w:hAnsi="Amiri" w:eastAsia="Amiri" w:cs="Amiri"/>
          <w:color w:val="111111"/>
          <w:sz w:val="28"/>
          <w:sz w:val="28"/>
          <w:szCs w:val="28"/>
          <w:rtl w:val="true"/>
          <w:lang w:bidi="ar-SA"/>
        </w:rPr>
        <w:t xml:space="preserve">كلّ منهما أثر فالمحكّم هو الأصل الذي يترتّب عليه الأثر ، ومن هنا يظهر الوجه فيما أفتوا به جملة من أنّ الخيّاط لو قطع الثوب قباء فقال المالك بقطعة قميصا ، فالقول قول </w:t>
      </w:r>
    </w:p>
    <w:p>
      <w:pPr>
        <w:pStyle w:val="BookText"/>
        <w:rPr/>
      </w:pPr>
      <w:r>
        <w:rPr>
          <w:rFonts w:ascii="Amiri" w:hAnsi="Amiri" w:eastAsia="Amiri" w:cs="Amiri"/>
          <w:color w:val="111111"/>
          <w:sz w:val="28"/>
          <w:sz w:val="28"/>
          <w:szCs w:val="28"/>
          <w:rtl w:val="true"/>
          <w:lang w:bidi="ar-SA"/>
        </w:rPr>
        <w:t xml:space="preserve">المالك ؛ لأصالة عدم الإذن في القطع في القباء ، ولا تعارضها </w:t>
      </w:r>
      <w:r>
        <w:rPr>
          <w:rStyle w:val="FootnoteAnchor"/>
          <w:rtl w:val="true"/>
        </w:rPr>
        <w:footnoteReference w:id="2749"/>
      </w:r>
      <w:r>
        <w:rPr>
          <w:rFonts w:ascii="Amiri" w:hAnsi="Amiri" w:eastAsia="Amiri" w:cs="Amiri"/>
          <w:color w:val="111111"/>
          <w:sz w:val="28"/>
          <w:sz w:val="28"/>
          <w:szCs w:val="28"/>
          <w:rtl w:val="true"/>
          <w:lang w:bidi="ar-SA"/>
        </w:rPr>
        <w:t>أصالة عدم الإذن في القميص ؛ إذ لا أثر في المعارض إلاّ على وجه لا تعويل عليه من القول بإثبات الأصل أحكاما عاديّة أو عقلية ، وسيظهر لك الوجه في ذلك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دعويان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الأصل في مورد الشكّ السببي على الأصل في مورد الشكّ المسبّبي ، وثانيتهما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الأصلين </w:t>
      </w:r>
      <w:r>
        <w:rPr>
          <w:rStyle w:val="FootnoteAnchor"/>
          <w:rtl w:val="true"/>
        </w:rPr>
        <w:footnoteReference w:id="2752"/>
      </w:r>
      <w:r>
        <w:rPr>
          <w:rFonts w:ascii="Amiri" w:hAnsi="Amiri" w:eastAsia="Amiri" w:cs="Amiri"/>
          <w:color w:val="111111"/>
          <w:sz w:val="28"/>
          <w:sz w:val="28"/>
          <w:szCs w:val="28"/>
          <w:rtl w:val="true"/>
          <w:lang w:bidi="ar-SA"/>
        </w:rPr>
        <w:t>فيما عدا ذلك على أيّ وجه فرض من الأقسام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من حيث إنّ الاستصحاب من الأمارات الظنّية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حكما تعبّديا ، أمّا على الأوّل فلا إشكال في تقديم السببي المزيل على المسبّبي المزال ؛ ضرورة أنّ الظنّ بالسبب يلازم الظنّ بالمسبّب والمفروض قيام الأمارة الظنّية على وجود السبب فلا يعقل </w:t>
      </w:r>
      <w:r>
        <w:rPr>
          <w:rStyle w:val="FootnoteAnchor"/>
          <w:rtl w:val="true"/>
        </w:rPr>
        <w:footnoteReference w:id="2753"/>
      </w:r>
      <w:r>
        <w:rPr>
          <w:rFonts w:ascii="Amiri" w:hAnsi="Amiri" w:eastAsia="Amiri" w:cs="Amiri"/>
          <w:color w:val="111111"/>
          <w:sz w:val="28"/>
          <w:sz w:val="28"/>
          <w:szCs w:val="28"/>
          <w:rtl w:val="true"/>
          <w:lang w:bidi="ar-SA"/>
        </w:rPr>
        <w:t>الانفكاك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المسبّب من الأحكام المترتّبة على السبب ومن الأمور اللازمة له والمفروض حصول الظنّ بالملزوم لوجود أمارته ، فالمسبّب </w:t>
      </w:r>
      <w:r>
        <w:rPr>
          <w:rStyle w:val="FootnoteAnchor"/>
          <w:rtl w:val="true"/>
        </w:rPr>
        <w:footnoteReference w:id="2754"/>
      </w:r>
      <w:r>
        <w:rPr>
          <w:rFonts w:ascii="Amiri" w:hAnsi="Amiri" w:eastAsia="Amiri" w:cs="Amiri"/>
          <w:color w:val="111111"/>
          <w:sz w:val="28"/>
          <w:sz w:val="28"/>
          <w:szCs w:val="28"/>
          <w:rtl w:val="true"/>
          <w:lang w:bidi="ar-SA"/>
        </w:rPr>
        <w:t xml:space="preserve">لا يخلو إمّا أن يكون مظنونا ، أو مشكوكا ، أو مظنون العدم ، لا سبيل </w:t>
      </w:r>
      <w:r>
        <w:rPr>
          <w:rStyle w:val="FootnoteAnchor"/>
          <w:rtl w:val="true"/>
        </w:rPr>
        <w:footnoteReference w:id="2755"/>
      </w:r>
      <w:r>
        <w:rPr>
          <w:rFonts w:ascii="Amiri" w:hAnsi="Amiri" w:eastAsia="Amiri" w:cs="Amiri"/>
          <w:color w:val="111111"/>
          <w:sz w:val="28"/>
          <w:sz w:val="28"/>
          <w:szCs w:val="28"/>
          <w:rtl w:val="true"/>
          <w:lang w:bidi="ar-SA"/>
        </w:rPr>
        <w:t xml:space="preserve">إلى الأخيرين ، أمّا الأوّل منهما فظاهر البطلان ؛ لأنّ الظنّ بالعلّة علّة تامّة للظنّ بالمعلول ولا يمكن التخلّف ، وأمّا الثاني فلأنّ الظنّ بالعدم في جانب المعلول والمسبّب لا يعقل إلاّ بعد ارتفاع الشكّ عن </w:t>
      </w:r>
      <w:r>
        <w:rPr>
          <w:rStyle w:val="FootnoteAnchor"/>
          <w:rtl w:val="true"/>
        </w:rPr>
        <w:footnoteReference w:id="2756"/>
      </w:r>
      <w:r>
        <w:rPr>
          <w:rFonts w:ascii="Amiri" w:hAnsi="Amiri" w:eastAsia="Amiri" w:cs="Amiri"/>
          <w:color w:val="111111"/>
          <w:sz w:val="28"/>
          <w:sz w:val="28"/>
          <w:szCs w:val="28"/>
          <w:rtl w:val="true"/>
          <w:lang w:bidi="ar-SA"/>
        </w:rPr>
        <w:t xml:space="preserve">العلّة والسبب ، فالأمارة الظنّية القائمة في جانب المعلول لا بدّ من قيامها في الحقيقة في جانب العلّة على خلاف مقتضى الاستصحاب كأن تكون </w:t>
      </w:r>
      <w:r>
        <w:rPr>
          <w:rStyle w:val="FootnoteAnchor"/>
          <w:rtl w:val="true"/>
        </w:rPr>
        <w:footnoteReference w:id="2757"/>
      </w:r>
      <w:r>
        <w:rPr>
          <w:rFonts w:ascii="Amiri" w:hAnsi="Amiri" w:eastAsia="Amiri" w:cs="Amiri"/>
          <w:color w:val="111111"/>
          <w:sz w:val="28"/>
          <w:sz w:val="28"/>
          <w:szCs w:val="28"/>
          <w:rtl w:val="true"/>
          <w:lang w:bidi="ar-SA"/>
        </w:rPr>
        <w:t xml:space="preserve">حاكمة بانتقاض الحالة </w:t>
      </w:r>
    </w:p>
    <w:p>
      <w:pPr>
        <w:pStyle w:val="BookText"/>
        <w:rPr/>
      </w:pPr>
      <w:r>
        <w:rPr>
          <w:rFonts w:ascii="Amiri" w:hAnsi="Amiri" w:eastAsia="Amiri" w:cs="Amiri"/>
          <w:color w:val="111111"/>
          <w:sz w:val="28"/>
          <w:sz w:val="28"/>
          <w:szCs w:val="28"/>
          <w:rtl w:val="true"/>
          <w:lang w:bidi="ar-SA"/>
        </w:rPr>
        <w:t xml:space="preserve">السابقة في جانب العلّة والمفروض خلافه ، وبالجملة فالظنّ كالعلم والشكّ في المعلول </w:t>
      </w:r>
      <w:r>
        <w:rPr>
          <w:rStyle w:val="FootnoteAnchor"/>
          <w:rtl w:val="true"/>
        </w:rPr>
        <w:footnoteReference w:id="2758"/>
      </w:r>
      <w:r>
        <w:rPr>
          <w:rFonts w:ascii="Amiri" w:hAnsi="Amiri" w:eastAsia="Amiri" w:cs="Amiri"/>
          <w:color w:val="111111"/>
          <w:sz w:val="28"/>
          <w:sz w:val="28"/>
          <w:szCs w:val="28"/>
          <w:rtl w:val="true"/>
          <w:lang w:bidi="ar-SA"/>
        </w:rPr>
        <w:t>مانع للظنّ والعلم والشكّ في العلّة ، فتعيّن الأوّل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 إنّما يتمّ فيما لو كان المستصحب ملتفتا إلى مجرى الاستصحاب في السبب أوّلا ؛ إذ لو فرض التفاته إلى مجرى الاستصحاب في المسبّب يجري فيه الاستصحاب ، فتنعكس </w:t>
      </w:r>
      <w:r>
        <w:rPr>
          <w:rStyle w:val="FootnoteAnchor"/>
          <w:rtl w:val="true"/>
        </w:rPr>
        <w:footnoteReference w:id="2759"/>
      </w:r>
      <w:r>
        <w:rPr>
          <w:rFonts w:ascii="Amiri" w:hAnsi="Amiri" w:eastAsia="Amiri" w:cs="Amiri"/>
          <w:color w:val="111111"/>
          <w:sz w:val="28"/>
          <w:sz w:val="28"/>
          <w:szCs w:val="28"/>
          <w:rtl w:val="true"/>
          <w:lang w:bidi="ar-SA"/>
        </w:rPr>
        <w:t xml:space="preserve">القضيّة ؛ إذ كما أنّ الظنّ بالعلّة يوجب الظنّ بالمعلول كذا الظنّ بالمعلول يوجب الظنّ بالعلّة ، فلا يمكن القول بتقديم الاستصحاب </w:t>
      </w:r>
      <w:r>
        <w:rPr>
          <w:rStyle w:val="FootnoteAnchor"/>
          <w:rtl w:val="true"/>
        </w:rPr>
        <w:footnoteReference w:id="2760"/>
      </w:r>
      <w:r>
        <w:rPr>
          <w:rFonts w:ascii="Amiri" w:hAnsi="Amiri" w:eastAsia="Amiri" w:cs="Amiri"/>
          <w:color w:val="111111"/>
          <w:sz w:val="28"/>
          <w:sz w:val="28"/>
          <w:szCs w:val="28"/>
          <w:rtl w:val="true"/>
          <w:lang w:bidi="ar-SA"/>
        </w:rPr>
        <w:t xml:space="preserve">السببي ؛ لانتفاء ما هو الملاك في الاستصحاب من لزوم كون المورد مشكوكا ، ولئن سلّمنا عدم حصول الظنّ من المسبّب بوجود السبب فلا أقلّ من القول بعدم حصول الظنّ من الطرفين ، كما إذا فرضنا قيام البيّنة على الطرفين فإنّه لا يكاد يحصل الظنّ عند تعارض الأمارتين في طرفي العلّة والمعلول ؛ لأنّ ما يوجب الظنّ بالعلّة بعينه قائم </w:t>
      </w:r>
      <w:r>
        <w:rPr>
          <w:rStyle w:val="FootnoteAnchor"/>
          <w:rtl w:val="true"/>
        </w:rPr>
        <w:footnoteReference w:id="2761"/>
      </w:r>
      <w:r>
        <w:rPr>
          <w:rFonts w:ascii="Amiri" w:hAnsi="Amiri" w:eastAsia="Amiri" w:cs="Amiri"/>
          <w:color w:val="111111"/>
          <w:sz w:val="28"/>
          <w:sz w:val="28"/>
          <w:szCs w:val="28"/>
          <w:rtl w:val="true"/>
          <w:lang w:bidi="ar-SA"/>
        </w:rPr>
        <w:t>في طرف المعلول فيكافئان فلا يحصل الظنّ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غفلة واضحة ؛ لأنّ المفروض أنّ الشكّ في المسبّب ناش عن الشكّ في السبب ، فيمتنع </w:t>
      </w:r>
      <w:r>
        <w:rPr>
          <w:rStyle w:val="FootnoteAnchor"/>
          <w:rtl w:val="true"/>
        </w:rPr>
        <w:footnoteReference w:id="2762"/>
      </w:r>
      <w:r>
        <w:rPr>
          <w:rFonts w:ascii="Amiri" w:hAnsi="Amiri" w:eastAsia="Amiri" w:cs="Amiri"/>
          <w:color w:val="111111"/>
          <w:sz w:val="28"/>
          <w:sz w:val="28"/>
          <w:szCs w:val="28"/>
          <w:rtl w:val="true"/>
          <w:lang w:bidi="ar-SA"/>
        </w:rPr>
        <w:t>الالتفات إليه من دون التفات إلى الشكّ في السبب ، وبعد الالتفات إليه مع الحالة السابقة فيتحقّق ملاك الاستصحاب فيه وبتحقّقه يرتفع الملاك في المسبّب ، وما ذكره المعترض مبنيّ على أن يكون الشكّ في المسبّب في عرض الشكّ في السبب ، فإنّه لا ملازمة بين الشكّين على تقديره فيمكن الالتفات إلى أحدهما دون الآخر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الانعكاس فواه جدّا ؛ إذ لم يذهب وهم إلى أنّ الأخذ باستصحاب </w:t>
      </w:r>
      <w:r>
        <w:rPr>
          <w:rStyle w:val="FootnoteAnchor"/>
          <w:rtl w:val="true"/>
        </w:rPr>
        <w:footnoteReference w:id="2763"/>
      </w:r>
      <w:r>
        <w:rPr>
          <w:rFonts w:ascii="Amiri" w:hAnsi="Amiri" w:eastAsia="Amiri" w:cs="Amiri"/>
          <w:color w:val="111111"/>
          <w:sz w:val="28"/>
          <w:sz w:val="28"/>
          <w:szCs w:val="28"/>
          <w:rtl w:val="true"/>
          <w:lang w:bidi="ar-SA"/>
        </w:rPr>
        <w:t xml:space="preserve">المسبّب يوجب انتقاض الحالة السابقة في السبب ، غاية ما يمكن أن يتوهّم </w:t>
      </w:r>
      <w:r>
        <w:rPr>
          <w:rStyle w:val="FootnoteAnchor"/>
          <w:rtl w:val="true"/>
        </w:rPr>
        <w:footnoteReference w:id="2764"/>
      </w:r>
      <w:r>
        <w:rPr>
          <w:rFonts w:ascii="IRNazanin" w:hAnsi="IRNazanin" w:eastAsia="IRNazanin"/>
          <w:color w:val="111111"/>
          <w:sz w:val="28"/>
          <w:sz w:val="28"/>
          <w:szCs w:val="28"/>
          <w:rtl w:val="true"/>
          <w:lang w:bidi="fa-IR"/>
        </w:rPr>
        <w:t xml:space="preserve">هو الأخذ </w:t>
      </w:r>
    </w:p>
    <w:p>
      <w:pPr>
        <w:pStyle w:val="BookText"/>
        <w:rPr/>
      </w:pPr>
      <w:r>
        <w:rPr>
          <w:rFonts w:ascii="Amiri" w:hAnsi="Amiri" w:eastAsia="Amiri" w:cs="Amiri"/>
          <w:color w:val="111111"/>
          <w:sz w:val="28"/>
          <w:sz w:val="28"/>
          <w:szCs w:val="28"/>
          <w:rtl w:val="true"/>
          <w:lang w:bidi="ar-SA"/>
        </w:rPr>
        <w:t>بالحالة السابقة في السبب في غير ما يترتّب عليها بالنسبة إلى المسبّب أخذا بالاستصحاب في المسبّب أيضا ، والسرّ فيه أنّ دليل الإنّ إنّما يتمّ فيما إذا لم يكن دليل على انتفاء العلّة ؛ إذ لو فرض وجود الدليل على ارتفاع العلّة فوجود الدليل على بقاء المعلول ممّا لا يجدي شيئا ، لكونه شأنا من شئونه وطورا من أطواره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مفاد الدليل الدالّ على وجود المعلول هو ثبوت العلّة فإنّهما حينئذ 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ينقدح أنّ ما ذكره من تعارض الأمارتين في طرفي المعلول والعلّة كالبيّنتين ، ممّا </w:t>
      </w:r>
      <w:r>
        <w:rPr>
          <w:rStyle w:val="FootnoteAnchor"/>
          <w:rtl w:val="true"/>
        </w:rPr>
        <w:footnoteReference w:id="2765"/>
      </w:r>
      <w:r>
        <w:rPr>
          <w:rFonts w:ascii="Amiri" w:hAnsi="Amiri" w:eastAsia="Amiri" w:cs="Amiri"/>
          <w:color w:val="111111"/>
          <w:sz w:val="28"/>
          <w:sz w:val="28"/>
          <w:szCs w:val="28"/>
          <w:rtl w:val="true"/>
          <w:lang w:bidi="ar-SA"/>
        </w:rPr>
        <w:t xml:space="preserve">لم يقع في محلّه أيضا أمّا أوّلا فلأنّ قيام البيّنة على المعلول مع أنّ المفروض نشو الشكّ فيه من الشكّ في العلّة من غير تعرّض لوجوده </w:t>
      </w:r>
      <w:r>
        <w:rPr>
          <w:rStyle w:val="FootnoteAnchor"/>
          <w:rtl w:val="true"/>
        </w:rPr>
        <w:footnoteReference w:id="2766"/>
      </w:r>
      <w:r>
        <w:rPr>
          <w:rFonts w:ascii="Amiri" w:hAnsi="Amiri" w:eastAsia="Amiri" w:cs="Amiri"/>
          <w:color w:val="111111"/>
          <w:sz w:val="28"/>
          <w:sz w:val="28"/>
          <w:szCs w:val="28"/>
          <w:rtl w:val="true"/>
          <w:lang w:bidi="ar-SA"/>
        </w:rPr>
        <w:t>في مفاد البيّنة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وجود إحدى البيّنتين لا يناط بوجود الأخرى </w:t>
      </w:r>
      <w:r>
        <w:rPr>
          <w:rStyle w:val="FootnoteAnchor"/>
          <w:rtl w:val="true"/>
        </w:rPr>
        <w:footnoteReference w:id="2767"/>
      </w:r>
      <w:r>
        <w:rPr>
          <w:rFonts w:ascii="Amiri" w:hAnsi="Amiri" w:eastAsia="Amiri" w:cs="Amiri"/>
          <w:color w:val="111111"/>
          <w:sz w:val="28"/>
          <w:sz w:val="28"/>
          <w:szCs w:val="28"/>
          <w:rtl w:val="true"/>
          <w:lang w:bidi="ar-SA"/>
        </w:rPr>
        <w:t xml:space="preserve">، فيمكن قيامها على طرفي الخلاف ، بخلاف الاستصحابين ؛ لأنّ ملاك الأمر فيه على الحالة السابقة وهي في المعلول تابع لها في العلّة ، فلا يمكن انتهاضها أمارة في المعلول بوجه ، فظهر </w:t>
      </w:r>
      <w:r>
        <w:rPr>
          <w:rStyle w:val="FootnoteAnchor"/>
          <w:rtl w:val="true"/>
        </w:rPr>
        <w:footnoteReference w:id="2768"/>
      </w:r>
      <w:r>
        <w:rPr>
          <w:rFonts w:ascii="Amiri" w:hAnsi="Amiri" w:eastAsia="Amiri" w:cs="Amiri"/>
          <w:color w:val="111111"/>
          <w:sz w:val="28"/>
          <w:sz w:val="28"/>
          <w:szCs w:val="28"/>
          <w:rtl w:val="true"/>
          <w:lang w:bidi="ar-SA"/>
        </w:rPr>
        <w:t>فساد ما توهّمه من عدم الظنّ في الطرفين ؛ لمكان التعارض بين الأمارتين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 إنّما يتمّ فيما إذا قلنا بالاستصحاب من حيث إفادته الظنّ في خصوص الموارد لامتناع قيام الظنّ على المعلول بعد فرض قيامه على العلّة ، وأمّا إذا </w:t>
      </w:r>
      <w:r>
        <w:rPr>
          <w:rStyle w:val="FootnoteAnchor"/>
          <w:rtl w:val="true"/>
        </w:rPr>
        <w:footnoteReference w:id="2769"/>
      </w:r>
      <w:r>
        <w:rPr>
          <w:rFonts w:ascii="Amiri" w:hAnsi="Amiri" w:eastAsia="Amiri" w:cs="Amiri"/>
          <w:color w:val="111111"/>
          <w:sz w:val="28"/>
          <w:sz w:val="28"/>
          <w:szCs w:val="28"/>
          <w:rtl w:val="true"/>
          <w:lang w:bidi="ar-SA"/>
        </w:rPr>
        <w:t xml:space="preserve">كان اعتباره من باب إفادته الظنّ نوعا فلا مانع من الأخذ بأحكام المسبّب نظرا إلى الأمارة القائمة </w:t>
      </w:r>
      <w:r>
        <w:rPr>
          <w:rStyle w:val="FootnoteAnchor"/>
          <w:rtl w:val="true"/>
        </w:rPr>
        <w:footnoteReference w:id="2770"/>
      </w:r>
      <w:r>
        <w:rPr>
          <w:rFonts w:ascii="Amiri" w:hAnsi="Amiri" w:eastAsia="Amiri" w:cs="Amiri"/>
          <w:color w:val="111111"/>
          <w:sz w:val="28"/>
          <w:sz w:val="28"/>
          <w:szCs w:val="28"/>
          <w:rtl w:val="true"/>
          <w:lang w:bidi="ar-SA"/>
        </w:rPr>
        <w:t>عليه بحسب الشرع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أيضا غفلة صريحة ؛ إذ الأمارة في طرف العلّة لو كانت مفيدة للظنّ </w:t>
      </w:r>
    </w:p>
    <w:p>
      <w:pPr>
        <w:pStyle w:val="BookText"/>
        <w:rPr/>
      </w:pPr>
      <w:r>
        <w:rPr>
          <w:rFonts w:ascii="Amiri" w:hAnsi="Amiri" w:eastAsia="Amiri" w:cs="Amiri"/>
          <w:color w:val="111111"/>
          <w:sz w:val="28"/>
          <w:sz w:val="28"/>
          <w:szCs w:val="28"/>
          <w:rtl w:val="true"/>
          <w:lang w:bidi="ar-SA"/>
        </w:rPr>
        <w:t xml:space="preserve">الشخصي فلا مجال لاعتبار الاستصحاب في طرف المعلول ؛ لأنّ الظنّ بالعلّة يلازم الظنّ بالمعلول والمأخوذ في مورد الاستصحاب عدم كونه مظنونا ، وإن لم تكن </w:t>
      </w:r>
      <w:r>
        <w:rPr>
          <w:rStyle w:val="FootnoteAnchor"/>
          <w:rtl w:val="true"/>
        </w:rPr>
        <w:footnoteReference w:id="2771"/>
      </w:r>
      <w:r>
        <w:rPr>
          <w:rFonts w:ascii="Amiri" w:hAnsi="Amiri" w:eastAsia="Amiri" w:cs="Amiri"/>
          <w:color w:val="111111"/>
          <w:sz w:val="28"/>
          <w:sz w:val="28"/>
          <w:szCs w:val="28"/>
          <w:rtl w:val="true"/>
          <w:lang w:bidi="ar-SA"/>
        </w:rPr>
        <w:t xml:space="preserve">مفيدة للظنّ ففي جانب المعلول لا نسلّم وجود الأمارة النوعية ، فإنّ المدّعى هو أنّ صنف الحالة السابقة في المعلول فيما إذا كانت العلّة مسبوقة بالحالة السابقة لا يفيد الظنّ ، ومجرّد أنّ الحالة السابقة في كلّي الموجودات يفيد الظنّ لا يجدي في المقام بعد معارضته بخصوص المورد </w:t>
      </w:r>
      <w:r>
        <w:rPr>
          <w:rStyle w:val="FootnoteAnchor"/>
          <w:rtl w:val="true"/>
        </w:rPr>
        <w:footnoteReference w:id="2772"/>
      </w:r>
      <w:r>
        <w:rPr>
          <w:rFonts w:ascii="IRNazanin" w:hAnsi="IRNazanin" w:eastAsia="IRNazanin"/>
          <w:color w:val="111111"/>
          <w:sz w:val="28"/>
          <w:sz w:val="28"/>
          <w:szCs w:val="28"/>
          <w:rtl w:val="true"/>
          <w:lang w:bidi="fa-IR"/>
        </w:rPr>
        <w:t>صنفا أو نوعا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 يظهر ما في كلام جماعة من الفحول كالمحقّق والعلاّمة وأضرابهما مع ذهابهم إلى حجّية الاستصحاب من باب الظنّ حيث إنّهم لا يرون تقديم المزيل على المزال ، فالمحقّق </w:t>
      </w:r>
      <w:r>
        <w:rPr>
          <w:rStyle w:val="FootnoteAnchor"/>
          <w:rtl w:val="true"/>
        </w:rPr>
        <w:footnoteReference w:id="2773"/>
      </w:r>
      <w:r>
        <w:rPr>
          <w:rFonts w:ascii="Amiri" w:hAnsi="Amiri" w:eastAsia="Amiri" w:cs="Amiri"/>
          <w:color w:val="111111"/>
          <w:sz w:val="28"/>
          <w:sz w:val="28"/>
          <w:szCs w:val="28"/>
          <w:rtl w:val="true"/>
          <w:lang w:bidi="ar-SA"/>
        </w:rPr>
        <w:t xml:space="preserve">حكم بتعارض استصحاب الطهارة باستصحاب اشتغال الذمّة </w:t>
      </w:r>
      <w:r>
        <w:rPr>
          <w:rStyle w:val="FootnoteAnchor"/>
          <w:rtl w:val="true"/>
        </w:rPr>
        <w:footnoteReference w:id="2774"/>
      </w:r>
      <w:r>
        <w:rPr>
          <w:rFonts w:ascii="Amiri" w:hAnsi="Amiri" w:eastAsia="Amiri" w:cs="Amiri"/>
          <w:color w:val="111111"/>
          <w:sz w:val="28"/>
          <w:sz w:val="28"/>
          <w:szCs w:val="28"/>
          <w:rtl w:val="true"/>
          <w:lang w:bidi="ar-SA"/>
        </w:rPr>
        <w:t xml:space="preserve">بالصلاة ، والعلاّمة </w:t>
      </w:r>
      <w:r>
        <w:rPr>
          <w:rStyle w:val="FootnoteAnchor"/>
          <w:rtl w:val="true"/>
        </w:rPr>
        <w:footnoteReference w:id="2775"/>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الصيد المرميّ في الهواء الواقع في الماء مع الشكّ في استناد موته إلى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الصيد وعدم جواز أكله وطهارة الماء ، فيا للعجب منهم فإنّ القول بحرمة الأكل وانقطاع أصالة الحلّ بالموت وطهارة الماء من العجائب ؛ إذ ترتيب </w:t>
      </w:r>
      <w:r>
        <w:rPr>
          <w:rStyle w:val="FootnoteAnchor"/>
          <w:rtl w:val="true"/>
        </w:rPr>
        <w:footnoteReference w:id="2776"/>
      </w:r>
      <w:r>
        <w:rPr>
          <w:rFonts w:ascii="Amiri" w:hAnsi="Amiri" w:eastAsia="Amiri" w:cs="Amiri"/>
          <w:color w:val="111111"/>
          <w:sz w:val="28"/>
          <w:sz w:val="28"/>
          <w:szCs w:val="28"/>
          <w:rtl w:val="true"/>
          <w:lang w:bidi="ar-SA"/>
        </w:rPr>
        <w:t>بعض الأحكام المترتّبة على أصالة عدم التذكية من الحكم بحرمة الأكل دون بعض آخر من الحكم بنجاسة الماء الملاقي له مع اشتراكهما في جريان الأصل فيهما ترجيح بلا مرجّح ، وسيأتي لذلك زيادة تحقيق</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ولنعم ما صنعه صاحب الحدائق في المقام مع سلوكه في أمثاله مسلكا وعرا ، فهو حقيق بمن لم ينهج كالعلاّمة منهجا عسرا حيث قال في مقام تعداد المياه </w:t>
      </w:r>
      <w:r>
        <w:rPr>
          <w:rStyle w:val="FootnoteAnchor"/>
          <w:rtl w:val="true"/>
        </w:rPr>
        <w:footnoteReference w:id="2777"/>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فرض مثل ما فرضه العلاّمة من الصيد ، وبعد ما ذكر أدلّة الطرفين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يظهر </w:t>
      </w:r>
    </w:p>
    <w:p>
      <w:pPr>
        <w:pStyle w:val="BookText"/>
        <w:rPr/>
      </w:pPr>
      <w:r>
        <w:rPr>
          <w:rFonts w:ascii="Amiri" w:hAnsi="Amiri" w:eastAsia="Amiri" w:cs="Amiri"/>
          <w:color w:val="111111"/>
          <w:sz w:val="28"/>
          <w:sz w:val="28"/>
          <w:szCs w:val="28"/>
          <w:rtl w:val="true"/>
          <w:lang w:bidi="ar-SA"/>
        </w:rPr>
        <w:t xml:space="preserve">لي أنّ كلام الجميع غير خال عن الإجمال ، بل الاختلال ؛ إذ لا يخفى أنّ ثبوت النجاسة للماء وعدمها إنّما نشأت </w:t>
      </w:r>
      <w:r>
        <w:rPr>
          <w:rStyle w:val="FootnoteAnchor"/>
          <w:rtl w:val="true"/>
        </w:rPr>
        <w:footnoteReference w:id="2778"/>
      </w:r>
      <w:r>
        <w:rPr>
          <w:rFonts w:ascii="Amiri" w:hAnsi="Amiri" w:eastAsia="Amiri" w:cs="Amiri"/>
          <w:color w:val="111111"/>
          <w:sz w:val="28"/>
          <w:sz w:val="28"/>
          <w:szCs w:val="28"/>
          <w:rtl w:val="true"/>
          <w:lang w:bidi="ar-SA"/>
        </w:rPr>
        <w:t xml:space="preserve">من الصيد والحكم بطهارته أو نجاسته ، فالواجب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الحكم فيه بالطهارة أو النجاسة ، ولا ريب أنّ مقتضى عدم التذكية عندهم كما يكون </w:t>
      </w:r>
      <w:r>
        <w:rPr>
          <w:rStyle w:val="FootnoteAnchor"/>
          <w:rtl w:val="true"/>
        </w:rPr>
        <w:footnoteReference w:id="2779"/>
      </w:r>
      <w:r>
        <w:rPr>
          <w:rFonts w:ascii="Amiri" w:hAnsi="Amiri" w:eastAsia="Amiri" w:cs="Amiri"/>
          <w:color w:val="111111"/>
          <w:sz w:val="28"/>
          <w:sz w:val="28"/>
          <w:szCs w:val="28"/>
          <w:rtl w:val="true"/>
          <w:lang w:bidi="ar-SA"/>
        </w:rPr>
        <w:t xml:space="preserve">موجبة للتحريم كذلك يكون </w:t>
      </w:r>
      <w:r>
        <w:rPr>
          <w:rStyle w:val="FootnoteAnchor"/>
          <w:rtl w:val="true"/>
        </w:rPr>
        <w:footnoteReference w:id="2780"/>
      </w:r>
      <w:r>
        <w:rPr>
          <w:rFonts w:ascii="Amiri" w:hAnsi="Amiri" w:eastAsia="Amiri" w:cs="Amiri"/>
          <w:color w:val="111111"/>
          <w:sz w:val="28"/>
          <w:sz w:val="28"/>
          <w:szCs w:val="28"/>
          <w:rtl w:val="true"/>
          <w:lang w:bidi="ar-SA"/>
        </w:rPr>
        <w:t xml:space="preserve">موجبة للنجاسة كما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المواضع ، منها الجلد </w:t>
      </w:r>
      <w:r>
        <w:rPr>
          <w:rStyle w:val="FootnoteAnchor"/>
          <w:rtl w:val="true"/>
        </w:rPr>
        <w:footnoteReference w:id="2781"/>
      </w:r>
      <w:r>
        <w:rPr>
          <w:rFonts w:ascii="IRNazanin" w:hAnsi="IRNazanin" w:eastAsia="IRNazanin"/>
          <w:color w:val="111111"/>
          <w:sz w:val="28"/>
          <w:sz w:val="28"/>
          <w:szCs w:val="28"/>
          <w:rtl w:val="true"/>
          <w:lang w:bidi="fa-IR"/>
        </w:rPr>
        <w:t xml:space="preserve">ومنها اللحم المطروحان </w:t>
      </w:r>
      <w:r>
        <w:rPr>
          <w:rStyle w:val="FootnoteAnchor"/>
          <w:rtl w:val="true"/>
        </w:rPr>
        <w:footnoteReference w:id="2782"/>
      </w:r>
      <w:r>
        <w:rPr>
          <w:rFonts w:ascii="Amiri" w:hAnsi="Amiri" w:eastAsia="Amiri" w:cs="Amiri"/>
          <w:color w:val="111111"/>
          <w:sz w:val="28"/>
          <w:sz w:val="28"/>
          <w:szCs w:val="28"/>
          <w:rtl w:val="true"/>
          <w:lang w:bidi="ar-SA"/>
        </w:rPr>
        <w:t xml:space="preserve">حيث حكموا بالتحريم والنجاسة بناء على الأصل المشار إليه ، وحينئذ فكما يكون العلم بعدم التذكية موجبا للتحريم والنجاسة كذلك حال الاشتباه وعدم العلم موجب لهما ، ولا ريب أنّ الصيد في الصورة المفروضة ممّا اشتبه فيه الحال بالتذكية وعدمها ، والتمسّك بأصالة عدم التذكية يوجب الحكم بتحريمه ونجاسته ، ومتى تثبت </w:t>
      </w:r>
      <w:r>
        <w:rPr>
          <w:rStyle w:val="FootnoteAnchor"/>
          <w:rtl w:val="true"/>
        </w:rPr>
        <w:footnoteReference w:id="2783"/>
      </w:r>
      <w:r>
        <w:rPr>
          <w:rFonts w:ascii="Amiri" w:hAnsi="Amiri" w:eastAsia="Amiri" w:cs="Amiri"/>
          <w:color w:val="111111"/>
          <w:sz w:val="28"/>
          <w:sz w:val="28"/>
          <w:szCs w:val="28"/>
          <w:rtl w:val="true"/>
          <w:lang w:bidi="ar-SA"/>
        </w:rPr>
        <w:t xml:space="preserve">نجاسته فوقوعه في الماء القليل موجب لتنجيسه عند القائل بها بالملاقاة </w:t>
      </w:r>
      <w:r>
        <w:rPr>
          <w:rStyle w:val="FootnoteAnchor"/>
          <w:rtl w:val="true"/>
        </w:rPr>
        <w:footnoteReference w:id="2784"/>
      </w:r>
      <w:r>
        <w:rPr>
          <w:rFonts w:ascii="Amiri" w:hAnsi="Amiri" w:eastAsia="Amiri" w:cs="Amiri"/>
          <w:color w:val="111111"/>
          <w:sz w:val="28"/>
          <w:sz w:val="28"/>
          <w:szCs w:val="28"/>
          <w:rtl w:val="true"/>
          <w:lang w:bidi="ar-SA"/>
        </w:rPr>
        <w:t xml:space="preserve">والنجاسة لا تختصّ </w:t>
      </w:r>
      <w:r>
        <w:rPr>
          <w:rStyle w:val="FootnoteAnchor"/>
          <w:rtl w:val="true"/>
        </w:rPr>
        <w:footnoteReference w:id="2785"/>
      </w:r>
      <w:r>
        <w:rPr>
          <w:rFonts w:ascii="Amiri" w:hAnsi="Amiri" w:eastAsia="Amiri" w:cs="Amiri"/>
          <w:color w:val="111111"/>
          <w:sz w:val="28"/>
          <w:sz w:val="28"/>
          <w:szCs w:val="28"/>
          <w:rtl w:val="true"/>
          <w:lang w:bidi="ar-SA"/>
        </w:rPr>
        <w:t xml:space="preserve">بالترتّب على العلم بعدم التذكية خاصّة الذي هو الموت حتف الأنف حتى يتمّ لهم أنّ النجاسة هنا مشكوك فيها لاحتمال التذكية ، بل كلّ </w:t>
      </w:r>
      <w:r>
        <w:rPr>
          <w:rStyle w:val="FootnoteAnchor"/>
          <w:rtl w:val="true"/>
        </w:rPr>
        <w:footnoteReference w:id="2786"/>
      </w:r>
      <w:r>
        <w:rPr>
          <w:rFonts w:ascii="Amiri" w:hAnsi="Amiri" w:eastAsia="Amiri" w:cs="Amiri"/>
          <w:color w:val="111111"/>
          <w:sz w:val="28"/>
          <w:sz w:val="28"/>
          <w:szCs w:val="28"/>
          <w:rtl w:val="true"/>
          <w:lang w:bidi="ar-SA"/>
        </w:rPr>
        <w:t xml:space="preserve">ما يترتّب على ذلك يترتّب </w:t>
      </w:r>
      <w:r>
        <w:rPr>
          <w:rStyle w:val="FootnoteAnchor"/>
          <w:rtl w:val="true"/>
        </w:rPr>
        <w:footnoteReference w:id="2787"/>
      </w:r>
      <w:r>
        <w:rPr>
          <w:rFonts w:ascii="Amiri" w:hAnsi="Amiri" w:eastAsia="Amiri" w:cs="Amiri"/>
          <w:color w:val="111111"/>
          <w:sz w:val="28"/>
          <w:sz w:val="28"/>
          <w:szCs w:val="28"/>
          <w:rtl w:val="true"/>
          <w:lang w:bidi="ar-SA"/>
        </w:rPr>
        <w:t>على الشكّ أيضا كما عرفت ، فإنّه لمّا كان كلّ من حلّ الصيد وطهارته مترتّبا على العلم بالتذكية كان انتفاؤهما بانتفاء ذلك تحقيقا للسببية ، وعدم العلم بالتذكية كما عرفت أعمّ من العلم بالعدم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فنجاسة الماء وطهارته في الصورة المزبورة </w:t>
      </w:r>
      <w:r>
        <w:rPr>
          <w:rStyle w:val="FootnoteAnchor"/>
          <w:rtl w:val="true"/>
        </w:rPr>
        <w:footnoteReference w:id="2788"/>
      </w:r>
      <w:r>
        <w:rPr>
          <w:rFonts w:ascii="Amiri" w:hAnsi="Amiri" w:eastAsia="Amiri" w:cs="Amiri"/>
          <w:color w:val="111111"/>
          <w:sz w:val="28"/>
          <w:sz w:val="28"/>
          <w:szCs w:val="28"/>
          <w:rtl w:val="true"/>
          <w:lang w:bidi="ar-SA"/>
        </w:rPr>
        <w:t xml:space="preserve">دائرة مدار طهارة الصيد ونجاسته وقد عرفت أنّ عدم العلم بالتذكية كما يكون سببا في التحريم يكون سببا في </w:t>
      </w:r>
    </w:p>
    <w:p>
      <w:pPr>
        <w:pStyle w:val="BookText"/>
        <w:rPr/>
      </w:pPr>
      <w:r>
        <w:rPr>
          <w:rFonts w:ascii="Amiri" w:hAnsi="Amiri" w:eastAsia="Amiri" w:cs="Amiri"/>
          <w:color w:val="111111"/>
          <w:sz w:val="28"/>
          <w:sz w:val="28"/>
          <w:szCs w:val="28"/>
          <w:rtl w:val="true"/>
          <w:lang w:bidi="ar-SA"/>
        </w:rPr>
        <w:t xml:space="preserve">النجاسة ، وحينئذ فقول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استناد الموت إلى الجرح أو الماء يقتضي الشكّ </w:t>
      </w:r>
      <w:r>
        <w:rPr>
          <w:rStyle w:val="FootnoteAnchor"/>
          <w:rtl w:val="true"/>
        </w:rPr>
        <w:footnoteReference w:id="2789"/>
      </w:r>
      <w:r>
        <w:rPr>
          <w:rFonts w:ascii="Amiri" w:hAnsi="Amiri" w:eastAsia="Amiri" w:cs="Amiri"/>
          <w:color w:val="111111"/>
          <w:sz w:val="28"/>
          <w:sz w:val="28"/>
          <w:szCs w:val="28"/>
          <w:rtl w:val="true"/>
          <w:lang w:bidi="ar-SA"/>
        </w:rPr>
        <w:t xml:space="preserve">، مسلّم لو كانت النجاسة مترتّبة على الموت حتف الأنف خاصّة كما ذكروه ، وأمّا إذا قلنا بترتّبها أيضا على الشكّ في التذكية وعدم العلم بها فلا ، وحينئذ </w:t>
      </w:r>
      <w:r>
        <w:rPr>
          <w:rStyle w:val="FootnoteAnchor"/>
          <w:rtl w:val="true"/>
        </w:rPr>
        <w:footnoteReference w:id="2790"/>
      </w:r>
      <w:r>
        <w:rPr>
          <w:rFonts w:ascii="Amiri" w:hAnsi="Amiri" w:eastAsia="Amiri" w:cs="Amiri"/>
          <w:color w:val="111111"/>
          <w:sz w:val="28"/>
          <w:sz w:val="28"/>
          <w:szCs w:val="28"/>
          <w:rtl w:val="true"/>
          <w:lang w:bidi="ar-SA"/>
        </w:rPr>
        <w:t xml:space="preserve">فالظاهر هو القول بالنجاسة </w:t>
      </w:r>
      <w:r>
        <w:rPr>
          <w:rStyle w:val="FootnoteAnchor"/>
          <w:rtl w:val="true"/>
        </w:rPr>
        <w:footnoteReference w:id="2791"/>
      </w:r>
      <w:r>
        <w:rPr>
          <w:rFonts w:ascii="IRNazanin" w:hAnsi="IRNazanin" w:eastAsia="IRNazanin"/>
          <w:color w:val="111111"/>
          <w:sz w:val="28"/>
          <w:sz w:val="28"/>
          <w:szCs w:val="28"/>
          <w:rtl w:val="true"/>
          <w:lang w:bidi="fa-IR"/>
        </w:rPr>
        <w:t xml:space="preserve">، انتهى ما أفاده بلّغه اللّه مراده </w:t>
      </w:r>
      <w:r>
        <w:rPr>
          <w:rStyle w:val="FootnoteAnchor"/>
          <w:rtl w:val="true"/>
        </w:rPr>
        <w:footnoteReference w:id="2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جدّا وإن قصر بيانه عن إفادة السرّ في ذلك كما لا يخفى على من لاحظ ما ذكره بعد ما ذكرنا ، هذا تمام الكلام فيما إذا قلنا بالاستصحاب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Style w:val="FootnoteAnchor"/>
          <w:rtl w:val="true"/>
        </w:rPr>
        <w:footnoteReference w:id="2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أيضا تقديم الاستصحاب </w:t>
      </w:r>
      <w:r>
        <w:rPr>
          <w:rStyle w:val="FootnoteAnchor"/>
          <w:rtl w:val="true"/>
        </w:rPr>
        <w:footnoteReference w:id="2794"/>
      </w:r>
      <w:r>
        <w:rPr>
          <w:rFonts w:ascii="Amiri" w:hAnsi="Amiri" w:eastAsia="Amiri" w:cs="Amiri"/>
          <w:color w:val="111111"/>
          <w:sz w:val="28"/>
          <w:sz w:val="28"/>
          <w:szCs w:val="28"/>
          <w:rtl w:val="true"/>
          <w:lang w:bidi="ar-SA"/>
        </w:rPr>
        <w:t xml:space="preserve">المزيل على المزال خلافا لما يظهر من محقّق القوانين </w:t>
      </w:r>
      <w:r>
        <w:rPr>
          <w:rStyle w:val="FootnoteAnchor"/>
          <w:rtl w:val="true"/>
        </w:rPr>
        <w:footnoteReference w:id="2795"/>
      </w:r>
      <w:r>
        <w:rPr>
          <w:rFonts w:ascii="Amiri" w:hAnsi="Amiri" w:eastAsia="Amiri" w:cs="Amiri"/>
          <w:color w:val="111111"/>
          <w:sz w:val="28"/>
          <w:sz w:val="28"/>
          <w:szCs w:val="28"/>
          <w:rtl w:val="true"/>
          <w:lang w:bidi="ar-SA"/>
        </w:rPr>
        <w:t>وإن كان خلافه غير مختصّ بما إذا كان الاستصحاب حجّة تعبّدية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يراه في أمثال المقام هو الحكم بالجمع بين مقتضى الأصلين ، فيؤخذ في مورد التعارض بالأصل في المزال ، وفي غيره بالأصل في المزيل كما يحكمون بالتفكيك في موارد جمّة في الأحكام الشرعية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 من تقديم المزيل وجوه من الأدلّة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القطعي ، وتقريره هو أنّا نعلم بالحدس الصائب أنّه يمكن تصوير </w:t>
      </w:r>
      <w:r>
        <w:rPr>
          <w:rStyle w:val="FootnoteAnchor"/>
          <w:rtl w:val="true"/>
        </w:rPr>
        <w:footnoteReference w:id="2796"/>
      </w:r>
      <w:r>
        <w:rPr>
          <w:rFonts w:ascii="Amiri" w:hAnsi="Amiri" w:eastAsia="Amiri" w:cs="Amiri"/>
          <w:color w:val="111111"/>
          <w:sz w:val="28"/>
          <w:sz w:val="28"/>
          <w:szCs w:val="28"/>
          <w:rtl w:val="true"/>
          <w:lang w:bidi="ar-SA"/>
        </w:rPr>
        <w:t xml:space="preserve">صور فرضية </w:t>
      </w:r>
      <w:r>
        <w:rPr>
          <w:rStyle w:val="FootnoteAnchor"/>
          <w:rtl w:val="true"/>
        </w:rPr>
        <w:footnoteReference w:id="2797"/>
      </w:r>
      <w:r>
        <w:rPr>
          <w:rFonts w:ascii="Amiri" w:hAnsi="Amiri" w:eastAsia="Amiri" w:cs="Amiri"/>
          <w:color w:val="111111"/>
          <w:sz w:val="28"/>
          <w:sz w:val="28"/>
          <w:szCs w:val="28"/>
          <w:rtl w:val="true"/>
          <w:lang w:bidi="ar-SA"/>
        </w:rPr>
        <w:t xml:space="preserve">لو سئل عنها عن كلّ قرع سمعه حديث العلم لم يمكنهم الجواب </w:t>
      </w:r>
      <w:r>
        <w:rPr>
          <w:rStyle w:val="FootnoteAnchor"/>
          <w:rtl w:val="true"/>
        </w:rPr>
        <w:footnoteReference w:id="2798"/>
      </w:r>
      <w:r>
        <w:rPr>
          <w:rFonts w:ascii="IRNazanin" w:hAnsi="IRNazanin" w:eastAsia="IRNazanin"/>
          <w:color w:val="111111"/>
          <w:sz w:val="28"/>
          <w:sz w:val="28"/>
          <w:szCs w:val="28"/>
          <w:rtl w:val="true"/>
          <w:lang w:bidi="fa-IR"/>
        </w:rPr>
        <w:t xml:space="preserve">عنها </w:t>
      </w:r>
      <w:r>
        <w:rPr>
          <w:rStyle w:val="FootnoteAnchor"/>
          <w:rtl w:val="true"/>
        </w:rPr>
        <w:footnoteReference w:id="2799"/>
      </w:r>
      <w:r>
        <w:rPr>
          <w:rFonts w:ascii="Amiri" w:hAnsi="Amiri" w:eastAsia="Amiri" w:cs="Amiri"/>
          <w:color w:val="111111"/>
          <w:sz w:val="28"/>
          <w:sz w:val="28"/>
          <w:szCs w:val="28"/>
          <w:rtl w:val="true"/>
          <w:lang w:bidi="ar-SA"/>
        </w:rPr>
        <w:t xml:space="preserve">إلاّ على وجه يقدّم فيه المزيل </w:t>
      </w:r>
      <w:r>
        <w:rPr>
          <w:rStyle w:val="FootnoteAnchor"/>
          <w:rtl w:val="true"/>
        </w:rPr>
        <w:footnoteReference w:id="2800"/>
      </w:r>
      <w:r>
        <w:rPr>
          <w:rFonts w:ascii="Amiri" w:hAnsi="Amiri" w:eastAsia="Amiri" w:cs="Amiri"/>
          <w:color w:val="111111"/>
          <w:sz w:val="28"/>
          <w:sz w:val="28"/>
          <w:szCs w:val="28"/>
          <w:rtl w:val="true"/>
          <w:lang w:bidi="ar-SA"/>
        </w:rPr>
        <w:t xml:space="preserve">على المزال ، ويكشف عن ذلك ملاحظة بعض الفروض والصور ، فإنّ استصحاب العدالة يجدي في جواز الاقتداء بمن اتّصف بها وحرمة </w:t>
      </w:r>
    </w:p>
    <w:p>
      <w:pPr>
        <w:pStyle w:val="BookText"/>
        <w:rPr/>
      </w:pPr>
      <w:r>
        <w:rPr>
          <w:rFonts w:ascii="Amiri" w:hAnsi="Amiri" w:eastAsia="Amiri" w:cs="Amiri"/>
          <w:color w:val="111111"/>
          <w:sz w:val="28"/>
          <w:sz w:val="28"/>
          <w:szCs w:val="28"/>
          <w:rtl w:val="true"/>
          <w:lang w:bidi="ar-SA"/>
        </w:rPr>
        <w:t xml:space="preserve">المطلّقة التي طلّقت بمحضر منه وقبول شهادته والإيصاء به واستنابته وتوكيله فيما كانت مشروطة بها مع أنّ الأصل في جميع ذلك عدم ترتّبها كما لا يخفى ، واستصحاب طهارة </w:t>
      </w:r>
      <w:r>
        <w:rPr>
          <w:rStyle w:val="FootnoteAnchor"/>
          <w:rtl w:val="true"/>
        </w:rPr>
        <w:footnoteReference w:id="2801"/>
      </w:r>
      <w:r>
        <w:rPr>
          <w:rFonts w:ascii="Amiri" w:hAnsi="Amiri" w:eastAsia="Amiri" w:cs="Amiri"/>
          <w:color w:val="111111"/>
          <w:sz w:val="28"/>
          <w:sz w:val="28"/>
          <w:szCs w:val="28"/>
          <w:rtl w:val="true"/>
          <w:lang w:bidi="ar-SA"/>
        </w:rPr>
        <w:t xml:space="preserve">الماء يجدي في جواز الغسل به والتطهير به وشربه وتعمير المسجد به ونحو ذلك من الأمور المخالفة للأصل ، واستصحاب طهارة الأرض يجدي في جواز السجود عليه والتيمّم به </w:t>
      </w:r>
      <w:r>
        <w:rPr>
          <w:rStyle w:val="FootnoteAnchor"/>
          <w:rtl w:val="true"/>
        </w:rPr>
        <w:footnoteReference w:id="2802"/>
      </w:r>
      <w:r>
        <w:rPr>
          <w:rFonts w:ascii="Amiri" w:hAnsi="Amiri" w:eastAsia="Amiri" w:cs="Amiri"/>
          <w:color w:val="111111"/>
          <w:sz w:val="28"/>
          <w:sz w:val="28"/>
          <w:szCs w:val="28"/>
          <w:rtl w:val="true"/>
          <w:lang w:bidi="ar-SA"/>
        </w:rPr>
        <w:t xml:space="preserve">، واستصحاب نجاسة العصير يجدي في حرمة أكله ونجاسة ملاقيه من الأجسام ، واستصحاب حياة الزوج يجدي في وجوب نفقتها على الزوج وحرمة تزويجها وعدم جواز تقسيم ماله إلى غير ذلك من الأحكام ، ومنها استصحاب عدم التذكية لحرمة اللحم ونجاسة الجلد وعدم جواز البيع وعدم جواز الاستصباح بالشحم </w:t>
      </w:r>
      <w:r>
        <w:rPr>
          <w:rStyle w:val="FootnoteAnchor"/>
          <w:rtl w:val="true"/>
        </w:rPr>
        <w:footnoteReference w:id="2803"/>
      </w:r>
      <w:r>
        <w:rPr>
          <w:rFonts w:ascii="Amiri" w:hAnsi="Amiri" w:eastAsia="Amiri" w:cs="Amiri"/>
          <w:color w:val="111111"/>
          <w:sz w:val="28"/>
          <w:sz w:val="28"/>
          <w:szCs w:val="28"/>
          <w:rtl w:val="true"/>
          <w:lang w:bidi="ar-SA"/>
        </w:rPr>
        <w:t>إلى غير ذلك من الأمور المترتّبة عليها من الأحكام المخالفة للأصول في طرف هذه الأحكام ، ولقد أفتوا جميعا بذلك في بعض هذه الموارد ونحن نعلم بعدم الفرق بينهما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الإجماع بأنّ الاستصحاب </w:t>
      </w:r>
      <w:r>
        <w:rPr>
          <w:rStyle w:val="FootnoteAnchor"/>
          <w:rtl w:val="true"/>
        </w:rPr>
        <w:footnoteReference w:id="2804"/>
      </w:r>
      <w:r>
        <w:rPr>
          <w:rFonts w:ascii="Amiri" w:hAnsi="Amiri" w:eastAsia="Amiri" w:cs="Amiri"/>
          <w:color w:val="111111"/>
          <w:sz w:val="28"/>
          <w:sz w:val="28"/>
          <w:szCs w:val="28"/>
          <w:rtl w:val="true"/>
          <w:lang w:bidi="ar-SA"/>
        </w:rPr>
        <w:t xml:space="preserve">المزيل دائما يكون من استصحاب الموضوع واستصحاب المزال من الحكم ، وقد ادّعى الشيخ عليّ في تعليقاته على الروضة </w:t>
      </w:r>
      <w:r>
        <w:rPr>
          <w:rStyle w:val="FootnoteAnchor"/>
          <w:rtl w:val="true"/>
        </w:rPr>
        <w:footnoteReference w:id="2805"/>
      </w:r>
      <w:r>
        <w:rPr>
          <w:rFonts w:ascii="Amiri" w:hAnsi="Amiri" w:eastAsia="Amiri" w:cs="Amiri"/>
          <w:color w:val="111111"/>
          <w:sz w:val="28"/>
          <w:sz w:val="28"/>
          <w:szCs w:val="28"/>
          <w:rtl w:val="true"/>
          <w:lang w:bidi="ar-SA"/>
        </w:rPr>
        <w:t>الإجماع على تقديم الأصل الموضوعي على الأصل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من التقرير فنحن في غنى عن تجشّم إثبات الصغرى في هذه الحجّة مع وضوح تطرّق المنع إليها ، فتدبّر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المستمرّة في جميع الأعصار والأمصار بين العاملين بالاستصحاب في أمور معادهم أو معاشهم في عباداتهم ومعاملاتهم مع عدم انفكاك ذلك عن </w:t>
      </w:r>
    </w:p>
    <w:p>
      <w:pPr>
        <w:pStyle w:val="BookText"/>
        <w:rPr/>
      </w:pPr>
      <w:r>
        <w:rPr>
          <w:rFonts w:ascii="Amiri" w:hAnsi="Amiri" w:eastAsia="Amiri" w:cs="Amiri"/>
          <w:color w:val="111111"/>
          <w:sz w:val="28"/>
          <w:sz w:val="28"/>
          <w:szCs w:val="28"/>
          <w:rtl w:val="true"/>
          <w:lang w:bidi="ar-SA"/>
        </w:rPr>
        <w:t xml:space="preserve">استصحاب وجودي أو عدمي مسبّب </w:t>
      </w:r>
      <w:r>
        <w:rPr>
          <w:rStyle w:val="FootnoteAnchor"/>
          <w:rtl w:val="true"/>
        </w:rPr>
        <w:footnoteReference w:id="2806"/>
      </w:r>
      <w:r>
        <w:rPr>
          <w:rFonts w:ascii="Amiri" w:hAnsi="Amiri" w:eastAsia="Amiri" w:cs="Amiri"/>
          <w:color w:val="111111"/>
          <w:sz w:val="28"/>
          <w:sz w:val="28"/>
          <w:szCs w:val="28"/>
          <w:rtl w:val="true"/>
          <w:lang w:bidi="ar-SA"/>
        </w:rPr>
        <w:t>الشكّ فيه عن الشكّ في مجرى الاستصحاب الذي يعوّلون عليه ، وإن شئت التوضيح فلاحظ نفسك هل تجد فيه انتظارا للعمل بأحكام الطهارة فيما إذا حكمت شرعا بطهارة شيء؟</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لا ذلك لاختلّ النظام وفسد الأمر على الخواصّ والعوامّ فإنّ ذلك في معنى عدم حجّية الاستصحاب ؛ إذ الأحكام المترتّبة على المستصحب لا يخلو من أن تكون </w:t>
      </w:r>
      <w:r>
        <w:rPr>
          <w:rStyle w:val="FootnoteAnchor"/>
          <w:rtl w:val="true"/>
        </w:rPr>
        <w:footnoteReference w:id="2807"/>
      </w:r>
      <w:r>
        <w:rPr>
          <w:rFonts w:ascii="Amiri" w:hAnsi="Amiri" w:eastAsia="Amiri" w:cs="Amiri"/>
          <w:color w:val="111111"/>
          <w:sz w:val="28"/>
          <w:sz w:val="28"/>
          <w:szCs w:val="28"/>
          <w:rtl w:val="true"/>
          <w:lang w:bidi="ar-SA"/>
        </w:rPr>
        <w:t xml:space="preserve">مسبوقة بالحالة السابقة الموافقة للمستصحب ، أو تكون مخالفة لها ، أو لا يعلم ذلك ، فعلى الأوّل فلا حاجة إلى استصحاب ذلك الموضوع في استصحابه عند من يزعم </w:t>
      </w:r>
      <w:r>
        <w:rPr>
          <w:rStyle w:val="FootnoteAnchor"/>
          <w:rtl w:val="true"/>
        </w:rPr>
        <w:footnoteReference w:id="2808"/>
      </w:r>
      <w:r>
        <w:rPr>
          <w:rFonts w:ascii="Amiri" w:hAnsi="Amiri" w:eastAsia="Amiri" w:cs="Amiri"/>
          <w:color w:val="111111"/>
          <w:sz w:val="28"/>
          <w:sz w:val="28"/>
          <w:szCs w:val="28"/>
          <w:rtl w:val="true"/>
          <w:lang w:bidi="ar-SA"/>
        </w:rPr>
        <w:t xml:space="preserve">المذكور لكفاية استصحابه </w:t>
      </w:r>
      <w:r>
        <w:rPr>
          <w:rStyle w:val="FootnoteAnchor"/>
          <w:rtl w:val="true"/>
        </w:rPr>
        <w:footnoteReference w:id="2809"/>
      </w:r>
      <w:r>
        <w:rPr>
          <w:rFonts w:ascii="Amiri" w:hAnsi="Amiri" w:eastAsia="Amiri" w:cs="Amiri"/>
          <w:color w:val="111111"/>
          <w:sz w:val="28"/>
          <w:sz w:val="28"/>
          <w:szCs w:val="28"/>
          <w:rtl w:val="true"/>
          <w:lang w:bidi="ar-SA"/>
        </w:rPr>
        <w:t xml:space="preserve">وإن كان عندنا غير معقول لما عرفت من فساده في الهداية الموضوعية فراجعها </w:t>
      </w:r>
      <w:r>
        <w:rPr>
          <w:rStyle w:val="FootnoteAnchor"/>
          <w:rtl w:val="true"/>
        </w:rPr>
        <w:footnoteReference w:id="2810"/>
      </w:r>
      <w:r>
        <w:rPr>
          <w:rFonts w:ascii="Amiri" w:hAnsi="Amiri" w:eastAsia="Amiri" w:cs="Amiri"/>
          <w:color w:val="111111"/>
          <w:sz w:val="28"/>
          <w:sz w:val="28"/>
          <w:szCs w:val="28"/>
          <w:rtl w:val="true"/>
          <w:lang w:bidi="ar-SA"/>
        </w:rPr>
        <w:t xml:space="preserve">، ولا يصحّ ترتّبها </w:t>
      </w:r>
      <w:r>
        <w:rPr>
          <w:rStyle w:val="FootnoteAnchor"/>
          <w:rtl w:val="true"/>
        </w:rPr>
        <w:footnoteReference w:id="2811"/>
      </w:r>
      <w:r>
        <w:rPr>
          <w:rFonts w:ascii="Amiri" w:hAnsi="Amiri" w:eastAsia="Amiri" w:cs="Amiri"/>
          <w:color w:val="111111"/>
          <w:sz w:val="28"/>
          <w:sz w:val="28"/>
          <w:szCs w:val="28"/>
          <w:rtl w:val="true"/>
          <w:lang w:bidi="ar-SA"/>
        </w:rPr>
        <w:t xml:space="preserve">على الأخيرين لمعارضة الاستصحاب في أوّلهما وقاعدة العدم في ثانيهما للاستصحاب الأوّل ، وذلك ظاهر لمن ألقى السمع وهو شهيد ، فشناعة </w:t>
      </w:r>
      <w:r>
        <w:rPr>
          <w:rStyle w:val="FootnoteAnchor"/>
          <w:rtl w:val="true"/>
        </w:rPr>
        <w:footnoteReference w:id="2812"/>
      </w:r>
      <w:r>
        <w:rPr>
          <w:rFonts w:ascii="Amiri" w:hAnsi="Amiri" w:eastAsia="Amiri" w:cs="Amiri"/>
          <w:color w:val="111111"/>
          <w:sz w:val="28"/>
          <w:sz w:val="28"/>
          <w:szCs w:val="28"/>
          <w:rtl w:val="true"/>
          <w:lang w:bidi="ar-SA"/>
        </w:rPr>
        <w:t>القول بعدم التقديم ممّا لا يخفى على أحد ، ولعمري كيف مال إليه ذلك المحقّق النحرير مع أنّه بمكان من الضعف والسقوط على ما شاهدت فيما قدّمناه من التقرير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مدفع لذلك إلاّ بالتفصيل بين الموارد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تحقّق مجرى المزيل قبل تحقّق </w:t>
      </w:r>
      <w:r>
        <w:rPr>
          <w:rStyle w:val="FootnoteAnchor"/>
          <w:rtl w:val="true"/>
        </w:rPr>
        <w:footnoteReference w:id="2813"/>
      </w:r>
      <w:r>
        <w:rPr>
          <w:rFonts w:ascii="Amiri" w:hAnsi="Amiri" w:eastAsia="Amiri" w:cs="Amiri"/>
          <w:color w:val="111111"/>
          <w:sz w:val="28"/>
          <w:sz w:val="28"/>
          <w:szCs w:val="28"/>
          <w:rtl w:val="true"/>
          <w:lang w:bidi="ar-SA"/>
        </w:rPr>
        <w:t xml:space="preserve">مجرى المزال فلا شبهة في تقديم المزيل على المزال وإجراء جميع ما يترتّب على المستصحب عليه ؛ لعدم </w:t>
      </w:r>
      <w:r>
        <w:rPr>
          <w:rStyle w:val="FootnoteAnchor"/>
          <w:rtl w:val="true"/>
        </w:rPr>
        <w:footnoteReference w:id="2814"/>
      </w:r>
      <w:r>
        <w:rPr>
          <w:rFonts w:ascii="Amiri" w:hAnsi="Amiri" w:eastAsia="Amiri" w:cs="Amiri"/>
          <w:color w:val="111111"/>
          <w:sz w:val="28"/>
          <w:sz w:val="28"/>
          <w:szCs w:val="28"/>
          <w:rtl w:val="true"/>
          <w:lang w:bidi="ar-SA"/>
        </w:rPr>
        <w:t xml:space="preserve">المانع عن الترتيب فعلا ، بل وجود الدليل الشرعي عليه كما </w:t>
      </w:r>
    </w:p>
    <w:p>
      <w:pPr>
        <w:pStyle w:val="BookText"/>
        <w:rPr/>
      </w:pPr>
      <w:r>
        <w:rPr>
          <w:rFonts w:ascii="Amiri" w:hAnsi="Amiri" w:eastAsia="Amiri" w:cs="Amiri"/>
          <w:color w:val="111111"/>
          <w:sz w:val="28"/>
          <w:sz w:val="28"/>
          <w:szCs w:val="28"/>
          <w:rtl w:val="true"/>
          <w:lang w:bidi="ar-SA"/>
        </w:rPr>
        <w:t xml:space="preserve">لو فرضنا الشكّ في طهارة الماء مع الحالة السابقة ، ثمّ استصحبنا </w:t>
      </w:r>
      <w:r>
        <w:rPr>
          <w:rStyle w:val="FootnoteAnchor"/>
          <w:rtl w:val="true"/>
        </w:rPr>
        <w:footnoteReference w:id="2815"/>
      </w:r>
      <w:r>
        <w:rPr>
          <w:rFonts w:ascii="Amiri" w:hAnsi="Amiri" w:eastAsia="Amiri" w:cs="Amiri"/>
          <w:color w:val="111111"/>
          <w:sz w:val="28"/>
          <w:sz w:val="28"/>
          <w:szCs w:val="28"/>
          <w:rtl w:val="true"/>
          <w:lang w:bidi="ar-SA"/>
        </w:rPr>
        <w:t xml:space="preserve">الطهارة من غير التفات إلى الشكّ في نجاسة الثوب المغسول بذلك الماء ، فإنّ الحكم بطهارة الماء شرعا يلازمه طهارة الثوب المغسول به شرعا ، وحيث إنّه لا التفات إلى مجرى الاستصحاب في المزال لعدم الالتفات بالشكّ في النجاسة فلا تحقّق لمجراه مع تحقّق مجرى المزيل وعدم المعارض ، والشكّ بعد الحكم الاستصحابي في المزيل لا يجدي شيئا ؛ لأنّه محكوم بالطهارة شرعا ، والإجماع والسيرة واختلال النظام كلّها مسلّمة في هذا المورد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تحقّق مجرى الأصلين دفعة واحدة كما إذا كان الشكّ في نجاسة الثوب مقارنة مع الشكّ في طهارة الماء كما في مسألة الصيد والثوب المنشور على الأرض المغسول بالماء المستصحب الطهارة ، فلا دليل على تقديم الأصل المزيل لا الإجماع كما هو واضح ، ولا السيرة ؛ لعدم ثبوتها في محلّ الفرض ، ولا يختلّ النظام بذلك ، بل الحقّ هو الأخذ بالأصل في المزال ؛ لأنّه الدليل شرعا ، وأمّا </w:t>
      </w:r>
      <w:r>
        <w:rPr>
          <w:rStyle w:val="FootnoteAnchor"/>
          <w:rtl w:val="true"/>
        </w:rPr>
        <w:footnoteReference w:id="2817"/>
      </w:r>
      <w:r>
        <w:rPr>
          <w:rFonts w:ascii="Amiri" w:hAnsi="Amiri" w:eastAsia="Amiri" w:cs="Amiri"/>
          <w:color w:val="111111"/>
          <w:sz w:val="28"/>
          <w:sz w:val="28"/>
          <w:szCs w:val="28"/>
          <w:rtl w:val="true"/>
          <w:lang w:bidi="ar-SA"/>
        </w:rPr>
        <w:t>الأصل المزيل فلا يجدي في ذلك الحكم ؛ لأنّه إنّما هو في المقام فرضي ، إذ لو لم يكن الأصل المزال جاريا كان الأخذ به محكّما والدليل الفرضي لا يفيد حكما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ما ذكر من التفصيل بعيدا عن مذاق الشريعة فإنّ التفصيل بين الالتفات بالشكّ وعدمه </w:t>
      </w:r>
      <w:r>
        <w:rPr>
          <w:rStyle w:val="FootnoteAnchor"/>
          <w:rtl w:val="true"/>
        </w:rPr>
        <w:footnoteReference w:id="2818"/>
      </w:r>
      <w:r>
        <w:rPr>
          <w:rFonts w:ascii="Amiri" w:hAnsi="Amiri" w:eastAsia="Amiri" w:cs="Amiri"/>
          <w:color w:val="111111"/>
          <w:sz w:val="28"/>
          <w:sz w:val="28"/>
          <w:szCs w:val="28"/>
          <w:rtl w:val="true"/>
          <w:lang w:bidi="ar-SA"/>
        </w:rPr>
        <w:t xml:space="preserve">في جريان الأصل وعدمه ليس مختصّا بما نحن بصدده ، فإنّه نقول بمثله في بعض موارد أصالة الصحّة أيضا ، كما إذا شكّ قبل الصلاة في الوضوء فذهل </w:t>
      </w:r>
      <w:r>
        <w:rPr>
          <w:rStyle w:val="FootnoteAnchor"/>
          <w:rtl w:val="true"/>
        </w:rPr>
        <w:footnoteReference w:id="2819"/>
      </w:r>
      <w:r>
        <w:rPr>
          <w:rFonts w:ascii="Amiri" w:hAnsi="Amiri" w:eastAsia="Amiri" w:cs="Amiri"/>
          <w:color w:val="111111"/>
          <w:sz w:val="28"/>
          <w:sz w:val="28"/>
          <w:szCs w:val="28"/>
          <w:rtl w:val="true"/>
          <w:lang w:bidi="ar-SA"/>
        </w:rPr>
        <w:t xml:space="preserve">عن الشكّ هذا فصلّى من غير تجديد للطهارة ، ثمّ ذكر الشكّ بعد الصلاة ، فإنّه لا يجدي التمسّك بقاعدة الشكّ بعد الفراغ في الحكم بصحّة الصلاة ؛ لأنّ استصحاب الحدث </w:t>
      </w:r>
    </w:p>
    <w:p>
      <w:pPr>
        <w:pStyle w:val="BookText"/>
        <w:rPr/>
      </w:pPr>
      <w:r>
        <w:rPr>
          <w:rFonts w:ascii="Amiri" w:hAnsi="Amiri" w:eastAsia="Amiri" w:cs="Amiri"/>
          <w:color w:val="111111"/>
          <w:sz w:val="28"/>
          <w:sz w:val="28"/>
          <w:szCs w:val="28"/>
          <w:rtl w:val="true"/>
          <w:lang w:bidi="ar-SA"/>
        </w:rPr>
        <w:t xml:space="preserve">محكّم عليه ، وأمّا إذا شكّ بعد الصلاة فهي من موارد أصالة الوقوع والشكّ بعد الفراغ فلا يجدي فيه التمسّك باستصحاب الحدث نظرا إلى أنّ الشكّ هذا لو كان قبل الصلاة كان مجرى للاستصحاب ؛ لأنّه دليل فرضي صرف وهو لا يفيد حكما كما أنّه لا يجوز التمسّك بأصالة الوقوع </w:t>
      </w:r>
      <w:r>
        <w:rPr>
          <w:rStyle w:val="FootnoteAnchor"/>
          <w:rtl w:val="true"/>
        </w:rPr>
        <w:footnoteReference w:id="2820"/>
      </w:r>
      <w:r>
        <w:rPr>
          <w:rFonts w:ascii="Amiri" w:hAnsi="Amiri" w:eastAsia="Amiri" w:cs="Amiri"/>
          <w:color w:val="111111"/>
          <w:sz w:val="28"/>
          <w:sz w:val="28"/>
          <w:szCs w:val="28"/>
          <w:rtl w:val="true"/>
          <w:lang w:bidi="ar-SA"/>
        </w:rPr>
        <w:t>في الصورة الأولى ، لأنّه ليس شكّا بعد الفراغ ، بل هو تذكّر للشكّ قبل العمل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Style w:val="FootnoteAnchor"/>
          <w:rtl w:val="true"/>
        </w:rPr>
        <w:footnoteReference w:id="2821"/>
      </w:r>
      <w:r>
        <w:rPr>
          <w:rFonts w:ascii="Amiri" w:hAnsi="Amiri" w:eastAsia="Amiri" w:cs="Amiri"/>
          <w:color w:val="111111"/>
          <w:sz w:val="28"/>
          <w:sz w:val="28"/>
          <w:szCs w:val="28"/>
          <w:rtl w:val="true"/>
          <w:lang w:bidi="ar-SA"/>
        </w:rPr>
        <w:t xml:space="preserve">التفصيل يدفع </w:t>
      </w:r>
      <w:r>
        <w:rPr>
          <w:rStyle w:val="FootnoteAnchor"/>
          <w:rtl w:val="true"/>
        </w:rPr>
        <w:footnoteReference w:id="2822"/>
      </w:r>
      <w:r>
        <w:rPr>
          <w:rFonts w:ascii="Amiri" w:hAnsi="Amiri" w:eastAsia="Amiri" w:cs="Amiri"/>
          <w:color w:val="111111"/>
          <w:sz w:val="28"/>
          <w:sz w:val="28"/>
          <w:szCs w:val="28"/>
          <w:rtl w:val="true"/>
          <w:lang w:bidi="ar-SA"/>
        </w:rPr>
        <w:t xml:space="preserve">الشناعة الواردة على أصحاب القول بعدم تحكيم المزيل على المزال ، وهذا غاية ما يمكن الانتصار لهم ، ومع ذلك ففساده أجلى من أن يكاد يخفى على من له دربة </w:t>
      </w:r>
      <w:r>
        <w:rPr>
          <w:rStyle w:val="FootnoteAnchor"/>
          <w:rtl w:val="true"/>
        </w:rPr>
        <w:footnoteReference w:id="2823"/>
      </w:r>
      <w:r>
        <w:rPr>
          <w:rFonts w:ascii="Amiri" w:hAnsi="Amiri" w:eastAsia="Amiri" w:cs="Amiri"/>
          <w:color w:val="111111"/>
          <w:sz w:val="28"/>
          <w:sz w:val="28"/>
          <w:szCs w:val="28"/>
          <w:rtl w:val="true"/>
          <w:lang w:bidi="ar-SA"/>
        </w:rPr>
        <w:t>، فإنّ الاستصحاب غير محتاج إلى الشكّ الفعلي ، بل الشكّ الفرضي كاف في جريانه كما عرفت في الهداية السبزوارية ، فإنّ استصحاب الطهارة عند عروض المذي كما يفتي به المجتهد لا يتوقّف على فعلية الشكّ في انتقاض الطهارة بالمذي ، وممّا يضحك الثكلى في المقام هو أنّه لو فرض عدم الالتفات إلى الشكّ في نجاسة ثوب بعد استصحاب طهارة الماء والالتفات إلى نجاسة ثوب آخر فلا بدّ من الحكم بطهارة الأوّل ونجاسة الثاني مع وحدة الماء ولا سيّما مع وحدة النجاسة إلاّ أنّ الالتزام بمثله في الأحكام الظاهرية غير عزيز ، فتدبّر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w:t>
      </w:r>
      <w:r>
        <w:rPr>
          <w:rStyle w:val="FootnoteAnchor"/>
          <w:rtl w:val="true"/>
        </w:rPr>
        <w:footnoteReference w:id="2824"/>
      </w:r>
      <w:r>
        <w:rPr>
          <w:rFonts w:ascii="Amiri" w:hAnsi="Amiri" w:eastAsia="Amiri" w:cs="Amiri"/>
          <w:color w:val="111111"/>
          <w:sz w:val="28"/>
          <w:sz w:val="28"/>
          <w:szCs w:val="28"/>
          <w:rtl w:val="true"/>
          <w:lang w:bidi="ar-SA"/>
        </w:rPr>
        <w:t xml:space="preserve">كان ، الظاهر عدم الفرق في تقديم الأصل المزيل على المزال فيما إذا فرض تحقّق الشكّ في مجرى المزال كما إذا التفت الشخص إلى الشكّ أوّلا ؛ لأنّ البناء على الأخذ بالمزيل مطلقا سواء كان ملتفتا أو لم يكن ، وأمّا ما ذكرناه من عدم الأخذ بأصالة الوقوع فيما إذا ذهل عن الشكّ قبل العمل وعدم جريان أصالة بقاء الحدث فيما إذا شكّ بعد العمل ، فممّا لا دخل له بالمقام ؛ لأنّ الأوّل ليس موردا لأصالة الوقوع ، </w:t>
      </w:r>
    </w:p>
    <w:p>
      <w:pPr>
        <w:pStyle w:val="BookText"/>
        <w:rPr/>
      </w:pPr>
      <w:r>
        <w:rPr>
          <w:rFonts w:ascii="Amiri" w:hAnsi="Amiri" w:eastAsia="Amiri" w:cs="Amiri"/>
          <w:color w:val="111111"/>
          <w:sz w:val="28"/>
          <w:sz w:val="28"/>
          <w:szCs w:val="28"/>
          <w:rtl w:val="true"/>
          <w:lang w:bidi="ar-SA"/>
        </w:rPr>
        <w:t>لأنّه حقيقة شكّ قبل تجاوز المحلّ ، وكذا الثاني ؛ لحكومة أصالة الوقوع على أصالة عدم الطهارة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المذكورة تدلّ على تقدّم المزيل على المزال وذلك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 موارد هذه الأخبار من الاستصحاب </w:t>
      </w:r>
      <w:r>
        <w:rPr>
          <w:rStyle w:val="FootnoteAnchor"/>
          <w:rtl w:val="true"/>
        </w:rPr>
        <w:footnoteReference w:id="2825"/>
      </w:r>
      <w:r>
        <w:rPr>
          <w:rFonts w:ascii="Amiri" w:hAnsi="Amiri" w:eastAsia="Amiri" w:cs="Amiri"/>
          <w:color w:val="111111"/>
          <w:sz w:val="28"/>
          <w:sz w:val="28"/>
          <w:szCs w:val="28"/>
          <w:rtl w:val="true"/>
          <w:lang w:bidi="ar-SA"/>
        </w:rPr>
        <w:t xml:space="preserve">المزيل و </w:t>
      </w:r>
      <w:r>
        <w:rPr>
          <w:rStyle w:val="FootnoteAnchor"/>
          <w:rtl w:val="true"/>
        </w:rPr>
        <w:footnoteReference w:id="2826"/>
      </w:r>
      <w:r>
        <w:rPr>
          <w:rFonts w:ascii="IRNazanin" w:hAnsi="IRNazanin" w:eastAsia="IRNazanin"/>
          <w:color w:val="111111"/>
          <w:sz w:val="28"/>
          <w:sz w:val="28"/>
          <w:szCs w:val="28"/>
          <w:rtl w:val="true"/>
          <w:lang w:bidi="fa-IR"/>
        </w:rPr>
        <w:t xml:space="preserve">قدّمه على الاستصحاب </w:t>
      </w:r>
      <w:r>
        <w:rPr>
          <w:rStyle w:val="FootnoteAnchor"/>
          <w:rtl w:val="true"/>
        </w:rPr>
        <w:footnoteReference w:id="2827"/>
      </w:r>
      <w:r>
        <w:rPr>
          <w:rFonts w:ascii="Amiri" w:hAnsi="Amiri" w:eastAsia="Amiri" w:cs="Amiri"/>
          <w:color w:val="111111"/>
          <w:sz w:val="28"/>
          <w:sz w:val="28"/>
          <w:szCs w:val="28"/>
          <w:rtl w:val="true"/>
          <w:lang w:bidi="ar-SA"/>
        </w:rPr>
        <w:t>المزال معلّلا في ذلك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اليقين لا ينقض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لزم اختصاص شيء بشيء مع تعليله بعلّة مشتركة بينه وبين غيره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زرارة </w:t>
      </w:r>
      <w:r>
        <w:rPr>
          <w:rStyle w:val="FootnoteAnchor"/>
          <w:rtl w:val="true"/>
        </w:rPr>
        <w:footnoteReference w:id="2828"/>
      </w:r>
      <w:r>
        <w:rPr>
          <w:rFonts w:ascii="Amiri" w:hAnsi="Amiri" w:eastAsia="Amiri" w:cs="Amiri"/>
          <w:color w:val="111111"/>
          <w:sz w:val="28"/>
          <w:sz w:val="28"/>
          <w:szCs w:val="28"/>
          <w:rtl w:val="true"/>
          <w:lang w:bidi="ar-SA"/>
        </w:rPr>
        <w:t xml:space="preserve">دلّ على كفاية استصحاب الطهارة عند الشكّ في عروض النوم ، وكذا خبره الآخر </w:t>
      </w:r>
      <w:r>
        <w:rPr>
          <w:rStyle w:val="FootnoteAnchor"/>
          <w:rtl w:val="true"/>
        </w:rPr>
        <w:footnoteReference w:id="2829"/>
      </w:r>
      <w:r>
        <w:rPr>
          <w:rFonts w:ascii="Amiri" w:hAnsi="Amiri" w:eastAsia="Amiri" w:cs="Amiri"/>
          <w:color w:val="111111"/>
          <w:sz w:val="28"/>
          <w:sz w:val="28"/>
          <w:szCs w:val="28"/>
          <w:rtl w:val="true"/>
          <w:lang w:bidi="ar-SA"/>
        </w:rPr>
        <w:t xml:space="preserve">دلّ على كفاية استصحاب الطهارة في الثوب عند احتمال عروض النجاسة مع أنّ استصحاب الطهارة الوضوئية معارض باستصحاب بقاء الشغل بالصلاة ، وكذا استصحاب طهارة الثوب معارض باستصحاب الاشتغال فيما يشترط الدخول فيه بها مثلا ، فالموجود في هذه الموارد يقينان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المسبّب ، وشكّان كذلك ، والإمام مع ذلك حكم باستصحابي الطهارة في المقامين وعلّله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اليقين لا ينقض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 الشكّ في المسبّب كيفيته كان بمنزلة عدم الشكّ واليقين لم يصحّ التعليل المذكور ؛ لوجود </w:t>
      </w:r>
      <w:r>
        <w:rPr>
          <w:rStyle w:val="FootnoteAnchor"/>
          <w:rtl w:val="true"/>
        </w:rPr>
        <w:footnoteReference w:id="2830"/>
      </w:r>
      <w:r>
        <w:rPr>
          <w:rFonts w:ascii="Amiri" w:hAnsi="Amiri" w:eastAsia="Amiri" w:cs="Amiri"/>
          <w:color w:val="111111"/>
          <w:sz w:val="28"/>
          <w:sz w:val="28"/>
          <w:szCs w:val="28"/>
          <w:rtl w:val="true"/>
          <w:lang w:bidi="ar-SA"/>
        </w:rPr>
        <w:t xml:space="preserve">العلّة بعينه في المسبّب أيضا ، ومعنى تنزيل اليقين والشكّ في المسبّب منزلة العدم هو عدم الأخذ بأحكام اليقين والشكّ فيه ، وهذا هو بعنيه هو الحكم بحكومة المزيل على المزال ، فيكون المزيل بمنزلة دليل اجتهادي في مورد المزال ؛ إذ بتحقّقه لم يبق له مورد ولا مجرى ؛ لأنّ ملاك الاستصحاب وهو الشكّ يكون </w:t>
      </w:r>
      <w:r>
        <w:rPr>
          <w:rStyle w:val="FootnoteAnchor"/>
          <w:rtl w:val="true"/>
        </w:rPr>
        <w:footnoteReference w:id="2831"/>
      </w:r>
      <w:r>
        <w:rPr>
          <w:rFonts w:ascii="Amiri" w:hAnsi="Amiri" w:eastAsia="Amiri" w:cs="Amiri"/>
          <w:color w:val="111111"/>
          <w:sz w:val="28"/>
          <w:sz w:val="28"/>
          <w:szCs w:val="28"/>
          <w:rtl w:val="true"/>
          <w:lang w:bidi="ar-SA"/>
        </w:rPr>
        <w:t xml:space="preserve">ملغى في مورده وذلك ظاهر ، وقد </w:t>
      </w:r>
    </w:p>
    <w:p>
      <w:pPr>
        <w:pStyle w:val="BookText"/>
        <w:rPr/>
      </w:pPr>
      <w:r>
        <w:rPr>
          <w:rFonts w:ascii="Amiri" w:hAnsi="Amiri" w:eastAsia="Amiri" w:cs="Amiri"/>
          <w:color w:val="111111"/>
          <w:sz w:val="28"/>
          <w:sz w:val="28"/>
          <w:szCs w:val="28"/>
          <w:rtl w:val="true"/>
          <w:lang w:bidi="ar-SA"/>
        </w:rPr>
        <w:t xml:space="preserve">يتوهّم أنّ رواية القاساني </w:t>
      </w:r>
      <w:r>
        <w:rPr>
          <w:rStyle w:val="FootnoteAnchor"/>
          <w:rtl w:val="true"/>
        </w:rPr>
        <w:footnoteReference w:id="28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Style w:val="FootnoteAnchor"/>
          <w:rtl w:val="true"/>
        </w:rPr>
        <w:footnoteReference w:id="2833"/>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للرؤية وأفطر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الموارد المذكورة ، ولعلّها ممّا لا يساعدها الخصم ؛ لاحتمال القول بأنّ المستصحب فيها هو الحكم فيها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بناء على ما حقّقنا من أنّ استصحاب الحكم لا يعقل بدون استصحاب الموضوع يتمّ ذلك بالنسبة إلى الأخذ باستصحاب الموضوع المزيل ، فلا يجري </w:t>
      </w:r>
      <w:r>
        <w:rPr>
          <w:rStyle w:val="FootnoteAnchor"/>
          <w:rtl w:val="true"/>
        </w:rPr>
        <w:footnoteReference w:id="2835"/>
      </w:r>
      <w:r>
        <w:rPr>
          <w:rFonts w:ascii="Amiri" w:hAnsi="Amiri" w:eastAsia="Amiri" w:cs="Amiri"/>
          <w:color w:val="111111"/>
          <w:sz w:val="28"/>
          <w:sz w:val="28"/>
          <w:szCs w:val="28"/>
          <w:rtl w:val="true"/>
          <w:lang w:bidi="ar-SA"/>
        </w:rPr>
        <w:t>ذلك في مقام التعارض ؛ لأنّ استصحاب جواز الصوم ووجوبه في الشهرين غير معارض لاستصحاب الموضوع ، بل على ما زعمه غيرنا معاضد له ، ولا يمكن دفعه بالتفصيل السابق ؛ لأنّه وإن كان جاريا بالنسبة إلى الرواية الأولى ، لأنّ الشكّ في الاشتغال لم يكن موجودا حين تحقّق مجرى استصحاب الطهارة ، إلاّ أنّ الثانية إنّما هو سؤال عن صحّة الصلاة بعد الشكّ في الطهارة فمجرى الاستصحابين موجود فيها ، ومع ذلك فقد حكم الإمام باستصحاب الطهارة معلّلا بالعلّة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عموم أخبار الباب وإعمال أصالة الحقيقة فيها هو تقديم </w:t>
      </w:r>
      <w:r>
        <w:rPr>
          <w:rStyle w:val="FootnoteAnchor"/>
          <w:rtl w:val="true"/>
        </w:rPr>
        <w:footnoteReference w:id="2836"/>
      </w:r>
      <w:r>
        <w:rPr>
          <w:rFonts w:ascii="Amiri" w:hAnsi="Amiri" w:eastAsia="Amiri" w:cs="Amiri"/>
          <w:color w:val="111111"/>
          <w:sz w:val="28"/>
          <w:sz w:val="28"/>
          <w:szCs w:val="28"/>
          <w:rtl w:val="true"/>
          <w:lang w:bidi="ar-SA"/>
        </w:rPr>
        <w:t xml:space="preserve">المزيل على المزال ؛ إذ على تقدير الأخذ بالمزيل لا يلزم تخصيص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بعدم جواز نقض كلّ يقين بالشكّ ، وعلى تقدير الأخذ بالمزال ولو في مورد التعارض لا بدّ من تخصيص العامّ الحاكم بعدم </w:t>
      </w:r>
      <w:r>
        <w:rPr>
          <w:rStyle w:val="FootnoteAnchor"/>
          <w:rtl w:val="true"/>
        </w:rPr>
        <w:footnoteReference w:id="2837"/>
      </w:r>
      <w:r>
        <w:rPr>
          <w:rFonts w:ascii="Amiri" w:hAnsi="Amiri" w:eastAsia="Amiri" w:cs="Amiri"/>
          <w:color w:val="111111"/>
          <w:sz w:val="28"/>
          <w:sz w:val="28"/>
          <w:szCs w:val="28"/>
          <w:rtl w:val="true"/>
          <w:lang w:bidi="ar-SA"/>
        </w:rPr>
        <w:t xml:space="preserve">جواز نقض اليقين بالشكّ ، فيتوقّف على وجود دليل التخصيص و </w:t>
      </w:r>
      <w:r>
        <w:rPr>
          <w:rStyle w:val="FootnoteAnchor"/>
          <w:rtl w:val="true"/>
        </w:rPr>
        <w:footnoteReference w:id="2838"/>
      </w:r>
      <w:r>
        <w:rPr>
          <w:rFonts w:ascii="Amiri" w:hAnsi="Amiri" w:eastAsia="Amiri" w:cs="Amiri"/>
          <w:color w:val="111111"/>
          <w:sz w:val="28"/>
          <w:sz w:val="28"/>
          <w:szCs w:val="28"/>
          <w:rtl w:val="true"/>
          <w:lang w:bidi="ar-SA"/>
        </w:rPr>
        <w:t>إذ ليس فليس</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الأخبار بعد تسليم دلالتها على الاستصحاب هو وجوب البناء على المتيقّن بالأخذ بأحكامه وترتيب آثاره الشرعية عليه ، فلو شكّ في </w:t>
      </w:r>
    </w:p>
    <w:p>
      <w:pPr>
        <w:pStyle w:val="BookText"/>
        <w:rPr/>
      </w:pPr>
      <w:r>
        <w:rPr>
          <w:rFonts w:ascii="Amiri" w:hAnsi="Amiri" w:eastAsia="Amiri" w:cs="Amiri"/>
          <w:color w:val="111111"/>
          <w:sz w:val="28"/>
          <w:sz w:val="28"/>
          <w:szCs w:val="28"/>
          <w:rtl w:val="true"/>
          <w:lang w:bidi="ar-SA"/>
        </w:rPr>
        <w:t xml:space="preserve">طهارة ماء بعد العلم بها في السابق يجب بحكم الاستصحاب من القول بترتيب </w:t>
      </w:r>
      <w:r>
        <w:rPr>
          <w:rStyle w:val="FootnoteAnchor"/>
          <w:rtl w:val="true"/>
        </w:rPr>
        <w:footnoteReference w:id="2839"/>
      </w:r>
      <w:r>
        <w:rPr>
          <w:rFonts w:ascii="Amiri" w:hAnsi="Amiri" w:eastAsia="Amiri" w:cs="Amiri"/>
          <w:color w:val="111111"/>
          <w:sz w:val="28"/>
          <w:sz w:val="28"/>
          <w:szCs w:val="28"/>
          <w:rtl w:val="true"/>
          <w:lang w:bidi="ar-SA"/>
        </w:rPr>
        <w:t xml:space="preserve">جميع ما كان يترتّب عليه حال العلم في غير ما يكون العلم موضوعا له من الآثار الشرعية كجواز شربه وصحّة الوضوء منه وطهارة ملاقيه وتطهّر </w:t>
      </w:r>
      <w:r>
        <w:rPr>
          <w:rStyle w:val="FootnoteAnchor"/>
          <w:rtl w:val="true"/>
        </w:rPr>
        <w:footnoteReference w:id="2840"/>
      </w:r>
      <w:r>
        <w:rPr>
          <w:rFonts w:ascii="Amiri" w:hAnsi="Amiri" w:eastAsia="Amiri" w:cs="Amiri"/>
          <w:color w:val="111111"/>
          <w:sz w:val="28"/>
          <w:sz w:val="28"/>
          <w:szCs w:val="28"/>
          <w:rtl w:val="true"/>
          <w:lang w:bidi="ar-SA"/>
        </w:rPr>
        <w:t>ما يغتسل منه إلى غير ذلك من الآثار الشرعية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بأنّ المحكّم </w:t>
      </w:r>
      <w:r>
        <w:rPr>
          <w:rStyle w:val="FootnoteAnchor"/>
          <w:rtl w:val="true"/>
        </w:rPr>
        <w:footnoteReference w:id="2841"/>
      </w:r>
      <w:r>
        <w:rPr>
          <w:rFonts w:ascii="Amiri" w:hAnsi="Amiri" w:eastAsia="Amiri" w:cs="Amiri"/>
          <w:color w:val="111111"/>
          <w:sz w:val="28"/>
          <w:sz w:val="28"/>
          <w:szCs w:val="28"/>
          <w:rtl w:val="true"/>
          <w:lang w:bidi="ar-SA"/>
        </w:rPr>
        <w:t xml:space="preserve">فيما إذا غسلنا الثوب بمستصحب الطهارة هو استصحاب طهارة الماء ، فلا يلزم تخصيص في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في طرف المزال </w:t>
      </w:r>
      <w:r>
        <w:rPr>
          <w:rStyle w:val="FootnoteAnchor"/>
          <w:rtl w:val="true"/>
        </w:rPr>
        <w:footnoteReference w:id="2842"/>
      </w:r>
      <w:r>
        <w:rPr>
          <w:rFonts w:ascii="Amiri" w:hAnsi="Amiri" w:eastAsia="Amiri" w:cs="Amiri"/>
          <w:color w:val="111111"/>
          <w:sz w:val="28"/>
          <w:sz w:val="28"/>
          <w:szCs w:val="28"/>
          <w:rtl w:val="true"/>
          <w:lang w:bidi="ar-SA"/>
        </w:rPr>
        <w:t>مرتفع موضوعا ، لأنّ الشكّ فيه بمنزلة عدم الشكّ ، لأنّه كالعلم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بأنّ اللازم هو الأخذ باستصحاب نجاسة الثوب ، فيلزم تخصيص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يقين على هذا التقدير يجوز نقضه بالشكّ ؛ لأنّ معنى عدم جواز النقض في المورد المذكور هو الحكم بطهارة الثوب وعند عدمه فالنقض 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بنجاسة الثوب يؤثّر في نجاسة الماء فلا يلزم التخصيص </w:t>
      </w:r>
      <w:r>
        <w:rPr>
          <w:rStyle w:val="FootnoteAnchor"/>
          <w:rtl w:val="true"/>
        </w:rPr>
        <w:footnoteReference w:id="2843"/>
      </w:r>
      <w:r>
        <w:rPr>
          <w:rFonts w:ascii="Amiri" w:hAnsi="Amiri" w:eastAsia="Amiri" w:cs="Amiri"/>
          <w:color w:val="111111"/>
          <w:sz w:val="28"/>
          <w:sz w:val="28"/>
          <w:szCs w:val="28"/>
          <w:rtl w:val="true"/>
          <w:lang w:bidi="ar-SA"/>
        </w:rPr>
        <w:t>، بل هو أيضا من التخصيص الموضوعي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وفساده لا يكاد يخفى على أوائل العقول </w:t>
      </w:r>
      <w:r>
        <w:rPr>
          <w:rStyle w:val="FootnoteAnchor"/>
          <w:rtl w:val="true"/>
        </w:rPr>
        <w:footnoteReference w:id="2844"/>
      </w:r>
      <w:r>
        <w:rPr>
          <w:rFonts w:ascii="Amiri" w:hAnsi="Amiri" w:eastAsia="Amiri" w:cs="Amiri"/>
          <w:color w:val="111111"/>
          <w:sz w:val="28"/>
          <w:sz w:val="28"/>
          <w:szCs w:val="28"/>
          <w:rtl w:val="true"/>
          <w:lang w:bidi="ar-SA"/>
        </w:rPr>
        <w:t xml:space="preserve">؛ لأنّ طهارة الثوب من الأحكام الشرعية لطهارة </w:t>
      </w:r>
      <w:r>
        <w:rPr>
          <w:rStyle w:val="FootnoteAnchor"/>
          <w:rtl w:val="true"/>
        </w:rPr>
        <w:footnoteReference w:id="2845"/>
      </w:r>
      <w:r>
        <w:rPr>
          <w:rFonts w:ascii="Amiri" w:hAnsi="Amiri" w:eastAsia="Amiri" w:cs="Amiri"/>
          <w:color w:val="111111"/>
          <w:sz w:val="28"/>
          <w:sz w:val="28"/>
          <w:szCs w:val="28"/>
          <w:rtl w:val="true"/>
          <w:lang w:bidi="ar-SA"/>
        </w:rPr>
        <w:t xml:space="preserve">الماء وليس نجاسة الماء من الأحكام الشرعية المترتّبة على نجاسة الثوب ، إلاّ </w:t>
      </w:r>
      <w:r>
        <w:rPr>
          <w:rStyle w:val="FootnoteAnchor"/>
          <w:rtl w:val="true"/>
        </w:rPr>
        <w:footnoteReference w:id="2846"/>
      </w:r>
      <w:r>
        <w:rPr>
          <w:rFonts w:ascii="Amiri" w:hAnsi="Amiri" w:eastAsia="Amiri" w:cs="Amiri"/>
          <w:color w:val="111111"/>
          <w:sz w:val="28"/>
          <w:sz w:val="28"/>
          <w:szCs w:val="28"/>
          <w:rtl w:val="true"/>
          <w:lang w:bidi="ar-SA"/>
        </w:rPr>
        <w:t>أن يفرض ورود النجاسة عليه مع كونه قليلا فينعكس القضيّة فيه ؛ لأنّ استصحاب النجاسة هو المزيل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الشكّ واليقين في طرف الأصل المزال من أفراد الشكّ واليقين حقيقة على ما يشهد به الوجدان الصحيح ، وغاية ما ذكر من الوجه إنّما هو أنّ الأخذ بالشكّ واليقين في طرف المزيل يوجب خروج الشكّ الموجود في طرف المزال عن كونه شكّا ؛ لتنزيله شرعا بمنزلة اليقين ، بخلاف الأخذ بالشكّ واليقين في طرف المزال ؛ لأنّه لا يوجب خروج المأخوذ في المزيل عن كونه شكّا فيلزم التخصيص ، وذلك باطل ؛ إذ لا فرق بين أن يكون دخول أحد الفردين في العامّ موجبا لخروج الآخر حكما كما إذا كان العامّ شاملا للشكّ المعتبر في المزيل ، أو يكون دخول أحدهما موجبا لخروج الآخر موضوعا كما إذا كان العامّ شاملا للشكّ المأخوذ في المزال ، والوجه في ذلك أنّ الخروج الموضوعي في العامّ لا يلاحظ إلاّ بعد وجوب العمل بالفرد الذي يوجب دخوله خروج الآخر موضوعا ، وشمول العامّ لأفراده في إرادة اللافظ سابق على وجوب الأخذ بالفرد الذي يوجب خروج الآخر موضوعا ؛ لأنّ نسبة العامّ إلى أفراده متساوية ، ففي مقام الإرادة لا سبق فيها ولا لحوق ، فكيف يتأتّى القول بأنّ الأخذ بالمزيل يوجب التخصيص دون الأخذ بالمزال؟ فإنّه لا فرق بينهما في كونهما موجبين للتخصيص في مقام إرادة الأفراد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هو كذلك في مقام العمل كما عرفت ، والتخصيص إنّما يلاحظ بالنسبة إلى إرادة </w:t>
      </w:r>
      <w:r>
        <w:rPr>
          <w:rStyle w:val="FootnoteAnchor"/>
          <w:rtl w:val="true"/>
        </w:rPr>
        <w:footnoteReference w:id="2847"/>
      </w:r>
      <w:r>
        <w:rPr>
          <w:rFonts w:ascii="Amiri" w:hAnsi="Amiri" w:eastAsia="Amiri" w:cs="Amiri"/>
          <w:color w:val="111111"/>
          <w:sz w:val="28"/>
          <w:sz w:val="28"/>
          <w:szCs w:val="28"/>
          <w:rtl w:val="true"/>
          <w:lang w:bidi="ar-SA"/>
        </w:rPr>
        <w:t>الفرد المخصّص وعدمه من العامّ وعدمها لا بالنسبة إلى وجوب العمل وذلك ظاهر ، وإذ قد ثبت أنّ العامّ متساوية النسبة بالنسبة إلى الفردين فيصير مجملا فيهما ، فلا بدّ من الحكم بالتساقط</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التحقيق هو القول بتقدّم </w:t>
      </w:r>
      <w:r>
        <w:rPr>
          <w:rStyle w:val="FootnoteAnchor"/>
          <w:rtl w:val="true"/>
        </w:rPr>
        <w:footnoteReference w:id="2848"/>
      </w:r>
      <w:r>
        <w:rPr>
          <w:rFonts w:ascii="Amiri" w:hAnsi="Amiri" w:eastAsia="Amiri" w:cs="Amiri"/>
          <w:color w:val="111111"/>
          <w:sz w:val="28"/>
          <w:sz w:val="28"/>
          <w:szCs w:val="28"/>
          <w:rtl w:val="true"/>
          <w:lang w:bidi="ar-SA"/>
        </w:rPr>
        <w:t xml:space="preserve">المزيل على المزال لا التساقط ؛ لأنّ الشكّ المأخوذ في المزيل ليس من أفراد العامّ في إرادة اللافظ والمولى ؛ إذ لا إشكال في </w:t>
      </w:r>
    </w:p>
    <w:p>
      <w:pPr>
        <w:pStyle w:val="BookText"/>
        <w:rPr/>
      </w:pPr>
      <w:r>
        <w:rPr>
          <w:rFonts w:ascii="Amiri" w:hAnsi="Amiri" w:eastAsia="Amiri" w:cs="Amiri"/>
          <w:color w:val="111111"/>
          <w:sz w:val="28"/>
          <w:sz w:val="28"/>
          <w:szCs w:val="28"/>
          <w:rtl w:val="true"/>
          <w:lang w:bidi="ar-SA"/>
        </w:rPr>
        <w:t xml:space="preserve">دخول الشكّ في المزيل في العامّ وإرادة المولى من العامّ هذا </w:t>
      </w:r>
      <w:r>
        <w:rPr>
          <w:rStyle w:val="FootnoteAnchor"/>
          <w:rtl w:val="true"/>
        </w:rPr>
        <w:footnoteReference w:id="2849"/>
      </w:r>
      <w:r>
        <w:rPr>
          <w:rFonts w:ascii="Amiri" w:hAnsi="Amiri" w:eastAsia="Amiri" w:cs="Amiri"/>
          <w:color w:val="111111"/>
          <w:sz w:val="28"/>
          <w:sz w:val="28"/>
          <w:szCs w:val="28"/>
          <w:rtl w:val="true"/>
          <w:lang w:bidi="ar-SA"/>
        </w:rPr>
        <w:t>الفرد هو بعينه عدم دخول الشكّ المعتبر في المزال في الإرادة ، فإنّ وجوب العمل إنّما هو فرع دخوله تحت الإرادة ، بل التحقيق أنّه لا فرق بين دخوله تحت الإرادة في العامّ وبين وجوب العمل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الشكّ المعتبر في المزال في إرادة المولى واللافظ بواسطة دخول الشكّ المعتبر في المزيل ودخوله قطعي </w:t>
      </w:r>
      <w:r>
        <w:rPr>
          <w:rStyle w:val="FootnoteAnchor"/>
          <w:rtl w:val="true"/>
        </w:rPr>
        <w:footnoteReference w:id="2850"/>
      </w:r>
      <w:r>
        <w:rPr>
          <w:rFonts w:ascii="Amiri" w:hAnsi="Amiri" w:eastAsia="Amiri" w:cs="Amiri"/>
          <w:color w:val="111111"/>
          <w:sz w:val="28"/>
          <w:sz w:val="28"/>
          <w:szCs w:val="28"/>
          <w:rtl w:val="true"/>
          <w:lang w:bidi="ar-SA"/>
        </w:rPr>
        <w:t>، ففي الحقيقة لا يتحقّق مجرى الاستصحاب المسبّبي بواسطة انتفاء الشكّ فإنّه هو الملاك في أمر الاستصحاب ، فالتعارض في المقام صوري صرف ؛ لانتفاء المعارض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مباحث الظنّ في الاعتراض على من زعم أنّ نتيجة الانسداد بعد إخراج القياس هو الظنّ الذي لم يقم قاطع على عدم اعتباره ، ورام بذلك </w:t>
      </w:r>
      <w:r>
        <w:rPr>
          <w:rStyle w:val="FootnoteAnchor"/>
          <w:rtl w:val="true"/>
        </w:rPr>
        <w:footnoteReference w:id="2851"/>
      </w:r>
      <w:r>
        <w:rPr>
          <w:rFonts w:ascii="IRNazanin" w:hAnsi="IRNazanin" w:eastAsia="IRNazanin"/>
          <w:color w:val="111111"/>
          <w:sz w:val="28"/>
          <w:sz w:val="28"/>
          <w:szCs w:val="28"/>
          <w:rtl w:val="true"/>
          <w:lang w:bidi="fa-IR"/>
        </w:rPr>
        <w:t xml:space="preserve">القول بعدم </w:t>
      </w:r>
      <w:r>
        <w:rPr>
          <w:rStyle w:val="FootnoteAnchor"/>
          <w:rtl w:val="true"/>
        </w:rPr>
        <w:footnoteReference w:id="2852"/>
      </w:r>
      <w:r>
        <w:rPr>
          <w:rFonts w:ascii="Amiri" w:hAnsi="Amiri" w:eastAsia="Amiri" w:cs="Amiri"/>
          <w:color w:val="111111"/>
          <w:sz w:val="28"/>
          <w:sz w:val="28"/>
          <w:szCs w:val="28"/>
          <w:rtl w:val="true"/>
          <w:lang w:bidi="ar-SA"/>
        </w:rPr>
        <w:t xml:space="preserve">حجّية الشهرة ونحوها لقيام </w:t>
      </w:r>
      <w:r>
        <w:rPr>
          <w:rStyle w:val="FootnoteAnchor"/>
          <w:rtl w:val="true"/>
        </w:rPr>
        <w:footnoteReference w:id="2853"/>
      </w:r>
      <w:r>
        <w:rPr>
          <w:rFonts w:ascii="Amiri" w:hAnsi="Amiri" w:eastAsia="Amiri" w:cs="Amiri"/>
          <w:color w:val="111111"/>
          <w:sz w:val="28"/>
          <w:sz w:val="28"/>
          <w:szCs w:val="28"/>
          <w:rtl w:val="true"/>
          <w:lang w:bidi="ar-SA"/>
        </w:rPr>
        <w:t xml:space="preserve">الظنّ على عدم حجّيتها مستندا في ذلك بأنّ دخول المانع تحت الدليل يوجب التخصيص ، بخلاف الممنوع فإنّ دخوله يوجب تخصيص حكم العقل بغير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الظنّ الممنوع أيضا هو خروج المانع عن الدليل موضوعا ، غاية الأمر أنّ المانع يدلّ على خروج الممنوع مطابقة والمانع </w:t>
      </w:r>
      <w:r>
        <w:rPr>
          <w:rStyle w:val="FootnoteAnchor"/>
          <w:rtl w:val="true"/>
        </w:rPr>
        <w:footnoteReference w:id="2854"/>
      </w:r>
      <w:r>
        <w:rPr>
          <w:rFonts w:ascii="Amiri" w:hAnsi="Amiri" w:eastAsia="Amiri" w:cs="Amiri"/>
          <w:color w:val="111111"/>
          <w:sz w:val="28"/>
          <w:sz w:val="28"/>
          <w:szCs w:val="28"/>
          <w:rtl w:val="true"/>
          <w:lang w:bidi="ar-SA"/>
        </w:rPr>
        <w:t>يدلّ على خروجه التزاما ، فدخول كلّ واحد منهما دليل قطعي على خروج الآخر ، وبمثله نقول في الاستصحابين ؛ لعدم الفرق بينهما في وجه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سابقا بدفع ذلك ، ونزيدك توضيحا بالفرق بين المقامين ، ففيما إذا كان الحكم من الأحكام العقلية يوجب العمل بالظنّ بعد الانسداد على القول به ، لا </w:t>
      </w:r>
    </w:p>
    <w:p>
      <w:pPr>
        <w:pStyle w:val="BookText"/>
        <w:rPr/>
      </w:pPr>
      <w:r>
        <w:rPr>
          <w:rFonts w:ascii="Amiri" w:hAnsi="Amiri" w:eastAsia="Amiri" w:cs="Amiri"/>
          <w:color w:val="111111"/>
          <w:sz w:val="28"/>
          <w:sz w:val="28"/>
          <w:szCs w:val="28"/>
          <w:rtl w:val="true"/>
          <w:lang w:bidi="ar-SA"/>
        </w:rPr>
        <w:t xml:space="preserve">ضير في ذلك ؛ لأنّ دخول المانع يوجب خروج الممنوع مطابقة ، ودخول الممنوع يوجب خروج المانع التزاما ، فعدم كلّ منهما من الأحكام المترتّبة على وجود الآخر ، بخلاف الاستصحابين في المقام فإنّ ارتفاع كلّ واحد من الشكّين ليس من الأحكام المترتّبة على الآخر ؛ لأنّ الأخذ بالاستصحاب </w:t>
      </w:r>
      <w:r>
        <w:rPr>
          <w:rStyle w:val="FootnoteAnchor"/>
          <w:rtl w:val="true"/>
        </w:rPr>
        <w:footnoteReference w:id="2855"/>
      </w:r>
      <w:r>
        <w:rPr>
          <w:rFonts w:ascii="Amiri" w:hAnsi="Amiri" w:eastAsia="Amiri" w:cs="Amiri"/>
          <w:color w:val="111111"/>
          <w:sz w:val="28"/>
          <w:sz w:val="28"/>
          <w:szCs w:val="28"/>
          <w:rtl w:val="true"/>
          <w:lang w:bidi="ar-SA"/>
        </w:rPr>
        <w:t xml:space="preserve">المزيل وإن كان يوجب ارتفاع الشكّ في المزال ولكنّ الأخذ بالاستصحاب </w:t>
      </w:r>
      <w:r>
        <w:rPr>
          <w:rStyle w:val="FootnoteAnchor"/>
          <w:rtl w:val="true"/>
        </w:rPr>
        <w:footnoteReference w:id="2856"/>
      </w:r>
      <w:r>
        <w:rPr>
          <w:rFonts w:ascii="Amiri" w:hAnsi="Amiri" w:eastAsia="Amiri" w:cs="Amiri"/>
          <w:color w:val="111111"/>
          <w:sz w:val="28"/>
          <w:sz w:val="28"/>
          <w:szCs w:val="28"/>
          <w:rtl w:val="true"/>
          <w:lang w:bidi="ar-SA"/>
        </w:rPr>
        <w:t>المزال لا يوجب ارتفاع الشكّ في المزيل ؛ لأنّ نجاسة الماء ليس من الأحكام المترتّبة على 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فيما إذا كان المتعارضان حكمهما مستفادا من دليلين ليكون أحدهما حاكما على الآخر ، وأمّا إذا كان حكمهما مستفادا من دليل واحد فكيف يتأتّى القول بحكومة دليل واحد في بعض موارده عليه في بعض آخر؟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ذلك بوجه ؛ لأنّ العامّ الأفرادي ينحلّ إلى أدلّة متعدّدة حسب تعدّد أفراده ، فيكون لكلّ واحد من أفراد الشكّ دليل على حدّه فيكون حاكما على دليل آخر في شكّ آخر وذلك ظاهر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ممّن جانب الاعتساف يقضي </w:t>
      </w:r>
      <w:r>
        <w:rPr>
          <w:rStyle w:val="FootnoteAnchor"/>
          <w:rtl w:val="true"/>
        </w:rPr>
        <w:footnoteReference w:id="2857"/>
      </w:r>
      <w:r>
        <w:rPr>
          <w:rFonts w:ascii="Amiri" w:hAnsi="Amiri" w:eastAsia="Amiri" w:cs="Amiri"/>
          <w:color w:val="111111"/>
          <w:sz w:val="28"/>
          <w:sz w:val="28"/>
          <w:szCs w:val="28"/>
          <w:rtl w:val="true"/>
          <w:lang w:bidi="ar-SA"/>
        </w:rPr>
        <w:t xml:space="preserve">بورود المزيل على المزال وحكومته عليه ، فإنّ كلّ من راجع وجدانه يجد من نفسه فيما إذا أراد بيان </w:t>
      </w:r>
      <w:r>
        <w:rPr>
          <w:rStyle w:val="FootnoteAnchor"/>
          <w:rtl w:val="true"/>
        </w:rPr>
        <w:footnoteReference w:id="2858"/>
      </w:r>
      <w:r>
        <w:rPr>
          <w:rFonts w:ascii="Amiri" w:hAnsi="Amiri" w:eastAsia="Amiri" w:cs="Amiri"/>
          <w:color w:val="111111"/>
          <w:sz w:val="28"/>
          <w:sz w:val="28"/>
          <w:szCs w:val="28"/>
          <w:rtl w:val="true"/>
          <w:lang w:bidi="ar-SA"/>
        </w:rPr>
        <w:t xml:space="preserve">حكم الشكّين المتولّد أحدهما عن الآخر أنّ الشكّ المتولّد ليس داخلا تحت إرادته ؛ لجعله كعدم الشكّ بواسطة دخول السبب في إرادته ، فتأمّل في المقام فإنّه حقيق به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أنّ ما سلكه محقّق القوانين </w:t>
      </w:r>
      <w:r>
        <w:rPr>
          <w:rStyle w:val="FootnoteAnchor"/>
          <w:rtl w:val="true"/>
        </w:rPr>
        <w:footnoteReference w:id="2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الأصلين فيحكم في المثال المذكور بنجاسة الثوب وطهارة الماء والأرض المنشور عليه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w:t>
      </w:r>
    </w:p>
    <w:p>
      <w:pPr>
        <w:pStyle w:val="BookText"/>
        <w:rPr/>
      </w:pPr>
      <w:r>
        <w:rPr>
          <w:rFonts w:ascii="Amiri" w:hAnsi="Amiri" w:eastAsia="Amiri" w:cs="Amiri"/>
          <w:color w:val="111111"/>
          <w:sz w:val="28"/>
          <w:sz w:val="28"/>
          <w:szCs w:val="28"/>
          <w:rtl w:val="true"/>
          <w:lang w:bidi="ar-SA"/>
        </w:rPr>
        <w:t xml:space="preserve">يقضي به قانون ، وتوضيح ذلك أنّ الجمع غير معقول ؛ لأنّ استصحاب طهارة الماء إن كان مؤثّرا في طهارة الثوب المنشور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المدّعى ، وإلاّ فإن أريد من استصحاب الطهارة ترتيب الأحكام التي توافق </w:t>
      </w:r>
      <w:r>
        <w:rPr>
          <w:rStyle w:val="FootnoteAnchor"/>
          <w:rtl w:val="true"/>
        </w:rPr>
        <w:footnoteReference w:id="2861"/>
      </w:r>
      <w:r>
        <w:rPr>
          <w:rFonts w:ascii="Amiri" w:hAnsi="Amiri" w:eastAsia="Amiri" w:cs="Amiri"/>
          <w:color w:val="111111"/>
          <w:sz w:val="28"/>
          <w:sz w:val="28"/>
          <w:szCs w:val="28"/>
          <w:rtl w:val="true"/>
          <w:lang w:bidi="ar-SA"/>
        </w:rPr>
        <w:t xml:space="preserve">الطهارة في الحالة السابقة فهي بعينها موارد للأصل ، وإن أريد ترتيب الأحكام </w:t>
      </w:r>
      <w:r>
        <w:rPr>
          <w:rStyle w:val="FootnoteAnchor"/>
          <w:rtl w:val="true"/>
        </w:rPr>
        <w:footnoteReference w:id="2862"/>
      </w:r>
      <w:r>
        <w:rPr>
          <w:rFonts w:ascii="Amiri" w:hAnsi="Amiri" w:eastAsia="Amiri" w:cs="Amiri"/>
          <w:color w:val="111111"/>
          <w:sz w:val="28"/>
          <w:sz w:val="28"/>
          <w:szCs w:val="28"/>
          <w:rtl w:val="true"/>
          <w:lang w:bidi="ar-SA"/>
        </w:rPr>
        <w:t xml:space="preserve">التي تخالفها </w:t>
      </w:r>
      <w:r>
        <w:rPr>
          <w:rStyle w:val="FootnoteAnchor"/>
          <w:rtl w:val="true"/>
        </w:rPr>
        <w:footnoteReference w:id="2863"/>
      </w:r>
      <w:r>
        <w:rPr>
          <w:rFonts w:ascii="Amiri" w:hAnsi="Amiri" w:eastAsia="Amiri" w:cs="Amiri"/>
          <w:color w:val="111111"/>
          <w:sz w:val="28"/>
          <w:sz w:val="28"/>
          <w:szCs w:val="28"/>
          <w:rtl w:val="true"/>
          <w:lang w:bidi="ar-SA"/>
        </w:rPr>
        <w:t xml:space="preserve">في الحالة السابقة فهي بعينها مجار للأصل بخلافها ، فلم يبق للأصل المذكور مورد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w:t>
      </w:r>
      <w:r>
        <w:rPr>
          <w:rStyle w:val="FootnoteAnchor"/>
          <w:rtl w:val="true"/>
        </w:rPr>
        <w:footnoteReference w:id="2864"/>
      </w:r>
      <w:r>
        <w:rPr>
          <w:rFonts w:ascii="Amiri" w:hAnsi="Amiri" w:eastAsia="Amiri" w:cs="Amiri"/>
          <w:color w:val="111111"/>
          <w:sz w:val="28"/>
          <w:sz w:val="28"/>
          <w:szCs w:val="28"/>
          <w:rtl w:val="true"/>
          <w:lang w:bidi="ar-SA"/>
        </w:rPr>
        <w:t>بين الأصلين كما أوضحنا فيما تقدّم ، فراجعه متأمّلا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Style w:val="FootnoteAnchor"/>
          <w:rtl w:val="true"/>
        </w:rPr>
        <w:footnoteReference w:id="2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متى لم يكن الشكّ في الاستصحابين أحدهما مسبّبا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الشكّان مستندين </w:t>
      </w:r>
      <w:r>
        <w:rPr>
          <w:rStyle w:val="FootnoteAnchor"/>
          <w:rtl w:val="true"/>
        </w:rPr>
        <w:footnoteReference w:id="2866"/>
      </w:r>
      <w:r>
        <w:rPr>
          <w:rFonts w:ascii="Amiri" w:hAnsi="Amiri" w:eastAsia="Amiri" w:cs="Amiri"/>
          <w:color w:val="111111"/>
          <w:sz w:val="28"/>
          <w:sz w:val="28"/>
          <w:szCs w:val="28"/>
          <w:rtl w:val="true"/>
          <w:lang w:bidi="ar-SA"/>
        </w:rPr>
        <w:t xml:space="preserve">إلى أمر ثالث واحد أو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هو التساقط دون الترجيح والتخيير إذا كان الاستصحاب من باب التعبّد ، وإذا كان من باب الظنّ فظاهرهم الاختلاف في ذلك ، فالكلام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فيما إذا كان الاستصحاب حجّة </w:t>
      </w:r>
      <w:r>
        <w:rPr>
          <w:rStyle w:val="FootnoteAnchor"/>
          <w:rtl w:val="true"/>
        </w:rPr>
        <w:footnoteReference w:id="2867"/>
      </w:r>
      <w:r>
        <w:rPr>
          <w:rFonts w:ascii="Amiri" w:hAnsi="Amiri" w:eastAsia="Amiri" w:cs="Amiri"/>
          <w:color w:val="111111"/>
          <w:sz w:val="28"/>
          <w:sz w:val="28"/>
          <w:szCs w:val="28"/>
          <w:rtl w:val="true"/>
          <w:lang w:bidi="ar-SA"/>
        </w:rPr>
        <w:t xml:space="preserve">من باب الظنّ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حجّة تعبّدية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 تقديم المفيد للظنّ الشخصي وطرح الآخر على تقدير اعتبار الظنّ الشخصي فيه ؛ إذ الاستصحاب الخالي عن الظنّ ليس حجّة حينئذ ، كما إذا تعارض الشهرتان مع انتفاء الظنّ من واحدة منهما ، وكذا لا كلام </w:t>
      </w:r>
      <w:r>
        <w:rPr>
          <w:rStyle w:val="FootnoteAnchor"/>
          <w:rtl w:val="true"/>
        </w:rPr>
        <w:footnoteReference w:id="2868"/>
      </w:r>
      <w:r>
        <w:rPr>
          <w:rFonts w:ascii="Amiri" w:hAnsi="Amiri" w:eastAsia="Amiri" w:cs="Amiri"/>
          <w:color w:val="111111"/>
          <w:sz w:val="28"/>
          <w:sz w:val="28"/>
          <w:szCs w:val="28"/>
          <w:rtl w:val="true"/>
          <w:lang w:bidi="ar-SA"/>
        </w:rPr>
        <w:t xml:space="preserve">في تقديم المفيد له فيما لو قلنا باعتباره من باب الظنّ النوعي ؛ لأنّ المأخوذ فيه أن لا يكون عدمه مظنونا ، وبعد وجود الظنّ في طرف يصير عدم الآخر مظنونا لا محالة ، وأمّا لو لم يفد أحدهما ظنّا فهل يحكم بالتخيير بينهما أو بالترجيح أو التساقط؟ التحقيق أنّه لا بدّ من ملاحظة بناء العقلاء في ذلك فإنّه هو المأخذ في اعتبار الظنّ النوعي في الاستصحاب ، </w:t>
      </w:r>
    </w:p>
    <w:p>
      <w:pPr>
        <w:pStyle w:val="BookText"/>
        <w:rPr/>
      </w:pPr>
      <w:r>
        <w:rPr>
          <w:rFonts w:ascii="Amiri" w:hAnsi="Amiri" w:eastAsia="Amiri" w:cs="Amiri"/>
          <w:color w:val="111111"/>
          <w:sz w:val="28"/>
          <w:sz w:val="28"/>
          <w:szCs w:val="28"/>
          <w:rtl w:val="true"/>
          <w:lang w:bidi="ar-SA"/>
        </w:rPr>
        <w:t xml:space="preserve">ولعلّ بناءهم على الترجيح في أمثاله لإمكان حصوله على هذا التقدير ، إلاّ أنّه لم يظهر منهم ذلك في موارد التعارض فحكموا بالتساقط في الأغلب ، فكن على بصيرة من ذلك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الوجوه المحتملة في المقام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الجمع ، وإمّا الطرح ، وإمّا الترجيح ، وإمّا التخيير ، أمّا الجمع فالمفروض عدم إمكانه ، وأمّا الترجيح والتخيير فلا دليل عليهما ، فتعيّن </w:t>
      </w:r>
      <w:r>
        <w:rPr>
          <w:rStyle w:val="FootnoteAnchor"/>
          <w:rtl w:val="true"/>
        </w:rPr>
        <w:footnoteReference w:id="2870"/>
      </w:r>
      <w:r>
        <w:rPr>
          <w:rFonts w:ascii="Amiri" w:hAnsi="Amiri" w:eastAsia="Amiri" w:cs="Amiri"/>
          <w:color w:val="111111"/>
          <w:sz w:val="28"/>
          <w:sz w:val="28"/>
          <w:szCs w:val="28"/>
          <w:rtl w:val="true"/>
          <w:lang w:bidi="ar-SA"/>
        </w:rPr>
        <w:t xml:space="preserve">الثاني وهو طرحهما بتساقطهما والرجوع إلى أصل ثالث مؤخّر عنهما في المرتبة ، أمّا الترجيح فلأنّ المرجّح لأحد الأصلين إمّا أن يكون أحد الأدلّة الاجتهادية ، أو واحد من الأصول العملية ، ولا يصلح </w:t>
      </w:r>
      <w:r>
        <w:rPr>
          <w:rStyle w:val="FootnoteAnchor"/>
          <w:rtl w:val="true"/>
        </w:rPr>
        <w:footnoteReference w:id="2871"/>
      </w:r>
      <w:r>
        <w:rPr>
          <w:rFonts w:ascii="Amiri" w:hAnsi="Amiri" w:eastAsia="Amiri" w:cs="Amiri"/>
          <w:color w:val="111111"/>
          <w:sz w:val="28"/>
          <w:sz w:val="28"/>
          <w:szCs w:val="28"/>
          <w:rtl w:val="true"/>
          <w:lang w:bidi="ar-SA"/>
        </w:rPr>
        <w:t>شيء منهما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حجّيته ثابتة معلومة في الشريعة فمع </w:t>
      </w:r>
      <w:r>
        <w:rPr>
          <w:rStyle w:val="FootnoteAnchor"/>
          <w:rtl w:val="true"/>
        </w:rPr>
        <w:footnoteReference w:id="2872"/>
      </w:r>
      <w:r>
        <w:rPr>
          <w:rFonts w:ascii="Amiri" w:hAnsi="Amiri" w:eastAsia="Amiri" w:cs="Amiri"/>
          <w:color w:val="111111"/>
          <w:sz w:val="28"/>
          <w:sz w:val="28"/>
          <w:szCs w:val="28"/>
          <w:rtl w:val="true"/>
          <w:lang w:bidi="ar-SA"/>
        </w:rPr>
        <w:t xml:space="preserve">موافقته لأحد الأصلين لا مورد لكلّ واحد منهما ، مخالفا كان أو لا ؛ لاعتبار الشكّ والجهل المرتفع بالدليل في موضوع </w:t>
      </w:r>
      <w:r>
        <w:rPr>
          <w:rStyle w:val="FootnoteAnchor"/>
          <w:rtl w:val="true"/>
        </w:rPr>
        <w:footnoteReference w:id="2873"/>
      </w:r>
      <w:r>
        <w:rPr>
          <w:rFonts w:ascii="Amiri" w:hAnsi="Amiri" w:eastAsia="Amiri" w:cs="Amiri"/>
          <w:color w:val="111111"/>
          <w:sz w:val="28"/>
          <w:sz w:val="28"/>
          <w:szCs w:val="28"/>
          <w:rtl w:val="true"/>
          <w:lang w:bidi="ar-SA"/>
        </w:rPr>
        <w:t>الأصل ، فلا يتعقّل التعارض بينهما حتّى يتوقّف تقديم أحدهما على الآخر على أخذ الدليل مرجّحا له وذلك ظاهر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معلوم الاعتبار كأن لم يقم دليل على حجّيته كالشهرة الظنّية أو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يتعقّل الترجيح به أيضا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تقديم أحد الأصلين بما لم يقم دليل على اعتباره إنّما هو طرح للأصل المعلوم ، بيان ذلك أنّ مفروض المقام عدم اعتبار مثل الظنّ الحاصل من الأولوية ، ومعنى ذلك على ما قدّمنا في مباحث الظنّ هو حرمة طرح الأصول القطعية الثابتة في الشريعة في قبال الظنّ ، فأصالة عدم ثبوت الترجيح بهذا الظنّ على تقدير الأخذ به يكون مطروحا مع أنّه أصل قطعي ثابت بالدليل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 حصول الظنّ في أحد الطرفين موهنا للآخر كان القول بتقديم الموافق في محلّه ؛ لأنّه حينئذ دليل قطعي بلا معارض ، أمّا كونه دليلا فلأنّ الظنّ الموافق له ليس بدليل فهو المعتمد ، وأمّا كونه بلا معارض فلأنّ سقوط الآخر بواسطة الظنّ ليس من الأحكام الشرعية له ، بل هو حينئذ من الأحكام العقلية المترتّبة على موضوع الظنّ الحاصل قهرا ، إلاّ أنّ ذلك لا يجدي فيما فرضنا من حجّية الأصل تعبّدا ؛ لأنّ مخالفة الظنّ لا يسقطه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الترجيح لا يحصل بالأمارة الظنّية عند تعارض الأصلين ؛ لأنّ المدار في الأمارة على الواقع ، والمناط في الأصل على التعبّد في مقام الظاهر ، فلا ارتباط بينهما ومن المعلوم أنّ الترجيح يمتنع فيما إذا لم يكن بين المتعارض والمرجّح مناسبة ذاتية كأن يكونا من سنخ واحد</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قامت الشهرة على وجوب شيء ودلّ الاستصحاب أيضا على وجوبه معارضا باستصحاب آخر يقتضي </w:t>
      </w:r>
      <w:r>
        <w:rPr>
          <w:rStyle w:val="FootnoteAnchor"/>
          <w:rtl w:val="true"/>
        </w:rPr>
        <w:footnoteReference w:id="2874"/>
      </w:r>
      <w:r>
        <w:rPr>
          <w:rFonts w:ascii="Amiri" w:hAnsi="Amiri" w:eastAsia="Amiri" w:cs="Amiri"/>
          <w:color w:val="111111"/>
          <w:sz w:val="28"/>
          <w:sz w:val="28"/>
          <w:szCs w:val="28"/>
          <w:rtl w:val="true"/>
          <w:lang w:bidi="ar-SA"/>
        </w:rPr>
        <w:t xml:space="preserve">عدم وجوبه مثلا ، فمفاد الشهرة هو </w:t>
      </w:r>
      <w:r>
        <w:rPr>
          <w:rStyle w:val="FootnoteAnchor"/>
          <w:rtl w:val="true"/>
        </w:rPr>
        <w:footnoteReference w:id="2875"/>
      </w:r>
      <w:r>
        <w:rPr>
          <w:rFonts w:ascii="Amiri" w:hAnsi="Amiri" w:eastAsia="Amiri" w:cs="Amiri"/>
          <w:color w:val="111111"/>
          <w:sz w:val="28"/>
          <w:sz w:val="28"/>
          <w:szCs w:val="28"/>
          <w:rtl w:val="true"/>
          <w:lang w:bidi="ar-SA"/>
        </w:rPr>
        <w:t xml:space="preserve">وجوب ذلك الشيء في الواقع ، ومفاد الاستصحاب هو وجوبه من حيث إنّ المكلّف شاكّ بالواقع غير عالم به ، وتقوية الأصل هو أن يدلّ الدليل على أنّ ما يفيده الأصل هو كذلك في مقام الظاهر لا أنّ الحكم هو كذلك بحسب الواقع ، فإنّ الأصل هو علاج عملي ظاهرا ، ومن الظاهر عدم تقوية ذلك في مقام العمل كما لا يخفى ، فالترجيح لا يحصل إلاّ بعد أن يكون المرجّح مفيدا لشيء يطابق ما هو المناط </w:t>
      </w:r>
      <w:r>
        <w:rPr>
          <w:rStyle w:val="FootnoteAnchor"/>
          <w:rtl w:val="true"/>
        </w:rPr>
        <w:footnoteReference w:id="2876"/>
      </w:r>
      <w:r>
        <w:rPr>
          <w:rFonts w:ascii="Amiri" w:hAnsi="Amiri" w:eastAsia="Amiri" w:cs="Amiri"/>
          <w:color w:val="111111"/>
          <w:sz w:val="28"/>
          <w:sz w:val="28"/>
          <w:szCs w:val="28"/>
          <w:rtl w:val="true"/>
          <w:lang w:bidi="ar-SA"/>
        </w:rPr>
        <w:t>في دليلية المتعارض ، ومن هنا تراهم لا يحكمون بترجيح الوجوه الظنّية فيما إذا تعارضت البيّنتان ، وذلك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ينقدح أيضا أنّ الأمارة الظنّية لو كانت حجّة شرعية مع قطع النظر عمّا ذكرنا أيضا لا تصلح </w:t>
      </w:r>
      <w:r>
        <w:rPr>
          <w:rStyle w:val="FootnoteAnchor"/>
          <w:rtl w:val="true"/>
        </w:rPr>
        <w:footnoteReference w:id="2877"/>
      </w:r>
      <w:r>
        <w:rPr>
          <w:rFonts w:ascii="Amiri" w:hAnsi="Amiri" w:eastAsia="Amiri" w:cs="Amiri"/>
          <w:color w:val="111111"/>
          <w:sz w:val="28"/>
          <w:sz w:val="28"/>
          <w:szCs w:val="28"/>
          <w:rtl w:val="true"/>
          <w:lang w:bidi="ar-SA"/>
        </w:rPr>
        <w:t>لترجيح أحد الأصلين المتعارضين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الأصل إمّا أن يكون مقدّما عليه لكونه مزيلا له ، أو مؤخّرا عنه لكونه مزالا </w:t>
      </w:r>
      <w:r>
        <w:rPr>
          <w:rStyle w:val="FootnoteAnchor"/>
          <w:rtl w:val="true"/>
        </w:rPr>
        <w:footnoteReference w:id="2878"/>
      </w:r>
      <w:r>
        <w:rPr>
          <w:rFonts w:ascii="Amiri" w:hAnsi="Amiri" w:eastAsia="Amiri" w:cs="Amiri"/>
          <w:color w:val="111111"/>
          <w:sz w:val="28"/>
          <w:sz w:val="28"/>
          <w:szCs w:val="28"/>
          <w:rtl w:val="true"/>
          <w:lang w:bidi="ar-SA"/>
        </w:rPr>
        <w:t xml:space="preserve">بالنسبة إليه ، أو يكون في عرضه ، ولا وجه للترجيح به على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المزيل على تقدير جريانه فهو بمنزلة الدليل الاجتهادي ، فلا مورد لشيء من الأصلين كما في صورة الدليل الاجتهادي ، مثلا لو شكّ المكلّف في بقاء طهارته من جهة شكّه في حدوث الناقض فلو فرضنا أنّ استصحاب الطهارة ليس مزيلا لاستصحاب الأمر بالصلاة وقلنا بتعارضهما ، فلا يمكن تقديم استصحاب الطهارة لأصالة عدم الناقض ، إذ على تقدير جريانها لا مورد لشيء من الأصلين ، أمّا الأصل المزال فعدم جريانه ظاهر ، وأمّا الأصل الآخر وإن لم يكن الشكّ فيه مسبّبا عن الشكّ في المزيل إلاّ أنّ بعد ما فرضنا من أنّه علم في مورد المزال فهو دليل اجتهادي بالنسبة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أيضا من عدم إمكان اجتماع المزيل والمزال في مرتبة واحدة ، فلو فرضنا وجود أصل مزال فهو في الحقيقة ليس مرجّحا ، بل هو المرجع بعد سقوط الأصلين كما في الأدلّة الاجتهادية ، فإنّ معنى الترجيح هو تقوية أحد المتعارضين ، وذلك لا يتحقق إلاّ إذا </w:t>
      </w:r>
      <w:r>
        <w:rPr>
          <w:rStyle w:val="FootnoteAnchor"/>
          <w:rtl w:val="true"/>
        </w:rPr>
        <w:footnoteReference w:id="2879"/>
      </w:r>
      <w:r>
        <w:rPr>
          <w:rFonts w:ascii="Amiri" w:hAnsi="Amiri" w:eastAsia="Amiri" w:cs="Amiri"/>
          <w:color w:val="111111"/>
          <w:sz w:val="28"/>
          <w:sz w:val="28"/>
          <w:szCs w:val="28"/>
          <w:rtl w:val="true"/>
          <w:lang w:bidi="ar-SA"/>
        </w:rPr>
        <w:t>أمكن اجتماعهما ، والمفروض أنّ النسبة بينهما هو نسبة الأصل والدليل فمتى وجد الدليل ارتفع الأصل ، فالأصل هو الحكم الظاهري بالنسبة إلى الأصلين المذكورين ، فتأمّل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ستعرف تفصيله في مباحث التعادل من أنّ كثرة الأصول ليست </w:t>
      </w:r>
      <w:r>
        <w:rPr>
          <w:rStyle w:val="FootnoteAnchor"/>
          <w:rtl w:val="true"/>
        </w:rPr>
        <w:footnoteReference w:id="2880"/>
      </w:r>
      <w:r>
        <w:rPr>
          <w:rFonts w:ascii="Amiri" w:hAnsi="Amiri" w:eastAsia="Amiri" w:cs="Amiri"/>
          <w:color w:val="111111"/>
          <w:sz w:val="28"/>
          <w:sz w:val="28"/>
          <w:szCs w:val="28"/>
          <w:rtl w:val="true"/>
          <w:lang w:bidi="ar-SA"/>
        </w:rPr>
        <w:t xml:space="preserve">من المرجّحات ، والوجه فيه إجمالا أنّ دليل الترجيح إمّا العقل أو النقل ، ولا يقضي </w:t>
      </w:r>
      <w:r>
        <w:rPr>
          <w:rStyle w:val="FootnoteAnchor"/>
          <w:rtl w:val="true"/>
        </w:rPr>
        <w:footnoteReference w:id="2881"/>
      </w:r>
      <w:r>
        <w:rPr>
          <w:rFonts w:ascii="Amiri" w:hAnsi="Amiri" w:eastAsia="Amiri" w:cs="Amiri"/>
          <w:color w:val="111111"/>
          <w:sz w:val="28"/>
          <w:sz w:val="28"/>
          <w:szCs w:val="28"/>
          <w:rtl w:val="true"/>
          <w:lang w:bidi="ar-SA"/>
        </w:rPr>
        <w:t xml:space="preserve">به شيء منهما ، والأوّل انتفاؤه ظاهر ؛ لأنّ المناط في كونه دليلا هو التعبّد ولا </w:t>
      </w:r>
    </w:p>
    <w:p>
      <w:pPr>
        <w:pStyle w:val="BookText"/>
        <w:rPr/>
      </w:pPr>
      <w:r>
        <w:rPr>
          <w:rFonts w:ascii="Amiri" w:hAnsi="Amiri" w:eastAsia="Amiri" w:cs="Amiri"/>
          <w:color w:val="111111"/>
          <w:sz w:val="28"/>
          <w:sz w:val="28"/>
          <w:szCs w:val="28"/>
          <w:rtl w:val="true"/>
          <w:lang w:bidi="ar-SA"/>
        </w:rPr>
        <w:t xml:space="preserve">يتقوّى جهة التعبّد به بزيادة الأصول </w:t>
      </w:r>
      <w:r>
        <w:rPr>
          <w:rStyle w:val="FootnoteAnchor"/>
          <w:rtl w:val="true"/>
        </w:rPr>
        <w:footnoteReference w:id="2882"/>
      </w:r>
      <w:r>
        <w:rPr>
          <w:rFonts w:ascii="Amiri" w:hAnsi="Amiri" w:eastAsia="Amiri" w:cs="Amiri"/>
          <w:color w:val="111111"/>
          <w:sz w:val="28"/>
          <w:sz w:val="28"/>
          <w:szCs w:val="28"/>
          <w:rtl w:val="true"/>
          <w:lang w:bidi="ar-SA"/>
        </w:rPr>
        <w:t xml:space="preserve">، نعم لو كان المناط هو الواقع كما في الأخبار صحّ الترجيح </w:t>
      </w:r>
      <w:r>
        <w:rPr>
          <w:rStyle w:val="FootnoteAnchor"/>
          <w:rtl w:val="true"/>
        </w:rPr>
        <w:footnoteReference w:id="2883"/>
      </w:r>
      <w:r>
        <w:rPr>
          <w:rFonts w:ascii="Amiri" w:hAnsi="Amiri" w:eastAsia="Amiri" w:cs="Amiri"/>
          <w:color w:val="111111"/>
          <w:sz w:val="28"/>
          <w:sz w:val="28"/>
          <w:szCs w:val="28"/>
          <w:rtl w:val="true"/>
          <w:lang w:bidi="ar-SA"/>
        </w:rPr>
        <w:t xml:space="preserve">بالكثرة ففيما هو المناط لا تزيد </w:t>
      </w:r>
      <w:r>
        <w:rPr>
          <w:rStyle w:val="FootnoteAnchor"/>
          <w:rtl w:val="true"/>
        </w:rPr>
        <w:footnoteReference w:id="2884"/>
      </w:r>
      <w:r>
        <w:rPr>
          <w:rFonts w:ascii="Amiri" w:hAnsi="Amiri" w:eastAsia="Amiri" w:cs="Amiri"/>
          <w:color w:val="111111"/>
          <w:sz w:val="28"/>
          <w:sz w:val="28"/>
          <w:szCs w:val="28"/>
          <w:rtl w:val="true"/>
          <w:lang w:bidi="ar-SA"/>
        </w:rPr>
        <w:t xml:space="preserve">الكثرة شيئا ، وأمّا الثاني فلأنّ غاية ما يمكن الأخذ به </w:t>
      </w:r>
      <w:r>
        <w:rPr>
          <w:rStyle w:val="FootnoteAnchor"/>
          <w:rtl w:val="true"/>
        </w:rPr>
        <w:footnoteReference w:id="2885"/>
      </w:r>
      <w:r>
        <w:rPr>
          <w:rFonts w:ascii="Amiri" w:hAnsi="Amiri" w:eastAsia="Amiri" w:cs="Amiri"/>
          <w:color w:val="111111"/>
          <w:sz w:val="28"/>
          <w:sz w:val="28"/>
          <w:szCs w:val="28"/>
          <w:rtl w:val="true"/>
          <w:lang w:bidi="ar-SA"/>
        </w:rPr>
        <w:t xml:space="preserve">في المقام هو أنّ طرح الأصلين يوجب إخراج فردين من العامّ الدالّ على حجّية الأصل المفروض ، بخلاف ما إذا قلنا بتقديم هذين الأصلين على الأصل فإنّه يلازم تخصيص واحد ، ولا شكّ أنّ ارتكاب أقلّ التخصيص في العامّ أولى ، فأصالة العموم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بطرح </w:t>
      </w:r>
      <w:r>
        <w:rPr>
          <w:rStyle w:val="FootnoteAnchor"/>
          <w:rtl w:val="true"/>
        </w:rPr>
        <w:footnoteReference w:id="2886"/>
      </w:r>
      <w:r>
        <w:rPr>
          <w:rFonts w:ascii="Amiri" w:hAnsi="Amiri" w:eastAsia="Amiri" w:cs="Amiri"/>
          <w:color w:val="111111"/>
          <w:sz w:val="28"/>
          <w:sz w:val="28"/>
          <w:szCs w:val="28"/>
          <w:rtl w:val="true"/>
          <w:lang w:bidi="ar-SA"/>
        </w:rPr>
        <w:t>الأصل الواحد وأخذ الأصول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وفساده ظاهر ؛ لأنّ العامّ إنّما ينهض </w:t>
      </w:r>
      <w:r>
        <w:rPr>
          <w:rStyle w:val="FootnoteAnchor"/>
          <w:rtl w:val="true"/>
        </w:rPr>
        <w:footnoteReference w:id="2887"/>
      </w:r>
      <w:r>
        <w:rPr>
          <w:rFonts w:ascii="Amiri" w:hAnsi="Amiri" w:eastAsia="Amiri" w:cs="Amiri"/>
          <w:color w:val="111111"/>
          <w:sz w:val="28"/>
          <w:sz w:val="28"/>
          <w:szCs w:val="28"/>
          <w:rtl w:val="true"/>
          <w:lang w:bidi="ar-SA"/>
        </w:rPr>
        <w:t xml:space="preserve">حجّة فيما إذا شكّ في قلّة التخصيص وكثرته إذا كان الأمر دائرا بين الأقلّ والأكثر على وجه يكون خروج الأقلّ أمرا متّفقا عليه وإنّما كان الشكّ في الزائد ، دون ما إذا كان الشكّ في خروج فردين مباينين للفرد الآخر على أن لا يكون الأقلّ داخلا في الأكثر ، فإنّ التحقيق أنّ العامّ في المقام يبقى بالنسبة إليهما مجملا ؛ إذ لا فرق في نظر العقل بين خروج زيد وبكر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خروج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كثرة الأصول لا تنهض مرجّحة ، فلا بدّ من التساقط والرجوع إلى أصل آخر مؤخّر عنهما كأصالة البراءة أو الاحتياط وغيرهما من الأصول المعمولة في الأحكام والموضوعات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التخيير عند تعارض الأصلين فلأنّ الحاكم بالتخيير إمّا أن يكون هو العقل أو النقل ، أمّا الأخير فانتفاؤه ظاهر في الأصلين ؛ لاختصاص أخبار التخيير بالأخبار المتعارضة ، ودعوى جريان فحواها في المقام واهية ، وأمّا العقل فلا يحكم بالتخيير إلاّ إذا كان المتعارضان حال المعارضة حجّتين بمعنى أن يكون كلّ واحد منهما </w:t>
      </w:r>
    </w:p>
    <w:p>
      <w:pPr>
        <w:pStyle w:val="BookText"/>
        <w:rPr/>
      </w:pPr>
      <w:r>
        <w:rPr>
          <w:rFonts w:ascii="Amiri" w:hAnsi="Amiri" w:eastAsia="Amiri" w:cs="Amiri"/>
          <w:color w:val="111111"/>
          <w:sz w:val="28"/>
          <w:sz w:val="28"/>
          <w:szCs w:val="28"/>
          <w:rtl w:val="true"/>
          <w:lang w:bidi="ar-SA"/>
        </w:rPr>
        <w:t xml:space="preserve">مشتملا على ما هو مناط الحجّية والأصلان في المقام ليسا كذلك ، أمّا أنّ التخيير لا يكون إلاّ فيما كان الدليلان باقيين على ما هو مناط الحجّية فلأنّه لولاه لا يحكم العقل بالالتزام بأحدهما ؛ لقصر حكم العقل به </w:t>
      </w:r>
      <w:r>
        <w:rPr>
          <w:rStyle w:val="FootnoteAnchor"/>
          <w:rtl w:val="true"/>
        </w:rPr>
        <w:footnoteReference w:id="2888"/>
      </w:r>
      <w:r>
        <w:rPr>
          <w:rFonts w:ascii="Amiri" w:hAnsi="Amiri" w:eastAsia="Amiri" w:cs="Amiri"/>
          <w:color w:val="111111"/>
          <w:sz w:val="28"/>
          <w:sz w:val="28"/>
          <w:szCs w:val="28"/>
          <w:rtl w:val="true"/>
          <w:lang w:bidi="ar-SA"/>
        </w:rPr>
        <w:t xml:space="preserve">فيما إذا كان المتعارضان من قبيل تزاحم الحقوق التي يجب على المكلّف تحصيلهما إلاّ أنّه عدم قدرته لهما يوجب سقوط فعلية الطلب لكلّ منهما تعيّنا ، فيجب </w:t>
      </w:r>
      <w:r>
        <w:rPr>
          <w:rStyle w:val="FootnoteAnchor"/>
          <w:rtl w:val="true"/>
        </w:rPr>
        <w:footnoteReference w:id="2889"/>
      </w:r>
      <w:r>
        <w:rPr>
          <w:rFonts w:ascii="Amiri" w:hAnsi="Amiri" w:eastAsia="Amiri" w:cs="Amiri"/>
          <w:color w:val="111111"/>
          <w:sz w:val="28"/>
          <w:sz w:val="28"/>
          <w:szCs w:val="28"/>
          <w:rtl w:val="true"/>
          <w:lang w:bidi="ar-SA"/>
        </w:rPr>
        <w:t xml:space="preserve">أحدهما تخييرا كما ستعرفه </w:t>
      </w:r>
      <w:r>
        <w:rPr>
          <w:rStyle w:val="FootnoteAnchor"/>
          <w:rtl w:val="true"/>
        </w:rPr>
        <w:footnoteReference w:id="2890"/>
      </w:r>
      <w:r>
        <w:rPr>
          <w:rFonts w:ascii="Amiri" w:hAnsi="Amiri" w:eastAsia="Amiri" w:cs="Amiri"/>
          <w:color w:val="111111"/>
          <w:sz w:val="28"/>
          <w:sz w:val="28"/>
          <w:szCs w:val="28"/>
          <w:rtl w:val="true"/>
          <w:lang w:bidi="ar-SA"/>
        </w:rPr>
        <w:t xml:space="preserve">بعيد ذلك في مباحث التعادل والتراجيح ، وأمّا إذا لم يكن كذلك فلا داعي للعقل على التخيير ، فإنّه ينقلب الشبهة بدوية فيصير مورد البراءة فيحكم بالتساقط ؛ لأنّ الأمر دائر بين الدليل وما ليس بدليل ولا حكم للعقل فيه ، وأمّا أنّ الأصلين ليسا كذلك فلأنّ العلم الإجمالي بانتقاض أحد الأصلين في مورد التعارض يوجب انتفاء ما هو المناط في الاعتبار في أحد الأصلين ، فلا يحكم العقل بالتخيير فيهما ، مثلا إذا تعارض استصحاب الطهارة في الماء المتمّم باستصحاب النجاسة </w:t>
      </w:r>
      <w:r>
        <w:rPr>
          <w:rStyle w:val="FootnoteAnchor"/>
          <w:rtl w:val="true"/>
        </w:rPr>
        <w:footnoteReference w:id="2891"/>
      </w:r>
      <w:r>
        <w:rPr>
          <w:rFonts w:ascii="Amiri" w:hAnsi="Amiri" w:eastAsia="Amiri" w:cs="Amiri"/>
          <w:color w:val="111111"/>
          <w:sz w:val="28"/>
          <w:sz w:val="28"/>
          <w:szCs w:val="28"/>
          <w:rtl w:val="true"/>
          <w:lang w:bidi="ar-SA"/>
        </w:rPr>
        <w:t xml:space="preserve">في المتمّم نعلم إجمالا إمّا بطهارة الوارد والمورود أو بنجاستهما ، فإحدى </w:t>
      </w:r>
      <w:r>
        <w:rPr>
          <w:rStyle w:val="FootnoteAnchor"/>
          <w:rtl w:val="true"/>
        </w:rPr>
        <w:footnoteReference w:id="2892"/>
      </w:r>
      <w:r>
        <w:rPr>
          <w:rFonts w:ascii="Amiri" w:hAnsi="Amiri" w:eastAsia="Amiri" w:cs="Amiri"/>
          <w:color w:val="111111"/>
          <w:sz w:val="28"/>
          <w:sz w:val="28"/>
          <w:szCs w:val="28"/>
          <w:rtl w:val="true"/>
          <w:lang w:bidi="ar-SA"/>
        </w:rPr>
        <w:t>الحالتين السابقتين منتقضة لا محالة ، وبعد العلم الإجمالي بارتفاع ما هو المناط في حجّية أحد الأصلين لا يبقى حكم التخيير فيهما بوجه ، وذلك نظير ما لو قلنا بأنّ خبر العادل حجّة ، فجاءنا خبران متعارضان ، علمنا إجمالا بأنّ أحدهما خبر الفاسق ، فارتفع ما هو المناط في الاعتبار في أحدهما ، وبعد ذلك فلا وجه للحكم بالتخيير بينهما وذلك ظاهر لا سترة فيه ، ولعلّ ذلك هو المشهور بينهم ؛ إذ لم نجد من حكم بالتخيير بين الأصلين بعد التعارض وإن كان يوهم بعض كلماتهم الترجيح بكثرة الأصول كما يشاهد في مباحث الألفاظ</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مبنيّ على أنّ الأصل حجّة من جهة الظنّ ، ولا يبعد دعوى الترجيح على تقديره كما لا يخفى</w:t>
      </w:r>
      <w:r>
        <w:rPr>
          <w:rFonts w:eastAsia="Amiri" w:cs="Amiri" w:ascii="Amiri" w:hAnsi="Amiri"/>
          <w:color w:val="111111"/>
          <w:sz w:val="28"/>
          <w:szCs w:val="28"/>
          <w:rtl w:val="true"/>
          <w:lang w:bidi="ar-SA"/>
        </w:rPr>
        <w:t xml:space="preserve">. </w:t>
      </w:r>
      <w:bookmarkStart w:id="312" w:name="pg16284_171495"/>
    </w:p>
    <w:p>
      <w:pPr>
        <w:pStyle w:val="Heading3"/>
        <w:numPr>
          <w:ilvl w:val="2"/>
          <w:numId w:val="1"/>
        </w:numPr>
        <w:rPr/>
      </w:pPr>
      <w:bookmarkStart w:id="313" w:name="__RefHeading___Toc5012220_1280447820"/>
      <w:bookmarkStart w:id="314" w:name="_Toc99"/>
      <w:bookmarkEnd w:id="312"/>
      <w:bookmarkEnd w:id="313"/>
      <w:r>
        <w:rPr>
          <w:rtl w:val="true"/>
        </w:rPr>
        <w:t>هداية نافعة في جميع ما تقدّم</w:t>
      </w:r>
      <w:bookmarkEnd w:id="314"/>
    </w:p>
    <w:p>
      <w:pPr>
        <w:pStyle w:val="BookText"/>
        <w:rPr/>
      </w:pPr>
      <w:r>
        <w:rPr>
          <w:rFonts w:ascii="Amiri" w:hAnsi="Amiri" w:eastAsia="Amiri" w:cs="Amiri"/>
          <w:color w:val="111111"/>
          <w:sz w:val="28"/>
          <w:sz w:val="28"/>
          <w:szCs w:val="28"/>
          <w:rtl w:val="true"/>
          <w:lang w:bidi="ar-SA"/>
        </w:rPr>
        <w:t xml:space="preserve">قد عرفت أنّ بعض المتأخّرين </w:t>
      </w:r>
      <w:r>
        <w:rPr>
          <w:rStyle w:val="FootnoteAnchor"/>
          <w:rtl w:val="true"/>
        </w:rPr>
        <w:footnoteReference w:id="2893"/>
      </w:r>
      <w:r>
        <w:rPr>
          <w:rFonts w:ascii="Amiri" w:hAnsi="Amiri" w:eastAsia="Amiri" w:cs="Amiri"/>
          <w:color w:val="111111"/>
          <w:sz w:val="28"/>
          <w:sz w:val="28"/>
          <w:szCs w:val="28"/>
          <w:rtl w:val="true"/>
          <w:lang w:bidi="ar-SA"/>
        </w:rPr>
        <w:t xml:space="preserve">ذكر للاستصحاب 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المعارض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عن المعارض ، وقد عرفت أيضا أنّ الشرطين الأوّلين ليسا من الأمور الخارجة عن </w:t>
      </w:r>
      <w:r>
        <w:rPr>
          <w:rStyle w:val="FootnoteAnchor"/>
          <w:rtl w:val="true"/>
        </w:rPr>
        <w:footnoteReference w:id="2894"/>
      </w:r>
      <w:r>
        <w:rPr>
          <w:rFonts w:ascii="Amiri" w:hAnsi="Amiri" w:eastAsia="Amiri" w:cs="Amiri"/>
          <w:color w:val="111111"/>
          <w:sz w:val="28"/>
          <w:sz w:val="28"/>
          <w:szCs w:val="28"/>
          <w:rtl w:val="true"/>
          <w:lang w:bidi="ar-SA"/>
        </w:rPr>
        <w:t xml:space="preserve">الاستصحاب المشروطة حجّيته بها ، بل لا يتعقّل الاستصحاب بدون الموضوع كما لا يتعقّل مع وجود الدليل المعارض ، فهما </w:t>
      </w:r>
      <w:r>
        <w:rPr>
          <w:rStyle w:val="FootnoteAnchor"/>
          <w:rtl w:val="true"/>
        </w:rPr>
        <w:footnoteReference w:id="2895"/>
      </w:r>
      <w:r>
        <w:rPr>
          <w:rFonts w:ascii="Amiri" w:hAnsi="Amiri" w:eastAsia="Amiri" w:cs="Amiri"/>
          <w:color w:val="111111"/>
          <w:sz w:val="28"/>
          <w:sz w:val="28"/>
          <w:szCs w:val="28"/>
          <w:rtl w:val="true"/>
          <w:lang w:bidi="ar-SA"/>
        </w:rPr>
        <w:t xml:space="preserve">حقيقة شرطان </w:t>
      </w:r>
      <w:r>
        <w:rPr>
          <w:rStyle w:val="FootnoteAnchor"/>
          <w:rtl w:val="true"/>
        </w:rPr>
        <w:footnoteReference w:id="2896"/>
      </w:r>
      <w:r>
        <w:rPr>
          <w:rFonts w:ascii="Amiri" w:hAnsi="Amiri" w:eastAsia="Amiri" w:cs="Amiri"/>
          <w:color w:val="111111"/>
          <w:sz w:val="28"/>
          <w:sz w:val="28"/>
          <w:szCs w:val="28"/>
          <w:rtl w:val="true"/>
          <w:lang w:bidi="ar-SA"/>
        </w:rPr>
        <w:t>لجريان الاستصحاب</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الفحص فهو عند التحقيق شرط للحجّية ؛ لإمكان تعقّله بدون الفحص ، نعم لا يجوز العمل به قبل الفحص </w:t>
      </w:r>
      <w:r>
        <w:rPr>
          <w:rStyle w:val="FootnoteAnchor"/>
          <w:rtl w:val="true"/>
        </w:rPr>
        <w:footnoteReference w:id="2897"/>
      </w:r>
      <w:r>
        <w:rPr>
          <w:rFonts w:ascii="Amiri" w:hAnsi="Amiri" w:eastAsia="Amiri" w:cs="Amiri"/>
          <w:color w:val="111111"/>
          <w:sz w:val="28"/>
          <w:sz w:val="28"/>
          <w:szCs w:val="28"/>
          <w:rtl w:val="true"/>
          <w:lang w:bidi="ar-SA"/>
        </w:rPr>
        <w:t xml:space="preserve">فهو شرط للحجّية كما ذكره لكن لا مطلقا ، بل بالنسبة إلى الشبهات الحكمية فيما إذا قلنا بالاستصحاب فيها ، وفي الشبهات الموضوعية التي </w:t>
      </w:r>
      <w:r>
        <w:rPr>
          <w:rStyle w:val="FootnoteAnchor"/>
          <w:rtl w:val="true"/>
        </w:rPr>
        <w:footnoteReference w:id="2898"/>
      </w:r>
      <w:r>
        <w:rPr>
          <w:rFonts w:ascii="Amiri" w:hAnsi="Amiri" w:eastAsia="Amiri" w:cs="Amiri"/>
          <w:color w:val="111111"/>
          <w:sz w:val="28"/>
          <w:sz w:val="28"/>
          <w:szCs w:val="28"/>
          <w:rtl w:val="true"/>
          <w:lang w:bidi="ar-SA"/>
        </w:rPr>
        <w:t xml:space="preserve">لا يتعدّى العمل بالأصل فيها إلى العمل بالأحكام الكلّية الشرعية كاستصحاب عدالة الراوي ، فإنّه حينئذ لا بدّ من الفحص أيضا ، وأمّا الشبهات الموضوعية فيما عدا ما عرفت فالحقّ عدم وجوب الفحص فيها عند إعمال الأصل فيها إجماعا ، بل كاد أن </w:t>
      </w:r>
    </w:p>
    <w:p>
      <w:pPr>
        <w:pStyle w:val="BookText"/>
        <w:rPr/>
      </w:pPr>
      <w:r>
        <w:rPr>
          <w:rFonts w:ascii="Amiri" w:hAnsi="Amiri" w:eastAsia="Amiri" w:cs="Amiri"/>
          <w:color w:val="111111"/>
          <w:sz w:val="28"/>
          <w:sz w:val="28"/>
          <w:szCs w:val="28"/>
          <w:rtl w:val="true"/>
          <w:lang w:bidi="ar-SA"/>
        </w:rPr>
        <w:t xml:space="preserve">يكون من الضروريات التي لا يخفى على أوائل العقول من الأطفال والمخدّرات في الحجال ، وما يتراءى منهم الحكم بوجوب الفحص في الموضوع كما عن الشيخ </w:t>
      </w:r>
      <w:r>
        <w:rPr>
          <w:rStyle w:val="FootnoteAnchor"/>
          <w:rtl w:val="true"/>
        </w:rPr>
        <w:footnoteReference w:id="2899"/>
      </w:r>
      <w:r>
        <w:rPr>
          <w:rFonts w:ascii="Amiri" w:hAnsi="Amiri" w:eastAsia="Amiri" w:cs="Amiri"/>
          <w:color w:val="111111"/>
          <w:sz w:val="28"/>
          <w:sz w:val="28"/>
          <w:szCs w:val="28"/>
          <w:rtl w:val="true"/>
          <w:lang w:bidi="ar-SA"/>
        </w:rPr>
        <w:t xml:space="preserve">من حرمة الأكل في ليلة رمضان إذا اعتمد الأكل على استصحاب بقاء الليل في أكله من غير فحص ، فهو على خلاف القاعدة ، فالمفتي بها مطالب بالدليل وإن أقام عليها برهان ، وإلاّ فلا نعرف لها وجها ، وقد نبّهنا على مثل ذلك في البراءة حيث أفتوا بوجوب الفحص فيما إذا شكّ في حصول الاستطاعة في الحجّ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فهذه قاعدة محكّمة لا يكاد يمكن الخروج عنها إلاّ بدليل متين وسلطان مبين </w:t>
      </w:r>
      <w:r>
        <w:rPr>
          <w:rStyle w:val="FootnoteAnchor"/>
          <w:rtl w:val="true"/>
        </w:rPr>
        <w:footnoteReference w:id="2901"/>
      </w:r>
      <w:r>
        <w:rPr>
          <w:rFonts w:ascii="Amiri" w:hAnsi="Amiri" w:eastAsia="Amiri" w:cs="Amiri"/>
          <w:color w:val="111111"/>
          <w:sz w:val="28"/>
          <w:sz w:val="28"/>
          <w:szCs w:val="28"/>
          <w:rtl w:val="true"/>
          <w:lang w:bidi="ar-SA"/>
        </w:rPr>
        <w:t xml:space="preserve">، والأصل في ذلك بعد الإجماع المذكور إطلاقات أخبار الباب من عدم جواز نقض اليقين إلاّ </w:t>
      </w:r>
      <w:r>
        <w:rPr>
          <w:rStyle w:val="FootnoteAnchor"/>
          <w:rtl w:val="true"/>
        </w:rPr>
        <w:footnoteReference w:id="2902"/>
      </w:r>
      <w:r>
        <w:rPr>
          <w:rFonts w:ascii="Amiri" w:hAnsi="Amiri" w:eastAsia="Amiri" w:cs="Amiri"/>
          <w:color w:val="111111"/>
          <w:sz w:val="28"/>
          <w:sz w:val="28"/>
          <w:szCs w:val="28"/>
          <w:rtl w:val="true"/>
          <w:lang w:bidi="ar-SA"/>
        </w:rPr>
        <w:t xml:space="preserve">باليقين ، خرج ما خرج من التقييد بالفحص في موارد الأصول المعمولة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الباقي تحت العامّ ، والمدّعي للتقييد لا بدّ له من إقامة ما يفيد ذلك ؛ وإذ </w:t>
      </w:r>
      <w:r>
        <w:rPr>
          <w:rStyle w:val="FootnoteAnchor"/>
          <w:rtl w:val="true"/>
        </w:rPr>
        <w:footnoteReference w:id="2903"/>
      </w:r>
      <w:r>
        <w:rPr>
          <w:rFonts w:ascii="Amiri" w:hAnsi="Amiri" w:eastAsia="Amiri" w:cs="Amiri"/>
          <w:color w:val="111111"/>
          <w:sz w:val="28"/>
          <w:sz w:val="28"/>
          <w:szCs w:val="28"/>
          <w:rtl w:val="true"/>
          <w:lang w:bidi="ar-SA"/>
        </w:rPr>
        <w:t xml:space="preserve">ليس فليس ، وقد مرّ في الهداية الحاوية للبداية والنهاية عند ذكر الأخبار ما هو صريح في عدم اعتبار الفحص فراجعها </w:t>
      </w:r>
      <w:r>
        <w:rPr>
          <w:rStyle w:val="FootnoteAnchor"/>
          <w:rtl w:val="true"/>
        </w:rPr>
        <w:footnoteReference w:id="2904"/>
      </w:r>
      <w:r>
        <w:rPr>
          <w:rFonts w:ascii="Amiri" w:hAnsi="Amiri" w:eastAsia="Amiri" w:cs="Amiri"/>
          <w:color w:val="111111"/>
          <w:sz w:val="28"/>
          <w:sz w:val="28"/>
          <w:szCs w:val="28"/>
          <w:rtl w:val="true"/>
          <w:lang w:bidi="ar-SA"/>
        </w:rPr>
        <w:t xml:space="preserve">، ولا فرق في ذلك بين الأصول والأدلّة المعمولة في الموضوعات الخارجية من البيّنة والسوق وأصالة الصحّة واليد ونحوها ، والوجه في الكلّ ما عرفت من الإطلاقات والعمومات المثبتة لاعتبار هذه الأصول إلاّ أنّه لا بدّ أن يعلم أنّ عدم الفحص فيها مقصور على ما إذا شكّ في وجود دليل به ينتقض الحالة السابقة ، وأمّا إذا شكّ في وجود المعارض الوارد عليه كاحتمال أصل مزيل للأصل المعمول في الموضوع فلا وجه للاتّكال على الأصل بدون الفحص ، فإنّ ما يدلّ على وجوب الفحص في الأحكام يدلّ على وجوبه في المقام أيضا ، ولا فرق في ذلك بين المجتهد والمقلّد فإنّ لكلّ واحد منهما يجوز العمل بالأصل قبل الفحص </w:t>
      </w:r>
    </w:p>
    <w:p>
      <w:pPr>
        <w:pStyle w:val="BookText"/>
        <w:rPr/>
      </w:pPr>
      <w:r>
        <w:rPr>
          <w:rFonts w:ascii="Amiri" w:hAnsi="Amiri" w:eastAsia="Amiri" w:cs="Amiri"/>
          <w:color w:val="111111"/>
          <w:sz w:val="28"/>
          <w:sz w:val="28"/>
          <w:szCs w:val="28"/>
          <w:rtl w:val="true"/>
          <w:lang w:bidi="ar-SA"/>
        </w:rPr>
        <w:t>بالنسبة إلى ما ينتقض به الحالة السابقة ، ولا يجوز العمل به قبل الفحص بالنسبة إلى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يشكل الأمر في عمل المقلّد العامّي الذي لا يعرف مورد الأخذ بالاستصحاب فيه به ، فإنّ المجتهد لا بدّ له من أن يعرّفه بموارده ولا يفتي له بالأخذ بالحالة السابقة مطلقا ، فعليه أن يسأل خصوصيات الموارد من المجتهد ، وعليه أن يفتي له بخصوصيات الموارد ، فالمجتهد يعيّن مورد المزيل والمزال ويفتي بمقتضاه ، ولا يمكن دفع احتمال المعارض بالأصل بتقريب أنّ المقتضي للعمل بالأصل في مورد تحقّقه موجود ، والشكّ إنّما هو في وجود ما يمنعنا عن العمل به من المعارض ، والمانع مدفوع بالأصل ، وبعد وجود المقتضي فلا بدّ من الأخذ به ؛ لأنّ عدم المعارض كما عرفت فيما سبق </w:t>
      </w:r>
      <w:r>
        <w:rPr>
          <w:rStyle w:val="FootnoteAnchor"/>
          <w:rtl w:val="true"/>
        </w:rPr>
        <w:footnoteReference w:id="2905"/>
      </w:r>
      <w:r>
        <w:rPr>
          <w:rFonts w:ascii="Amiri" w:hAnsi="Amiri" w:eastAsia="Amiri" w:cs="Amiri"/>
          <w:color w:val="111111"/>
          <w:sz w:val="28"/>
          <w:sz w:val="28"/>
          <w:szCs w:val="28"/>
          <w:rtl w:val="true"/>
          <w:lang w:bidi="ar-SA"/>
        </w:rPr>
        <w:t xml:space="preserve">مفصّلا بمنزلة جزء المقتضي للاستصحاب ، فبدونه لا مجرى له </w:t>
      </w:r>
      <w:r>
        <w:rPr>
          <w:rStyle w:val="FootnoteAnchor"/>
          <w:rtl w:val="true"/>
        </w:rPr>
        <w:footnoteReference w:id="2906"/>
      </w:r>
      <w:r>
        <w:rPr>
          <w:rFonts w:ascii="Amiri" w:hAnsi="Amiri" w:eastAsia="Amiri" w:cs="Amiri"/>
          <w:color w:val="111111"/>
          <w:sz w:val="28"/>
          <w:sz w:val="28"/>
          <w:szCs w:val="28"/>
          <w:rtl w:val="true"/>
          <w:lang w:bidi="ar-SA"/>
        </w:rPr>
        <w:t>كما مرّ ، فالواجب على المجتهد والمقلّد في العمل بالأصل هو ما قلنا من تعريفه له خصوصيات الموارد لئلاّ يقع العامل به في المهالك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البيّنة المعمولة في الشبهات الموضوعية أيضا يمكن تعارضها </w:t>
      </w:r>
      <w:r>
        <w:rPr>
          <w:rStyle w:val="FootnoteAnchor"/>
          <w:rtl w:val="true"/>
        </w:rPr>
        <w:footnoteReference w:id="2907"/>
      </w:r>
      <w:r>
        <w:rPr>
          <w:rFonts w:ascii="Amiri" w:hAnsi="Amiri" w:eastAsia="Amiri" w:cs="Amiri"/>
          <w:color w:val="111111"/>
          <w:sz w:val="28"/>
          <w:sz w:val="28"/>
          <w:szCs w:val="28"/>
          <w:rtl w:val="true"/>
          <w:lang w:bidi="ar-SA"/>
        </w:rPr>
        <w:t xml:space="preserve">ببيّنة </w:t>
      </w:r>
      <w:r>
        <w:rPr>
          <w:rStyle w:val="FootnoteAnchor"/>
          <w:rtl w:val="true"/>
        </w:rPr>
        <w:footnoteReference w:id="2908"/>
      </w:r>
      <w:r>
        <w:rPr>
          <w:rFonts w:ascii="Amiri" w:hAnsi="Amiri" w:eastAsia="Amiri" w:cs="Amiri"/>
          <w:color w:val="111111"/>
          <w:sz w:val="28"/>
          <w:sz w:val="28"/>
          <w:szCs w:val="28"/>
          <w:rtl w:val="true"/>
          <w:lang w:bidi="ar-SA"/>
        </w:rPr>
        <w:t>أخرى ، ومع ذلك لا يجب الفحص عنها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واضح ؛ لأنّ المعارض في البيّنة لا يلزم أن يكون موجودة </w:t>
      </w:r>
      <w:r>
        <w:rPr>
          <w:rStyle w:val="FootnoteAnchor"/>
          <w:rtl w:val="true"/>
        </w:rPr>
        <w:footnoteReference w:id="2909"/>
      </w:r>
      <w:r>
        <w:rPr>
          <w:rFonts w:ascii="Amiri" w:hAnsi="Amiri" w:eastAsia="Amiri" w:cs="Amiri"/>
          <w:color w:val="111111"/>
          <w:sz w:val="28"/>
          <w:sz w:val="28"/>
          <w:szCs w:val="28"/>
          <w:rtl w:val="true"/>
          <w:lang w:bidi="ar-SA"/>
        </w:rPr>
        <w:t xml:space="preserve">مع البيّنة الأخرى والاستصحاب في المقام موجود دائما كما لا يخفى ، وأمّا وجوب الفحص في الأحكام أو ما ينتهي إليها كالموضوعات المستنبطة ونحوها فدليله واضح ؛ إذ هو بعد الإجماع عليه يوجب عدمه رفع الأحكام الواقعية والمخالفة القطعية على وجه ربّما يعدّ من الخروج من الدين ، وينهض بذلك جميع أدلّة وجوب التفقّه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w:t>
      </w:r>
    </w:p>
    <w:p>
      <w:pPr>
        <w:pStyle w:val="BookText"/>
        <w:rPr/>
      </w:pPr>
      <w:r>
        <w:rPr>
          <w:rFonts w:ascii="Amiri" w:hAnsi="Amiri" w:eastAsia="Amiri" w:cs="Amiri"/>
          <w:color w:val="111111"/>
          <w:sz w:val="28"/>
          <w:sz w:val="28"/>
          <w:szCs w:val="28"/>
          <w:rtl w:val="true"/>
          <w:lang w:bidi="ar-SA"/>
        </w:rPr>
        <w:t xml:space="preserve">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291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سألوا ، هلاّ يمّموه ، قاتلهم اللّه </w:t>
      </w:r>
      <w:r>
        <w:rPr>
          <w:rFonts w:eastAsia="Amiri" w:cs="Amiri" w:ascii="Amiri" w:hAnsi="Amiri"/>
          <w:color w:val="111111"/>
          <w:sz w:val="28"/>
          <w:szCs w:val="28"/>
          <w:rtl w:val="true"/>
          <w:lang w:bidi="ar-SA"/>
        </w:rPr>
        <w:t xml:space="preserve">» </w:t>
      </w:r>
      <w:r>
        <w:rPr>
          <w:rStyle w:val="FootnoteAnchor"/>
          <w:rtl w:val="true"/>
        </w:rPr>
        <w:footnoteReference w:id="2911"/>
      </w:r>
      <w:r>
        <w:rPr>
          <w:rFonts w:ascii="IRNazanin" w:hAnsi="IRNazanin" w:eastAsia="IRNazanin"/>
          <w:color w:val="111111"/>
          <w:sz w:val="28"/>
          <w:sz w:val="28"/>
          <w:szCs w:val="28"/>
          <w:rtl w:val="true"/>
          <w:lang w:bidi="fa-IR"/>
        </w:rPr>
        <w:t xml:space="preserve">إلى </w:t>
      </w:r>
      <w:r>
        <w:rPr>
          <w:rStyle w:val="FootnoteAnchor"/>
          <w:rtl w:val="true"/>
        </w:rPr>
        <w:footnoteReference w:id="2912"/>
      </w:r>
      <w:r>
        <w:rPr>
          <w:rFonts w:ascii="Amiri" w:hAnsi="Amiri" w:eastAsia="Amiri" w:cs="Amiri"/>
          <w:color w:val="111111"/>
          <w:sz w:val="28"/>
          <w:sz w:val="28"/>
          <w:szCs w:val="28"/>
          <w:rtl w:val="true"/>
          <w:lang w:bidi="ar-SA"/>
        </w:rPr>
        <w:t xml:space="preserve">غير ذلك من الوجوه التي قدّمنا </w:t>
      </w:r>
      <w:r>
        <w:rPr>
          <w:rStyle w:val="FootnoteAnchor"/>
          <w:rtl w:val="true"/>
        </w:rPr>
        <w:footnoteReference w:id="2913"/>
      </w:r>
      <w:r>
        <w:rPr>
          <w:rFonts w:ascii="Amiri" w:hAnsi="Amiri" w:eastAsia="Amiri" w:cs="Amiri"/>
          <w:color w:val="111111"/>
          <w:sz w:val="28"/>
          <w:sz w:val="28"/>
          <w:szCs w:val="28"/>
          <w:rtl w:val="true"/>
          <w:lang w:bidi="ar-SA"/>
        </w:rPr>
        <w:t xml:space="preserve">ذكرها في مباحث البراءة ، ويؤيّده الأدلّة </w:t>
      </w:r>
      <w:r>
        <w:rPr>
          <w:rStyle w:val="FootnoteAnchor"/>
          <w:rtl w:val="true"/>
        </w:rPr>
        <w:footnoteReference w:id="2914"/>
      </w:r>
      <w:r>
        <w:rPr>
          <w:rFonts w:ascii="Amiri" w:hAnsi="Amiri" w:eastAsia="Amiri" w:cs="Amiri"/>
          <w:color w:val="111111"/>
          <w:sz w:val="28"/>
          <w:sz w:val="28"/>
          <w:szCs w:val="28"/>
          <w:rtl w:val="true"/>
          <w:lang w:bidi="ar-SA"/>
        </w:rPr>
        <w:t>الآمرة بوجوب الأمر بالمعروف والنهي عن المنكر ، مضافا إلى أنّ العمل بالأصل قبل الفحص في الأحكام غير معقول ؛ للعلم الإجمالي بانتقاض جملة كثيرة من موارد هذه الأصول ، ومع ذلك فلا مجرى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تسليم العلم الإجمالي في مورد الأصل لا معنى للقول به أصلا ؛ لأنّ غاية ما يتصوّر هو القول بوجوب الفحص وهو لا يجدي في دفع الاحتمال </w:t>
      </w:r>
      <w:r>
        <w:rPr>
          <w:rStyle w:val="FootnoteAnchor"/>
          <w:rtl w:val="true"/>
        </w:rPr>
        <w:footnoteReference w:id="2915"/>
      </w:r>
      <w:r>
        <w:rPr>
          <w:rFonts w:ascii="Amiri" w:hAnsi="Amiri" w:eastAsia="Amiri" w:cs="Amiri"/>
          <w:color w:val="111111"/>
          <w:sz w:val="28"/>
          <w:sz w:val="28"/>
          <w:szCs w:val="28"/>
          <w:rtl w:val="true"/>
          <w:lang w:bidi="ar-SA"/>
        </w:rPr>
        <w:t>، لأنّ المعلوم الإجمالي بين أطراف الشبهة بعد الفحص أيضا لا يكون محرزا ، إذ به لا يعلم إلاّ ما هو موجود من الأدلّة في هذه الطرق المعمولة عندهم ، وأمّا الموارد الأخر المنقوضة التي لا سبيل إلى العلم بها بهذه الطرق فهي باقية على اشتباهها في موارد الأصل ، ومع ذلك فكيف يصحّ الاستناد إلى الأصل؟</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ربّما تورد على القول بوجوب الفحص في العمومات لأجل العلم بالتخصيص فيها ، وقد دفعناها في مقامه بالمنع من العلم بوجود المخصّص زائدا على ما يستبان من الأدلّة ، فإحراز عدم التخصيص في هذه الأدلّة المعمولة يوجب الاعتماد على العموم ، وبمثله نقول في المقام فإنّ موارد انتقاض الأصل في غير ما يستفاد من هذه الأدلّة الاجتهادية في محلّ من المنع ، وغاية ما يبقى في المقام بعد ارتفاع العلم بإحراز المعلوم بالإجمال في المشتبهات هو احتمال وجود الناقض ، وقضيّته لا تزيد </w:t>
      </w:r>
      <w:r>
        <w:rPr>
          <w:rStyle w:val="FootnoteAnchor"/>
          <w:rtl w:val="true"/>
        </w:rPr>
        <w:footnoteReference w:id="2916"/>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حسن الاحتياط في العمل بالأصل ، وهو ممّا لا يكاد ينكره أحد فإنّه سبيل النجاة نجانا اللّه تبارك وتعالى وإيّاكم عن التورّط في الشبهات ووفّقنا للفوز بأعلى الدرجات ، وهذا </w:t>
      </w:r>
      <w:r>
        <w:rPr>
          <w:rStyle w:val="FootnoteAnchor"/>
          <w:rtl w:val="true"/>
        </w:rPr>
        <w:footnoteReference w:id="2917"/>
      </w:r>
      <w:r>
        <w:rPr>
          <w:rFonts w:ascii="IRNazanin" w:hAnsi="IRNazanin" w:eastAsia="IRNazanin"/>
          <w:color w:val="111111"/>
          <w:sz w:val="28"/>
          <w:sz w:val="28"/>
          <w:szCs w:val="28"/>
          <w:rtl w:val="true"/>
          <w:lang w:bidi="fa-IR"/>
        </w:rPr>
        <w:t xml:space="preserve">آخر ما أفاده الأستاد </w:t>
      </w:r>
      <w:r>
        <w:rPr>
          <w:rStyle w:val="FootnoteAnchor"/>
          <w:rtl w:val="true"/>
        </w:rPr>
        <w:footnoteReference w:id="2918"/>
      </w:r>
      <w:r>
        <w:rPr>
          <w:rFonts w:ascii="Amiri" w:hAnsi="Amiri" w:eastAsia="Amiri" w:cs="Amiri"/>
          <w:color w:val="111111"/>
          <w:sz w:val="28"/>
          <w:sz w:val="28"/>
          <w:szCs w:val="28"/>
          <w:rtl w:val="true"/>
          <w:lang w:bidi="ar-SA"/>
        </w:rPr>
        <w:t xml:space="preserve">المحقّق النحرير ونظمناه في سلك التحرير مستعينا في ذلك من العليم القدير ، فالحمد لله على ما أنعمنا به من نعمه الظاهرة والآية الباهرة والصلاة على خير خلقه وأفضل رسله محمّد وآله الطاهرين ولعنة اللّه على أعدائهم إلى يوم القيامة </w:t>
      </w:r>
      <w:r>
        <w:rPr>
          <w:rStyle w:val="FootnoteAnchor"/>
          <w:rtl w:val="true"/>
        </w:rPr>
        <w:footnoteReference w:id="2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عن تحريره وتنميقه العبد الآثم أقلّ الطلبة والحاجّ في شهر ذي قعدة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6284_171501"/>
      <w:bookmarkStart w:id="316" w:name="pg16284_171501"/>
      <w:bookmarkEnd w:id="316"/>
    </w:p>
    <w:p>
      <w:pPr>
        <w:pStyle w:val="Heading2"/>
        <w:numPr>
          <w:ilvl w:val="1"/>
          <w:numId w:val="1"/>
        </w:numPr>
        <w:rPr/>
      </w:pPr>
      <w:bookmarkStart w:id="317" w:name="pg16284_171501"/>
      <w:bookmarkStart w:id="318" w:name="__RefHeading___Toc5012222_1280447820"/>
      <w:bookmarkStart w:id="319" w:name="_Toc100"/>
      <w:bookmarkEnd w:id="317"/>
      <w:bookmarkEnd w:id="318"/>
      <w:r>
        <w:rPr>
          <w:rtl w:val="true"/>
        </w:rPr>
        <w:t xml:space="preserve">[ </w:t>
      </w:r>
      <w:r>
        <w:rPr>
          <w:rtl w:val="true"/>
        </w:rPr>
        <w:t xml:space="preserve">التعادل والترجيح </w:t>
      </w:r>
      <w:r>
        <w:rPr>
          <w:rtl w:val="true"/>
        </w:rPr>
        <w:t>]</w:t>
      </w:r>
      <w:bookmarkEnd w:id="319"/>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5012224_1280447820"/>
      <w:bookmarkStart w:id="321" w:name="_Toc101"/>
      <w:bookmarkEnd w:id="320"/>
      <w:r>
        <w:rPr>
          <w:rtl w:val="true"/>
        </w:rPr>
        <w:t>اشارة</w:t>
      </w:r>
      <w:bookmarkEnd w:id="32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6284_171503"/>
      <w:bookmarkStart w:id="323" w:name="pg16284_171503"/>
      <w:bookmarkEnd w:id="323"/>
    </w:p>
    <w:p>
      <w:pPr>
        <w:pStyle w:val="Heading3"/>
        <w:numPr>
          <w:ilvl w:val="2"/>
          <w:numId w:val="1"/>
        </w:numPr>
        <w:rPr/>
      </w:pPr>
      <w:bookmarkStart w:id="324" w:name="pg16284_171503"/>
      <w:bookmarkStart w:id="325" w:name="__RefHeading___Toc5012226_1280447820"/>
      <w:bookmarkStart w:id="326" w:name="_Toc102"/>
      <w:bookmarkEnd w:id="324"/>
      <w:bookmarkEnd w:id="325"/>
      <w:r>
        <w:rPr>
          <w:rtl w:val="true"/>
        </w:rPr>
        <w:t>القول في التعادل والترجيح</w:t>
      </w:r>
      <w:bookmarkEnd w:id="326"/>
    </w:p>
    <w:p>
      <w:pPr>
        <w:pStyle w:val="BookText"/>
        <w:rPr/>
      </w:pPr>
      <w:r>
        <w:rPr>
          <w:rFonts w:ascii="IRNazanin" w:hAnsi="IRNazanin" w:eastAsia="IRNazanin"/>
          <w:color w:val="111111"/>
          <w:sz w:val="28"/>
          <w:sz w:val="28"/>
          <w:szCs w:val="28"/>
          <w:rtl w:val="true"/>
          <w:lang w:bidi="fa-IR"/>
        </w:rPr>
        <w:t xml:space="preserve">القول </w:t>
      </w:r>
      <w:r>
        <w:rPr>
          <w:rStyle w:val="FootnoteAnchor"/>
          <w:rtl w:val="true"/>
        </w:rPr>
        <w:footnoteReference w:id="2921"/>
      </w:r>
      <w:r>
        <w:rPr>
          <w:rFonts w:ascii="Amiri" w:hAnsi="Amiri" w:eastAsia="Amiri" w:cs="Amiri"/>
          <w:color w:val="111111"/>
          <w:sz w:val="28"/>
          <w:sz w:val="28"/>
          <w:szCs w:val="28"/>
          <w:rtl w:val="true"/>
          <w:lang w:bidi="ar-SA"/>
        </w:rPr>
        <w:t xml:space="preserve">في التعادل </w:t>
      </w:r>
      <w:r>
        <w:rPr>
          <w:rStyle w:val="FootnoteAnchor"/>
          <w:rtl w:val="true"/>
        </w:rPr>
        <w:footnoteReference w:id="2922"/>
      </w:r>
      <w:r>
        <w:rPr>
          <w:rFonts w:ascii="Amiri" w:hAnsi="Amiri" w:eastAsia="Amiri" w:cs="Amiri"/>
          <w:color w:val="111111"/>
          <w:sz w:val="28"/>
          <w:sz w:val="28"/>
          <w:szCs w:val="28"/>
          <w:rtl w:val="true"/>
          <w:lang w:bidi="ar-SA"/>
        </w:rPr>
        <w:t>والترجيح</w:t>
      </w:r>
    </w:p>
    <w:p>
      <w:pPr>
        <w:pStyle w:val="BookText"/>
        <w:rPr/>
      </w:pPr>
      <w:r>
        <w:rPr>
          <w:rFonts w:ascii="Amiri" w:hAnsi="Amiri" w:eastAsia="Amiri" w:cs="Amiri"/>
          <w:color w:val="111111"/>
          <w:sz w:val="28"/>
          <w:sz w:val="28"/>
          <w:szCs w:val="28"/>
          <w:rtl w:val="true"/>
          <w:lang w:bidi="ar-SA"/>
        </w:rPr>
        <w:t xml:space="preserve">وهما من أحوال التعارض وبذلك يستعلم </w:t>
      </w:r>
      <w:r>
        <w:rPr>
          <w:rStyle w:val="FootnoteAnchor"/>
          <w:rtl w:val="true"/>
        </w:rPr>
        <w:footnoteReference w:id="2923"/>
      </w:r>
      <w:r>
        <w:rPr>
          <w:rFonts w:ascii="Amiri" w:hAnsi="Amiri" w:eastAsia="Amiri" w:cs="Amiri"/>
          <w:color w:val="111111"/>
          <w:sz w:val="28"/>
          <w:sz w:val="28"/>
          <w:szCs w:val="28"/>
          <w:rtl w:val="true"/>
          <w:lang w:bidi="ar-SA"/>
        </w:rPr>
        <w:t xml:space="preserve">دخول المبحث في مباحث الفنّ ؛ لرجوع البحث فيه إلى البحث عن أحوال الدليل ، بل وهذا هو القدر المتيقّن </w:t>
      </w:r>
      <w:r>
        <w:rPr>
          <w:rStyle w:val="FootnoteAnchor"/>
          <w:rtl w:val="true"/>
        </w:rPr>
        <w:footnoteReference w:id="2924"/>
      </w:r>
      <w:r>
        <w:rPr>
          <w:rFonts w:ascii="Amiri" w:hAnsi="Amiri" w:eastAsia="Amiri" w:cs="Amiri"/>
          <w:color w:val="111111"/>
          <w:sz w:val="28"/>
          <w:sz w:val="28"/>
          <w:szCs w:val="28"/>
          <w:rtl w:val="true"/>
          <w:lang w:bidi="ar-SA"/>
        </w:rPr>
        <w:t xml:space="preserve">المتّفق على </w:t>
      </w:r>
      <w:r>
        <w:rPr>
          <w:rStyle w:val="FootnoteAnchor"/>
          <w:rtl w:val="true"/>
        </w:rPr>
        <w:footnoteReference w:id="2925"/>
      </w:r>
      <w:r>
        <w:rPr>
          <w:rFonts w:ascii="IRNazanin" w:hAnsi="IRNazanin" w:eastAsia="IRNazanin"/>
          <w:color w:val="111111"/>
          <w:sz w:val="28"/>
          <w:sz w:val="28"/>
          <w:szCs w:val="28"/>
          <w:rtl w:val="true"/>
          <w:lang w:bidi="fa-IR"/>
        </w:rPr>
        <w:t xml:space="preserve">دخوله </w:t>
      </w:r>
      <w:r>
        <w:rPr>
          <w:rStyle w:val="FootnoteAnchor"/>
          <w:rtl w:val="true"/>
        </w:rPr>
        <w:footnoteReference w:id="2926"/>
      </w:r>
      <w:r>
        <w:rPr>
          <w:rFonts w:ascii="Amiri" w:hAnsi="Amiri" w:eastAsia="Amiri" w:cs="Amiri"/>
          <w:color w:val="111111"/>
          <w:sz w:val="28"/>
          <w:sz w:val="28"/>
          <w:szCs w:val="28"/>
          <w:rtl w:val="true"/>
          <w:lang w:bidi="ar-SA"/>
        </w:rPr>
        <w:t xml:space="preserve">في مباحث الفنّ ، لإمكان الخلاف في سائر المباحث كحجّية الكتاب والأخبار ونحوها بل زعم بعضهم </w:t>
      </w:r>
      <w:r>
        <w:rPr>
          <w:rStyle w:val="FootnoteAnchor"/>
          <w:rtl w:val="true"/>
        </w:rPr>
        <w:footnoteReference w:id="2927"/>
      </w:r>
    </w:p>
    <w:p>
      <w:pPr>
        <w:pStyle w:val="BookText"/>
        <w:rPr/>
      </w:pPr>
      <w:r>
        <w:rPr>
          <w:rFonts w:ascii="Amiri" w:hAnsi="Amiri" w:eastAsia="Amiri" w:cs="Amiri"/>
          <w:color w:val="111111"/>
          <w:sz w:val="28"/>
          <w:sz w:val="28"/>
          <w:szCs w:val="28"/>
          <w:rtl w:val="true"/>
          <w:lang w:bidi="ar-SA"/>
        </w:rPr>
        <w:t xml:space="preserve">قال الآشتياني في بحر الفوائد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مباحث الألفاظ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ومسائل حجّية الأدلّة كحجّية الكتاب والأخبار والإجماع ونقله من المبادئ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التبريزي في أوثق الوسائل </w:t>
      </w:r>
      <w:r>
        <w:rPr>
          <w:rFonts w:ascii="Amiri" w:hAnsi="Amiri" w:eastAsia="Amiri" w:cs="Amiri"/>
          <w:color w:val="111111"/>
          <w:sz w:val="28"/>
          <w:sz w:val="28"/>
          <w:szCs w:val="28"/>
          <w:lang w:bidi="ar-SA"/>
        </w:rPr>
        <w:t>٥٨٦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أشرنا إليه من إكثارهم الخلاف في أكثر المسائل الأصولية فذلك مثل دعوى دخول مباحث الألفاظ طرّا وكذا البحث عن حجّية الكتاب والسنّة والإجماع والعقل في المبادئ ودخول البحث عن حجّية الأوّلين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أيضا أوثق الوسائل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ومشكاة المصابيح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خروجها عن الفن ودخولها في مباحث الكلام نظرا إلى أنّ ما ينبغي أن يثبت في الفنّ 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الأمور اللاحقة للموضوع بعد ما كان نفس الموضوع مفروغ الوجود بأن يكون بنيا أو مبنيّا في الأعلى ، وقد دفعناه في محلّه تارة بأنّ الثابت في هذه المباحث ليس إلاّ حالا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أحوال الموضوع فإنّ الدليل ليس</w:t>
      </w:r>
    </w:p>
    <w:p>
      <w:pPr>
        <w:pStyle w:val="BookText"/>
        <w:rPr/>
      </w:pPr>
      <w:r>
        <w:rPr>
          <w:rFonts w:ascii="Amiri" w:hAnsi="Amiri" w:eastAsia="Amiri" w:cs="Amiri"/>
          <w:color w:val="111111"/>
          <w:sz w:val="28"/>
          <w:sz w:val="28"/>
          <w:szCs w:val="28"/>
          <w:rtl w:val="true"/>
          <w:lang w:bidi="ar-SA"/>
        </w:rPr>
        <w:t xml:space="preserve">ظاهر الكتاب بل هو مراد اللّه في الواقع وكذا الدليل هو السنّة والخبر حكاية عنها وليس البحث إلاّ عن حجّية الحكاية ، وأخرى بآخر كما مرّ مفصّلا في محلّه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 هذه </w:t>
      </w:r>
      <w:r>
        <w:rPr>
          <w:rStyle w:val="FootnoteAnchor"/>
          <w:rtl w:val="true"/>
        </w:rPr>
        <w:footnoteReference w:id="2929"/>
      </w:r>
      <w:r>
        <w:rPr>
          <w:rFonts w:ascii="Amiri" w:hAnsi="Amiri" w:eastAsia="Amiri" w:cs="Amiri"/>
          <w:color w:val="111111"/>
          <w:sz w:val="28"/>
          <w:sz w:val="28"/>
          <w:szCs w:val="28"/>
          <w:rtl w:val="true"/>
          <w:lang w:bidi="ar-SA"/>
        </w:rPr>
        <w:t xml:space="preserve">المسألة من مباحث الأصول بعد ما عرفت ، مضافا إلى انطباق الحدّ </w:t>
      </w:r>
      <w:r>
        <w:rPr>
          <w:rStyle w:val="FootnoteAnchor"/>
          <w:rtl w:val="true"/>
        </w:rPr>
        <w:footnoteReference w:id="2930"/>
      </w:r>
      <w:r>
        <w:rPr>
          <w:rFonts w:ascii="Amiri" w:hAnsi="Amiri" w:eastAsia="Amiri" w:cs="Amiri"/>
          <w:color w:val="111111"/>
          <w:sz w:val="28"/>
          <w:sz w:val="28"/>
          <w:szCs w:val="28"/>
          <w:rtl w:val="true"/>
          <w:lang w:bidi="ar-SA"/>
        </w:rPr>
        <w:t xml:space="preserve">عليه فإنّ نفعها في الاستنباط ممّا لا ينبغي إنكاره </w:t>
      </w:r>
      <w:r>
        <w:rPr>
          <w:rStyle w:val="FootnoteAnchor"/>
          <w:rtl w:val="true"/>
        </w:rPr>
        <w:footnoteReference w:id="2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فتحقيق </w:t>
      </w:r>
      <w:r>
        <w:rPr>
          <w:rStyle w:val="FootnoteAnchor"/>
          <w:rtl w:val="true"/>
        </w:rPr>
        <w:footnoteReference w:id="2932"/>
      </w:r>
      <w:r>
        <w:rPr>
          <w:rFonts w:ascii="Amiri" w:hAnsi="Amiri" w:eastAsia="Amiri" w:cs="Amiri"/>
          <w:color w:val="111111"/>
          <w:sz w:val="28"/>
          <w:sz w:val="28"/>
          <w:szCs w:val="28"/>
          <w:rtl w:val="true"/>
          <w:lang w:bidi="ar-SA"/>
        </w:rPr>
        <w:t>الكلام في طيّ هدايات</w:t>
      </w:r>
      <w:r>
        <w:rPr>
          <w:rFonts w:eastAsia="Amiri" w:cs="Amiri" w:ascii="Amiri" w:hAnsi="Amiri"/>
          <w:color w:val="111111"/>
          <w:sz w:val="28"/>
          <w:szCs w:val="28"/>
          <w:rtl w:val="true"/>
          <w:lang w:bidi="ar-SA"/>
        </w:rPr>
        <w:t xml:space="preserve">. </w:t>
      </w:r>
      <w:bookmarkStart w:id="327" w:name="pg16284_171505"/>
    </w:p>
    <w:p>
      <w:pPr>
        <w:pStyle w:val="Heading3"/>
        <w:numPr>
          <w:ilvl w:val="2"/>
          <w:numId w:val="1"/>
        </w:numPr>
        <w:rPr/>
      </w:pPr>
      <w:bookmarkStart w:id="328" w:name="__RefHeading___Toc5012228_1280447820"/>
      <w:bookmarkStart w:id="329" w:name="_Toc103"/>
      <w:bookmarkEnd w:id="327"/>
      <w:bookmarkEnd w:id="328"/>
      <w:r>
        <w:rPr>
          <w:rtl w:val="true"/>
        </w:rPr>
        <w:t xml:space="preserve">هداية </w:t>
      </w:r>
      <w:r>
        <w:rPr>
          <w:rtl w:val="true"/>
        </w:rPr>
        <w:t xml:space="preserve">[ </w:t>
      </w:r>
      <w:r>
        <w:rPr>
          <w:rtl w:val="true"/>
        </w:rPr>
        <w:t xml:space="preserve">في تعريف التعارض </w:t>
      </w:r>
      <w:r>
        <w:rPr>
          <w:rtl w:val="true"/>
        </w:rPr>
        <w:t>]</w:t>
      </w:r>
      <w:bookmarkEnd w:id="32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التعارض ، وهو تفاعل من العرض بمعنى الورود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يُعْرَضُونَ عَلَيْها </w:t>
      </w:r>
      <w:r>
        <w:rPr>
          <w:rFonts w:eastAsia="Amiri" w:cs="Amiri" w:ascii="Amiri" w:hAnsi="Amiri"/>
          <w:color w:val="111111"/>
          <w:sz w:val="28"/>
          <w:szCs w:val="28"/>
          <w:rtl w:val="true"/>
          <w:lang w:bidi="ar-SA"/>
        </w:rPr>
        <w:t xml:space="preserve">) </w:t>
      </w:r>
      <w:r>
        <w:rPr>
          <w:rStyle w:val="FootnoteAnchor"/>
          <w:rtl w:val="true"/>
        </w:rPr>
        <w:footnoteReference w:id="2933"/>
      </w:r>
      <w:r>
        <w:rPr>
          <w:rFonts w:ascii="IRNazanin" w:hAnsi="IRNazanin" w:eastAsia="IRNazanin"/>
          <w:color w:val="111111"/>
          <w:sz w:val="28"/>
          <w:sz w:val="28"/>
          <w:szCs w:val="28"/>
          <w:rtl w:val="true"/>
          <w:lang w:bidi="fa-IR"/>
        </w:rPr>
        <w:t xml:space="preserve">وقوله </w:t>
      </w:r>
      <w:r>
        <w:rPr>
          <w:rStyle w:val="FootnoteAnchor"/>
          <w:rtl w:val="true"/>
        </w:rPr>
        <w:footnoteReference w:id="2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العرض الأكبر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عرضت الناقة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اصطلاح الأصوليين على ما عرّفه غير واحد منهم </w:t>
      </w:r>
      <w:r>
        <w:rPr>
          <w:rStyle w:val="FootnoteAnchor"/>
          <w:rtl w:val="true"/>
        </w:rPr>
        <w:footnoteReference w:id="2935"/>
      </w:r>
      <w:r>
        <w:rPr>
          <w:rFonts w:ascii="Amiri" w:hAnsi="Amiri" w:eastAsia="Amiri" w:cs="Amiri"/>
          <w:color w:val="111111"/>
          <w:sz w:val="28"/>
          <w:sz w:val="28"/>
          <w:szCs w:val="28"/>
          <w:rtl w:val="true"/>
          <w:lang w:bidi="ar-SA"/>
        </w:rPr>
        <w:t xml:space="preserve">عبارة عن تنافي مدلولي الدليلين فكان أحدهما في عرض الآخر ووارد عليه ، فيمنع كلّ واحد منهما عن الآخر ، فظهر وجه المناسبة بين المعنيين ،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عرضني في الطريق عارض ، أي ورد عليّ وارد و </w:t>
      </w:r>
      <w:r>
        <w:rPr>
          <w:rStyle w:val="FootnoteAnchor"/>
          <w:rtl w:val="true"/>
        </w:rPr>
        <w:footnoteReference w:id="2936"/>
      </w:r>
      <w:r>
        <w:rPr>
          <w:rFonts w:ascii="Amiri" w:hAnsi="Amiri" w:eastAsia="Amiri" w:cs="Amiri"/>
          <w:color w:val="111111"/>
          <w:sz w:val="28"/>
          <w:sz w:val="28"/>
          <w:szCs w:val="28"/>
          <w:rtl w:val="true"/>
          <w:lang w:bidi="ar-SA"/>
        </w:rPr>
        <w:t xml:space="preserve">منعني وسدّني </w:t>
      </w:r>
      <w:r>
        <w:rPr>
          <w:rStyle w:val="FootnoteAnchor"/>
          <w:rtl w:val="true"/>
        </w:rPr>
        <w:footnoteReference w:id="2937"/>
      </w:r>
      <w:r>
        <w:rPr>
          <w:rFonts w:ascii="Amiri" w:hAnsi="Amiri" w:eastAsia="Amiri" w:cs="Amiri"/>
          <w:color w:val="111111"/>
          <w:sz w:val="28"/>
          <w:sz w:val="28"/>
          <w:szCs w:val="28"/>
          <w:rtl w:val="true"/>
          <w:lang w:bidi="ar-SA"/>
        </w:rPr>
        <w:t xml:space="preserve">عنه ، ومنه الاعتراض ، والمراد بالمدلول أعمّ من المطابقي والتضمّني والالتزامي ، وخرج بذلك الوارد والمورود كالأدلّة الاجتهادية والأصول العملية ؛ لعدم التنافي بين المدلولين فيهما فإنّ رحى الأصول العملية تدور على عدم العلم ومن المحال اجتماعه مع العلم ، كما هو المعتبر في الدليل الوارد ، وكذا خرج المتحاكمان كما في الأدلّة </w:t>
      </w:r>
      <w:r>
        <w:rPr>
          <w:rStyle w:val="FootnoteAnchor"/>
          <w:rtl w:val="true"/>
        </w:rPr>
        <w:footnoteReference w:id="2938"/>
      </w:r>
      <w:r>
        <w:rPr>
          <w:rFonts w:ascii="Amiri" w:hAnsi="Amiri" w:eastAsia="Amiri" w:cs="Amiri"/>
          <w:color w:val="111111"/>
          <w:sz w:val="28"/>
          <w:sz w:val="28"/>
          <w:szCs w:val="28"/>
          <w:rtl w:val="true"/>
          <w:lang w:bidi="ar-SA"/>
        </w:rPr>
        <w:t xml:space="preserve">النافية للعسر والحرج بالنسبة إلى أدلّة سائر الأحكام ؛ إذ لا </w:t>
      </w:r>
    </w:p>
    <w:p>
      <w:pPr>
        <w:pStyle w:val="BookText"/>
        <w:rPr/>
      </w:pPr>
      <w:r>
        <w:rPr>
          <w:rFonts w:ascii="Amiri" w:hAnsi="Amiri" w:eastAsia="Amiri" w:cs="Amiri"/>
          <w:color w:val="111111"/>
          <w:sz w:val="28"/>
          <w:sz w:val="28"/>
          <w:szCs w:val="28"/>
          <w:rtl w:val="true"/>
          <w:lang w:bidi="ar-SA"/>
        </w:rPr>
        <w:t xml:space="preserve">تنافي بين الحاكم والمحكوم </w:t>
      </w:r>
      <w:r>
        <w:rPr>
          <w:rStyle w:val="FootnoteAnchor"/>
          <w:rtl w:val="true"/>
        </w:rPr>
        <w:footnoteReference w:id="2939"/>
      </w:r>
    </w:p>
    <w:p>
      <w:pPr>
        <w:pStyle w:val="BookText"/>
        <w:rPr/>
      </w:pPr>
      <w:r>
        <w:rPr>
          <w:rFonts w:ascii="IRNazanin" w:hAnsi="IRNazanin" w:eastAsia="IRNazanin"/>
          <w:color w:val="111111"/>
          <w:sz w:val="28"/>
          <w:sz w:val="28"/>
          <w:szCs w:val="28"/>
          <w:rtl w:val="true"/>
          <w:lang w:bidi="fa-IR"/>
        </w:rPr>
        <w:t xml:space="preserve">در حفظ معالم شريعت مى 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وتو به خرقه طريقت مى پوش</w:t>
      </w:r>
    </w:p>
    <w:p>
      <w:pPr>
        <w:pStyle w:val="BookText"/>
        <w:rPr/>
      </w:pPr>
      <w:r>
        <w:rPr>
          <w:rFonts w:ascii="Amiri" w:hAnsi="Amiri" w:eastAsia="Amiri" w:cs="Amiri"/>
          <w:color w:val="111111"/>
          <w:sz w:val="28"/>
          <w:sz w:val="28"/>
          <w:szCs w:val="28"/>
          <w:rtl w:val="true"/>
          <w:lang w:bidi="ar-SA"/>
        </w:rPr>
        <w:t xml:space="preserve">از جام محبّت ولىّ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مستانه همى مى حقيقت مى نوش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الثابت في موضوع الحاكم مناف للحكم الثابت في المحكوم لا محالة إلاّ أنّ الدليلين لا يعدّان من المتنافيين عرفا بعد ما عرفت من أنّ الحاكم بمدلوله اللفظي متوجّه </w:t>
      </w:r>
      <w:r>
        <w:rPr>
          <w:rStyle w:val="FootnoteAnchor"/>
          <w:rtl w:val="true"/>
        </w:rPr>
        <w:footnoteReference w:id="2940"/>
      </w:r>
      <w:r>
        <w:rPr>
          <w:rFonts w:ascii="Amiri" w:hAnsi="Amiri" w:eastAsia="Amiri" w:cs="Amiri"/>
          <w:color w:val="111111"/>
          <w:sz w:val="28"/>
          <w:sz w:val="28"/>
          <w:szCs w:val="28"/>
          <w:rtl w:val="true"/>
          <w:lang w:bidi="ar-SA"/>
        </w:rPr>
        <w:t xml:space="preserve">إلى بيان مدلول المحكوم كما في أدلّة كثير الشكّ ، فإنّ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عليه الشكّ فلا تعتدّ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ناظر بمدلوله لفظا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عن ذلك ورود الحاكم لغوا فيما لو قطع النظر عن المحكوم على ما سبق في محلّه </w:t>
      </w:r>
      <w:r>
        <w:rPr>
          <w:rStyle w:val="FootnoteAnchor"/>
          <w:rtl w:val="true"/>
        </w:rPr>
        <w:footnoteReference w:id="2941"/>
      </w:r>
      <w:r>
        <w:rPr>
          <w:rFonts w:ascii="Amiri" w:hAnsi="Amiri" w:eastAsia="Amiri" w:cs="Amiri"/>
          <w:color w:val="111111"/>
          <w:sz w:val="28"/>
          <w:sz w:val="28"/>
          <w:szCs w:val="28"/>
          <w:rtl w:val="true"/>
          <w:lang w:bidi="ar-SA"/>
        </w:rPr>
        <w:t xml:space="preserve">، ولذلك </w:t>
      </w:r>
      <w:r>
        <w:rPr>
          <w:rStyle w:val="FootnoteAnchor"/>
          <w:rtl w:val="true"/>
        </w:rPr>
        <w:footnoteReference w:id="2942"/>
      </w:r>
      <w:r>
        <w:rPr>
          <w:rFonts w:ascii="Amiri" w:hAnsi="Amiri" w:eastAsia="Amiri" w:cs="Amiri"/>
          <w:color w:val="111111"/>
          <w:sz w:val="28"/>
          <w:sz w:val="28"/>
          <w:szCs w:val="28"/>
          <w:rtl w:val="true"/>
          <w:lang w:bidi="ar-SA"/>
        </w:rPr>
        <w:t xml:space="preserve">لا تجد التنافي بينهما لفظا وإن كان حكم كثير الشكّ مخالفا لحكم غيره ، كما لا يخفى على من له ممارسة بصناعة الكلام ، وذلك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ولا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أنحاء التعارض الواقع في الأدلّة على ما ستطّلع على تفاصيلها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العموم والخصوص أو القرائن الصارفة في المجازات ، وملاك الفرق هو ما ذكرنا من أنّ المتحاكمين لا بدّ وأن يكون أحدهما مفسّرا للآخر ، ومن المعلوم عدم تنافي المفسّر للمفسّر ، بل يؤكّده </w:t>
      </w:r>
      <w:r>
        <w:rPr>
          <w:rStyle w:val="FootnoteAnchor"/>
          <w:rtl w:val="true"/>
        </w:rPr>
        <w:footnoteReference w:id="2943"/>
      </w:r>
      <w:r>
        <w:rPr>
          <w:rFonts w:ascii="Amiri" w:hAnsi="Amiri" w:eastAsia="Amiri" w:cs="Amiri"/>
          <w:color w:val="111111"/>
          <w:sz w:val="28"/>
          <w:sz w:val="28"/>
          <w:szCs w:val="28"/>
          <w:rtl w:val="true"/>
          <w:lang w:bidi="ar-SA"/>
        </w:rPr>
        <w:t xml:space="preserve">حقيقة وإن كانا متخالفي الحكمين فتدبّر ، وخرج الأدلّة القطعية ؛ لأنّ مناط اعتبار الأدلّة </w:t>
      </w:r>
      <w:r>
        <w:rPr>
          <w:rStyle w:val="FootnoteAnchor"/>
          <w:rtl w:val="true"/>
        </w:rPr>
        <w:footnoteReference w:id="2944"/>
      </w:r>
      <w:r>
        <w:rPr>
          <w:rFonts w:ascii="Amiri" w:hAnsi="Amiri" w:eastAsia="Amiri" w:cs="Amiri"/>
          <w:color w:val="111111"/>
          <w:sz w:val="28"/>
          <w:sz w:val="28"/>
          <w:szCs w:val="28"/>
          <w:rtl w:val="true"/>
          <w:lang w:bidi="ar-SA"/>
        </w:rPr>
        <w:t xml:space="preserve">القطعية ليس إلاّ على نفس الصفة النفسانية وهي الحالة الإدراكية الجازمة ، ومن المعلوم امتناع اجتماع تلك الحالة على طرفي الخلاف كما هو كذلك بالنسبة إلى صفة الظنّ أيضا فإنّ رجحان طرفي النقيض غير </w:t>
      </w:r>
    </w:p>
    <w:p>
      <w:pPr>
        <w:pStyle w:val="BookText"/>
        <w:rPr/>
      </w:pP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يظهر أنّ ما أورده القوم من العلاّمة في التهذيب والمبادئ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6"/>
      </w:r>
      <w:r>
        <w:rPr>
          <w:rFonts w:ascii="Amiri" w:hAnsi="Amiri" w:eastAsia="Amiri" w:cs="Amiri"/>
          <w:color w:val="111111"/>
          <w:sz w:val="28"/>
          <w:sz w:val="28"/>
          <w:szCs w:val="28"/>
          <w:rtl w:val="true"/>
          <w:lang w:bidi="ar-SA"/>
        </w:rPr>
        <w:t>وغيره من اختصاص التعارض بالأدلّة الظنّية ولا يعقل في الأدلّة القطعية في محلّه ، فإنّ مرادهم من الأدلّة الظنّية ما ليس ملاك الدليلية فيها على نفس صفة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يورد عليهم </w:t>
      </w:r>
      <w:r>
        <w:rPr>
          <w:rStyle w:val="FootnoteAnchor"/>
          <w:rtl w:val="true"/>
        </w:rPr>
        <w:footnoteReference w:id="2947"/>
      </w:r>
      <w:r>
        <w:rPr>
          <w:rFonts w:ascii="Amiri" w:hAnsi="Amiri" w:eastAsia="Amiri" w:cs="Amiri"/>
          <w:color w:val="111111"/>
          <w:sz w:val="28"/>
          <w:sz w:val="28"/>
          <w:szCs w:val="28"/>
          <w:rtl w:val="true"/>
          <w:lang w:bidi="ar-SA"/>
        </w:rPr>
        <w:t xml:space="preserve">بأنّهم إن أرادوا القطع بالصدور فهو ممكن في كلّ الأقسام أو بالمضمون نوعا بحيث لو لا أحد المتعارضين لأفاد الآخر القطع ، أو الظنّ فكذلك ، أو فعلا ، فهو محال في الكلّ ، وإن أرادوا في القطعيين والمختلفين الفعلي ، وفي الظنّيين النوعي ، فهو صحيح ولكنّه تفكيك </w:t>
      </w:r>
      <w:r>
        <w:rPr>
          <w:rStyle w:val="FootnoteAnchor"/>
          <w:rtl w:val="true"/>
        </w:rPr>
        <w:footnoteReference w:id="294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تقدّم يظهر لك الوجه في فساد هذا التوهّم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نختار الشقّ الأخير ولا ضير في التفكيك المذكور بوجه ؛ لأنّ دليلية </w:t>
      </w:r>
      <w:r>
        <w:rPr>
          <w:rStyle w:val="FootnoteAnchor"/>
          <w:rtl w:val="true"/>
        </w:rPr>
        <w:footnoteReference w:id="2949"/>
      </w:r>
      <w:r>
        <w:rPr>
          <w:rFonts w:ascii="Amiri" w:hAnsi="Amiri" w:eastAsia="Amiri" w:cs="Amiri"/>
          <w:color w:val="111111"/>
          <w:sz w:val="28"/>
          <w:sz w:val="28"/>
          <w:szCs w:val="28"/>
          <w:rtl w:val="true"/>
          <w:lang w:bidi="ar-SA"/>
        </w:rPr>
        <w:t xml:space="preserve">القطعي لا يعقل من غير أن يكون مفيدا للقطع الفعلي ، فإن أفاد القطع فهو دليل وإلاّ فليس دليلا ، فإنّ ذلك لا يناط بجعل جاعل فيه ، بل من حيث إنّه مرآة عن الواقع وكاشف عنه ، وهذه </w:t>
      </w:r>
      <w:r>
        <w:rPr>
          <w:rStyle w:val="FootnoteAnchor"/>
          <w:rtl w:val="true"/>
        </w:rPr>
        <w:footnoteReference w:id="2950"/>
      </w:r>
      <w:r>
        <w:rPr>
          <w:rFonts w:ascii="Amiri" w:hAnsi="Amiri" w:eastAsia="Amiri" w:cs="Amiri"/>
          <w:color w:val="111111"/>
          <w:sz w:val="28"/>
          <w:sz w:val="28"/>
          <w:szCs w:val="28"/>
          <w:rtl w:val="true"/>
          <w:lang w:bidi="ar-SA"/>
        </w:rPr>
        <w:t xml:space="preserve">الحيثية عند انتفاء الصفة منتفية ، بخلاف الأمارة الظنّية فإنّ دليليتها منوطة بجعل الجاعل ، فربّما يجعلها دليلا وحجّة عند وجود الوصف ، وربّما يجعلها حجّة عند عدمه أيضا نظرا إلى وجود المصلحة التي اقتضت ذلك ، فالدليل القطعي بعد انتفاء القطع لو فرض جعله حجّة يكون من الأدلّة الظنّية فيما لو كان مفيدا له ، أو التعبّدية عند عدمه ، وإلاّ فهو باطل أصلا كما لا يخفى ، فالتفكيك إنّما جاء من نفس الدليل القطعي والظنّي ؛ </w:t>
      </w:r>
    </w:p>
    <w:p>
      <w:pPr>
        <w:pStyle w:val="BookText"/>
        <w:rPr/>
      </w:pPr>
      <w:r>
        <w:rPr>
          <w:rFonts w:ascii="Amiri" w:hAnsi="Amiri" w:eastAsia="Amiri" w:cs="Amiri"/>
          <w:color w:val="111111"/>
          <w:sz w:val="28"/>
          <w:sz w:val="28"/>
          <w:szCs w:val="28"/>
          <w:rtl w:val="true"/>
          <w:lang w:bidi="ar-SA"/>
        </w:rPr>
        <w:t xml:space="preserve">لإمكان </w:t>
      </w:r>
      <w:r>
        <w:rPr>
          <w:rStyle w:val="FootnoteAnchor"/>
          <w:rtl w:val="true"/>
        </w:rPr>
        <w:footnoteReference w:id="2951"/>
      </w:r>
      <w:r>
        <w:rPr>
          <w:rFonts w:ascii="Amiri" w:hAnsi="Amiri" w:eastAsia="Amiri" w:cs="Amiri"/>
          <w:color w:val="111111"/>
          <w:sz w:val="28"/>
          <w:sz w:val="28"/>
          <w:szCs w:val="28"/>
          <w:rtl w:val="true"/>
          <w:lang w:bidi="ar-SA"/>
        </w:rPr>
        <w:t>اتّصاف الثاني بالدليلية عند انتفاء الوصف ، وعدمه في الأوّل ، فإنّ الظنّ النوعي معقول ، والقطع النوعي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تعارض الإجماعين مع أنّ المعتبر في دليليته هو القطع ، فلا ينافي </w:t>
      </w:r>
      <w:r>
        <w:rPr>
          <w:rStyle w:val="FootnoteAnchor"/>
          <w:rtl w:val="true"/>
        </w:rPr>
        <w:footnoteReference w:id="2952"/>
      </w:r>
      <w:r>
        <w:rPr>
          <w:rFonts w:ascii="Amiri" w:hAnsi="Amiri" w:eastAsia="Amiri" w:cs="Amiri"/>
          <w:color w:val="111111"/>
          <w:sz w:val="28"/>
          <w:sz w:val="28"/>
          <w:szCs w:val="28"/>
          <w:rtl w:val="true"/>
          <w:lang w:bidi="ar-SA"/>
        </w:rPr>
        <w:t xml:space="preserve">ما ذكرنا من امتناع التعارض بين القطعيين </w:t>
      </w:r>
      <w:r>
        <w:rPr>
          <w:rStyle w:val="FootnoteAnchor"/>
          <w:rtl w:val="true"/>
        </w:rPr>
        <w:footnoteReference w:id="2953"/>
      </w:r>
      <w:r>
        <w:rPr>
          <w:rFonts w:ascii="Amiri" w:hAnsi="Amiri" w:eastAsia="Amiri" w:cs="Amiri"/>
          <w:color w:val="111111"/>
          <w:sz w:val="28"/>
          <w:sz w:val="28"/>
          <w:szCs w:val="28"/>
          <w:rtl w:val="true"/>
          <w:lang w:bidi="ar-SA"/>
        </w:rPr>
        <w:t xml:space="preserve">؛ إذ غاية ما هناك هو القطع بصدور الحكم المجمع عليه عن الإمام ، وأمّا القطع بكونه هو الحكم النفس الأمري الواقعي المطابق للمصلحة في نفس الفعل مع قطع النظر عمّا يقتضيه وجوه الفعل كوقوعه </w:t>
      </w:r>
      <w:r>
        <w:rPr>
          <w:rStyle w:val="FootnoteAnchor"/>
          <w:rtl w:val="true"/>
        </w:rPr>
        <w:footnoteReference w:id="2954"/>
      </w:r>
      <w:r>
        <w:rPr>
          <w:rFonts w:ascii="Amiri" w:hAnsi="Amiri" w:eastAsia="Amiri" w:cs="Amiri"/>
          <w:color w:val="111111"/>
          <w:sz w:val="28"/>
          <w:sz w:val="28"/>
          <w:szCs w:val="28"/>
          <w:rtl w:val="true"/>
          <w:lang w:bidi="ar-SA"/>
        </w:rPr>
        <w:t xml:space="preserve">في مقام </w:t>
      </w:r>
      <w:r>
        <w:rPr>
          <w:rStyle w:val="FootnoteAnchor"/>
          <w:rtl w:val="true"/>
        </w:rPr>
        <w:footnoteReference w:id="2955"/>
      </w:r>
      <w:r>
        <w:rPr>
          <w:rFonts w:ascii="Amiri" w:hAnsi="Amiri" w:eastAsia="Amiri" w:cs="Amiri"/>
          <w:color w:val="111111"/>
          <w:sz w:val="28"/>
          <w:sz w:val="28"/>
          <w:szCs w:val="28"/>
          <w:rtl w:val="true"/>
          <w:lang w:bidi="ar-SA"/>
        </w:rPr>
        <w:t xml:space="preserve">التقيّة ونحوه ، فهو محال ، فإنّ جهات التعارض متعدّدة </w:t>
      </w:r>
      <w:r>
        <w:rPr>
          <w:rStyle w:val="FootnoteAnchor"/>
          <w:rtl w:val="true"/>
        </w:rPr>
        <w:footnoteReference w:id="2956"/>
      </w:r>
      <w:r>
        <w:rPr>
          <w:rFonts w:ascii="Amiri" w:hAnsi="Amiri" w:eastAsia="Amiri" w:cs="Amiri"/>
          <w:color w:val="111111"/>
          <w:sz w:val="28"/>
          <w:sz w:val="28"/>
          <w:szCs w:val="28"/>
          <w:rtl w:val="true"/>
          <w:lang w:bidi="ar-SA"/>
        </w:rPr>
        <w:t xml:space="preserve">، فربّما كان الصدور قطعيا مع الشكّ في جهة صدوره ، وبذلك يعلم التعارض في الأخبار على القول بحجّيتها من باب الظنّ ، فإنّ الظنّ بالصدور في الخبرين لا ينافي تعارضهما من جهة أخرى لما </w:t>
      </w:r>
      <w:r>
        <w:rPr>
          <w:rStyle w:val="FootnoteAnchor"/>
          <w:rtl w:val="true"/>
        </w:rPr>
        <w:footnoteReference w:id="2957"/>
      </w:r>
      <w:r>
        <w:rPr>
          <w:rFonts w:ascii="IRNazanin" w:hAnsi="IRNazanin" w:eastAsia="IRNazanin"/>
          <w:color w:val="111111"/>
          <w:sz w:val="28"/>
          <w:sz w:val="28"/>
          <w:szCs w:val="28"/>
          <w:rtl w:val="true"/>
          <w:lang w:bidi="fa-IR"/>
        </w:rPr>
        <w:t>ستعرف من تعدّد جهات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ومحصّل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بين القطعيين غير معقول كالظنيين الفعليين ، وأمّا التعارض بين المختلفين فلا إشكال في امتناعه فيما إذا كان أحدهما قطعيا مطلقا ؛ لامتناع حصول الظنّ على خلاف القطع ولعدم اعتبار دليل كائنا ما كان إذا كان خلافه مقطوعا به كما هو المفروض ، وأمّا إذا </w:t>
      </w:r>
      <w:r>
        <w:rPr>
          <w:rStyle w:val="FootnoteAnchor"/>
          <w:rtl w:val="true"/>
        </w:rPr>
        <w:footnoteReference w:id="2958"/>
      </w:r>
      <w:r>
        <w:rPr>
          <w:rFonts w:ascii="Amiri" w:hAnsi="Amiri" w:eastAsia="Amiri" w:cs="Amiri"/>
          <w:color w:val="111111"/>
          <w:sz w:val="28"/>
          <w:sz w:val="28"/>
          <w:szCs w:val="28"/>
          <w:rtl w:val="true"/>
          <w:lang w:bidi="ar-SA"/>
        </w:rPr>
        <w:t>لم يكن أحدهما قطعيا فإن كان أحدهما مفيدا للظنّ شخصا فلا يجوز التعارض فيما إذا كان الآخر اعتباره موقوفا على عدم قيام ظنّ على خلافه كما في الاستصحاب على القول به ظنّا ، ويجوز فيما إذا كان الآخر حجّة نوعية أو تعبّدية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التعارض قد يكون بين اللبّيين كالشهرتين أو أولوية وشهرة أو استقراء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وإحداهما على القول بها ، وقد يكون بين اللفظيين كالخبرين </w:t>
      </w:r>
      <w:r>
        <w:rPr>
          <w:rStyle w:val="FootnoteAnchor"/>
          <w:rtl w:val="true"/>
        </w:rPr>
        <w:footnoteReference w:id="2959"/>
      </w:r>
      <w:r>
        <w:rPr>
          <w:rFonts w:ascii="Amiri" w:hAnsi="Amiri" w:eastAsia="Amiri" w:cs="Amiri"/>
          <w:color w:val="111111"/>
          <w:sz w:val="28"/>
          <w:sz w:val="28"/>
          <w:szCs w:val="28"/>
          <w:rtl w:val="true"/>
          <w:lang w:bidi="ar-SA"/>
        </w:rPr>
        <w:t xml:space="preserve">ونحوهما ، فعلى الأوّل لا يمكن التعارض إلاّ من جهة واحدة وهي الكشف عن الحكم الواقعي ، وعلى الثاني فيقع التعارض من جهات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 وصدورا ، وجهة صدور ، فإنّ الدليل اللفظي متى لم يعلم فيه تلك الجهات الثلاث ولو علما شرعيا لا يجوز الاتّكال عليه ، فلا بدّ من إحراز وجه صدوره عن المعصوم فلعلّه صدر عنه تقيّة بعد إحراز أصل صدوره ، كما أنّه لا يجوز التعويل عليه ما لم نعلم بدلالته على ما هو المقصود في الاستدلال به ، وهذه أمور ظاهرة واضحة لا يكاد يستريب فيها أحد ولا سترة عليها ، واللّه الموفّق الهادي</w:t>
      </w:r>
      <w:r>
        <w:rPr>
          <w:rFonts w:eastAsia="Amiri" w:cs="Amiri" w:ascii="Amiri" w:hAnsi="Amiri"/>
          <w:color w:val="111111"/>
          <w:sz w:val="28"/>
          <w:szCs w:val="28"/>
          <w:rtl w:val="true"/>
          <w:lang w:bidi="ar-SA"/>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6284_171511"/>
      <w:bookmarkStart w:id="331" w:name="pg16284_171511"/>
      <w:bookmarkEnd w:id="331"/>
    </w:p>
    <w:p>
      <w:pPr>
        <w:pStyle w:val="Heading3"/>
        <w:numPr>
          <w:ilvl w:val="2"/>
          <w:numId w:val="1"/>
        </w:numPr>
        <w:rPr/>
      </w:pPr>
      <w:bookmarkStart w:id="332" w:name="pg16284_171511"/>
      <w:bookmarkStart w:id="333" w:name="__RefHeading___Toc5012230_1280447820"/>
      <w:bookmarkStart w:id="334" w:name="_Toc104"/>
      <w:bookmarkEnd w:id="332"/>
      <w:bookmarkEnd w:id="333"/>
      <w:r>
        <w:rPr>
          <w:rtl w:val="true"/>
        </w:rPr>
        <w:t xml:space="preserve">هداية </w:t>
      </w:r>
      <w:r>
        <w:rPr>
          <w:rtl w:val="true"/>
        </w:rPr>
        <w:t xml:space="preserve">[ </w:t>
      </w:r>
      <w:r>
        <w:rPr>
          <w:rtl w:val="true"/>
        </w:rPr>
        <w:t xml:space="preserve">في تعريف التعادل </w:t>
      </w:r>
      <w:r>
        <w:rPr>
          <w:rtl w:val="true"/>
        </w:rPr>
        <w:t>]</w:t>
      </w:r>
      <w:bookmarkEnd w:id="334"/>
    </w:p>
    <w:p>
      <w:pPr>
        <w:pStyle w:val="BookText"/>
        <w:rPr/>
      </w:pPr>
      <w:r>
        <w:rPr>
          <w:rFonts w:ascii="Amiri" w:hAnsi="Amiri" w:eastAsia="Amiri" w:cs="Amiri"/>
          <w:color w:val="111111"/>
          <w:sz w:val="28"/>
          <w:sz w:val="28"/>
          <w:szCs w:val="28"/>
          <w:rtl w:val="true"/>
          <w:lang w:bidi="ar-SA"/>
        </w:rPr>
        <w:t xml:space="preserve">تعادل الدليلين عبارة عن تساوي اعتقاد مدلوليهما </w:t>
      </w:r>
      <w:r>
        <w:rPr>
          <w:rStyle w:val="FootnoteAnchor"/>
          <w:rtl w:val="true"/>
        </w:rPr>
        <w:footnoteReference w:id="2960"/>
      </w:r>
      <w:r>
        <w:rPr>
          <w:rFonts w:ascii="Amiri" w:hAnsi="Amiri" w:eastAsia="Amiri" w:cs="Amiri"/>
          <w:color w:val="111111"/>
          <w:sz w:val="28"/>
          <w:sz w:val="28"/>
          <w:szCs w:val="28"/>
          <w:rtl w:val="true"/>
          <w:lang w:bidi="ar-SA"/>
        </w:rPr>
        <w:t xml:space="preserve">، وقد اختلف الآراء في إمكانه ووقوعه ، فعن أحمد والكرخي المنع ، والباقون على خلافه ، والمنقول </w:t>
      </w:r>
      <w:r>
        <w:rPr>
          <w:rStyle w:val="FootnoteAnchor"/>
          <w:rtl w:val="true"/>
        </w:rPr>
        <w:footnoteReference w:id="2961"/>
      </w:r>
      <w:r>
        <w:rPr>
          <w:rFonts w:ascii="Amiri" w:hAnsi="Amiri" w:eastAsia="Amiri" w:cs="Amiri"/>
          <w:color w:val="111111"/>
          <w:sz w:val="28"/>
          <w:sz w:val="28"/>
          <w:szCs w:val="28"/>
          <w:rtl w:val="true"/>
          <w:lang w:bidi="ar-SA"/>
        </w:rPr>
        <w:t xml:space="preserve">في دليل المنع هو أنّ بعد التعادل إمّا </w:t>
      </w:r>
      <w:r>
        <w:rPr>
          <w:rStyle w:val="FootnoteAnchor"/>
          <w:rtl w:val="true"/>
        </w:rPr>
        <w:footnoteReference w:id="2962"/>
      </w:r>
      <w:r>
        <w:rPr>
          <w:rFonts w:ascii="Amiri" w:hAnsi="Amiri" w:eastAsia="Amiri" w:cs="Amiri"/>
          <w:color w:val="111111"/>
          <w:sz w:val="28"/>
          <w:sz w:val="28"/>
          <w:szCs w:val="28"/>
          <w:rtl w:val="true"/>
          <w:lang w:bidi="ar-SA"/>
        </w:rPr>
        <w:t xml:space="preserve">يجب الأخذ بهما وهو محال ، أو لا يجب الأخذ بهما وهو لغو في جعلهما حجّتين ، أو يجب الأخذ بأحدهما المعيّن وهو ترجيح بلا مرجّح ، أو الغير المعيّن وهو راجع إلى طرحهما لجواز التخيير دائما بينهما ، فيلزم طرح كلّ منهما ، وهو غير واضح الدلالة على الدعوى </w:t>
      </w:r>
      <w:r>
        <w:rPr>
          <w:rStyle w:val="FootnoteAnchor"/>
          <w:rtl w:val="true"/>
        </w:rPr>
        <w:footnoteReference w:id="2963"/>
      </w:r>
      <w:r>
        <w:rPr>
          <w:rFonts w:ascii="Amiri" w:hAnsi="Amiri" w:eastAsia="Amiri" w:cs="Amiri"/>
          <w:color w:val="111111"/>
          <w:sz w:val="28"/>
          <w:sz w:val="28"/>
          <w:szCs w:val="28"/>
          <w:rtl w:val="true"/>
          <w:lang w:bidi="ar-SA"/>
        </w:rPr>
        <w:t xml:space="preserve">المذكورة ؛ لإبهامها في الغاية وعدم وضوحها مع ظهور فسادها رأسا ، إذ لا يعقل في ذلك مانعا ، مضافا إلى وقوعه في الخارج كما في الرعد المتواتر </w:t>
      </w:r>
      <w:r>
        <w:rPr>
          <w:rStyle w:val="FootnoteAnchor"/>
          <w:rtl w:val="true"/>
        </w:rPr>
        <w:footnoteReference w:id="2964"/>
      </w:r>
      <w:r>
        <w:rPr>
          <w:rFonts w:ascii="Amiri" w:hAnsi="Amiri" w:eastAsia="Amiri" w:cs="Amiri"/>
          <w:color w:val="111111"/>
          <w:sz w:val="28"/>
          <w:sz w:val="28"/>
          <w:szCs w:val="28"/>
          <w:rtl w:val="true"/>
          <w:lang w:bidi="ar-SA"/>
        </w:rPr>
        <w:t xml:space="preserve">في الصيف وأمثاله ممّا لا نهاية له ، فإنّ موارد التوقّف ممّا لا يحصى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صرف عنان الكلام إلى مسألة نافعة في المقام وهي أنّه بعد ما تعارض الدليلان </w:t>
      </w:r>
      <w:r>
        <w:rPr>
          <w:rStyle w:val="FootnoteAnchor"/>
          <w:rtl w:val="true"/>
        </w:rPr>
        <w:footnoteReference w:id="2966"/>
      </w:r>
      <w:r>
        <w:rPr>
          <w:rFonts w:ascii="Amiri" w:hAnsi="Amiri" w:eastAsia="Amiri" w:cs="Amiri"/>
          <w:color w:val="111111"/>
          <w:sz w:val="28"/>
          <w:sz w:val="28"/>
          <w:szCs w:val="28"/>
          <w:rtl w:val="true"/>
          <w:lang w:bidi="ar-SA"/>
        </w:rPr>
        <w:t xml:space="preserve">فهل القاعدة هي </w:t>
      </w:r>
      <w:r>
        <w:rPr>
          <w:rStyle w:val="FootnoteAnchor"/>
          <w:rtl w:val="true"/>
        </w:rPr>
        <w:footnoteReference w:id="2967"/>
      </w:r>
      <w:r>
        <w:rPr>
          <w:rFonts w:ascii="Amiri" w:hAnsi="Amiri" w:eastAsia="Amiri" w:cs="Amiri"/>
          <w:color w:val="111111"/>
          <w:sz w:val="28"/>
          <w:sz w:val="28"/>
          <w:szCs w:val="28"/>
          <w:rtl w:val="true"/>
          <w:lang w:bidi="ar-SA"/>
        </w:rPr>
        <w:t>إعمالهما في الجملة ، أو طرحهما وتساقطهما ، وقبل الخوض في الاستدلال ينبغي بيان المراد من الإعمال والتساقط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Style w:val="FootnoteAnchor"/>
          <w:rtl w:val="true"/>
        </w:rPr>
        <w:footnoteReference w:id="2968"/>
      </w:r>
      <w:r>
        <w:rPr>
          <w:rFonts w:ascii="Amiri" w:hAnsi="Amiri" w:eastAsia="Amiri" w:cs="Amiri"/>
          <w:color w:val="111111"/>
          <w:sz w:val="28"/>
          <w:sz w:val="28"/>
          <w:szCs w:val="28"/>
          <w:rtl w:val="true"/>
          <w:lang w:bidi="ar-SA"/>
        </w:rPr>
        <w:t xml:space="preserve">بالإعمال هو الأخذ بأحدهما المعيّن فيما عيّن العمل به بعد الجمع أو الترجيح من أحد وجوه الجمع و </w:t>
      </w:r>
      <w:r>
        <w:rPr>
          <w:rStyle w:val="FootnoteAnchor"/>
          <w:rtl w:val="true"/>
        </w:rPr>
        <w:footnoteReference w:id="2969"/>
      </w:r>
      <w:r>
        <w:rPr>
          <w:rFonts w:ascii="Amiri" w:hAnsi="Amiri" w:eastAsia="Amiri" w:cs="Amiri"/>
          <w:color w:val="111111"/>
          <w:sz w:val="28"/>
          <w:sz w:val="28"/>
          <w:szCs w:val="28"/>
          <w:rtl w:val="true"/>
          <w:lang w:bidi="ar-SA"/>
        </w:rPr>
        <w:t>الترجيح كما ستعرف ، أو بأحدهما الغير المعيّن على أن يكون الخيرة في التعيين بيد المكلّف بواسطة المرجّحات المتقدّمة في نفسه عند العمل والتعارض</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بالتساقط يحتمل أحد الأمرين </w:t>
      </w:r>
      <w:r>
        <w:rPr>
          <w:rStyle w:val="FootnoteAnchor"/>
          <w:rtl w:val="true"/>
        </w:rPr>
        <w:footnoteReference w:id="2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تساقطهما انتفاءهما رأسا وعدم الأخذ بهما أصلا والرجوع إلى </w:t>
      </w:r>
      <w:r>
        <w:rPr>
          <w:rStyle w:val="FootnoteAnchor"/>
          <w:rtl w:val="true"/>
        </w:rPr>
        <w:footnoteReference w:id="2971"/>
      </w:r>
      <w:r>
        <w:rPr>
          <w:rFonts w:ascii="Amiri" w:hAnsi="Amiri" w:eastAsia="Amiri" w:cs="Amiri"/>
          <w:color w:val="111111"/>
          <w:sz w:val="28"/>
          <w:sz w:val="28"/>
          <w:szCs w:val="28"/>
          <w:rtl w:val="true"/>
          <w:lang w:bidi="ar-SA"/>
        </w:rPr>
        <w:t>الأصول التي ينبغي الأخذ بها على حسب اختلاف المقامات موافقا لأحدهما كما إذا كان أحدهما مبيحا ، أو مخالفا لهما كما إذا كانا تكليفيين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تساقطهما في مورد التعارض والأخذ بهما في نفي الاحتمال </w:t>
      </w:r>
      <w:r>
        <w:rPr>
          <w:rStyle w:val="FootnoteAnchor"/>
          <w:rtl w:val="true"/>
        </w:rPr>
        <w:footnoteReference w:id="2972"/>
      </w:r>
      <w:r>
        <w:rPr>
          <w:rFonts w:ascii="Amiri" w:hAnsi="Amiri" w:eastAsia="Amiri" w:cs="Amiri"/>
          <w:color w:val="111111"/>
          <w:sz w:val="28"/>
          <w:sz w:val="28"/>
          <w:szCs w:val="28"/>
          <w:rtl w:val="true"/>
          <w:lang w:bidi="ar-SA"/>
        </w:rPr>
        <w:t xml:space="preserve">الثالث ، فالمرجع هو الأصل الموافق لأحدهما لو فرض وإلاّ فالتخيير بين الاحتمالين عقلا ، وعلى القول بالتساقط لا بدّ من ملاحظة المتعارضين ، فربّما يتعيّن الوجه الثاني ، كما إذا كان المتعارضان أمارتين من الأمارات الظنّية كالأولوية والشهرة مثلا ، فإنّه يمكن حصول الظنّ منهما على نفي الثالث والمفروض حجّية مطلق الظنّ ، فيكون الظنّ الحاصل من الأمارتين حجّة ، وأمّا إذا كان المتعارضان خبرين فالظاهر أنّ المتعيّن </w:t>
      </w:r>
      <w:r>
        <w:rPr>
          <w:rStyle w:val="FootnoteAnchor"/>
          <w:rtl w:val="true"/>
        </w:rPr>
        <w:footnoteReference w:id="2973"/>
      </w:r>
      <w:r>
        <w:rPr>
          <w:rFonts w:ascii="Amiri" w:hAnsi="Amiri" w:eastAsia="Amiri" w:cs="Amiri"/>
          <w:color w:val="111111"/>
          <w:sz w:val="28"/>
          <w:sz w:val="28"/>
          <w:szCs w:val="28"/>
          <w:rtl w:val="true"/>
          <w:lang w:bidi="ar-SA"/>
        </w:rPr>
        <w:t xml:space="preserve">هو الوجه الأوّل ؛ لأنّ الخبرين المتعارضين في الأغلب لا يستفاد منهما نفي الثالث ، لأنّ المخبر ليس إلاّ في صدد الإخبار عمّا هو المدلول المطابقي ، وأمّا الالتزامي فقلّ </w:t>
      </w:r>
      <w:r>
        <w:rPr>
          <w:rStyle w:val="FootnoteAnchor"/>
          <w:rtl w:val="true"/>
        </w:rPr>
        <w:footnoteReference w:id="2974"/>
      </w:r>
      <w:r>
        <w:rPr>
          <w:rFonts w:ascii="Amiri" w:hAnsi="Amiri" w:eastAsia="Amiri" w:cs="Amiri"/>
          <w:color w:val="111111"/>
          <w:sz w:val="28"/>
          <w:sz w:val="28"/>
          <w:szCs w:val="28"/>
          <w:rtl w:val="true"/>
          <w:lang w:bidi="ar-SA"/>
        </w:rPr>
        <w:t>ما يوجد أن يكون المخبر في صدد الإخبار به على أن يكون خبره منحلاّ إلى خبرين ، كما في المتواترات المعنوية التضمّنية أو الالتزامية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والفرق </w:t>
      </w:r>
      <w:r>
        <w:rPr>
          <w:rStyle w:val="FootnoteAnchor"/>
          <w:rtl w:val="true"/>
        </w:rPr>
        <w:footnoteReference w:id="2975"/>
      </w:r>
      <w:r>
        <w:rPr>
          <w:rFonts w:ascii="Amiri" w:hAnsi="Amiri" w:eastAsia="Amiri" w:cs="Amiri"/>
          <w:color w:val="111111"/>
          <w:sz w:val="28"/>
          <w:sz w:val="28"/>
          <w:szCs w:val="28"/>
          <w:rtl w:val="true"/>
          <w:lang w:bidi="ar-SA"/>
        </w:rPr>
        <w:t xml:space="preserve">بين احتمالي التساقط والتخيير ظاهر ، أمّا على الأوّل فلا حاجة إلى توضيحه لكن ذلك يتمّ فيما إذا لم نقل بترجيح أحد المتعارضين بالأصل ، وإلاّ فالمقدّم منهما هو الموافق للأصل ، وأمّا على الثاني فلأنّ المراد بالتخيير هو الأخذ بأحد الدليلين شرعا لا الأخذ بمجرّد الاحتمالين عقلا ، ومن هنا يظهر سقوط ما تمسّك به البعض في إثبات التخيير بأنّ نفي الثالث المستفاد من المتعارضين دليل على التخيير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المتعارضين لا دلالة فيهما على نفي الثالث على الإطلاق ، 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التخيير المتنازع فيه هو التخيير الشرعي بين المتعارضين دون التخيير العقلي وقد عرفت أنّ ذلك لا دلالة فيه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Style w:val="FootnoteAnchor"/>
          <w:rtl w:val="true"/>
        </w:rPr>
        <w:footnoteReference w:id="2976"/>
      </w:r>
      <w:r>
        <w:rPr>
          <w:rFonts w:ascii="Amiri" w:hAnsi="Amiri" w:eastAsia="Amiri" w:cs="Amiri"/>
          <w:color w:val="111111"/>
          <w:sz w:val="28"/>
          <w:sz w:val="28"/>
          <w:szCs w:val="28"/>
          <w:rtl w:val="true"/>
          <w:lang w:bidi="ar-SA"/>
        </w:rPr>
        <w:t xml:space="preserve">بأنّ الأصل في المتعارضين هو التساقط دون الإعمال نظرا إلى أنّ الدليل الدالّ على اعتبار المتعارضين لا يخلو إمّا أن يكون من الأدلّة اللبّية كالإجماع ودليل العقل ، أو من الأدلّة اللفظية ، لا إشكال في التساقط على الأوّل ؛ إذ القدر المعلوم من حجّيتهما هو حال خلوّهما عن المعارض ، وأمّا عند التعارض فيبقى كلّ واحد منهما خاليا عن دليل الاعتبار ، وأمّا على الثاني فإمّا أن يقال بعدم شموله للمتعارضين ، أو يقال بشموله لهما ، أو لأحدهما ، لا سبيل إلى الأخيرين ، فتعيّن </w:t>
      </w:r>
      <w:r>
        <w:rPr>
          <w:rStyle w:val="FootnoteAnchor"/>
          <w:rtl w:val="true"/>
        </w:rPr>
        <w:footnoteReference w:id="2977"/>
      </w:r>
      <w:r>
        <w:rPr>
          <w:rFonts w:ascii="IRNazanin" w:hAnsi="IRNazanin" w:eastAsia="IRNazanin"/>
          <w:color w:val="111111"/>
          <w:sz w:val="28"/>
          <w:sz w:val="28"/>
          <w:szCs w:val="28"/>
          <w:rtl w:val="true"/>
          <w:lang w:bidi="fa-IR"/>
        </w:rPr>
        <w:t>الأوّل وهو المطلوب</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القول بعدم انصراف المطلق إلى المتعارضين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شموله لهما على وجه الوجوب العيني محال عقلا ، وعلى وجه الوجوب التخييري حال التعارض موجب لاستعمال اللفظ في أكثر من معنى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عند عدم التعارض يراد منه الوجوب العيني ، فلو استفيد منه الوجوب التخييري لزم </w:t>
      </w:r>
    </w:p>
    <w:p>
      <w:pPr>
        <w:pStyle w:val="BookText"/>
        <w:rPr/>
      </w:pPr>
      <w:r>
        <w:rPr>
          <w:rFonts w:ascii="Amiri" w:hAnsi="Amiri" w:eastAsia="Amiri" w:cs="Amiri"/>
          <w:color w:val="111111"/>
          <w:sz w:val="28"/>
          <w:sz w:val="28"/>
          <w:szCs w:val="28"/>
          <w:rtl w:val="true"/>
          <w:lang w:bidi="ar-SA"/>
        </w:rPr>
        <w:t xml:space="preserve">استعماله فيهما ، وشموله لأحدهما المعيّن ترجيح بلا مرجح ، ولأحدهما الغير المعيّن عندنا والمعيّن عند اللّه خلاف المفروض ؛ لأنّ المفروض تساويهما فيما دلّ الدليل عليه ، وأمّا مطابقة الواقع فخارجة </w:t>
      </w:r>
      <w:r>
        <w:rPr>
          <w:rStyle w:val="FootnoteAnchor"/>
          <w:rtl w:val="true"/>
        </w:rPr>
        <w:footnoteReference w:id="2978"/>
      </w:r>
      <w:r>
        <w:rPr>
          <w:rFonts w:ascii="Amiri" w:hAnsi="Amiri" w:eastAsia="Amiri" w:cs="Amiri"/>
          <w:color w:val="111111"/>
          <w:sz w:val="28"/>
          <w:sz w:val="28"/>
          <w:szCs w:val="28"/>
          <w:rtl w:val="true"/>
          <w:lang w:bidi="ar-SA"/>
        </w:rPr>
        <w:t xml:space="preserve">عن ملاك الدليلية </w:t>
      </w:r>
      <w:r>
        <w:rPr>
          <w:rStyle w:val="FootnoteAnchor"/>
          <w:rtl w:val="true"/>
        </w:rPr>
        <w:footnoteReference w:id="2979"/>
      </w:r>
      <w:r>
        <w:rPr>
          <w:rFonts w:ascii="Amiri" w:hAnsi="Amiri" w:eastAsia="Amiri" w:cs="Amiri"/>
          <w:color w:val="111111"/>
          <w:sz w:val="28"/>
          <w:sz w:val="28"/>
          <w:szCs w:val="28"/>
          <w:rtl w:val="true"/>
          <w:lang w:bidi="ar-SA"/>
        </w:rPr>
        <w:t>، على أنّ ذلك يوجب الطرح ؛ لدوران الأمر بين الحجّة واللاحجّة المحرّم الأخذ بها لدخولها فيما وراء العلم ، ولأحدهما الغير المعيّن مطلقا أيضا باطل ؛ لأنّه ليس من أفراد العامّ والمطلق فإنّه أمر انتزاعي صرف ليس مشمولا للدليل ، فلو فرض القول بالتخيير لا بدّ وأن يكون مستندا إلى أخبار التخيير الواردة في علاج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الاستدلال به للتساقط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الإنصاف أنّ الأصل هو الإعمال </w:t>
      </w:r>
      <w:r>
        <w:rPr>
          <w:rStyle w:val="FootnoteAnchor"/>
          <w:rtl w:val="true"/>
        </w:rPr>
        <w:footnoteReference w:id="2981"/>
      </w:r>
      <w:r>
        <w:rPr>
          <w:rFonts w:ascii="Amiri" w:hAnsi="Amiri" w:eastAsia="Amiri" w:cs="Amiri"/>
          <w:color w:val="111111"/>
          <w:sz w:val="28"/>
          <w:sz w:val="28"/>
          <w:szCs w:val="28"/>
          <w:rtl w:val="true"/>
          <w:lang w:bidi="ar-SA"/>
        </w:rPr>
        <w:t xml:space="preserve">دون التساقط ؛ لعموم الأدلّة الدالّة على اعتبار هذه الأدلّة وإطلاقهما على وجه شامل للمتعارض </w:t>
      </w:r>
      <w:r>
        <w:rPr>
          <w:rStyle w:val="FootnoteAnchor"/>
          <w:rtl w:val="true"/>
        </w:rPr>
        <w:footnoteReference w:id="2982"/>
      </w:r>
      <w:r>
        <w:rPr>
          <w:rFonts w:ascii="Amiri" w:hAnsi="Amiri" w:eastAsia="Amiri" w:cs="Amiri"/>
          <w:color w:val="111111"/>
          <w:sz w:val="28"/>
          <w:sz w:val="28"/>
          <w:szCs w:val="28"/>
          <w:rtl w:val="true"/>
          <w:lang w:bidi="ar-SA"/>
        </w:rPr>
        <w:t>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عرفت من دليل المنع فواه جدّا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مجرّد كون الدليل لبّيا لا يقضي بعدم شموله للمتعارض ؛ لاحتمال قيام الإجماع على وجه يشمل المتعارض </w:t>
      </w:r>
      <w:r>
        <w:rPr>
          <w:rStyle w:val="FootnoteAnchor"/>
          <w:rtl w:val="true"/>
        </w:rPr>
        <w:footnoteReference w:id="2983"/>
      </w:r>
      <w:r>
        <w:rPr>
          <w:rFonts w:ascii="Amiri" w:hAnsi="Amiri" w:eastAsia="Amiri" w:cs="Amiri"/>
          <w:color w:val="111111"/>
          <w:sz w:val="28"/>
          <w:sz w:val="28"/>
          <w:szCs w:val="28"/>
          <w:rtl w:val="true"/>
          <w:lang w:bidi="ar-SA"/>
        </w:rPr>
        <w:t xml:space="preserve">أيضا كما يحتمل دلالة العقل على اعتبار الدليل حال التعارض أيضا وذلك كما في الأخبار ، فإنّ التحقيق </w:t>
      </w:r>
      <w:r>
        <w:rPr>
          <w:rStyle w:val="FootnoteAnchor"/>
          <w:rtl w:val="true"/>
        </w:rPr>
        <w:footnoteReference w:id="2984"/>
      </w:r>
      <w:r>
        <w:rPr>
          <w:rFonts w:ascii="Amiri" w:hAnsi="Amiri" w:eastAsia="Amiri" w:cs="Amiri"/>
          <w:color w:val="111111"/>
          <w:sz w:val="28"/>
          <w:sz w:val="28"/>
          <w:szCs w:val="28"/>
          <w:rtl w:val="true"/>
          <w:lang w:bidi="ar-SA"/>
        </w:rPr>
        <w:t xml:space="preserve">أنّ الإجماع على حجّية الأخبار الموثوق بها منعقد حال التعارض ، كما استكشفنا ذلك في محلّه من الأمارات المذكورة هناك ، وكذا دليل الانسداد على تقدير تماميته قضيّته عامّة </w:t>
      </w:r>
      <w:r>
        <w:rPr>
          <w:rStyle w:val="FootnoteAnchor"/>
          <w:rtl w:val="true"/>
        </w:rPr>
        <w:footnoteReference w:id="2985"/>
      </w:r>
      <w:r>
        <w:rPr>
          <w:rFonts w:ascii="Amiri" w:hAnsi="Amiri" w:eastAsia="Amiri" w:cs="Amiri"/>
          <w:color w:val="111111"/>
          <w:sz w:val="28"/>
          <w:sz w:val="28"/>
          <w:szCs w:val="28"/>
          <w:rtl w:val="true"/>
          <w:lang w:bidi="ar-SA"/>
        </w:rPr>
        <w:t>للمتعارض وغيره ، سيّما بناء على ما هو التحقيق فيه من الحكومة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فسخافة هذه المناقشة وأمثالها في أمثال المقام ظاهرة ؛ إذ ليس كلّ ما كان لبّيا غير معلوم التناول حتّى يؤخذ بالقدر المتيقّن والمعلوم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فنختار أنّ الدليل الدالّ على الحجّية شامل للمتعارضين معا ، ولا محذور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محال </w:t>
      </w:r>
      <w:r>
        <w:rPr>
          <w:rStyle w:val="FootnoteAnchor"/>
          <w:rtl w:val="true"/>
        </w:rPr>
        <w:footnoteReference w:id="2986"/>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w:t>
      </w:r>
      <w:r>
        <w:rPr>
          <w:rStyle w:val="FootnoteAnchor"/>
          <w:rtl w:val="true"/>
        </w:rPr>
        <w:footnoteReference w:id="2987"/>
      </w:r>
      <w:r>
        <w:rPr>
          <w:rFonts w:ascii="Amiri" w:hAnsi="Amiri" w:eastAsia="Amiri" w:cs="Amiri"/>
          <w:color w:val="111111"/>
          <w:sz w:val="28"/>
          <w:sz w:val="28"/>
          <w:szCs w:val="28"/>
          <w:rtl w:val="true"/>
          <w:lang w:bidi="ar-SA"/>
        </w:rPr>
        <w:t xml:space="preserve">ولكنّه غير مجد ؛ إذ التكليف بالمحال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من حيث إنّ المكلّف به في نفسه محال كالأمر بالمحالات العقلية أو العاديّة كالطيران إلى السماء </w:t>
      </w:r>
      <w:r>
        <w:rPr>
          <w:rStyle w:val="FootnoteAnchor"/>
          <w:rtl w:val="true"/>
        </w:rPr>
        <w:footnoteReference w:id="2988"/>
      </w:r>
      <w:r>
        <w:rPr>
          <w:rFonts w:ascii="Amiri" w:hAnsi="Amiri" w:eastAsia="Amiri" w:cs="Amiri"/>
          <w:color w:val="111111"/>
          <w:sz w:val="28"/>
          <w:sz w:val="28"/>
          <w:szCs w:val="28"/>
          <w:rtl w:val="true"/>
          <w:lang w:bidi="ar-SA"/>
        </w:rPr>
        <w:t xml:space="preserve">ونحو ذلك </w:t>
      </w:r>
      <w:r>
        <w:rPr>
          <w:rStyle w:val="FootnoteAnchor"/>
          <w:rtl w:val="true"/>
        </w:rPr>
        <w:footnoteReference w:id="2989"/>
      </w:r>
      <w:r>
        <w:rPr>
          <w:rFonts w:ascii="Amiri" w:hAnsi="Amiri" w:eastAsia="Amiri" w:cs="Amiri"/>
          <w:color w:val="111111"/>
          <w:sz w:val="28"/>
          <w:sz w:val="28"/>
          <w:szCs w:val="28"/>
          <w:rtl w:val="true"/>
          <w:lang w:bidi="ar-SA"/>
        </w:rPr>
        <w:t xml:space="preserve">،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من حيث إنّ اجتماع الأمرين محال ، فيتفرّع محالية المكلّف به على التكليف ، بخلاف الأوّل فإنّ الأمر يتوجّه إلى مطلوب ممتنع الوجود فيه ، وفي الثاني يستحيل اجتماع المطلوبين من حيث إنّهما مطلوبين ، فالامتناع إنّما نشأ من الأمرين ، ولا شكّ أنّ ما نحن فيه من هذا القبيل ؛ لأنّ استحالة مطلوبية العمل بأحد الخبرين ليس بواسطة عدم إمكان الامتثال به في نفسه كما في التكليف بالطيران إلى السماء ونحوه ، وإنّما جاءت بواسطة وجود مقتضي </w:t>
      </w:r>
      <w:r>
        <w:rPr>
          <w:rStyle w:val="FootnoteAnchor"/>
          <w:rtl w:val="true"/>
        </w:rPr>
        <w:footnoteReference w:id="2990"/>
      </w:r>
      <w:r>
        <w:rPr>
          <w:rFonts w:ascii="Amiri" w:hAnsi="Amiri" w:eastAsia="Amiri" w:cs="Amiri"/>
          <w:color w:val="111111"/>
          <w:sz w:val="28"/>
          <w:sz w:val="28"/>
          <w:szCs w:val="28"/>
          <w:rtl w:val="true"/>
          <w:lang w:bidi="ar-SA"/>
        </w:rPr>
        <w:t xml:space="preserve">العمل ووجوب الأخذ به في الثاني أيضا ؛ ضرورة إمكان الامتثال لكلّ واحد من الخبرين لو لا الآخر ، ولا ريب أيضا أنّ كلّ واحد من الأدلّة المطلقة أو العامّة الدالّة بإطلاقها أو عمومها </w:t>
      </w:r>
      <w:r>
        <w:rPr>
          <w:rStyle w:val="FootnoteAnchor"/>
          <w:rtl w:val="true"/>
        </w:rPr>
        <w:footnoteReference w:id="2991"/>
      </w:r>
      <w:r>
        <w:rPr>
          <w:rFonts w:ascii="Amiri" w:hAnsi="Amiri" w:eastAsia="Amiri" w:cs="Amiri"/>
          <w:color w:val="111111"/>
          <w:sz w:val="28"/>
          <w:sz w:val="28"/>
          <w:szCs w:val="28"/>
          <w:rtl w:val="true"/>
          <w:lang w:bidi="ar-SA"/>
        </w:rPr>
        <w:t xml:space="preserve">على وجوب شيء من الأشياء أو </w:t>
      </w:r>
      <w:r>
        <w:rPr>
          <w:rStyle w:val="FootnoteAnchor"/>
          <w:rtl w:val="true"/>
        </w:rPr>
        <w:footnoteReference w:id="2992"/>
      </w:r>
      <w:r>
        <w:rPr>
          <w:rFonts w:ascii="Amiri" w:hAnsi="Amiri" w:eastAsia="Amiri" w:cs="Amiri"/>
          <w:color w:val="111111"/>
          <w:sz w:val="28"/>
          <w:sz w:val="28"/>
          <w:szCs w:val="28"/>
          <w:rtl w:val="true"/>
          <w:lang w:bidi="ar-SA"/>
        </w:rPr>
        <w:t xml:space="preserve">عمل من الأعمال كائنا ما كان مقيّد بصورة الإمكان بالامتثال بذلك الشيء والعمل </w:t>
      </w:r>
      <w:r>
        <w:rPr>
          <w:rStyle w:val="FootnoteAnchor"/>
          <w:rtl w:val="true"/>
        </w:rPr>
        <w:footnoteReference w:id="2993"/>
      </w:r>
      <w:r>
        <w:rPr>
          <w:rFonts w:ascii="Amiri" w:hAnsi="Amiri" w:eastAsia="Amiri" w:cs="Amiri"/>
          <w:color w:val="111111"/>
          <w:sz w:val="28"/>
          <w:sz w:val="28"/>
          <w:szCs w:val="28"/>
          <w:rtl w:val="true"/>
          <w:lang w:bidi="ar-SA"/>
        </w:rPr>
        <w:t xml:space="preserve">عقلا كما قرّر في محلّه ، وقضيّة ذلك هو عدم </w:t>
      </w:r>
    </w:p>
    <w:p>
      <w:pPr>
        <w:pStyle w:val="BookText"/>
        <w:rPr/>
      </w:pPr>
      <w:r>
        <w:rPr>
          <w:rFonts w:ascii="Amiri" w:hAnsi="Amiri" w:eastAsia="Amiri" w:cs="Amiri"/>
          <w:color w:val="111111"/>
          <w:sz w:val="28"/>
          <w:sz w:val="28"/>
          <w:szCs w:val="28"/>
          <w:rtl w:val="true"/>
          <w:lang w:bidi="ar-SA"/>
        </w:rPr>
        <w:t>التساقط بالإعمال في الجملة على حسب اختلاف المقامات من وجود المرجّح تارة ، والتخيير أخرى ، والجمع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استحالة وجوب كلّ واحد منهما على وجه استحالة المحالات قبل تعلّق التكليف بالمكلّف كان الوجه هو القول بالتساقط ، ولكن قد عرفت أنّ الامتناع إنّما نشأ من نفس الأمر وإطلاقه وتقييده بالإمكان عين مفاد القول بعدم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المطلوبين في نفسه محال ؛ لكونه عملا بالمتضادّين مثلا ، فلو فرض عدم الأمر بهما أيضا كان اجتماعهما في مقام العمل محالا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هو كلّ واحد من الأفراد ، والاجتماع ليس مطلوبا أصلا ، والمفروض أنّ العمل بكلّ واحد في نفسه ممكن ، والامتناع إنّما نشأ من الجمع </w:t>
      </w:r>
      <w:r>
        <w:rPr>
          <w:rStyle w:val="FootnoteAnchor"/>
          <w:rtl w:val="true"/>
        </w:rPr>
        <w:footnoteReference w:id="2994"/>
      </w:r>
      <w:r>
        <w:rPr>
          <w:rFonts w:ascii="Amiri" w:hAnsi="Amiri" w:eastAsia="Amiri" w:cs="Amiri"/>
          <w:color w:val="111111"/>
          <w:sz w:val="28"/>
          <w:sz w:val="28"/>
          <w:szCs w:val="28"/>
          <w:rtl w:val="true"/>
          <w:lang w:bidi="ar-SA"/>
        </w:rPr>
        <w:t xml:space="preserve">وهو لازم الأمرين ، ومحاليته يستلزم عدم كونه مكلّفا به لا عدم كون الأفراد مكلّفا بها أصلا ليلزم التساقط ، ومعنى عدم وجوب الجمع </w:t>
      </w:r>
      <w:r>
        <w:rPr>
          <w:rStyle w:val="FootnoteAnchor"/>
          <w:rtl w:val="true"/>
        </w:rPr>
        <w:footnoteReference w:id="2995"/>
      </w:r>
      <w:r>
        <w:rPr>
          <w:rFonts w:ascii="Amiri" w:hAnsi="Amiri" w:eastAsia="Amiri" w:cs="Amiri"/>
          <w:color w:val="111111"/>
          <w:sz w:val="28"/>
          <w:sz w:val="28"/>
          <w:szCs w:val="28"/>
          <w:rtl w:val="true"/>
          <w:lang w:bidi="ar-SA"/>
        </w:rPr>
        <w:t xml:space="preserve">بين العمل بالدليلين مع بقاء مقتضي العمل بكلّ </w:t>
      </w:r>
      <w:r>
        <w:rPr>
          <w:rStyle w:val="FootnoteAnchor"/>
          <w:rtl w:val="true"/>
        </w:rPr>
        <w:footnoteReference w:id="2996"/>
      </w:r>
      <w:r>
        <w:rPr>
          <w:rFonts w:ascii="Amiri" w:hAnsi="Amiri" w:eastAsia="Amiri" w:cs="Amiri"/>
          <w:color w:val="111111"/>
          <w:sz w:val="28"/>
          <w:sz w:val="28"/>
          <w:szCs w:val="28"/>
          <w:rtl w:val="true"/>
          <w:lang w:bidi="ar-SA"/>
        </w:rPr>
        <w:t xml:space="preserve">واحد منهما هو الإعمال على وجه التخيير مثلا ، وذلك كما في تزاحم الحقّين والواجبين كإنقاذ الغرقى وإنجاء الحرقى ، فإنّ القول بعدم وجوب إنجاء كلّ واحد من الغريقين عند دوران الأمر بينهما وعدم إمكان الجمع بينهما ملحق </w:t>
      </w:r>
      <w:r>
        <w:rPr>
          <w:rStyle w:val="FootnoteAnchor"/>
          <w:rtl w:val="true"/>
        </w:rPr>
        <w:footnoteReference w:id="2997"/>
      </w:r>
      <w:r>
        <w:rPr>
          <w:rFonts w:ascii="Amiri" w:hAnsi="Amiri" w:eastAsia="Amiri" w:cs="Amiri"/>
          <w:color w:val="111111"/>
          <w:sz w:val="28"/>
          <w:sz w:val="28"/>
          <w:szCs w:val="28"/>
          <w:rtl w:val="true"/>
          <w:lang w:bidi="ar-SA"/>
        </w:rPr>
        <w:t xml:space="preserve">بأقوال أصحاب السوداء ، وليس الوجه في ذلك إلاّ بقاء مصلحة الوجوب في كلّ واحد منهما على وجه لو فرض انتفاء الآخر كان الواجب هو بعينه ولذلك </w:t>
      </w:r>
      <w:r>
        <w:rPr>
          <w:rStyle w:val="FootnoteAnchor"/>
          <w:rtl w:val="true"/>
        </w:rPr>
        <w:footnoteReference w:id="2998"/>
      </w:r>
      <w:r>
        <w:rPr>
          <w:rFonts w:ascii="Amiri" w:hAnsi="Amiri" w:eastAsia="Amiri" w:cs="Amiri"/>
          <w:color w:val="111111"/>
          <w:sz w:val="28"/>
          <w:sz w:val="28"/>
          <w:szCs w:val="28"/>
          <w:rtl w:val="true"/>
          <w:lang w:bidi="ar-SA"/>
        </w:rPr>
        <w:t xml:space="preserve">مع عدم وسعة الزمان لإنجائهما معا امتنع اجتماعهما في الوجود ، ومن المعلوم أنّ امتناع شيء لا يوجب رفع التكليف عن شيء ممكن آخر ، فالاجتماع إنّما ارتفع التكليف به ، فيبقى </w:t>
      </w:r>
      <w:r>
        <w:rPr>
          <w:rStyle w:val="FootnoteAnchor"/>
          <w:rtl w:val="true"/>
        </w:rPr>
        <w:footnoteReference w:id="2999"/>
      </w:r>
      <w:r>
        <w:rPr>
          <w:rFonts w:ascii="Amiri" w:hAnsi="Amiri" w:eastAsia="Amiri" w:cs="Amiri"/>
          <w:color w:val="111111"/>
          <w:sz w:val="28"/>
          <w:sz w:val="28"/>
          <w:szCs w:val="28"/>
          <w:rtl w:val="true"/>
          <w:lang w:bidi="ar-SA"/>
        </w:rPr>
        <w:t>الممكن في مقام التكليف وهو الإتيان بأحد الفردين على أن يكون الخيرة بيد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مسلّم فيما علم وجود المصلحة فيهما عند التعارض ، وهو فيما نحن فيه أوّل الكلام ؛ لاحتمال أن لا يكون المصلحة موجودة في الخبرين عند التعارض كأن يكون في أحدهما دون الآخر أو لا يكون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المتّبع ظواهر الأدلّة والمفروض إطلاقها </w:t>
      </w:r>
      <w:r>
        <w:rPr>
          <w:rStyle w:val="FootnoteAnchor"/>
          <w:rtl w:val="true"/>
        </w:rPr>
        <w:footnoteReference w:id="3000"/>
      </w:r>
      <w:r>
        <w:rPr>
          <w:rFonts w:ascii="Amiri" w:hAnsi="Amiri" w:eastAsia="Amiri" w:cs="Amiri"/>
          <w:color w:val="111111"/>
          <w:sz w:val="28"/>
          <w:sz w:val="28"/>
          <w:szCs w:val="28"/>
          <w:rtl w:val="true"/>
          <w:lang w:bidi="ar-SA"/>
        </w:rPr>
        <w:t>لكلّ واحد منهما ، وبذلك يستكشف وجود المصلحة فيهما ولو عند التعارض ، ولهذا قلنا في مباحث الأمر والنهي بصحّة صلاة الجاهل بالغصب في المكان المغصوب ؛ إذ لو لم يكن إطلاق الأمر باقيا حال الغصب لم يكن للقول بالصحّة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فرق بين أن يكون عدم القدرة مسبّبا عن التكليف ، أو كان سابقا عليه ، والوجوب العيني المتعلّق بكلّ واحد من المتعارضين استحالته من قبيل الأوّل لا الثاني ، فإنّ مقتضى الأوّل هو التخيير ؛ لثبوت التكليف أوّلا ، بخلاف الثاني ؛ إذ الامتناع السابق يمنع </w:t>
      </w:r>
      <w:r>
        <w:rPr>
          <w:rStyle w:val="FootnoteAnchor"/>
          <w:rtl w:val="true"/>
        </w:rPr>
        <w:footnoteReference w:id="3001"/>
      </w:r>
      <w:r>
        <w:rPr>
          <w:rFonts w:ascii="Amiri" w:hAnsi="Amiri" w:eastAsia="Amiri" w:cs="Amiri"/>
          <w:color w:val="111111"/>
          <w:sz w:val="28"/>
          <w:sz w:val="28"/>
          <w:szCs w:val="28"/>
          <w:rtl w:val="true"/>
          <w:lang w:bidi="ar-SA"/>
        </w:rPr>
        <w:t>عن تعلّق التكليف ابتداء</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الفرق هو أنّ الامتناع موجب لامتناع تعلّق </w:t>
      </w:r>
      <w:r>
        <w:rPr>
          <w:rStyle w:val="FootnoteAnchor"/>
          <w:rtl w:val="true"/>
        </w:rPr>
        <w:footnoteReference w:id="3002"/>
      </w:r>
      <w:r>
        <w:rPr>
          <w:rFonts w:ascii="Amiri" w:hAnsi="Amiri" w:eastAsia="Amiri" w:cs="Amiri"/>
          <w:color w:val="111111"/>
          <w:sz w:val="28"/>
          <w:sz w:val="28"/>
          <w:szCs w:val="28"/>
          <w:rtl w:val="true"/>
          <w:lang w:bidi="ar-SA"/>
        </w:rPr>
        <w:t xml:space="preserve">التكليف بالممتنع ، وهذه الصفة لا بدّ وأن تكون </w:t>
      </w:r>
      <w:r>
        <w:rPr>
          <w:rStyle w:val="FootnoteAnchor"/>
          <w:rtl w:val="true"/>
        </w:rPr>
        <w:footnoteReference w:id="3003"/>
      </w:r>
      <w:r>
        <w:rPr>
          <w:rFonts w:ascii="Amiri" w:hAnsi="Amiri" w:eastAsia="Amiri" w:cs="Amiri"/>
          <w:color w:val="111111"/>
          <w:sz w:val="28"/>
          <w:sz w:val="28"/>
          <w:szCs w:val="28"/>
          <w:rtl w:val="true"/>
          <w:lang w:bidi="ar-SA"/>
        </w:rPr>
        <w:t xml:space="preserve">مقدّمة على التكليف بذلك الممتنع الذي فرض امتناع تعلّق التكليف به ؛ لكونه ممتنعا إلاّ أنّ موضوع ذلك الممتنع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قبل التكليف بشيء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وفي المقام الممتنع الذي يمتنع التكليف به هو امتثال الجميع وذلك فرع التكليف بالأفراد </w:t>
      </w:r>
      <w:r>
        <w:rPr>
          <w:rStyle w:val="FootnoteAnchor"/>
          <w:rtl w:val="true"/>
        </w:rPr>
        <w:footnoteReference w:id="3004"/>
      </w:r>
      <w:r>
        <w:rPr>
          <w:rFonts w:ascii="Amiri" w:hAnsi="Amiri" w:eastAsia="Amiri" w:cs="Amiri"/>
          <w:color w:val="111111"/>
          <w:sz w:val="28"/>
          <w:sz w:val="28"/>
          <w:szCs w:val="28"/>
          <w:rtl w:val="true"/>
          <w:lang w:bidi="ar-SA"/>
        </w:rPr>
        <w:t xml:space="preserve">، وإلاّ فلا معنى لعنوان الامتثال فإنّه فرع الأمر ، فلا يجب </w:t>
      </w:r>
      <w:r>
        <w:rPr>
          <w:rStyle w:val="FootnoteAnchor"/>
          <w:rtl w:val="true"/>
        </w:rPr>
        <w:footnoteReference w:id="3005"/>
      </w:r>
      <w:r>
        <w:rPr>
          <w:rFonts w:ascii="Amiri" w:hAnsi="Amiri" w:eastAsia="Amiri" w:cs="Amiri"/>
          <w:color w:val="111111"/>
          <w:sz w:val="28"/>
          <w:sz w:val="28"/>
          <w:szCs w:val="28"/>
          <w:rtl w:val="true"/>
          <w:lang w:bidi="ar-SA"/>
        </w:rPr>
        <w:t xml:space="preserve">الامتثال في الجميع لامتناعه ، ويجب الأخذ بأحدهما لإمكانه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هنا يظهر وجه ما أفاده شيخنا البهائي </w:t>
      </w:r>
      <w:r>
        <w:rPr>
          <w:rStyle w:val="FootnoteAnchor"/>
          <w:rtl w:val="true"/>
        </w:rPr>
        <w:footnoteReference w:id="3007"/>
      </w:r>
      <w:r>
        <w:rPr>
          <w:rFonts w:ascii="Amiri" w:hAnsi="Amiri" w:eastAsia="Amiri" w:cs="Amiri"/>
          <w:color w:val="111111"/>
          <w:sz w:val="28"/>
          <w:sz w:val="28"/>
          <w:szCs w:val="28"/>
          <w:rtl w:val="true"/>
          <w:lang w:bidi="ar-SA"/>
        </w:rPr>
        <w:t xml:space="preserve">في بعض مباحث الأمر من أنّ الواجب المضيّق الأهمّ يقدّم على غير الأهمّ منه على اختلاف مراتب الأهمّية ، فقد يكون أحدهما من حقوق الناس فيقدّم على حقّ اللّه للاتّكال على كرمه والتعويل على </w:t>
      </w:r>
      <w:r>
        <w:rPr>
          <w:rStyle w:val="FootnoteAnchor"/>
          <w:rtl w:val="true"/>
        </w:rPr>
        <w:footnoteReference w:id="3008"/>
      </w:r>
      <w:r>
        <w:rPr>
          <w:rFonts w:ascii="Amiri" w:hAnsi="Amiri" w:eastAsia="Amiri" w:cs="Amiri"/>
          <w:color w:val="111111"/>
          <w:sz w:val="28"/>
          <w:sz w:val="28"/>
          <w:szCs w:val="28"/>
          <w:rtl w:val="true"/>
          <w:lang w:bidi="ar-SA"/>
        </w:rPr>
        <w:t xml:space="preserve">فسحة </w:t>
      </w:r>
      <w:r>
        <w:rPr>
          <w:rStyle w:val="FootnoteAnchor"/>
          <w:rtl w:val="true"/>
        </w:rPr>
        <w:footnoteReference w:id="3009"/>
      </w:r>
      <w:r>
        <w:rPr>
          <w:rFonts w:ascii="Amiri" w:hAnsi="Amiri" w:eastAsia="Amiri" w:cs="Amiri"/>
          <w:color w:val="111111"/>
          <w:sz w:val="28"/>
          <w:sz w:val="28"/>
          <w:szCs w:val="28"/>
          <w:rtl w:val="true"/>
          <w:lang w:bidi="ar-SA"/>
        </w:rPr>
        <w:t xml:space="preserve">فضله ، وضعف ما نوقش فيه </w:t>
      </w:r>
      <w:r>
        <w:rPr>
          <w:rStyle w:val="FootnoteAnchor"/>
          <w:rtl w:val="true"/>
        </w:rPr>
        <w:footnoteReference w:id="3010"/>
      </w:r>
      <w:r>
        <w:rPr>
          <w:rFonts w:ascii="Amiri" w:hAnsi="Amiri" w:eastAsia="Amiri" w:cs="Amiri"/>
          <w:color w:val="111111"/>
          <w:sz w:val="28"/>
          <w:sz w:val="28"/>
          <w:szCs w:val="28"/>
          <w:rtl w:val="true"/>
          <w:lang w:bidi="ar-SA"/>
        </w:rPr>
        <w:t>من أنّ الواجب حينئذ ملاحظة أدلّة الحقوق فإنّهما إمّا قطعيان ، أو ظنّيان ، أو مختلفان ، ويرجّح أحدهما على الآخر بحسبه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حال الدليل بعد أنّ المفروض تساويهما في وجوب </w:t>
      </w:r>
    </w:p>
    <w:p>
      <w:pPr>
        <w:pStyle w:val="BookText"/>
        <w:rPr/>
      </w:pPr>
      <w:r>
        <w:rPr>
          <w:rFonts w:ascii="Amiri" w:hAnsi="Amiri" w:eastAsia="Amiri" w:cs="Amiri"/>
          <w:color w:val="111111"/>
          <w:sz w:val="28"/>
          <w:sz w:val="28"/>
          <w:szCs w:val="28"/>
          <w:rtl w:val="true"/>
          <w:lang w:bidi="ar-SA"/>
        </w:rPr>
        <w:t xml:space="preserve">العمل بكلّ واحد منهما ممّا لا وجه له </w:t>
      </w:r>
      <w:r>
        <w:rPr>
          <w:rStyle w:val="FootnoteAnchor"/>
          <w:rtl w:val="true"/>
        </w:rPr>
        <w:footnoteReference w:id="3011"/>
      </w:r>
      <w:r>
        <w:rPr>
          <w:rFonts w:ascii="Amiri" w:hAnsi="Amiri" w:eastAsia="Amiri" w:cs="Amiri"/>
          <w:color w:val="111111"/>
          <w:sz w:val="28"/>
          <w:sz w:val="28"/>
          <w:szCs w:val="28"/>
          <w:rtl w:val="true"/>
          <w:lang w:bidi="ar-SA"/>
        </w:rPr>
        <w:t xml:space="preserve">، بل اللازم مراعاة </w:t>
      </w:r>
      <w:r>
        <w:rPr>
          <w:rStyle w:val="FootnoteAnchor"/>
          <w:rtl w:val="true"/>
        </w:rPr>
        <w:footnoteReference w:id="3012"/>
      </w:r>
      <w:r>
        <w:rPr>
          <w:rFonts w:ascii="Amiri" w:hAnsi="Amiri" w:eastAsia="Amiri" w:cs="Amiri"/>
          <w:color w:val="111111"/>
          <w:sz w:val="28"/>
          <w:sz w:val="28"/>
          <w:szCs w:val="28"/>
          <w:rtl w:val="true"/>
          <w:lang w:bidi="ar-SA"/>
        </w:rPr>
        <w:t xml:space="preserve">الأهمّية في نفس الحقوق المتعارضة ، ولا معنى للرجوع إلى ملاحظة حال الدليل ، فلا تغفل </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القول بعدم التساقط لعلّه هو المشهور ، بل نفى الخلاف عنه في المعالم </w:t>
      </w:r>
      <w:r>
        <w:rPr>
          <w:rStyle w:val="FootnoteAnchor"/>
          <w:rtl w:val="true"/>
        </w:rPr>
        <w:footnoteReference w:id="3014"/>
      </w:r>
      <w:r>
        <w:rPr>
          <w:rFonts w:ascii="Amiri" w:hAnsi="Amiri" w:eastAsia="Amiri" w:cs="Amiri"/>
          <w:color w:val="111111"/>
          <w:sz w:val="28"/>
          <w:sz w:val="28"/>
          <w:szCs w:val="28"/>
          <w:rtl w:val="true"/>
          <w:lang w:bidi="ar-SA"/>
        </w:rPr>
        <w:t>، ولا فرق في ذلك بين الأمارة القائمة على الأحكام أو الموضوعات ، فإنّ القول بتساقط البيّنتين فيما إذا تعارضتا كاد أن يكون مخالفا للإجماع وإن حكاه بعضهم عن العلاّمة فيما إذا أقيمتا على وقوع النجاسة في أحد الإناءين إلاّ أنّ المشهور على دخول الفرض في الشبهة المحصورة ، بل لم نجد مثل ذلك منه أيضا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كما هو ظاهر إنّما يتمّ إذا كان الدليلان حال التعارض باقيين على كونهما دليلين ، وأمّا إذا لم يكن كذلك كما في الظنّ الشخصي المعارض بالظنّ النوعي إذا لم يكن ذلك دليلا أيضا فالأقوى هو التساقط ؛ لدوران الأمر حينئذ بين الحجّة واللاحجّة كما نبّهنا على ذلك فيما إذا تعارض الأصلان ، فإنّ ملاك الدليلية مرتفع عن أحدهما عند التعارض بواسطة العلم الإجمالي بانتفاض </w:t>
      </w:r>
      <w:r>
        <w:rPr>
          <w:rStyle w:val="FootnoteAnchor"/>
          <w:rtl w:val="true"/>
        </w:rPr>
        <w:footnoteReference w:id="3015"/>
      </w:r>
      <w:r>
        <w:rPr>
          <w:rFonts w:ascii="Amiri" w:hAnsi="Amiri" w:eastAsia="Amiri" w:cs="Amiri"/>
          <w:color w:val="111111"/>
          <w:sz w:val="28"/>
          <w:sz w:val="28"/>
          <w:szCs w:val="28"/>
          <w:rtl w:val="true"/>
          <w:lang w:bidi="ar-SA"/>
        </w:rPr>
        <w:t xml:space="preserve">إحدى الحالتين السابقتين ، وليس كذلك في الأخبار ؛ إذ غاية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القطع بمخالفة أحد الخبرين للواقع يقضي بالحكم بعدم كون أحدهما دليلا كما في الأصلين ، وهو ليس بسديد ؛ لأنّ المدار على دخول المتعارضين </w:t>
      </w:r>
      <w:r>
        <w:rPr>
          <w:rStyle w:val="FootnoteAnchor"/>
          <w:rtl w:val="true"/>
        </w:rPr>
        <w:footnoteReference w:id="3016"/>
      </w:r>
      <w:r>
        <w:rPr>
          <w:rFonts w:ascii="Amiri" w:hAnsi="Amiri" w:eastAsia="Amiri" w:cs="Amiri"/>
          <w:color w:val="111111"/>
          <w:sz w:val="28"/>
          <w:sz w:val="28"/>
          <w:szCs w:val="28"/>
          <w:rtl w:val="true"/>
          <w:lang w:bidi="ar-SA"/>
        </w:rPr>
        <w:t>تحت عنوان ما دلّ على حجّيتهما كأن يكون كلّ واحد منهما من أخبار العدول ، أو كان كلّ واحد منهما موثوق الصدور ، ونحوه ممّا دلّ الدليل على اعتبار ذلك العنوان على حسب اختلاف مشاربهم في ذلك</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 مناط الدليلية على الواقع بعد القطع بالمخالفة لم يكن بدّ من القول بالتساقط ، فتأمّل في المقام واللّه الموفّق وهو الهادي</w:t>
      </w:r>
      <w:r>
        <w:rPr>
          <w:rFonts w:eastAsia="Amiri" w:cs="Amiri" w:ascii="Amiri" w:hAnsi="Amiri"/>
          <w:color w:val="111111"/>
          <w:sz w:val="28"/>
          <w:szCs w:val="28"/>
          <w:rtl w:val="true"/>
          <w:lang w:bidi="ar-SA"/>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6284_171521"/>
      <w:bookmarkStart w:id="336" w:name="pg16284_171521"/>
      <w:bookmarkEnd w:id="336"/>
    </w:p>
    <w:p>
      <w:pPr>
        <w:pStyle w:val="Heading3"/>
        <w:numPr>
          <w:ilvl w:val="2"/>
          <w:numId w:val="1"/>
        </w:numPr>
        <w:rPr/>
      </w:pPr>
      <w:bookmarkStart w:id="337" w:name="pg16284_171521"/>
      <w:bookmarkStart w:id="338" w:name="__RefHeading___Toc5012232_1280447820"/>
      <w:bookmarkStart w:id="339" w:name="_Toc105"/>
      <w:bookmarkEnd w:id="337"/>
      <w:bookmarkEnd w:id="338"/>
      <w:r>
        <w:rPr>
          <w:rtl w:val="true"/>
        </w:rPr>
        <w:t xml:space="preserve">هداية </w:t>
      </w:r>
      <w:r>
        <w:rPr>
          <w:rtl w:val="true"/>
        </w:rPr>
        <w:t xml:space="preserve">[ </w:t>
      </w:r>
      <w:r>
        <w:rPr>
          <w:rtl w:val="true"/>
        </w:rPr>
        <w:t xml:space="preserve">في قاعدة الجمع مهما أمكن </w:t>
      </w:r>
      <w:r>
        <w:rPr>
          <w:rtl w:val="true"/>
        </w:rPr>
        <w:t>]</w:t>
      </w:r>
      <w:bookmarkEnd w:id="339"/>
    </w:p>
    <w:p>
      <w:pPr>
        <w:pStyle w:val="BookText"/>
        <w:rPr/>
      </w:pPr>
      <w:r>
        <w:rPr>
          <w:rFonts w:ascii="Amiri" w:hAnsi="Amiri" w:eastAsia="Amiri" w:cs="Amiri"/>
          <w:color w:val="111111"/>
          <w:sz w:val="28"/>
          <w:sz w:val="28"/>
          <w:szCs w:val="28"/>
          <w:rtl w:val="true"/>
          <w:lang w:bidi="ar-SA"/>
        </w:rPr>
        <w:t xml:space="preserve">بعد ما عرفت في الهداية السابقة من أنّ قضيّة القواعد هو عدم تساقط الدليلين فهل يجب الجمع بين الدليلين بإعمال الوجوه الدلالية بينهما وارتكاب جهات التأويل فيهما أو في أحدهما نظرا إلى أنّ الجمع مهما أمكن أولى من الطرح ، أو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قولان ، والتحقيق في المقام أنّ هذه قضيّة مشهورة لا أصل لها وإن بالغ فيها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Style w:val="FootnoteAnchor"/>
          <w:rtl w:val="true"/>
        </w:rPr>
        <w:footnoteReference w:id="3017"/>
      </w:r>
      <w:r>
        <w:rPr>
          <w:rFonts w:ascii="Amiri" w:hAnsi="Amiri" w:eastAsia="Amiri" w:cs="Amiri"/>
          <w:color w:val="111111"/>
          <w:sz w:val="28"/>
          <w:sz w:val="28"/>
          <w:szCs w:val="28"/>
          <w:rtl w:val="true"/>
          <w:lang w:bidi="ar-SA"/>
        </w:rPr>
        <w:t xml:space="preserve">جمهور الإحسائي ، بل ادّعى عليها إجماع العلماء حيث قال في غوالى اللآلى بعد ذكر المقبولة </w:t>
      </w:r>
      <w:r>
        <w:rPr>
          <w:rStyle w:val="FootnoteAnchor"/>
          <w:rtl w:val="true"/>
        </w:rPr>
        <w:footnoteReference w:id="3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حديثين ظاهرهما التعارض يجب عليك أوّلا البحث عن معناهما وكيفيات دلالات ألفاظهما ، فإن أمكنك التوفيق بينهما بالحمل على جهات التأويل والدلالات فاحرص </w:t>
      </w:r>
      <w:r>
        <w:rPr>
          <w:rStyle w:val="FootnoteAnchor"/>
          <w:rtl w:val="true"/>
        </w:rPr>
        <w:footnoteReference w:id="3019"/>
      </w:r>
      <w:r>
        <w:rPr>
          <w:rFonts w:ascii="Amiri" w:hAnsi="Amiri" w:eastAsia="Amiri" w:cs="Amiri"/>
          <w:color w:val="111111"/>
          <w:sz w:val="28"/>
          <w:sz w:val="28"/>
          <w:szCs w:val="28"/>
          <w:rtl w:val="true"/>
          <w:lang w:bidi="ar-SA"/>
        </w:rPr>
        <w:t xml:space="preserve">عليه واجتهد في تحصيله فإنّ العمل بالدليلين مهما أمكن خير من ترك أحدهما وتعطيله بإجماع العلماء ، فإذا لم تتمكّن </w:t>
      </w:r>
      <w:r>
        <w:rPr>
          <w:rStyle w:val="FootnoteAnchor"/>
          <w:rtl w:val="true"/>
        </w:rPr>
        <w:footnoteReference w:id="3020"/>
      </w:r>
      <w:r>
        <w:rPr>
          <w:rFonts w:ascii="Amiri" w:hAnsi="Amiri" w:eastAsia="Amiri" w:cs="Amiri"/>
          <w:color w:val="111111"/>
          <w:sz w:val="28"/>
          <w:sz w:val="28"/>
          <w:szCs w:val="28"/>
          <w:rtl w:val="true"/>
          <w:lang w:bidi="ar-SA"/>
        </w:rPr>
        <w:t xml:space="preserve">من ذلك أو لم يظهر لك وجهه فارجع إلى العمل بهذا الحديث </w:t>
      </w:r>
      <w:r>
        <w:rPr>
          <w:rStyle w:val="FootnoteAnchor"/>
          <w:rtl w:val="true"/>
        </w:rPr>
        <w:footnoteReference w:id="30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اشتهرت هذه القضيّة بحيث صارت من الأمثال السائرة ، والمراد بها الجمع في الدلالة بإخراج المتعارضين عن ظاهرهما وحملهما على ما لا تنافي بينهما ، وبالطرح رفع </w:t>
      </w:r>
    </w:p>
    <w:p>
      <w:pPr>
        <w:pStyle w:val="BookText"/>
        <w:rPr/>
      </w:pPr>
      <w:r>
        <w:rPr>
          <w:rFonts w:ascii="Amiri" w:hAnsi="Amiri" w:eastAsia="Amiri" w:cs="Amiri"/>
          <w:color w:val="111111"/>
          <w:sz w:val="28"/>
          <w:sz w:val="28"/>
          <w:szCs w:val="28"/>
          <w:rtl w:val="true"/>
          <w:lang w:bidi="ar-SA"/>
        </w:rPr>
        <w:t xml:space="preserve">اليد عن سندهما في الجملة ، والجمع وإن استلزم طرحا في الجملة إلاّ أنّ بعد ما عرفت من أنّ مرادهم منه ما ذكرنا لا وجه لما قد يتوهّم في دفعه بأنّ الجمع على أيّ وجه فرض يستلزم الطرح ، فيلزم من وجوده عدمه ، ومع ذلك فالحقّ كما عليه بعض أعاظم المحقّقين </w:t>
      </w:r>
      <w:r>
        <w:rPr>
          <w:rStyle w:val="FootnoteAnchor"/>
          <w:rtl w:val="true"/>
        </w:rPr>
        <w:footnoteReference w:id="3022"/>
      </w:r>
      <w:r>
        <w:rPr>
          <w:rFonts w:ascii="Amiri" w:hAnsi="Amiri" w:eastAsia="Amiri" w:cs="Amiri"/>
          <w:color w:val="111111"/>
          <w:sz w:val="28"/>
          <w:sz w:val="28"/>
          <w:szCs w:val="28"/>
          <w:rtl w:val="true"/>
          <w:lang w:bidi="ar-SA"/>
        </w:rPr>
        <w:t>أنّه لم يقم على الجمع مطلقا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تتّجه تلك المقالة في بعض المقامات دون غيرها ، وتفصيل الكلام وتوضيحه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للجمع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شاهد لاكتفاء نفس الدليلين </w:t>
      </w:r>
      <w:r>
        <w:rPr>
          <w:rStyle w:val="FootnoteAnchor"/>
          <w:rtl w:val="true"/>
        </w:rPr>
        <w:footnoteReference w:id="3023"/>
      </w:r>
      <w:r>
        <w:rPr>
          <w:rFonts w:ascii="Amiri" w:hAnsi="Amiri" w:eastAsia="Amiri" w:cs="Amiri"/>
          <w:color w:val="111111"/>
          <w:sz w:val="28"/>
          <w:sz w:val="28"/>
          <w:szCs w:val="28"/>
          <w:rtl w:val="true"/>
          <w:lang w:bidi="ar-SA"/>
        </w:rPr>
        <w:t xml:space="preserve">عنه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w:t>
      </w:r>
      <w:r>
        <w:rPr>
          <w:rStyle w:val="FootnoteAnchor"/>
          <w:rtl w:val="true"/>
        </w:rPr>
        <w:footnoteReference w:id="3024"/>
      </w:r>
      <w:r>
        <w:rPr>
          <w:rFonts w:ascii="Amiri" w:hAnsi="Amiri" w:eastAsia="Amiri" w:cs="Amiri"/>
          <w:color w:val="111111"/>
          <w:sz w:val="28"/>
          <w:sz w:val="28"/>
          <w:szCs w:val="28"/>
          <w:rtl w:val="true"/>
          <w:lang w:bidi="ar-SA"/>
        </w:rPr>
        <w:t xml:space="preserve">إلى شاهد واحد ،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شاهدين لعدم اكتفاء نفس الدليلين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فالواجب فيها الجمع بين الدليلين ، كما في العامّ والخاصّ المطلقين وما يقاربهما في كون أحدهما بمنزلة النصّ بالنسبة إلى الآخر كما في المطلق والمقيّد والقرائن الصارفة بالنسبة إلى الحقائق</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الأوّل فلأنّ المتبادر من الدليلين والمنساق منهما عرفا هو الأخذ بالخاصّ بعد مخالفته لحكم العامّ ؛ لأنّ شمول العامّ للفرد ليس في مرحلة الخاصّ لذلك الفرد ، فيقدّم الخاصّ على العامّ مطلقا إلاّ فيما إذا كان العامّ أقوى من الخاصّ دلالة بواسطة اعتضاده بأمارة خارجية </w:t>
      </w:r>
      <w:r>
        <w:rPr>
          <w:rStyle w:val="FootnoteAnchor"/>
          <w:rtl w:val="true"/>
        </w:rPr>
        <w:footnoteReference w:id="3025"/>
      </w:r>
      <w:r>
        <w:rPr>
          <w:rFonts w:ascii="Amiri" w:hAnsi="Amiri" w:eastAsia="Amiri" w:cs="Amiri"/>
          <w:color w:val="111111"/>
          <w:sz w:val="28"/>
          <w:sz w:val="28"/>
          <w:szCs w:val="28"/>
          <w:rtl w:val="true"/>
          <w:lang w:bidi="ar-SA"/>
        </w:rPr>
        <w:t xml:space="preserve">كأن يكون الخاصّ على خلاف مذاق الشريعة أو ينافي أصول المذهب وقواعده أو يكون مساق العامّ آبيا عن التخصيص كما فيما دلّ على جواز نكاح أمة الزوجة بدون إذنها وكما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لك السهو في كلمتين إذا شككت فابن على الأكثر </w:t>
      </w:r>
      <w:r>
        <w:rPr>
          <w:rFonts w:eastAsia="Amiri" w:cs="Amiri" w:ascii="Amiri" w:hAnsi="Amiri"/>
          <w:color w:val="111111"/>
          <w:sz w:val="28"/>
          <w:szCs w:val="28"/>
          <w:rtl w:val="true"/>
          <w:lang w:bidi="ar-SA"/>
        </w:rPr>
        <w:t xml:space="preserve">» </w:t>
      </w:r>
      <w:r>
        <w:rPr>
          <w:rStyle w:val="FootnoteAnchor"/>
          <w:rtl w:val="true"/>
        </w:rPr>
        <w:footnoteReference w:id="3026"/>
      </w:r>
      <w:r>
        <w:rPr>
          <w:rFonts w:ascii="Amiri" w:hAnsi="Amiri" w:eastAsia="Amiri" w:cs="Amiri"/>
          <w:color w:val="111111"/>
          <w:sz w:val="28"/>
          <w:sz w:val="28"/>
          <w:szCs w:val="28"/>
          <w:rtl w:val="true"/>
          <w:lang w:bidi="ar-SA"/>
        </w:rPr>
        <w:t xml:space="preserve">فإنّ هذه الموارد لا بدّ من تقديم العامّ فإنّه ربّما يقدّم على </w:t>
      </w:r>
    </w:p>
    <w:p>
      <w:pPr>
        <w:pStyle w:val="BookText"/>
        <w:rPr/>
      </w:pP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w:t>
      </w:r>
      <w:r>
        <w:rPr>
          <w:rStyle w:val="FootnoteAnchor"/>
          <w:rtl w:val="true"/>
        </w:rPr>
        <w:footnoteReference w:id="3027"/>
      </w:r>
      <w:r>
        <w:rPr>
          <w:rFonts w:ascii="Amiri" w:hAnsi="Amiri" w:eastAsia="Amiri" w:cs="Amiri"/>
          <w:color w:val="111111"/>
          <w:sz w:val="28"/>
          <w:sz w:val="28"/>
          <w:szCs w:val="28"/>
          <w:rtl w:val="true"/>
          <w:lang w:bidi="ar-SA"/>
        </w:rPr>
        <w:t xml:space="preserve">كان ، ففي غير أمثال هذه الموارد لا إشكال في وجوب الجمع بين الدليلين بحمل العامّ الدالّ على وجوب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الخاصّ الحاكم بعدم وجوب إكرام زيد العالم ، ولعلّ السرّ في ذلك هو دوران الأمر بين الأخذ بأصالة الحقيقة التي هي من الأصول المعمولة في العامّ وبين طرح دليل اجتهادي دلّ على لزوم الأخذ بسند الخاصّ ؛ إذ المفروض أنّه لا كلام في كون الخاصّ أيضا حجّة شرعية يجب الأخذ به بإجماع </w:t>
      </w:r>
      <w:r>
        <w:rPr>
          <w:rStyle w:val="FootnoteAnchor"/>
          <w:rtl w:val="true"/>
        </w:rPr>
        <w:footnoteReference w:id="3028"/>
      </w:r>
      <w:r>
        <w:rPr>
          <w:rFonts w:ascii="Amiri" w:hAnsi="Amiri" w:eastAsia="Amiri" w:cs="Amiri"/>
          <w:color w:val="111111"/>
          <w:sz w:val="28"/>
          <w:sz w:val="28"/>
          <w:szCs w:val="28"/>
          <w:rtl w:val="true"/>
          <w:lang w:bidi="ar-SA"/>
        </w:rPr>
        <w:t xml:space="preserve">ونحوه ، ولا ريب أنّ الأخذ بالدليل الاجتهادي لازم عند دوران الأمر بينه وبين الأصل ؛ لأنّ الشكّ المأخوذ في موضوع </w:t>
      </w:r>
      <w:r>
        <w:rPr>
          <w:rStyle w:val="FootnoteAnchor"/>
          <w:rtl w:val="true"/>
        </w:rPr>
        <w:footnoteReference w:id="3029"/>
      </w:r>
      <w:r>
        <w:rPr>
          <w:rFonts w:ascii="Amiri" w:hAnsi="Amiri" w:eastAsia="Amiri" w:cs="Amiri"/>
          <w:color w:val="111111"/>
          <w:sz w:val="28"/>
          <w:sz w:val="28"/>
          <w:szCs w:val="28"/>
          <w:rtl w:val="true"/>
          <w:lang w:bidi="ar-SA"/>
        </w:rPr>
        <w:t xml:space="preserve">الأصل يرتفع بعد وجود الدليل الاجتهادي ، فإنّ الشكّ في شمول العامّ للخاصّ يرتفع بعد العلم بلزوم العمل بالخاصّ بواسطة الدليل ، لكن هذا إذا فرض دلالة الدليل على الخاصّ على وجه لا حاجة إلى إعمال أصالة الحقيقة في ذلك الدليل كأن يكون إجماعا أو نحو ذلك ، وأمّا إذا احتاج إلى إعمال أصالة الحقيقة في دليل الخاصّ على وجه لا يعلم بدخوله تحت العامّ الدالّ على الحجّية ، فالظاهر تعارض الأصلين في دليل الخاصّ وفي نفس العامّ إلاّ أنّ الأصل المعمول في دليل الخاصّ وحجّيته </w:t>
      </w:r>
      <w:r>
        <w:rPr>
          <w:rStyle w:val="FootnoteAnchor"/>
          <w:rtl w:val="true"/>
        </w:rPr>
        <w:footnoteReference w:id="3030"/>
      </w:r>
      <w:r>
        <w:rPr>
          <w:rFonts w:ascii="Amiri" w:hAnsi="Amiri" w:eastAsia="Amiri" w:cs="Amiri"/>
          <w:color w:val="111111"/>
          <w:sz w:val="28"/>
          <w:sz w:val="28"/>
          <w:szCs w:val="28"/>
          <w:rtl w:val="true"/>
          <w:lang w:bidi="ar-SA"/>
        </w:rPr>
        <w:t>مزيل لغيره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المطلق والمقيّد فالأمر أظهر ؛ لأنّ دلالة العامّ على الأفراد ربّما يعدّ أظهر من دلالة المطلق </w:t>
      </w:r>
      <w:r>
        <w:rPr>
          <w:rStyle w:val="FootnoteAnchor"/>
          <w:rtl w:val="true"/>
        </w:rPr>
        <w:footnoteReference w:id="3031"/>
      </w:r>
      <w:r>
        <w:rPr>
          <w:rFonts w:ascii="Amiri" w:hAnsi="Amiri" w:eastAsia="Amiri" w:cs="Amiri"/>
          <w:color w:val="111111"/>
          <w:sz w:val="28"/>
          <w:sz w:val="28"/>
          <w:szCs w:val="28"/>
          <w:rtl w:val="true"/>
          <w:lang w:bidi="ar-SA"/>
        </w:rPr>
        <w:t xml:space="preserve">عليها ، لأنّها وضعية في العامّ على بعض الوجوه وعقلية في المطلق نظرا إلى أنّ إثبات الحكم للماهيّة التي هي مذكورة في مقام البيان يوجب حصول الامتثال بأيّ فرد منها ، فشمول المطلق للأفراد على وجه يكفي في الامتثال به بأيّ فرد كان إنّما هو بواسطة عدم البيان ، والمقيّد هو البيان بعد وروده ، فالمطلق كأنّه برزخ بين الأدلّة </w:t>
      </w:r>
    </w:p>
    <w:p>
      <w:pPr>
        <w:pStyle w:val="BookText"/>
        <w:rPr/>
      </w:pPr>
      <w:r>
        <w:rPr>
          <w:rFonts w:ascii="Amiri" w:hAnsi="Amiri" w:eastAsia="Amiri" w:cs="Amiri"/>
          <w:color w:val="111111"/>
          <w:sz w:val="28"/>
          <w:sz w:val="28"/>
          <w:szCs w:val="28"/>
          <w:rtl w:val="true"/>
          <w:lang w:bidi="ar-SA"/>
        </w:rPr>
        <w:t xml:space="preserve">الاجتهادية والأصول العملية بواسطة استناد </w:t>
      </w:r>
      <w:r>
        <w:rPr>
          <w:rStyle w:val="FootnoteAnchor"/>
          <w:rtl w:val="true"/>
        </w:rPr>
        <w:footnoteReference w:id="3032"/>
      </w:r>
      <w:r>
        <w:rPr>
          <w:rFonts w:ascii="Amiri" w:hAnsi="Amiri" w:eastAsia="Amiri" w:cs="Amiri"/>
          <w:color w:val="111111"/>
          <w:sz w:val="28"/>
          <w:sz w:val="28"/>
          <w:szCs w:val="28"/>
          <w:rtl w:val="true"/>
          <w:lang w:bidi="ar-SA"/>
        </w:rPr>
        <w:t xml:space="preserve">الدلالة فيه إلى اللفظ والعقل معا ، فالعرف قاض بتقديم </w:t>
      </w:r>
      <w:r>
        <w:rPr>
          <w:rStyle w:val="FootnoteAnchor"/>
          <w:rtl w:val="true"/>
        </w:rPr>
        <w:footnoteReference w:id="3033"/>
      </w:r>
      <w:r>
        <w:rPr>
          <w:rFonts w:ascii="Amiri" w:hAnsi="Amiri" w:eastAsia="Amiri" w:cs="Amiri"/>
          <w:color w:val="111111"/>
          <w:sz w:val="28"/>
          <w:sz w:val="28"/>
          <w:szCs w:val="28"/>
          <w:rtl w:val="true"/>
          <w:lang w:bidi="ar-SA"/>
        </w:rPr>
        <w:t xml:space="preserve">المقيّد ووروده على المطلق ، ومنه يستظهر اتّحاد التكليف فلا حاجة إلى اشتراط العلم بالاتّحاد في الحمل كما قدّمناه في مباحثه ، ومثل ما ذكر </w:t>
      </w:r>
      <w:r>
        <w:rPr>
          <w:rStyle w:val="FootnoteAnchor"/>
          <w:rtl w:val="true"/>
        </w:rPr>
        <w:footnoteReference w:id="3034"/>
      </w:r>
      <w:r>
        <w:rPr>
          <w:rFonts w:ascii="Amiri" w:hAnsi="Amiri" w:eastAsia="Amiri" w:cs="Amiri"/>
          <w:color w:val="111111"/>
          <w:sz w:val="28"/>
          <w:sz w:val="28"/>
          <w:szCs w:val="28"/>
          <w:rtl w:val="true"/>
          <w:lang w:bidi="ar-SA"/>
        </w:rPr>
        <w:t xml:space="preserve">في لزوم الحمل والتقديم </w:t>
      </w:r>
      <w:r>
        <w:rPr>
          <w:rStyle w:val="FootnoteAnchor"/>
          <w:rtl w:val="true"/>
        </w:rPr>
        <w:footnoteReference w:id="3035"/>
      </w:r>
      <w:r>
        <w:rPr>
          <w:rFonts w:ascii="Amiri" w:hAnsi="Amiri" w:eastAsia="Amiri" w:cs="Amiri"/>
          <w:color w:val="111111"/>
          <w:sz w:val="28"/>
          <w:sz w:val="28"/>
          <w:szCs w:val="28"/>
          <w:rtl w:val="true"/>
          <w:lang w:bidi="ar-SA"/>
        </w:rPr>
        <w:t xml:space="preserve">كلّ ما كان أحد الأمارتين أظهر في العرف من الآخر على وجه يكفي في الحمل ملاحظة نفسهما من غير حاجة إلى استشهاد من الخارج كما إذا ورد في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Style w:val="FootnoteAnchor"/>
          <w:rtl w:val="true"/>
        </w:rPr>
        <w:footnoteReference w:id="30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بأنّ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أظهر من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 فإنّه لا إشكال في أنّ الظاهر يحمل على الأظهر ويحكم بأنّ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كما يستفاد ذلك من القرائن اللفظية الصارفة ، فإنّ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لا ينافي الحيوان المفترس أيضا معقول إلاّ أنّه لمكان الأظهرية لا بدّ من ارتكاب التأويل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فالمعيار في هذا القسم هو صلوح حمل أحد المتعارضين على الآخر بقرينة موجودة في نفسهما </w:t>
      </w:r>
      <w:r>
        <w:rPr>
          <w:rStyle w:val="FootnoteAnchor"/>
          <w:rtl w:val="true"/>
        </w:rPr>
        <w:footnoteReference w:id="3037"/>
      </w:r>
      <w:r>
        <w:rPr>
          <w:rFonts w:ascii="Amiri" w:hAnsi="Amiri" w:eastAsia="Amiri" w:cs="Amiri"/>
          <w:color w:val="111111"/>
          <w:sz w:val="28"/>
          <w:sz w:val="28"/>
          <w:szCs w:val="28"/>
          <w:rtl w:val="true"/>
          <w:lang w:bidi="ar-SA"/>
        </w:rPr>
        <w:t xml:space="preserve">، بل والتحقيق </w:t>
      </w:r>
      <w:r>
        <w:rPr>
          <w:rStyle w:val="FootnoteAnchor"/>
          <w:rtl w:val="true"/>
        </w:rPr>
        <w:footnoteReference w:id="3038"/>
      </w:r>
      <w:r>
        <w:rPr>
          <w:rFonts w:ascii="Amiri" w:hAnsi="Amiri" w:eastAsia="Amiri" w:cs="Amiri"/>
          <w:color w:val="111111"/>
          <w:sz w:val="28"/>
          <w:sz w:val="28"/>
          <w:szCs w:val="28"/>
          <w:rtl w:val="true"/>
          <w:lang w:bidi="ar-SA"/>
        </w:rPr>
        <w:t xml:space="preserve">أنّ هذا القسم خارج عن الأخبار العلاجية ولا شكّ في وجوب الجمع ، ولم نعلم في ذلك مخالفا ؛ إذ لم نجد من أوّل الفقه إلى آخره من حكم بالتخيير بين العامّ والخاصّ بعد اعتقاد وجود الموضوع كما هو ظاهر </w:t>
      </w:r>
      <w:r>
        <w:rPr>
          <w:rStyle w:val="FootnoteAnchor"/>
          <w:rtl w:val="true"/>
        </w:rPr>
        <w:footnoteReference w:id="3039"/>
      </w:r>
      <w:r>
        <w:rPr>
          <w:rFonts w:ascii="IRNazanin" w:hAnsi="IRNazanin" w:eastAsia="IRNazanin"/>
          <w:color w:val="111111"/>
          <w:sz w:val="28"/>
          <w:sz w:val="28"/>
          <w:szCs w:val="28"/>
          <w:rtl w:val="true"/>
          <w:lang w:bidi="fa-IR"/>
        </w:rPr>
        <w:t xml:space="preserve">، ومن </w:t>
      </w:r>
    </w:p>
    <w:p>
      <w:pPr>
        <w:pStyle w:val="BookText"/>
        <w:rPr/>
      </w:pPr>
      <w:r>
        <w:rPr>
          <w:rFonts w:ascii="Amiri" w:hAnsi="Amiri" w:eastAsia="Amiri" w:cs="Amiri"/>
          <w:color w:val="111111"/>
          <w:sz w:val="28"/>
          <w:sz w:val="28"/>
          <w:szCs w:val="28"/>
          <w:rtl w:val="true"/>
          <w:lang w:bidi="ar-SA"/>
        </w:rPr>
        <w:t xml:space="preserve">المعلوم أيضا أنّ </w:t>
      </w:r>
      <w:r>
        <w:rPr>
          <w:rStyle w:val="FootnoteAnchor"/>
          <w:rtl w:val="true"/>
        </w:rPr>
        <w:footnoteReference w:id="3040"/>
      </w:r>
      <w:r>
        <w:rPr>
          <w:rFonts w:ascii="Amiri" w:hAnsi="Amiri" w:eastAsia="Amiri" w:cs="Amiri"/>
          <w:color w:val="111111"/>
          <w:sz w:val="28"/>
          <w:sz w:val="28"/>
          <w:szCs w:val="28"/>
          <w:rtl w:val="true"/>
          <w:lang w:bidi="ar-SA"/>
        </w:rPr>
        <w:t xml:space="preserve">الأخذ بالمرجّحات السندية كالموافقة للكتاب أو مخالفة العامّة ونحوهما ممّا </w:t>
      </w:r>
      <w:r>
        <w:rPr>
          <w:rStyle w:val="FootnoteAnchor"/>
          <w:rtl w:val="true"/>
        </w:rPr>
        <w:footnoteReference w:id="3041"/>
      </w:r>
      <w:r>
        <w:rPr>
          <w:rFonts w:ascii="Amiri" w:hAnsi="Amiri" w:eastAsia="Amiri" w:cs="Amiri"/>
          <w:color w:val="111111"/>
          <w:sz w:val="28"/>
          <w:sz w:val="28"/>
          <w:szCs w:val="28"/>
          <w:rtl w:val="true"/>
          <w:lang w:bidi="ar-SA"/>
        </w:rPr>
        <w:t xml:space="preserve">لا وجه في مثل المقام ، وقد يظهر من بعضهم تقديم المطلق على المقيّد نظرا إلى كونه مخالفا لما عليه العامّة ، فإن تخيّل أنّه من الموارد التي يحكم بتقديم الظاهر على الأظهر لخصوصية خارجية كما في تقديم العامّ على الخاصّ فهو ، وإلاّ فهو سهو ظاهر كما لا يخفى ، ولا فرق فيما ذكرنا من لزوم الحمل بين القول بحجّية أصالة الحقيقة تعبّدا وبين القول بها من باب إطباق العقلاء </w:t>
      </w:r>
      <w:r>
        <w:rPr>
          <w:rStyle w:val="FootnoteAnchor"/>
          <w:rtl w:val="true"/>
        </w:rPr>
        <w:footnoteReference w:id="3042"/>
      </w:r>
      <w:r>
        <w:rPr>
          <w:rFonts w:ascii="Amiri" w:hAnsi="Amiri" w:eastAsia="Amiri" w:cs="Amiri"/>
          <w:color w:val="111111"/>
          <w:sz w:val="28"/>
          <w:sz w:val="28"/>
          <w:szCs w:val="28"/>
          <w:rtl w:val="true"/>
          <w:lang w:bidi="ar-SA"/>
        </w:rPr>
        <w:t>على العمل بها ؛ لأنّ بناءهم على العمل بالخاصّ أيضا ؛ إذ الحكم بالأخذ بظاهر العامّ عندهم أيضا معلّق على عدم ورود الخاصّ والقرينة أو البيان ، ولا إشكال في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استشكل بعضهم في المقام بأنّه </w:t>
      </w:r>
      <w:r>
        <w:rPr>
          <w:rStyle w:val="FootnoteAnchor"/>
          <w:rtl w:val="true"/>
        </w:rPr>
        <w:footnoteReference w:id="3043"/>
      </w:r>
      <w:r>
        <w:rPr>
          <w:rFonts w:ascii="Amiri" w:hAnsi="Amiri" w:eastAsia="Amiri" w:cs="Amiri"/>
          <w:color w:val="111111"/>
          <w:sz w:val="28"/>
          <w:sz w:val="28"/>
          <w:szCs w:val="28"/>
          <w:rtl w:val="true"/>
          <w:lang w:bidi="ar-SA"/>
        </w:rPr>
        <w:t>كيف يعقل حمل العامّ على الخاصّ مع اختلاف المتكلّم بهما؟ فإنّ كلام أحد لا يصحّ أن يجعل قرينة على كلام غيره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غاية السخافة ؛ لأنّ ذلك مسلّم في غير أمناء الشرع ، وأمّا في كلمات الأئمّة والمعصومين عليهم‌السلام فالحقّ هو ذلك فإنّهم عليهم‌السلام بمنزلة متكلّم واحد ، ولكنّ الكلام في كيفية ذلك ؛ إذ لا يخلو إمّا أن يكون الخاصّ الوارد في كلام الصادق عليه‌السلام قرينة للعامّ الوارد في الكتاب أو كلام النبي </w:t>
      </w:r>
      <w:r>
        <w:rPr>
          <w:rStyle w:val="FootnoteAnchor"/>
          <w:rtl w:val="true"/>
        </w:rPr>
        <w:footnoteReference w:id="3044"/>
      </w:r>
      <w:r>
        <w:rPr>
          <w:rFonts w:ascii="Amiri" w:hAnsi="Amiri" w:eastAsia="Amiri" w:cs="Amiri"/>
          <w:color w:val="111111"/>
          <w:sz w:val="28"/>
          <w:sz w:val="28"/>
          <w:szCs w:val="28"/>
          <w:rtl w:val="true"/>
          <w:lang w:bidi="ar-SA"/>
        </w:rPr>
        <w:t xml:space="preserve">، أو كاشفا عن القرينة ، وعلى التقديرين لا وجه له ، أمّا على الأوّل فلاستلزامه تأخير البيان عن وقت الحاجة ، فإنّ قبل زمان الصادق </w:t>
      </w:r>
      <w:r>
        <w:rPr>
          <w:rStyle w:val="FootnoteAnchor"/>
          <w:rtl w:val="true"/>
        </w:rPr>
        <w:footnoteReference w:id="3045"/>
      </w:r>
      <w:r>
        <w:rPr>
          <w:rFonts w:ascii="Amiri" w:hAnsi="Amiri" w:eastAsia="Amiri" w:cs="Amiri"/>
          <w:color w:val="111111"/>
          <w:sz w:val="28"/>
          <w:sz w:val="28"/>
          <w:szCs w:val="28"/>
          <w:rtl w:val="true"/>
          <w:lang w:bidi="ar-SA"/>
        </w:rPr>
        <w:t>كان الواقعة محتاجا إليها أيضا ، وأمّا على الثاني فلأنّ المعلوم عندنا أنّ عمل السابقين لم يكن على وجه الخصوصية حتّى يصحّ القول بأنّ الخاصّ كاشف عن القرينة المقترنة للعامّ ، وذلك ظاهر في الغاية عند ملاحظة أحوال السلف وأحكام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بالعامّ الوارد في الصدر الأوّل هو العموم الواقعي ، ويكون ورود الخاصّ في العصر المتأخّر ناسخا له أو كاشفا عن كونه منسوخا بناء على الخلاف في جواز النسخ بعد انقطاع زمن الوحي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وإن كان في محلّه إلاّ أنّه بعيد جدّا فإنّ موارد ذلك لا يعدّ من التخصيص الأزماني في شيء والظاهر أنّها </w:t>
      </w:r>
      <w:r>
        <w:rPr>
          <w:rStyle w:val="FootnoteAnchor"/>
          <w:rtl w:val="true"/>
        </w:rPr>
        <w:footnoteReference w:id="3046"/>
      </w:r>
      <w:r>
        <w:rPr>
          <w:rFonts w:ascii="Amiri" w:hAnsi="Amiri" w:eastAsia="Amiri" w:cs="Amiri"/>
          <w:color w:val="111111"/>
          <w:sz w:val="28"/>
          <w:sz w:val="28"/>
          <w:szCs w:val="28"/>
          <w:rtl w:val="true"/>
          <w:lang w:bidi="ar-SA"/>
        </w:rPr>
        <w:t>من موارد التخصيص الأفرادي ، وإليه يؤذن كلماتهم في مقامات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بأنّ العامّ قبل ورود التخصيص يحتمل أن يكون الحكم به من الأحكام الظاهرية ، والحكم الواقعي هو الخاصّ ، وإنّما أخّره الشارع الصادع لمصلحة اقتضت ذلك نظرا إلى لزوم التوسعة على المسلمين في أوّل الأمر تأليفا لقلوبهم ، فإنّ الشريعة استقرّت تدريجا ولم يتبيّن </w:t>
      </w:r>
      <w:r>
        <w:rPr>
          <w:rStyle w:val="FootnoteAnchor"/>
          <w:rtl w:val="true"/>
        </w:rPr>
        <w:footnoteReference w:id="3047"/>
      </w:r>
      <w:r>
        <w:rPr>
          <w:rFonts w:ascii="Amiri" w:hAnsi="Amiri" w:eastAsia="Amiri" w:cs="Amiri"/>
          <w:color w:val="111111"/>
          <w:sz w:val="28"/>
          <w:sz w:val="28"/>
          <w:szCs w:val="28"/>
          <w:rtl w:val="true"/>
          <w:lang w:bidi="ar-SA"/>
        </w:rPr>
        <w:t xml:space="preserve">جميع الأحكام في أوّل الأمر كما يظهر من ملاحظة الأحكام الشرعية فإنّ الأغلب إنّما استفدناه </w:t>
      </w:r>
      <w:r>
        <w:rPr>
          <w:rStyle w:val="FootnoteAnchor"/>
          <w:rtl w:val="true"/>
        </w:rPr>
        <w:footnoteReference w:id="3048"/>
      </w:r>
      <w:r>
        <w:rPr>
          <w:rFonts w:ascii="Amiri" w:hAnsi="Amiri" w:eastAsia="Amiri" w:cs="Amiri"/>
          <w:color w:val="111111"/>
          <w:sz w:val="28"/>
          <w:sz w:val="28"/>
          <w:szCs w:val="28"/>
          <w:rtl w:val="true"/>
          <w:lang w:bidi="ar-SA"/>
        </w:rPr>
        <w:t xml:space="preserve">من الأخبار الصادقية والباقرية عليهما‌السلام والصلاة وليس ذلك من الإغراء بالجهل نظير من لم يطّلع على الخاصّ بعد وروده ؛ إذ هو حكم ظاهري لغير المطّلع على الخاصّ ، وهذه الشبهة بجوابها ممّا أفادها الوحيد البهبهاني في رسالته </w:t>
      </w:r>
      <w:r>
        <w:rPr>
          <w:rStyle w:val="FootnoteAnchor"/>
          <w:rtl w:val="true"/>
        </w:rPr>
        <w:footnoteReference w:id="3049"/>
      </w:r>
      <w:r>
        <w:rPr>
          <w:rFonts w:ascii="Amiri" w:hAnsi="Amiri" w:eastAsia="Amiri" w:cs="Amiri"/>
          <w:color w:val="111111"/>
          <w:sz w:val="28"/>
          <w:sz w:val="28"/>
          <w:szCs w:val="28"/>
          <w:rtl w:val="true"/>
          <w:lang w:bidi="ar-SA"/>
        </w:rPr>
        <w:t xml:space="preserve">المعمولة في الجمع بين الدليلين </w:t>
      </w:r>
      <w:r>
        <w:rPr>
          <w:rStyle w:val="FootnoteAnchor"/>
          <w:rtl w:val="true"/>
        </w:rPr>
        <w:footnoteReference w:id="3050"/>
      </w:r>
      <w:r>
        <w:rPr>
          <w:rFonts w:ascii="Amiri" w:hAnsi="Amiri" w:eastAsia="Amiri" w:cs="Amiri"/>
          <w:color w:val="111111"/>
          <w:sz w:val="28"/>
          <w:sz w:val="28"/>
          <w:szCs w:val="28"/>
          <w:rtl w:val="true"/>
          <w:lang w:bidi="ar-SA"/>
        </w:rPr>
        <w:t xml:space="preserve">على ما حكاها </w:t>
      </w:r>
      <w:r>
        <w:rPr>
          <w:rStyle w:val="FootnoteAnchor"/>
          <w:rtl w:val="true"/>
        </w:rPr>
        <w:footnoteReference w:id="3051"/>
      </w:r>
      <w:r>
        <w:rPr>
          <w:rFonts w:ascii="IRNazanin" w:hAnsi="IRNazanin" w:eastAsia="IRNazanin"/>
          <w:color w:val="111111"/>
          <w:sz w:val="28"/>
          <w:sz w:val="28"/>
          <w:szCs w:val="28"/>
          <w:rtl w:val="true"/>
          <w:lang w:bidi="fa-IR"/>
        </w:rPr>
        <w:t>الأستاد دام عزّه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أيضا غاية البعد ؛ إذ الالتزام بأنّ تلك الأحكام الكثيرة أحكام ظاهرية أيضا ممّا لا يقبلها مستقيم الذهن </w:t>
      </w:r>
      <w:r>
        <w:rPr>
          <w:rStyle w:val="FootnoteAnchor"/>
          <w:rtl w:val="true"/>
        </w:rPr>
        <w:footnoteReference w:id="3052"/>
      </w:r>
      <w:r>
        <w:rPr>
          <w:rFonts w:ascii="Amiri" w:hAnsi="Amiri" w:eastAsia="Amiri" w:cs="Amiri"/>
          <w:color w:val="111111"/>
          <w:sz w:val="28"/>
          <w:sz w:val="28"/>
          <w:szCs w:val="28"/>
          <w:rtl w:val="true"/>
          <w:lang w:bidi="ar-SA"/>
        </w:rPr>
        <w:t xml:space="preserve">بل لا يكاد يعقل ؛ للقطع بأنّ عدم بيان بعض الأحكام المتعلّقة بالشكّ أو </w:t>
      </w:r>
      <w:r>
        <w:rPr>
          <w:rStyle w:val="FootnoteAnchor"/>
          <w:rtl w:val="true"/>
        </w:rPr>
        <w:footnoteReference w:id="3053"/>
      </w:r>
      <w:r>
        <w:rPr>
          <w:rFonts w:ascii="Amiri" w:hAnsi="Amiri" w:eastAsia="Amiri" w:cs="Amiri"/>
          <w:color w:val="111111"/>
          <w:sz w:val="28"/>
          <w:sz w:val="28"/>
          <w:szCs w:val="28"/>
          <w:rtl w:val="true"/>
          <w:lang w:bidi="ar-SA"/>
        </w:rPr>
        <w:t xml:space="preserve">المناسك ونحوها إنّما هو بواسطة عدم السؤال عنها ، نعم يمكن القول بأنّ بعض الموارد يحتمل أن يكون من هذا القبيل كما يحتمل أن يكون </w:t>
      </w:r>
    </w:p>
    <w:p>
      <w:pPr>
        <w:pStyle w:val="BookText"/>
        <w:rPr/>
      </w:pPr>
      <w:r>
        <w:rPr>
          <w:rFonts w:ascii="Amiri" w:hAnsi="Amiri" w:eastAsia="Amiri" w:cs="Amiri"/>
          <w:color w:val="111111"/>
          <w:sz w:val="28"/>
          <w:sz w:val="28"/>
          <w:szCs w:val="28"/>
          <w:rtl w:val="true"/>
          <w:lang w:bidi="ar-SA"/>
        </w:rPr>
        <w:t>من قبيل النسخ في بعض آخر ومن قبيل الكشف عن القرينة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Style w:val="FootnoteAnchor"/>
          <w:rtl w:val="true"/>
        </w:rPr>
        <w:footnoteReference w:id="3054"/>
      </w:r>
      <w:r>
        <w:rPr>
          <w:rFonts w:ascii="Amiri" w:hAnsi="Amiri" w:eastAsia="Amiri" w:cs="Amiri"/>
          <w:color w:val="111111"/>
          <w:sz w:val="28"/>
          <w:sz w:val="28"/>
          <w:szCs w:val="28"/>
          <w:rtl w:val="true"/>
          <w:lang w:bidi="ar-SA"/>
        </w:rPr>
        <w:t>كان فما أفاده لم يكن حاسما لمادّة الشبهة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Style w:val="FootnoteAnchor"/>
          <w:rtl w:val="true"/>
        </w:rPr>
        <w:footnoteReference w:id="3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يحتاج الجمع فيها إلى شاهدين ، فكما </w:t>
      </w:r>
      <w:r>
        <w:rPr>
          <w:rStyle w:val="FootnoteAnchor"/>
          <w:rtl w:val="true"/>
        </w:rPr>
        <w:footnoteReference w:id="3056"/>
      </w:r>
      <w:r>
        <w:rPr>
          <w:rFonts w:ascii="Amiri" w:hAnsi="Amiri" w:eastAsia="Amiri" w:cs="Amiri"/>
          <w:color w:val="111111"/>
          <w:sz w:val="28"/>
          <w:sz w:val="28"/>
          <w:szCs w:val="28"/>
          <w:rtl w:val="true"/>
          <w:lang w:bidi="ar-SA"/>
        </w:rPr>
        <w:t xml:space="preserve">إذا كان الدليلان متباينين بحيث لا يكفي في رفع التناقض والتعارض بينهما التصرّف في أحدهما فقط ، كما إذا ورد أكرم زيدا ، ولا تكرم زيدا مع عدم إمكان حمل الأمر على 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إخراج أحدهما عن الظاهر لا يكفي في رفع التعارض ؛ لتناقض ظاهر الآخر للمعنى المأوّل </w:t>
      </w:r>
      <w:r>
        <w:rPr>
          <w:rStyle w:val="FootnoteAnchor"/>
          <w:rtl w:val="true"/>
        </w:rPr>
        <w:footnoteReference w:id="3057"/>
      </w:r>
      <w:r>
        <w:rPr>
          <w:rFonts w:ascii="Amiri" w:hAnsi="Amiri" w:eastAsia="Amiri" w:cs="Amiri"/>
          <w:color w:val="111111"/>
          <w:sz w:val="28"/>
          <w:sz w:val="28"/>
          <w:szCs w:val="28"/>
          <w:rtl w:val="true"/>
          <w:lang w:bidi="ar-SA"/>
        </w:rPr>
        <w:t xml:space="preserve">في الآخر أيضا ، فإنّ حمل الأمر على الاستحباب ينافي ظهور النهي في التحريم ، وهكذا </w:t>
      </w:r>
      <w:r>
        <w:rPr>
          <w:rStyle w:val="FootnoteAnchor"/>
          <w:rtl w:val="true"/>
        </w:rPr>
        <w:footnoteReference w:id="3058"/>
      </w:r>
      <w:r>
        <w:rPr>
          <w:rFonts w:ascii="Amiri" w:hAnsi="Amiri" w:eastAsia="Amiri" w:cs="Amiri"/>
          <w:color w:val="111111"/>
          <w:sz w:val="28"/>
          <w:sz w:val="28"/>
          <w:szCs w:val="28"/>
          <w:rtl w:val="true"/>
          <w:lang w:bidi="ar-SA"/>
        </w:rPr>
        <w:t>في نظائر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الجمع بإخراج كلّ واحد من الدليلين ، أو لا بدّ من الأخذ بالترجيح فيما إذا وجد ، والتخيير </w:t>
      </w:r>
      <w:r>
        <w:rPr>
          <w:rStyle w:val="FootnoteAnchor"/>
          <w:rtl w:val="true"/>
        </w:rPr>
        <w:footnoteReference w:id="3059"/>
      </w:r>
      <w:r>
        <w:rPr>
          <w:rFonts w:ascii="Amiri" w:hAnsi="Amiri" w:eastAsia="Amiri" w:cs="Amiri"/>
          <w:color w:val="111111"/>
          <w:sz w:val="28"/>
          <w:sz w:val="28"/>
          <w:szCs w:val="28"/>
          <w:rtl w:val="true"/>
          <w:lang w:bidi="ar-SA"/>
        </w:rPr>
        <w:t xml:space="preserve">عند عدمه؟ ظاهر العبارة المنقولة عن غوالى اللآلى </w:t>
      </w:r>
      <w:r>
        <w:rPr>
          <w:rStyle w:val="FootnoteAnchor"/>
          <w:rtl w:val="true"/>
        </w:rPr>
        <w:footnoteReference w:id="3060"/>
      </w:r>
      <w:r>
        <w:rPr>
          <w:rFonts w:ascii="Amiri" w:hAnsi="Amiri" w:eastAsia="Amiri" w:cs="Amiri"/>
          <w:color w:val="111111"/>
          <w:sz w:val="28"/>
          <w:sz w:val="28"/>
          <w:szCs w:val="28"/>
          <w:rtl w:val="true"/>
          <w:lang w:bidi="ar-SA"/>
        </w:rPr>
        <w:t xml:space="preserve">هو وجوب الجمع ، فإنّ عبارته بإطلاقها تدلّ على المقام وإن احتملت المعنى الذي ذكرناه آنفا في العامّ والخاصّ كما لا يخفى على من أعطاه حقّ النظر ، والتحقيق هو عدم وجوب الجمع ، بل لا بدّ من الأخذ بالمرجّح عند وجوده ، والحكم بالتخيير بين الدليلين عند عدمه ، وذلك لوجهين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العرف في أوامرهم في أمثال المقام على الأخذ بالترجيح والتخيير دون الجمع بطرح الظاهرين والأخذ بمعنى ثالث </w:t>
      </w:r>
      <w:r>
        <w:rPr>
          <w:rStyle w:val="FootnoteAnchor"/>
          <w:rtl w:val="true"/>
        </w:rPr>
        <w:footnoteReference w:id="3061"/>
      </w:r>
      <w:r>
        <w:rPr>
          <w:rFonts w:ascii="Amiri" w:hAnsi="Amiri" w:eastAsia="Amiri" w:cs="Amiri"/>
          <w:color w:val="111111"/>
          <w:sz w:val="28"/>
          <w:sz w:val="28"/>
          <w:szCs w:val="28"/>
          <w:rtl w:val="true"/>
          <w:lang w:bidi="ar-SA"/>
        </w:rPr>
        <w:t xml:space="preserve">، فإنّهم إذا ورد عليهم نظير المقام لا يتأمّلون في أخذ المرجّح ثمّ التخيير فيعاملون في الظاهرين معاملة الصريحين </w:t>
      </w:r>
      <w:r>
        <w:rPr>
          <w:rStyle w:val="FootnoteAnchor"/>
          <w:rtl w:val="true"/>
        </w:rPr>
        <w:footnoteReference w:id="3062"/>
      </w:r>
      <w:r>
        <w:rPr>
          <w:rFonts w:ascii="Amiri" w:hAnsi="Amiri" w:eastAsia="Amiri" w:cs="Amiri"/>
          <w:color w:val="111111"/>
          <w:sz w:val="28"/>
          <w:sz w:val="28"/>
          <w:szCs w:val="28"/>
          <w:rtl w:val="true"/>
          <w:lang w:bidi="ar-SA"/>
        </w:rPr>
        <w:t xml:space="preserve">وإنّما </w:t>
      </w:r>
    </w:p>
    <w:p>
      <w:pPr>
        <w:pStyle w:val="BookText"/>
        <w:rPr/>
      </w:pPr>
      <w:r>
        <w:rPr>
          <w:rFonts w:ascii="Amiri" w:hAnsi="Amiri" w:eastAsia="Amiri" w:cs="Amiri"/>
          <w:color w:val="111111"/>
          <w:sz w:val="28"/>
          <w:sz w:val="28"/>
          <w:szCs w:val="28"/>
          <w:rtl w:val="true"/>
          <w:lang w:bidi="ar-SA"/>
        </w:rPr>
        <w:t>يهتمّون في صرف السند ، وذلك ظاهر لمن لاحظ الأوامر العرفية ، ولعلّ السرّ في ذلك هو أنّ صرف الظاهرين عن ظاهرهما يتوقّف على وجود قرينة صارفة لهما ، فعند انتفائها لا يعقل الحكم بصرف الظاهر عن ظاهره ؛ لانتفاء ما يقضي بذلك ، ولا يصلح لذلك في المقام شيء عدا ما قد يتوهّم من أنّ الأخذ بدليل السند والحكم بصدوره قاض برفع الظهور وارتكاب التأويل في الظاهر ، وهو ليس بسديد ؛ لأنّ مجرّد الحكم بالصدور لا يقضي بكون الصادر قرينة صارفة لشيء آخر ، إذ كون الشيء قرينة من الأمور التي مرجعها إلى أظهرية مفادها عن مفاد ما فرض كونها قرينة له والمفروض أنّ الحكم بالصدور ليس كذلك</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أدلّة التصديق بالخبر هو الحكم بصدوره </w:t>
      </w:r>
      <w:r>
        <w:rPr>
          <w:rStyle w:val="FootnoteAnchor"/>
          <w:rtl w:val="true"/>
        </w:rPr>
        <w:footnoteReference w:id="3063"/>
      </w:r>
      <w:r>
        <w:rPr>
          <w:rFonts w:ascii="Amiri" w:hAnsi="Amiri" w:eastAsia="Amiri" w:cs="Amiri"/>
          <w:color w:val="111111"/>
          <w:sz w:val="28"/>
          <w:sz w:val="28"/>
          <w:szCs w:val="28"/>
          <w:rtl w:val="true"/>
          <w:lang w:bidi="ar-SA"/>
        </w:rPr>
        <w:t xml:space="preserve">عن الإمام ومطابقة الحكاية للمحكيّ عنها </w:t>
      </w:r>
      <w:r>
        <w:rPr>
          <w:rStyle w:val="FootnoteAnchor"/>
          <w:rtl w:val="true"/>
        </w:rPr>
        <w:footnoteReference w:id="3064"/>
      </w:r>
      <w:r>
        <w:rPr>
          <w:rFonts w:ascii="Amiri" w:hAnsi="Amiri" w:eastAsia="Amiri" w:cs="Amiri"/>
          <w:color w:val="111111"/>
          <w:sz w:val="28"/>
          <w:sz w:val="28"/>
          <w:szCs w:val="28"/>
          <w:rtl w:val="true"/>
          <w:lang w:bidi="ar-SA"/>
        </w:rPr>
        <w:t xml:space="preserve">وواقعية هذه الحكاية ، وأمّا وجوب الأخذ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ظهوره مستندا إلى نفس اللفظ أو إلى قرينة صارفة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 أدلّة تصديق </w:t>
      </w:r>
      <w:r>
        <w:rPr>
          <w:rStyle w:val="FootnoteAnchor"/>
          <w:rtl w:val="true"/>
        </w:rPr>
        <w:footnoteReference w:id="3065"/>
      </w:r>
      <w:r>
        <w:rPr>
          <w:rFonts w:ascii="Amiri" w:hAnsi="Amiri" w:eastAsia="Amiri" w:cs="Amiri"/>
          <w:color w:val="111111"/>
          <w:sz w:val="28"/>
          <w:sz w:val="28"/>
          <w:szCs w:val="28"/>
          <w:rtl w:val="true"/>
          <w:lang w:bidi="ar-SA"/>
        </w:rPr>
        <w:t xml:space="preserve">الخبر عليها بوجه ، بل الوجه في ذلك هو الأخذ بالطرق العرفية في تشخيص المرادات في الألفاظ من إعمال أصالة الحقيقة والأخذ بمفاد القرينة الصارفة في الاستعمالات المجازية لمكان أظهرية القرينة من ظهور الوضع بالنسبة إلى الحقيقة ، فالصرف إنّما هو من لوازم نفس الظهور ، فلو لم نقل أنّ الأخذ بظهور الدليلين قرينة على طرح أحد الصدورين فلا مجال للقول بالعكس ؛ لانتفاء ما يقضي </w:t>
      </w:r>
      <w:r>
        <w:rPr>
          <w:rStyle w:val="FootnoteAnchor"/>
          <w:rtl w:val="true"/>
        </w:rPr>
        <w:footnoteReference w:id="3066"/>
      </w:r>
      <w:r>
        <w:rPr>
          <w:rFonts w:ascii="Amiri" w:hAnsi="Amiri" w:eastAsia="Amiri" w:cs="Amiri"/>
          <w:color w:val="111111"/>
          <w:sz w:val="28"/>
          <w:sz w:val="28"/>
          <w:szCs w:val="28"/>
          <w:rtl w:val="true"/>
          <w:lang w:bidi="ar-SA"/>
        </w:rPr>
        <w:t xml:space="preserve">بذلك ، وأمّا ما </w:t>
      </w:r>
      <w:r>
        <w:rPr>
          <w:rStyle w:val="FootnoteAnchor"/>
          <w:rtl w:val="true"/>
        </w:rPr>
        <w:footnoteReference w:id="3067"/>
      </w:r>
      <w:r>
        <w:rPr>
          <w:rFonts w:ascii="Amiri" w:hAnsi="Amiri" w:eastAsia="Amiri" w:cs="Amiri"/>
          <w:color w:val="111111"/>
          <w:sz w:val="28"/>
          <w:sz w:val="28"/>
          <w:szCs w:val="28"/>
          <w:rtl w:val="true"/>
          <w:lang w:bidi="ar-SA"/>
        </w:rPr>
        <w:t>قد عرفت في المرتبة الأولى من الحكم بتقديم ظهور الخاصّ على العامّ لدوران الأمر بين طرح السند في الخاصّ والدلالة في العامّ ، فلا ينافي ما في المقام ؛ للفرق الظاهر بين المقامين من صلاحية الخاصّ للصرف دون المقام لعدم الارتباط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الدلالة في المتباينين ممّا لا يقضي به دليل ، وأمّا طرح أحدهما تخييرا والأخذ بالآخر فهو ممّا يقضي به العرف في أمثال المقام بعد العلم ببقاء المصلحة عند دوران الأمر بين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رواية ظاهرة في معنى غير واقع أو غير ممكن فاللازم صرفها عن ظاهرها وحملها على معنى واقع ممكن قريب من معناها الحقيقي ، كما ينادي بذلك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الحقيقة فأقرب المجازات ، ولا فرق في ذلك بين رواية واحدة أو روايتين ، فلا بدّ من حمل الخبرين المتعارضين على معنى لا منافاة بينهما جمعا بينهما ودفعا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بالفرق بين الرواية الواحدة وما نحن بصدده هو العرف ، فإنّ البناء في الواحدة على الحمل دون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ذلك أنّ الامتناع في الرواية الواحدة بعد الحكم بالصدور قاض بالتأويل ، فيصير قرينة عقلية على وجوب الحمل ، بخلاف المقام لإمكان رفع الامتناع بالتخيير فإنّه إعمال في الجملة ، فهو بمنزلة التأويل في الرواية الواحدة ، فالطرح في المقامين بعد التأويل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بصدور الخبرين من </w:t>
      </w:r>
      <w:r>
        <w:rPr>
          <w:rStyle w:val="FootnoteAnchor"/>
          <w:rtl w:val="true"/>
        </w:rPr>
        <w:footnoteReference w:id="3068"/>
      </w:r>
      <w:r>
        <w:rPr>
          <w:rFonts w:ascii="Amiri" w:hAnsi="Amiri" w:eastAsia="Amiri" w:cs="Amiri"/>
          <w:color w:val="111111"/>
          <w:sz w:val="28"/>
          <w:sz w:val="28"/>
          <w:szCs w:val="28"/>
          <w:rtl w:val="true"/>
          <w:lang w:bidi="ar-SA"/>
        </w:rPr>
        <w:t xml:space="preserve">الإمام عليه‌السلام كأن سمعنا منه شفاها فلا بدّ من صرف الدلالة قطعا ، وبعد ما فرضنا من قيام الأخبار الظنّية مقام العلم من حيث وجوب التصديق بها والأخذ بها فيجري فيها ما يجري في الأخبار العلمية </w:t>
      </w:r>
      <w:r>
        <w:rPr>
          <w:rStyle w:val="FootnoteAnchor"/>
          <w:rtl w:val="true"/>
        </w:rPr>
        <w:footnoteReference w:id="3069"/>
      </w:r>
      <w:r>
        <w:rPr>
          <w:rFonts w:ascii="Amiri" w:hAnsi="Amiri" w:eastAsia="Amiri" w:cs="Amiri"/>
          <w:color w:val="111111"/>
          <w:sz w:val="28"/>
          <w:sz w:val="28"/>
          <w:szCs w:val="28"/>
          <w:rtl w:val="true"/>
          <w:lang w:bidi="ar-SA"/>
        </w:rPr>
        <w:t xml:space="preserve">، وقضيّة ذلك هو التصرّف في الدلالتين </w:t>
      </w:r>
      <w:r>
        <w:rPr>
          <w:rStyle w:val="FootnoteAnchor"/>
          <w:rtl w:val="true"/>
        </w:rPr>
        <w:footnoteReference w:id="3070"/>
      </w:r>
      <w:r>
        <w:rPr>
          <w:rFonts w:ascii="Amiri" w:hAnsi="Amiri" w:eastAsia="Amiri" w:cs="Amiri"/>
          <w:color w:val="111111"/>
          <w:sz w:val="28"/>
          <w:sz w:val="28"/>
          <w:szCs w:val="28"/>
          <w:rtl w:val="true"/>
          <w:lang w:bidi="ar-SA"/>
        </w:rPr>
        <w:t>والحكم بسلامة السندين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ولكنّه يجب أن يعلم أنّ صرف الدلالة في القطعيين وعدم التعرّض للسند فيهما بالتخيير إنّما هو من آثار نفس القطع واقعة ، وتنزيل </w:t>
      </w:r>
      <w:r>
        <w:rPr>
          <w:rStyle w:val="FootnoteAnchor"/>
          <w:rtl w:val="true"/>
        </w:rPr>
        <w:footnoteReference w:id="3071"/>
      </w:r>
      <w:r>
        <w:rPr>
          <w:rFonts w:ascii="Amiri" w:hAnsi="Amiri" w:eastAsia="Amiri" w:cs="Amiri"/>
          <w:color w:val="111111"/>
          <w:sz w:val="28"/>
          <w:sz w:val="28"/>
          <w:szCs w:val="28"/>
          <w:rtl w:val="true"/>
          <w:lang w:bidi="ar-SA"/>
        </w:rPr>
        <w:t xml:space="preserve">الظنّ منزلة القطع لا يقضي </w:t>
      </w:r>
    </w:p>
    <w:p>
      <w:pPr>
        <w:pStyle w:val="BookText"/>
        <w:rPr/>
      </w:pPr>
      <w:r>
        <w:rPr>
          <w:rFonts w:ascii="Amiri" w:hAnsi="Amiri" w:eastAsia="Amiri" w:cs="Amiri"/>
          <w:color w:val="111111"/>
          <w:sz w:val="28"/>
          <w:sz w:val="28"/>
          <w:szCs w:val="28"/>
          <w:rtl w:val="true"/>
          <w:lang w:bidi="ar-SA"/>
        </w:rPr>
        <w:t xml:space="preserve">إلاّ بما يمكن ترتّبه من آثار القطع عليه ، والآثار الواقعية </w:t>
      </w:r>
      <w:r>
        <w:rPr>
          <w:rStyle w:val="FootnoteAnchor"/>
          <w:rtl w:val="true"/>
        </w:rPr>
        <w:footnoteReference w:id="3072"/>
      </w:r>
      <w:r>
        <w:rPr>
          <w:rFonts w:ascii="Amiri" w:hAnsi="Amiri" w:eastAsia="Amiri" w:cs="Amiri"/>
          <w:color w:val="111111"/>
          <w:sz w:val="28"/>
          <w:sz w:val="28"/>
          <w:szCs w:val="28"/>
          <w:rtl w:val="true"/>
          <w:lang w:bidi="ar-SA"/>
        </w:rPr>
        <w:t>غير ممكن اللحوق بشيء آخر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بالصدور في المتناقضين يصلح قرينة لصرف الظاهر فيهما بواسطة خاصّية في نفس القطع بخلاف ما يقوم مقامه من التنزيلات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الدليلين على الوجه المذكور ينافي أخبار التخيير ، فإنّ الحكم بانحصار مورد التخيير في الأخبار بما إذا لم يكن الجمع بينهما ممكنا بوجه من الوجوه كأن يكون المعاني المجازية فيهما معلومة </w:t>
      </w:r>
      <w:r>
        <w:rPr>
          <w:rStyle w:val="FootnoteAnchor"/>
          <w:rtl w:val="true"/>
        </w:rPr>
        <w:footnoteReference w:id="3073"/>
      </w:r>
      <w:r>
        <w:rPr>
          <w:rFonts w:ascii="IRNazanin" w:hAnsi="IRNazanin" w:eastAsia="IRNazanin"/>
          <w:color w:val="111111"/>
          <w:sz w:val="28"/>
          <w:sz w:val="28"/>
          <w:szCs w:val="28"/>
          <w:rtl w:val="true"/>
          <w:lang w:bidi="fa-IR"/>
        </w:rPr>
        <w:t xml:space="preserve">الانتفاء و </w:t>
      </w:r>
      <w:r>
        <w:rPr>
          <w:rStyle w:val="FootnoteAnchor"/>
          <w:rtl w:val="true"/>
        </w:rPr>
        <w:footnoteReference w:id="3074"/>
      </w:r>
      <w:r>
        <w:rPr>
          <w:rFonts w:ascii="Amiri" w:hAnsi="Amiri" w:eastAsia="Amiri" w:cs="Amiri"/>
          <w:color w:val="111111"/>
          <w:sz w:val="28"/>
          <w:sz w:val="28"/>
          <w:szCs w:val="28"/>
          <w:rtl w:val="true"/>
          <w:lang w:bidi="ar-SA"/>
        </w:rPr>
        <w:t xml:space="preserve">غير محتمل الإرادة </w:t>
      </w:r>
      <w:r>
        <w:rPr>
          <w:rStyle w:val="FootnoteAnchor"/>
          <w:rtl w:val="true"/>
        </w:rPr>
        <w:footnoteReference w:id="3075"/>
      </w:r>
      <w:r>
        <w:rPr>
          <w:rFonts w:ascii="Amiri" w:hAnsi="Amiri" w:eastAsia="Amiri" w:cs="Amiri"/>
          <w:color w:val="111111"/>
          <w:sz w:val="28"/>
          <w:sz w:val="28"/>
          <w:szCs w:val="28"/>
          <w:rtl w:val="true"/>
          <w:lang w:bidi="ar-SA"/>
        </w:rPr>
        <w:t xml:space="preserve">خلاف الظاهر ؛ إذ على تقدير وجود مثل هذا المورد فهو في غاية القلّة لا ينبغي أن يحمل هذه الأخبار مع كثرتها واشتهارها وتعاضدها على مثل هذا المورد النادر الذي يكاد أن لا يوجد منها عين ولا أثر ، إذ ما من </w:t>
      </w:r>
      <w:r>
        <w:rPr>
          <w:rStyle w:val="FootnoteAnchor"/>
          <w:rtl w:val="true"/>
        </w:rPr>
        <w:footnoteReference w:id="3076"/>
      </w:r>
      <w:r>
        <w:rPr>
          <w:rFonts w:ascii="Amiri" w:hAnsi="Amiri" w:eastAsia="Amiri" w:cs="Amiri"/>
          <w:color w:val="111111"/>
          <w:sz w:val="28"/>
          <w:sz w:val="28"/>
          <w:szCs w:val="28"/>
          <w:rtl w:val="true"/>
          <w:lang w:bidi="ar-SA"/>
        </w:rPr>
        <w:t xml:space="preserve">لفظ إلاّ ويحتمل معان </w:t>
      </w:r>
      <w:r>
        <w:rPr>
          <w:rStyle w:val="FootnoteAnchor"/>
          <w:rtl w:val="true"/>
        </w:rPr>
        <w:footnoteReference w:id="3077"/>
      </w:r>
      <w:r>
        <w:rPr>
          <w:rFonts w:ascii="Amiri" w:hAnsi="Amiri" w:eastAsia="Amiri" w:cs="Amiri"/>
          <w:color w:val="111111"/>
          <w:sz w:val="28"/>
          <w:sz w:val="28"/>
          <w:szCs w:val="28"/>
          <w:rtl w:val="true"/>
          <w:lang w:bidi="ar-SA"/>
        </w:rPr>
        <w:t xml:space="preserve">مجازية عديدة فكيف يصحّ حملها عليه؟ فإنّ إطلاقها قاض بذلك ومع عدم مساعدة العرف على الحمل كما في العامّ والخاصّ فاللازم </w:t>
      </w:r>
      <w:r>
        <w:rPr>
          <w:rStyle w:val="FootnoteAnchor"/>
          <w:rtl w:val="true"/>
        </w:rPr>
        <w:footnoteReference w:id="3078"/>
      </w:r>
      <w:r>
        <w:rPr>
          <w:rFonts w:ascii="Amiri" w:hAnsi="Amiri" w:eastAsia="Amiri" w:cs="Amiri"/>
          <w:color w:val="111111"/>
          <w:sz w:val="28"/>
          <w:sz w:val="28"/>
          <w:szCs w:val="28"/>
          <w:rtl w:val="true"/>
          <w:lang w:bidi="ar-SA"/>
        </w:rPr>
        <w:t>هو الأخذ بالإطلاق ، على أنّ مورد السؤال في بعضها في الأمر والنهي وهو يكشف عمّا ذكرنا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المرتبة الثانية </w:t>
      </w:r>
      <w:r>
        <w:rPr>
          <w:rStyle w:val="FootnoteAnchor"/>
          <w:rtl w:val="true"/>
        </w:rPr>
        <w:footnoteReference w:id="3079"/>
      </w:r>
      <w:r>
        <w:rPr>
          <w:rFonts w:ascii="Amiri" w:hAnsi="Amiri" w:eastAsia="Amiri" w:cs="Amiri"/>
          <w:color w:val="111111"/>
          <w:sz w:val="28"/>
          <w:sz w:val="28"/>
          <w:szCs w:val="28"/>
          <w:rtl w:val="true"/>
          <w:lang w:bidi="ar-SA"/>
        </w:rPr>
        <w:t xml:space="preserve">وهي ما يكفي في رفع التعارض صرف أحد المتعارضين عن ظاهره فقط فيحتاج إلى شاهد ، كما تعارض العامّين </w:t>
      </w:r>
      <w:r>
        <w:rPr>
          <w:rStyle w:val="FootnoteAnchor"/>
          <w:rtl w:val="true"/>
        </w:rPr>
        <w:footnoteReference w:id="3080"/>
      </w:r>
      <w:r>
        <w:rPr>
          <w:rFonts w:ascii="IRNazanin" w:hAnsi="IRNazanin" w:eastAsia="IRNazanin"/>
          <w:color w:val="111111"/>
          <w:sz w:val="28"/>
          <w:sz w:val="28"/>
          <w:szCs w:val="28"/>
          <w:rtl w:val="true"/>
          <w:lang w:bidi="fa-IR"/>
        </w:rPr>
        <w:t xml:space="preserve">من </w:t>
      </w:r>
      <w:r>
        <w:rPr>
          <w:rStyle w:val="FootnoteAnchor"/>
          <w:rtl w:val="true"/>
        </w:rPr>
        <w:footnoteReference w:id="3081"/>
      </w:r>
      <w:r>
        <w:rPr>
          <w:rFonts w:ascii="IRNazanin" w:hAnsi="IRNazanin" w:eastAsia="IRNazanin"/>
          <w:color w:val="111111"/>
          <w:sz w:val="28"/>
          <w:sz w:val="28"/>
          <w:szCs w:val="28"/>
          <w:rtl w:val="true"/>
          <w:lang w:bidi="fa-IR"/>
        </w:rPr>
        <w:t xml:space="preserve">وجه </w:t>
      </w:r>
      <w:r>
        <w:rPr>
          <w:rStyle w:val="FootnoteAnchor"/>
          <w:rtl w:val="true"/>
        </w:rPr>
        <w:footnoteReference w:id="3082"/>
      </w:r>
      <w:r>
        <w:rPr>
          <w:rFonts w:ascii="Amiri" w:hAnsi="Amiri" w:eastAsia="Amiri" w:cs="Amiri"/>
          <w:color w:val="111111"/>
          <w:sz w:val="28"/>
          <w:sz w:val="28"/>
          <w:szCs w:val="28"/>
          <w:rtl w:val="true"/>
          <w:lang w:bidi="ar-SA"/>
        </w:rPr>
        <w:t xml:space="preserve">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منهم عليهم‌السلام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w:t>
      </w:r>
    </w:p>
    <w:p>
      <w:pPr>
        <w:pStyle w:val="BookText"/>
        <w:rPr/>
      </w:pPr>
      <w:r>
        <w:rPr>
          <w:rFonts w:ascii="Amiri" w:hAnsi="Amiri" w:eastAsia="Amiri" w:cs="Amiri"/>
          <w:color w:val="111111"/>
          <w:sz w:val="28"/>
          <w:sz w:val="28"/>
          <w:szCs w:val="28"/>
          <w:rtl w:val="true"/>
          <w:lang w:bidi="ar-SA"/>
        </w:rPr>
        <w:t xml:space="preserve">من أبوال ما لا يؤكل لحمه </w:t>
      </w:r>
      <w:r>
        <w:rPr>
          <w:rFonts w:eastAsia="Amiri" w:cs="Amiri" w:ascii="Amiri" w:hAnsi="Amiri"/>
          <w:color w:val="111111"/>
          <w:sz w:val="28"/>
          <w:szCs w:val="28"/>
          <w:rtl w:val="true"/>
          <w:lang w:bidi="ar-SA"/>
        </w:rPr>
        <w:t xml:space="preserve">» </w:t>
      </w:r>
      <w:r>
        <w:rPr>
          <w:rStyle w:val="FootnoteAnchor"/>
          <w:rtl w:val="true"/>
        </w:rPr>
        <w:footnoteReference w:id="3083"/>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بخرء الطير </w:t>
      </w:r>
      <w:r>
        <w:rPr>
          <w:rFonts w:eastAsia="Amiri" w:cs="Amiri" w:ascii="Amiri" w:hAnsi="Amiri"/>
          <w:color w:val="111111"/>
          <w:sz w:val="28"/>
          <w:szCs w:val="28"/>
          <w:rtl w:val="true"/>
          <w:lang w:bidi="ar-SA"/>
        </w:rPr>
        <w:t xml:space="preserve">» </w:t>
      </w:r>
      <w:r>
        <w:rPr>
          <w:rStyle w:val="FootnoteAnchor"/>
          <w:rtl w:val="true"/>
        </w:rPr>
        <w:footnoteReference w:id="3084"/>
      </w:r>
      <w:r>
        <w:rPr>
          <w:rFonts w:ascii="Amiri" w:hAnsi="Amiri" w:eastAsia="Amiri" w:cs="Amiri"/>
          <w:color w:val="111111"/>
          <w:sz w:val="28"/>
          <w:sz w:val="28"/>
          <w:szCs w:val="28"/>
          <w:rtl w:val="true"/>
          <w:lang w:bidi="ar-SA"/>
        </w:rPr>
        <w:t xml:space="preserve">وفي حكمه ما إذا تعارض ظاهران لا يكون بينهما </w:t>
      </w:r>
      <w:r>
        <w:rPr>
          <w:rStyle w:val="FootnoteAnchor"/>
          <w:rtl w:val="true"/>
        </w:rPr>
        <w:footnoteReference w:id="3085"/>
      </w:r>
      <w:r>
        <w:rPr>
          <w:rFonts w:ascii="Amiri" w:hAnsi="Amiri" w:eastAsia="Amiri" w:cs="Amiri"/>
          <w:color w:val="111111"/>
          <w:sz w:val="28"/>
          <w:sz w:val="28"/>
          <w:szCs w:val="28"/>
          <w:rtl w:val="true"/>
          <w:lang w:bidi="ar-SA"/>
        </w:rPr>
        <w:t xml:space="preserve">ترجيح في نفس الظهور على وجه يكفي في التأويل صرف أحدهما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ترك غسل الجمعة واغتسل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أظهرية الأمر في الوجوب من دلالة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فإنّه حينئذ يكفي في رفع التنافي حمل الأمر على الاستحباب أو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فهل يجب الجمع بين الأدلّة بطرح الظهورين للإجمال نظرا إلى انتهاض كلّ منهما صارفا لظهور الآخر ، أو يجب التخيير نظرا إلى إطلاق ما دلّ على التخيير عند التعارض ، أو يفصّل بين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Style w:val="FootnoteAnchor"/>
          <w:rtl w:val="true"/>
        </w:rPr>
        <w:footnoteReference w:id="3086"/>
      </w:r>
      <w:r>
        <w:rPr>
          <w:rFonts w:ascii="Amiri" w:hAnsi="Amiri" w:eastAsia="Amiri" w:cs="Amiri"/>
          <w:color w:val="111111"/>
          <w:sz w:val="28"/>
          <w:sz w:val="28"/>
          <w:szCs w:val="28"/>
          <w:rtl w:val="true"/>
          <w:lang w:bidi="ar-SA"/>
        </w:rPr>
        <w:t xml:space="preserve">مورد التعارض يتوقّف ويرجع إلى ما يقتضيه الأصل أو غير ذلك كما إذا لم يكن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هو في حكمه فيجب الأخذ بأخبار التخيير؟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بالأوّل نظرا إلى صلاحية كلّ واحد من الظهورين لصرف ظهور الآخر ، فيحكم في مورد التعارض بالإجمال كما يقضي بذلك ملاحظة العرف في المقام وفي نظائره ، فإنّ </w:t>
      </w:r>
      <w:r>
        <w:rPr>
          <w:rStyle w:val="FootnoteAnchor"/>
          <w:rtl w:val="true"/>
        </w:rPr>
        <w:footnoteReference w:id="3087"/>
      </w:r>
      <w:r>
        <w:rPr>
          <w:rFonts w:ascii="Amiri" w:hAnsi="Amiri" w:eastAsia="Amiri" w:cs="Amiri"/>
          <w:color w:val="111111"/>
          <w:sz w:val="28"/>
          <w:sz w:val="28"/>
          <w:szCs w:val="28"/>
          <w:rtl w:val="true"/>
          <w:lang w:bidi="ar-SA"/>
        </w:rPr>
        <w:t xml:space="preserve">بعد وجود ما يصلح لأن يكون قرينة من الطرفين لا مفرّ من ذلك إذا لم يكن بينهما ترجيح ، وأمّا عند الترجيح فمن المعلوم هو الأخذ بما فيه الترجيح ، كما إذا كان التخصيص في أحدهما بالمورد ، أو كان أحدهما أقلّ </w:t>
      </w:r>
      <w:r>
        <w:rPr>
          <w:rStyle w:val="FootnoteAnchor"/>
          <w:rtl w:val="true"/>
        </w:rPr>
        <w:footnoteReference w:id="3088"/>
      </w:r>
      <w:r>
        <w:rPr>
          <w:rFonts w:ascii="Amiri" w:hAnsi="Amiri" w:eastAsia="Amiri" w:cs="Amiri"/>
          <w:color w:val="111111"/>
          <w:sz w:val="28"/>
          <w:sz w:val="28"/>
          <w:szCs w:val="28"/>
          <w:rtl w:val="true"/>
          <w:lang w:bidi="ar-SA"/>
        </w:rPr>
        <w:t xml:space="preserve">أفرادا من الآخر ، أو نحو ذلك ، فيلحق بالعامّ والخاصّ المطلقين من حمل العامّ </w:t>
      </w:r>
    </w:p>
    <w:p>
      <w:pPr>
        <w:pStyle w:val="BookText"/>
        <w:rPr/>
      </w:pPr>
      <w:r>
        <w:rPr>
          <w:rFonts w:ascii="Amiri" w:hAnsi="Amiri" w:eastAsia="Amiri" w:cs="Amiri"/>
          <w:color w:val="111111"/>
          <w:sz w:val="28"/>
          <w:sz w:val="28"/>
          <w:szCs w:val="28"/>
          <w:rtl w:val="true"/>
          <w:lang w:bidi="ar-SA"/>
        </w:rPr>
        <w:t xml:space="preserve">على الخاصّ ، والسرّ في ذلك أنّ العرف متى ما لم ينزّلوا الظاهر منزلة النصّ في المتعارضين لا يلتفتون إلى صرف السند وطرحه ، وتنزيل الظاهر منزلة النصّ إنّما هو بواسطة عدم قرينة يوجب </w:t>
      </w:r>
      <w:r>
        <w:rPr>
          <w:rStyle w:val="FootnoteAnchor"/>
          <w:rtl w:val="true"/>
        </w:rPr>
        <w:footnoteReference w:id="3089"/>
      </w:r>
      <w:r>
        <w:rPr>
          <w:rFonts w:ascii="Amiri" w:hAnsi="Amiri" w:eastAsia="Amiri" w:cs="Amiri"/>
          <w:color w:val="111111"/>
          <w:sz w:val="28"/>
          <w:sz w:val="28"/>
          <w:szCs w:val="28"/>
          <w:rtl w:val="true"/>
          <w:lang w:bidi="ar-SA"/>
        </w:rPr>
        <w:t xml:space="preserve">الصرف وعدم صلاحية شيء لذلك كما في المتباينين ، وأمّا إذا وجد عندهم ما يصلح لذلك فإن كان معيّنا </w:t>
      </w:r>
      <w:r>
        <w:rPr>
          <w:rStyle w:val="FootnoteAnchor"/>
          <w:rtl w:val="true"/>
        </w:rPr>
        <w:footnoteReference w:id="3090"/>
      </w:r>
      <w:r>
        <w:rPr>
          <w:rFonts w:ascii="Amiri" w:hAnsi="Amiri" w:eastAsia="Amiri" w:cs="Amiri"/>
          <w:color w:val="111111"/>
          <w:sz w:val="28"/>
          <w:sz w:val="28"/>
          <w:szCs w:val="28"/>
          <w:rtl w:val="true"/>
          <w:lang w:bidi="ar-SA"/>
        </w:rPr>
        <w:t xml:space="preserve">في أحد الظاهرين كما في العامّ والخاصّ وما يقرب منه من المطلق والمقيّد والظاهر والأظهر والعامّين من وجه فيما إذا كان شمول أحدهما لمحلّ التعارض أظهر من الآخر بوجه من الوجوه ، فمن الواضح تقديمه على غيره في جميع الأقسام ، وقد عرفت الوجه في ذلك كلّه فيما </w:t>
      </w:r>
      <w:r>
        <w:rPr>
          <w:rStyle w:val="FootnoteAnchor"/>
          <w:rtl w:val="true"/>
        </w:rPr>
        <w:footnoteReference w:id="3091"/>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ويزيدك توضيحا في المقام أنّه متى فرض أحد المتعارضين أظهر من الآخر وجب تقديمه ؛ لدوران الأمر بين الأخذ بدليل عملي وهو أصالة الحقيقة </w:t>
      </w:r>
      <w:r>
        <w:rPr>
          <w:rStyle w:val="FootnoteAnchor"/>
          <w:rtl w:val="true"/>
        </w:rPr>
        <w:footnoteReference w:id="3092"/>
      </w:r>
      <w:r>
        <w:rPr>
          <w:rFonts w:ascii="Amiri" w:hAnsi="Amiri" w:eastAsia="Amiri" w:cs="Amiri"/>
          <w:color w:val="111111"/>
          <w:sz w:val="28"/>
          <w:sz w:val="28"/>
          <w:szCs w:val="28"/>
          <w:rtl w:val="true"/>
          <w:lang w:bidi="ar-SA"/>
        </w:rPr>
        <w:t xml:space="preserve">في العامّ وبين الدليل الاجتهادي أو </w:t>
      </w:r>
      <w:r>
        <w:rPr>
          <w:rStyle w:val="FootnoteAnchor"/>
          <w:rtl w:val="true"/>
        </w:rPr>
        <w:footnoteReference w:id="3093"/>
      </w:r>
      <w:r>
        <w:rPr>
          <w:rFonts w:ascii="Amiri" w:hAnsi="Amiri" w:eastAsia="Amiri" w:cs="Amiri"/>
          <w:color w:val="111111"/>
          <w:sz w:val="28"/>
          <w:sz w:val="28"/>
          <w:szCs w:val="28"/>
          <w:rtl w:val="true"/>
          <w:lang w:bidi="ar-SA"/>
        </w:rPr>
        <w:t>ما هو بمنزلته في حكومته على الأصل المعمول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الأظهر إمّا أن يكون مختصّا به نصّا فيه كأن يكون إجماعا مثلا ، أو لا ، فعلى الأوّل فلا إشكال في تقديم الأظهر على الظاهر ، فإنّ الإجماع الدالّ على حجّية الأظهر ووجوب الأخذ به رافع للشكّ في مورد أصالة الحقيقة للقطع بالتخصيص عند وجود ما يصلح له مع القطع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فلأنّ العامّ الدالّ </w:t>
      </w:r>
      <w:r>
        <w:rPr>
          <w:rStyle w:val="FootnoteAnchor"/>
          <w:rtl w:val="true"/>
        </w:rPr>
        <w:footnoteReference w:id="3094"/>
      </w:r>
      <w:r>
        <w:rPr>
          <w:rFonts w:ascii="Amiri" w:hAnsi="Amiri" w:eastAsia="Amiri" w:cs="Amiri"/>
          <w:color w:val="111111"/>
          <w:sz w:val="28"/>
          <w:sz w:val="28"/>
          <w:szCs w:val="28"/>
          <w:rtl w:val="true"/>
          <w:lang w:bidi="ar-SA"/>
        </w:rPr>
        <w:t xml:space="preserve">على حجّية الخاصّ كما في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الأصل فيه مزيل لإعمال الأصل في العامّ الذي تعارض الخاصّ ؛ لأنّ الشكّ في تخصيص المعارض ناش من الشكّ في شمول دليل الحجّية للخاصّ ، وبعد إعمال الأصل في دليل الخاصّ نقطع باعتباره فيحصل القطع بالتخصيص</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آية النبأ تدلّ على حجّية الخاصّ كذلك تدلّ على حجّيته ، فأصالة </w:t>
      </w:r>
    </w:p>
    <w:p>
      <w:pPr>
        <w:pStyle w:val="BookText"/>
        <w:rPr/>
      </w:pPr>
      <w:r>
        <w:rPr>
          <w:rFonts w:ascii="Amiri" w:hAnsi="Amiri" w:eastAsia="Amiri" w:cs="Amiri"/>
          <w:color w:val="111111"/>
          <w:sz w:val="28"/>
          <w:sz w:val="28"/>
          <w:szCs w:val="28"/>
          <w:rtl w:val="true"/>
          <w:lang w:bidi="ar-SA"/>
        </w:rPr>
        <w:t xml:space="preserve">الحقيقة في دليل الحجّية متعارضة ، فإنّ إعمال الأصل في دليل الحجّية بالنسبة إلى الخاصّ يوجب تخصيصه </w:t>
      </w:r>
      <w:r>
        <w:rPr>
          <w:rStyle w:val="FootnoteAnchor"/>
          <w:rtl w:val="true"/>
        </w:rPr>
        <w:footnoteReference w:id="3095"/>
      </w:r>
      <w:r>
        <w:rPr>
          <w:rFonts w:ascii="Amiri" w:hAnsi="Amiri" w:eastAsia="Amiri" w:cs="Amiri"/>
          <w:color w:val="111111"/>
          <w:sz w:val="28"/>
          <w:sz w:val="28"/>
          <w:szCs w:val="28"/>
          <w:rtl w:val="true"/>
          <w:lang w:bidi="ar-SA"/>
        </w:rPr>
        <w:t>بالنسبة إلى العامّ في مورد التخصيص ، وإعمال الأصل فيه بالنسبة إلى مورد التخصيص في العامّ يوجب تخصيصه بالنسبة إلى الخاصّ ، ولا مرجّح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إعمال الأصل بالنسبة إلى الخاصّ أولى ؛ لأنّ بعد ما فرض من شمول العامّ الدالّ على الحجّية للخاصّ لا يبقى لأصالة الحقيقة فيه بالنسبة إلى مورد التخصيص محلّ فكأنّه خارج عن الإرادة في أوّل الأمر ، بخلاف ما إذا أخذنا </w:t>
      </w:r>
      <w:r>
        <w:rPr>
          <w:rStyle w:val="FootnoteAnchor"/>
          <w:rtl w:val="true"/>
        </w:rPr>
        <w:footnoteReference w:id="3096"/>
      </w:r>
      <w:r>
        <w:rPr>
          <w:rFonts w:ascii="Amiri" w:hAnsi="Amiri" w:eastAsia="Amiri" w:cs="Amiri"/>
          <w:color w:val="111111"/>
          <w:sz w:val="28"/>
          <w:sz w:val="28"/>
          <w:szCs w:val="28"/>
          <w:rtl w:val="true"/>
          <w:lang w:bidi="ar-SA"/>
        </w:rPr>
        <w:t xml:space="preserve">بالأصل في دليل الحجّية بالنسبة إلى مورد التخصيص فيلزم تخصيصه بالنسبة إلى الخاصّ من غير مخصّص يقضي </w:t>
      </w:r>
      <w:r>
        <w:rPr>
          <w:rStyle w:val="FootnoteAnchor"/>
          <w:rtl w:val="true"/>
        </w:rPr>
        <w:footnoteReference w:id="3097"/>
      </w:r>
      <w:r>
        <w:rPr>
          <w:rFonts w:ascii="Amiri" w:hAnsi="Amiri" w:eastAsia="Amiri" w:cs="Amiri"/>
          <w:color w:val="111111"/>
          <w:sz w:val="28"/>
          <w:sz w:val="28"/>
          <w:szCs w:val="28"/>
          <w:rtl w:val="true"/>
          <w:lang w:bidi="ar-SA"/>
        </w:rPr>
        <w:t xml:space="preserve">بذلك ؛ لأنّ شموله لمورد </w:t>
      </w:r>
      <w:r>
        <w:rPr>
          <w:rStyle w:val="FootnoteAnchor"/>
          <w:rtl w:val="true"/>
        </w:rPr>
        <w:footnoteReference w:id="3098"/>
      </w:r>
      <w:r>
        <w:rPr>
          <w:rFonts w:ascii="Amiri" w:hAnsi="Amiri" w:eastAsia="Amiri" w:cs="Amiri"/>
          <w:color w:val="111111"/>
          <w:sz w:val="28"/>
          <w:sz w:val="28"/>
          <w:szCs w:val="28"/>
          <w:rtl w:val="true"/>
          <w:lang w:bidi="ar-SA"/>
        </w:rPr>
        <w:t xml:space="preserve">التخصيص لا ينهض قرينة على خروج الخاصّ مثل ما عرفت في استصحابي </w:t>
      </w:r>
      <w:r>
        <w:rPr>
          <w:rStyle w:val="FootnoteAnchor"/>
          <w:rtl w:val="true"/>
        </w:rPr>
        <w:footnoteReference w:id="3099"/>
      </w:r>
      <w:r>
        <w:rPr>
          <w:rFonts w:ascii="Amiri" w:hAnsi="Amiri" w:eastAsia="Amiri" w:cs="Amiri"/>
          <w:color w:val="111111"/>
          <w:sz w:val="28"/>
          <w:sz w:val="28"/>
          <w:szCs w:val="28"/>
          <w:rtl w:val="true"/>
          <w:lang w:bidi="ar-SA"/>
        </w:rPr>
        <w:t>المزيل والمزال ، ومرجع ذلك كلّه إلى نفس الظهور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ما يصلح للصرف معيّنا في أحد المتعارضين ، وأمّا إذا كان ذلك موجودا فيهما كما في العامّين من وجه وما في حكمه فيقضي كلّ واحد منهما بالصرف ، ومع عدم المرجّح لا مجال لإنكار الإجمال ، وما ذكرنا كما يكفي في رفع توهّم الأخذ بأحدهما تعيينا </w:t>
      </w:r>
      <w:r>
        <w:rPr>
          <w:rStyle w:val="FootnoteAnchor"/>
          <w:rtl w:val="true"/>
        </w:rPr>
        <w:footnoteReference w:id="3100"/>
      </w:r>
      <w:r>
        <w:rPr>
          <w:rFonts w:ascii="Amiri" w:hAnsi="Amiri" w:eastAsia="Amiri" w:cs="Amiri"/>
          <w:color w:val="111111"/>
          <w:sz w:val="28"/>
          <w:sz w:val="28"/>
          <w:szCs w:val="28"/>
          <w:rtl w:val="true"/>
          <w:lang w:bidi="ar-SA"/>
        </w:rPr>
        <w:t>في مقام التعارض كذلك يكفي في رفع توهّم التخيير بينهما أيضا ؛ لأنّ مورد التخيير فيما إذا كان الدلالة مفروغا عنها كأن كانت غير محتملة التأويل بحسب الأوضاع والقرائن العرفية واللغوية ، وأمّا عند احتمال التأويل لوجود ما يصلح للصرف فليس من مورد التخيير بوجه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واحد من العامّين من وجه سندا ودلالة ، والدليل قد دلّ على لزوم الأخذ بالسند فيهما وفي دلالتهما ، فالأمر دائر بين طرح دليل السند فعلا </w:t>
      </w:r>
    </w:p>
    <w:p>
      <w:pPr>
        <w:pStyle w:val="BookText"/>
        <w:rPr/>
      </w:pPr>
      <w:r>
        <w:rPr>
          <w:rFonts w:ascii="Amiri" w:hAnsi="Amiri" w:eastAsia="Amiri" w:cs="Amiri"/>
          <w:color w:val="111111"/>
          <w:sz w:val="28"/>
          <w:sz w:val="28"/>
          <w:szCs w:val="28"/>
          <w:rtl w:val="true"/>
          <w:lang w:bidi="ar-SA"/>
        </w:rPr>
        <w:t xml:space="preserve">والحكم بالتخيير وبين طرح دليل الدلالة والحكم بالإجمال ، والثاني أولى ؛ لما قد عرفت من أنّه </w:t>
      </w:r>
      <w:r>
        <w:rPr>
          <w:rStyle w:val="FootnoteAnchor"/>
          <w:rtl w:val="true"/>
        </w:rPr>
        <w:footnoteReference w:id="3101"/>
      </w:r>
      <w:r>
        <w:rPr>
          <w:rFonts w:ascii="Amiri" w:hAnsi="Amiri" w:eastAsia="Amiri" w:cs="Amiri"/>
          <w:color w:val="111111"/>
          <w:sz w:val="28"/>
          <w:sz w:val="28"/>
          <w:szCs w:val="28"/>
          <w:rtl w:val="true"/>
          <w:lang w:bidi="ar-SA"/>
        </w:rPr>
        <w:t xml:space="preserve">بمنزلة الدليل الاجتهادي ، ونظير ذلك في الرواية الواحدة إذا لم يمكن حملها على مدلولها الحقيقي مع تعدّد وجوه المجاز وتساويها </w:t>
      </w:r>
      <w:r>
        <w:rPr>
          <w:rStyle w:val="FootnoteAnchor"/>
          <w:rtl w:val="true"/>
        </w:rPr>
        <w:footnoteReference w:id="3102"/>
      </w:r>
      <w:r>
        <w:rPr>
          <w:rFonts w:ascii="Amiri" w:hAnsi="Amiri" w:eastAsia="Amiri" w:cs="Amiri"/>
          <w:color w:val="111111"/>
          <w:sz w:val="28"/>
          <w:sz w:val="28"/>
          <w:szCs w:val="28"/>
          <w:rtl w:val="true"/>
          <w:lang w:bidi="ar-SA"/>
        </w:rPr>
        <w:t>في القرب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المقام والمتباينين حيث حكمنا فيهما بالتخيير دون المقام هو أنّ وجه التصرّف فيهما منحصر في التصرّف في السند ؛ لعدم إمكان التصرّف الدلالتي فيهما ، لانتفاء ما يقضي به من القرينة الصارفة ، بخلاف المقام فإنّ وجه التصرّف في الدلالة ممكن </w:t>
      </w:r>
      <w:r>
        <w:rPr>
          <w:rStyle w:val="FootnoteAnchor"/>
          <w:rtl w:val="true"/>
        </w:rPr>
        <w:footnoteReference w:id="3103"/>
      </w:r>
      <w:r>
        <w:rPr>
          <w:rFonts w:ascii="Amiri" w:hAnsi="Amiri" w:eastAsia="Amiri" w:cs="Amiri"/>
          <w:color w:val="111111"/>
          <w:sz w:val="28"/>
          <w:sz w:val="28"/>
          <w:szCs w:val="28"/>
          <w:rtl w:val="true"/>
          <w:lang w:bidi="ar-SA"/>
        </w:rPr>
        <w:t xml:space="preserve">أيضا مع الأولوية فكأنّ السند فيهما مفروض الصدور والتنافي إنّما هو بين الدلالتين ، فيحكم </w:t>
      </w:r>
      <w:r>
        <w:rPr>
          <w:rStyle w:val="FootnoteAnchor"/>
          <w:rtl w:val="true"/>
        </w:rPr>
        <w:footnoteReference w:id="3104"/>
      </w:r>
      <w:r>
        <w:rPr>
          <w:rFonts w:ascii="Amiri" w:hAnsi="Amiri" w:eastAsia="Amiri" w:cs="Amiri"/>
          <w:color w:val="111111"/>
          <w:sz w:val="28"/>
          <w:sz w:val="28"/>
          <w:szCs w:val="28"/>
          <w:rtl w:val="true"/>
          <w:lang w:bidi="ar-SA"/>
        </w:rPr>
        <w:t xml:space="preserve">بالإجمال فيتوقّف في الحكم ويرجع في العمل إلى أصل عملي مطابق لأحدهما ، وعلى تقدير انتفائه فإن استفدنا منهما نفي الثالث فلا بدّ من التخيير العقلي بين الاحتمالين وإلاّ فالمرجع أصل </w:t>
      </w:r>
      <w:r>
        <w:rPr>
          <w:rStyle w:val="FootnoteAnchor"/>
          <w:rtl w:val="true"/>
        </w:rPr>
        <w:footnoteReference w:id="3105"/>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الاستناد </w:t>
      </w:r>
      <w:r>
        <w:rPr>
          <w:rStyle w:val="FootnoteAnchor"/>
          <w:rtl w:val="true"/>
        </w:rPr>
        <w:footnoteReference w:id="3106"/>
      </w:r>
      <w:r>
        <w:rPr>
          <w:rFonts w:ascii="Amiri" w:hAnsi="Amiri" w:eastAsia="Amiri" w:cs="Amiri"/>
          <w:color w:val="111111"/>
          <w:sz w:val="28"/>
          <w:sz w:val="28"/>
          <w:szCs w:val="28"/>
          <w:rtl w:val="true"/>
          <w:lang w:bidi="ar-SA"/>
        </w:rPr>
        <w:t xml:space="preserve">للوجه الثاني بإطلاق أدلّة التخيير عند التعارض بعد انقطاع اليد عمّا يصلح مرجّحا لأحدهما ، وربّما يمكن دعوى مساعدة العرف على ذلك أيضا ، إلاّ أنّه لا يخلو عن إشكال فإنّ موارد التميز مختفية </w:t>
      </w:r>
      <w:r>
        <w:rPr>
          <w:rStyle w:val="FootnoteAnchor"/>
          <w:rtl w:val="true"/>
        </w:rPr>
        <w:footnoteReference w:id="3107"/>
      </w:r>
      <w:r>
        <w:rPr>
          <w:rFonts w:ascii="IRNazanin" w:hAnsi="IRNazanin" w:eastAsia="IRNazanin"/>
          <w:color w:val="111111"/>
          <w:sz w:val="28"/>
          <w:sz w:val="28"/>
          <w:szCs w:val="28"/>
          <w:rtl w:val="true"/>
          <w:lang w:bidi="fa-IR"/>
        </w:rPr>
        <w:t xml:space="preserve">غالبا فإنّها سهل عسر </w:t>
      </w:r>
      <w:r>
        <w:rPr>
          <w:rStyle w:val="FootnoteAnchor"/>
          <w:rtl w:val="true"/>
        </w:rPr>
        <w:footnoteReference w:id="3108"/>
      </w:r>
      <w:r>
        <w:rPr>
          <w:rFonts w:ascii="Amiri" w:hAnsi="Amiri" w:eastAsia="Amiri" w:cs="Amiri"/>
          <w:color w:val="111111"/>
          <w:sz w:val="28"/>
          <w:sz w:val="28"/>
          <w:szCs w:val="28"/>
          <w:rtl w:val="true"/>
          <w:lang w:bidi="ar-SA"/>
        </w:rPr>
        <w:t xml:space="preserve">كما لا يخفى ، ومنه يظهر وجه التفصيل بعد ما عرفت وجه الأوّل أيضا ولعلّه الأقرب أيضا ، فإنّ مساعدة العرف على التخيير فيما هو بمنزلة العامّين من وجه لا يخلو من </w:t>
      </w:r>
      <w:r>
        <w:rPr>
          <w:rStyle w:val="FootnoteAnchor"/>
          <w:rtl w:val="true"/>
        </w:rPr>
        <w:footnoteReference w:id="3109"/>
      </w:r>
      <w:r>
        <w:rPr>
          <w:rFonts w:ascii="Amiri" w:hAnsi="Amiri" w:eastAsia="Amiri" w:cs="Amiri"/>
          <w:color w:val="111111"/>
          <w:sz w:val="28"/>
          <w:sz w:val="28"/>
          <w:szCs w:val="28"/>
          <w:rtl w:val="true"/>
          <w:lang w:bidi="ar-SA"/>
        </w:rPr>
        <w:t xml:space="preserve">قوّة ، وأمّا فيهما فالتخيير بعيد في الغاية ، سيّما بعد ملاحظة أنّ التخيير في العامّين من وجه يوجب التفكيك في السند ، فإنّ في غير مورد التعارض لا وجه للتخيير فلا بدّ من الحكم بصدورهما في غيره وترتيب </w:t>
      </w:r>
      <w:r>
        <w:rPr>
          <w:rStyle w:val="FootnoteAnchor"/>
          <w:rtl w:val="true"/>
        </w:rPr>
        <w:footnoteReference w:id="3110"/>
      </w:r>
      <w:r>
        <w:rPr>
          <w:rFonts w:ascii="Amiri" w:hAnsi="Amiri" w:eastAsia="Amiri" w:cs="Amiri"/>
          <w:color w:val="111111"/>
          <w:sz w:val="28"/>
          <w:sz w:val="28"/>
          <w:szCs w:val="28"/>
          <w:rtl w:val="true"/>
          <w:lang w:bidi="ar-SA"/>
        </w:rPr>
        <w:t xml:space="preserve">آثار الصدور ، وفي محلّ التعارض لا بدّ من طرح </w:t>
      </w:r>
    </w:p>
    <w:p>
      <w:pPr>
        <w:pStyle w:val="BookText"/>
        <w:rPr/>
      </w:pPr>
      <w:r>
        <w:rPr>
          <w:rFonts w:ascii="Amiri" w:hAnsi="Amiri" w:eastAsia="Amiri" w:cs="Amiri"/>
          <w:color w:val="111111"/>
          <w:sz w:val="28"/>
          <w:sz w:val="28"/>
          <w:szCs w:val="28"/>
          <w:rtl w:val="true"/>
          <w:lang w:bidi="ar-SA"/>
        </w:rPr>
        <w:t xml:space="preserve">أحدهما ، وهذا وإن كان غير عزيز في الأحكام الشرعية الظاهرية إلاّ أنّ الالتزام به في الأوامر العرفية مستهجن في النهاية ومستبعد في الغاية ، وذلك بخلاف ما في حكم العامّين من وجه فإنّه لا استبعاد في التخيير بينهما ، مضافا إلى أنّ صلاحية الصرف في العامّين </w:t>
      </w:r>
      <w:r>
        <w:rPr>
          <w:rStyle w:val="FootnoteAnchor"/>
          <w:rtl w:val="true"/>
        </w:rPr>
        <w:footnoteReference w:id="3111"/>
      </w:r>
      <w:r>
        <w:rPr>
          <w:rFonts w:ascii="Amiri" w:hAnsi="Amiri" w:eastAsia="Amiri" w:cs="Amiri"/>
          <w:color w:val="111111"/>
          <w:sz w:val="28"/>
          <w:sz w:val="28"/>
          <w:szCs w:val="28"/>
          <w:rtl w:val="true"/>
          <w:lang w:bidi="ar-SA"/>
        </w:rPr>
        <w:t>في كلّ واحد منهما بالنسبة إلى الآخر لعلّها أقوى من الصلاحية في غيرهما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الكلام في المراتب الثلاثة المتقدّمة ولكنّه مقصور في الأدلّة الناهضة في الأحكام ، وأمّا الجمع بين الأمارات القائمة على الموضوعات الخارجية كما إذا تعارضت البيّنتان فلوجوب الجمع بينهما بالحكم بالتنصيف ونحوه ، وعدمه محلّ آخر يطلب منه </w:t>
      </w:r>
      <w:r>
        <w:rPr>
          <w:rStyle w:val="FootnoteAnchor"/>
          <w:rtl w:val="true"/>
        </w:rPr>
        <w:footnoteReference w:id="3112"/>
      </w: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إجماله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الأمارتان في حقّ من حقوق الناس فهل يحكم بالتساقط والرجوع إلى أمارة أخرى ، أو يجمع بينهما حيث ما يمكن الجمع بينهما؟ فإذا شهد عندك عدلان بأنّ الملك الفلاني لزيد وشهد آخران بأنّ المشهود عليه لعمرو فهل يحكم بالتنصيف بينهما ، أو لا؟ الظاهر هو الأوّل ، بل عليه جماعة من الفحول </w:t>
      </w:r>
      <w:r>
        <w:rPr>
          <w:rStyle w:val="FootnoteAnchor"/>
          <w:rtl w:val="true"/>
        </w:rPr>
        <w:footnoteReference w:id="3113"/>
      </w:r>
      <w:r>
        <w:rPr>
          <w:rFonts w:ascii="Amiri" w:hAnsi="Amiri" w:eastAsia="Amiri" w:cs="Amiri"/>
          <w:color w:val="111111"/>
          <w:sz w:val="28"/>
          <w:sz w:val="28"/>
          <w:szCs w:val="28"/>
          <w:rtl w:val="true"/>
          <w:lang w:bidi="ar-SA"/>
        </w:rPr>
        <w:t>فإنّ فيه إعمالا للأمارتين وتصديقا للبيّنتين في الجملة ، بخلاف القول بالتساقط ؛ إذ لا تصديق فيه أصلا مع أنّه من الأمور الواجبة ، والأخذ بأحدهما بالكلّية تضييع لحقّ الآخر بالكلّية ، ولعلّه يساعده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الجمع في المقام غير الجمع في الأدلّة ؛ إذ كما عرفت أنّ الجمع هناك عبارة عن صرف أحد الظاهرين بقرينة ظهور الآخر ، بل المراد بالجمع هو التنصيف</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بهذا الوجه يوجب المخالفة القطعية بالنسبة إلى غير من له الحقّ ، بخلاف الحكم لأحدهما فإنّه يوجب المخالفة الاحتمالية ؛ إذ كما يحتمل أن يكون </w:t>
      </w:r>
    </w:p>
    <w:p>
      <w:pPr>
        <w:pStyle w:val="BookText"/>
        <w:rPr/>
      </w:pPr>
      <w:r>
        <w:rPr>
          <w:rFonts w:ascii="Amiri" w:hAnsi="Amiri" w:eastAsia="Amiri" w:cs="Amiri"/>
          <w:color w:val="111111"/>
          <w:sz w:val="28"/>
          <w:sz w:val="28"/>
          <w:szCs w:val="28"/>
          <w:rtl w:val="true"/>
          <w:lang w:bidi="ar-SA"/>
        </w:rPr>
        <w:t xml:space="preserve">لغير من له الحقّ يحتمل أن يكون له </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التنصيف كما يوجب المخالفة القطعية يوجب الموافقة القطعية فالأمر دائر بين تحصيل الموافقة الاحتمالية في الكلّ وإن استلزم مخالفة احتمالية كذلك ، أو تحصيل الموافقة القطعية في البعض وإن استلزم المخالفة القطعية كذلك ، ولا يبعد ترجيح الأخير على الأوّل في كلّ ما للبعض أثر أيضا كما في حقوق الناس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الجمع بين الدليلين على اختلاف أقسامه ، وقد عرفت أنّ الجمع فيما يجب الجمع إنّما هو موافق للقواعد ، وفيما لا يجب لا دليل على الجمع من الخارج أيضا ، وأمّا موارد التخيير فحيثما لا يمكن الجمع مع الانقطاع عن المرجّحات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بعضهم </w:t>
      </w:r>
      <w:r>
        <w:rPr>
          <w:rStyle w:val="FootnoteAnchor"/>
          <w:rtl w:val="true"/>
        </w:rPr>
        <w:footnoteReference w:id="3115"/>
      </w:r>
      <w:r>
        <w:rPr>
          <w:rFonts w:ascii="Amiri" w:hAnsi="Amiri" w:eastAsia="Amiri" w:cs="Amiri"/>
          <w:color w:val="111111"/>
          <w:sz w:val="28"/>
          <w:sz w:val="28"/>
          <w:szCs w:val="28"/>
          <w:rtl w:val="true"/>
          <w:lang w:bidi="ar-SA"/>
        </w:rPr>
        <w:t xml:space="preserve">في بعض موارد التعارض في العامّين من وجه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بخرء الطير </w:t>
      </w:r>
      <w:r>
        <w:rPr>
          <w:rFonts w:eastAsia="Amiri" w:cs="Amiri" w:ascii="Amiri" w:hAnsi="Amiri"/>
          <w:color w:val="111111"/>
          <w:sz w:val="28"/>
          <w:szCs w:val="28"/>
          <w:rtl w:val="true"/>
          <w:lang w:bidi="ar-SA"/>
        </w:rPr>
        <w:t xml:space="preserve">» </w:t>
      </w:r>
      <w:r>
        <w:rPr>
          <w:rStyle w:val="FootnoteAnchor"/>
          <w:rtl w:val="true"/>
        </w:rPr>
        <w:footnoteReference w:id="3116"/>
      </w:r>
      <w:r>
        <w:rPr>
          <w:rFonts w:ascii="Amiri" w:hAnsi="Amiri" w:eastAsia="Amiri" w:cs="Amiri"/>
          <w:color w:val="111111"/>
          <w:sz w:val="28"/>
          <w:sz w:val="28"/>
          <w:szCs w:val="28"/>
          <w:rtl w:val="true"/>
          <w:lang w:bidi="ar-SA"/>
        </w:rPr>
        <w:t xml:space="preserve">إعمال المرجّحات الصدورية ، وقال بالتخيير فيهما بعد الانقطاع إلاّ فيما قام الإجماع </w:t>
      </w:r>
      <w:r>
        <w:rPr>
          <w:rStyle w:val="FootnoteAnchor"/>
          <w:rtl w:val="true"/>
        </w:rPr>
        <w:footnoteReference w:id="3117"/>
      </w:r>
      <w:r>
        <w:rPr>
          <w:rFonts w:ascii="Amiri" w:hAnsi="Amiri" w:eastAsia="Amiri" w:cs="Amiri"/>
          <w:color w:val="111111"/>
          <w:sz w:val="28"/>
          <w:sz w:val="28"/>
          <w:szCs w:val="28"/>
          <w:rtl w:val="true"/>
          <w:lang w:bidi="ar-SA"/>
        </w:rPr>
        <w:t>على عدم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فإنّ عدم الحكم بالتخيير في موارد تعارض العامّين من وجه ليس مخالفا للقواعد حتّى يحتاج في دفعه إلى دليل خارجي من إجماع ونحوه ، بل لا محلّ للتخيير فيهما كما هو ظاهر ممّا مرّ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قرّرنا يظهر أيضا فيما إذا تعارض جهة الصدور في الخاصّ والعامّ ، وهكذا باقي الأقسام ، واللّه الموفّق وهو الهادي</w:t>
      </w:r>
      <w:r>
        <w:rPr>
          <w:rFonts w:eastAsia="Amiri" w:cs="Amiri" w:ascii="Amiri" w:hAnsi="Amiri"/>
          <w:color w:val="111111"/>
          <w:sz w:val="28"/>
          <w:szCs w:val="28"/>
          <w:rtl w:val="true"/>
          <w:lang w:bidi="ar-SA"/>
        </w:rPr>
        <w:t xml:space="preserve">. </w:t>
      </w:r>
      <w:bookmarkStart w:id="340" w:name="pg16284_171537"/>
    </w:p>
    <w:p>
      <w:pPr>
        <w:pStyle w:val="Heading3"/>
        <w:numPr>
          <w:ilvl w:val="2"/>
          <w:numId w:val="1"/>
        </w:numPr>
        <w:rPr/>
      </w:pPr>
      <w:bookmarkStart w:id="341" w:name="__RefHeading___Toc5012234_1280447820"/>
      <w:bookmarkStart w:id="342" w:name="_Toc106"/>
      <w:bookmarkEnd w:id="340"/>
      <w:bookmarkEnd w:id="341"/>
      <w:r>
        <w:rPr>
          <w:rtl w:val="true"/>
        </w:rPr>
        <w:t xml:space="preserve">هداية </w:t>
      </w:r>
      <w:r>
        <w:rPr>
          <w:rtl w:val="true"/>
        </w:rPr>
        <w:t xml:space="preserve">[ </w:t>
      </w:r>
      <w:r>
        <w:rPr>
          <w:rtl w:val="true"/>
        </w:rPr>
        <w:t xml:space="preserve">في المرجّحات الدلالية </w:t>
      </w:r>
      <w:r>
        <w:rPr>
          <w:rtl w:val="true"/>
        </w:rPr>
        <w:t>]</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المرجّحات الدلالية </w:t>
      </w:r>
      <w:r>
        <w:rPr>
          <w:rFonts w:eastAsia="Amiri" w:cs="Amiri" w:ascii="Amiri" w:hAnsi="Amiri"/>
          <w:color w:val="111111"/>
          <w:sz w:val="28"/>
          <w:szCs w:val="28"/>
          <w:rtl w:val="true"/>
          <w:lang w:bidi="ar-SA"/>
        </w:rPr>
        <w:t xml:space="preserve">] </w:t>
      </w:r>
      <w:r>
        <w:rPr>
          <w:rStyle w:val="FootnoteAnchor"/>
          <w:rtl w:val="true"/>
        </w:rPr>
        <w:footnoteReference w:id="3118"/>
      </w:r>
    </w:p>
    <w:p>
      <w:pPr>
        <w:pStyle w:val="BookText"/>
        <w:rPr/>
      </w:pPr>
      <w:r>
        <w:rPr>
          <w:rFonts w:ascii="Amiri" w:hAnsi="Amiri" w:eastAsia="Amiri" w:cs="Amiri"/>
          <w:color w:val="111111"/>
          <w:sz w:val="28"/>
          <w:sz w:val="28"/>
          <w:szCs w:val="28"/>
          <w:rtl w:val="true"/>
          <w:lang w:bidi="ar-SA"/>
        </w:rPr>
        <w:t xml:space="preserve">في بيان الوجوه التي يقع الترجيح بها 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من حيث الصدور كتقديم ما رواه الأعدل أو الأورع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من حيث جهة الصدور فيحكم بتقديم ما لا يحتمل إلاّ الفتوى على ما يحتمل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من حيث المتن فيقدّم ما هو متنه أفصح على غيره نظرا إلى أنّ احتمال صدوره أقرب من الآخر ، فيرجع إذا إلى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من حيث الدلالة كالحكم بتقديم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من رجوع الثالث إلى الأوّل فالضابط أنّ وجوه الترجيح يختلف باختلاف وجوه التعارض ، وهو قد يكون في السند ، وقد يكون في وجه الصدور ، وقد يكون في الدلالة ، فإنّ ما هو المناط في دليلية الأدلّة اللفظية هو إحراز هذه الجهات في الدليل كما مرّ غير مرّة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المرجّحات التي بها يترجّح أحد الدليلين على الآخر دلالة ، فتحقيقه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الكبرى في ذلك مفروغ عنها وهو الحكم بتقديم الأظهر في أيّ مرتبة كانت على الظاهر كذلك ، بعد ما هو المعهود من أنّ مناط الدلالة في الألفاظ على </w:t>
      </w:r>
    </w:p>
    <w:p>
      <w:pPr>
        <w:pStyle w:val="BookText"/>
        <w:rPr/>
      </w:pPr>
      <w:r>
        <w:rPr>
          <w:rFonts w:ascii="Amiri" w:hAnsi="Amiri" w:eastAsia="Amiri" w:cs="Amiri"/>
          <w:color w:val="111111"/>
          <w:sz w:val="28"/>
          <w:sz w:val="28"/>
          <w:szCs w:val="28"/>
          <w:rtl w:val="true"/>
          <w:lang w:bidi="ar-SA"/>
        </w:rPr>
        <w:t xml:space="preserve">الظهور والأخذ بأصالة الحقيقة ما لم يوجد ما يصلح لأن يكون قرينة صارفة للظهور في طرف الأصل ، وأمّا بعد وجود ما يصلح لذلك فالمعهود من طريقة أهل اللسان التي هي المرجع في باب الألفاظ وكشف القناع عن وجوه المرادات هو الأخذ بذلك ، ولا غائلة في ذلك بوجه ، إنّما الكلام في تميّز موارده وتشخيص الصغريات ، وهو في غاية الإشكال ؛ إذ ما من أمر يرجع فيه إلى العرف إلاّ وفيه أمور خفيّة لا يكاد يطمئنّ الناظر في إلحاقها بأحد الطرفين ، فيلحق بالمجملات لمكان التردّد فيها ، ومع ذلك فقد تكلّفوا لبيان هذه الموارد تفصيلا وعقدوا لذلك بابا سمّوه بباب تعارض الأحوال من وجوه التصرّف في أحد الظاهرين على وجه يندفع به التعارض بينهما ، وهي أمور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 والإضمار ، والمجاز ، والتخصيص ، والتقييد ، فإنّ تعارض الدليلين بحسب الدلالة يرجع إلى تعارض أحد هذه الوجوه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التعارض قد يقع بين نوع واحد منها كتعارض التخصيص بمثله والمجاز كذلك كالتقييد والإضمار مثلا ، وقد يكون بين أفراد نوعين منها وهو قد يكون ثنائيا ، وقد يكون ثلاثيا ، وقد يكون رباعيا ، وقد يكون خماسيا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نتعرّض لأحكام التعارض الثنائي ويعلم أحكام البواقي منها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التعارض بين نوعين منها فإذا وقع التعارض بين النسخ وغيره ، فالظاهر تأخّر النسخ عن غيره ؛ لأنّ الغالب هو عدم النسخ حتّى بالنسبة إلى الإضمار أيضا ، إلاّ أنّه قد يمكن أن يكون في خصوص مورد يحكم فيه بتقديم النسخ على غيره مطلقا لخصوصية في نفس ذلك المقام لا تتعدّاه ؛ لما عرفت من أنّ </w:t>
      </w:r>
      <w:r>
        <w:rPr>
          <w:rStyle w:val="FootnoteAnchor"/>
          <w:rtl w:val="true"/>
        </w:rPr>
        <w:footnoteReference w:id="3119"/>
      </w:r>
      <w:r>
        <w:rPr>
          <w:rFonts w:ascii="Amiri" w:hAnsi="Amiri" w:eastAsia="Amiri" w:cs="Amiri"/>
          <w:color w:val="111111"/>
          <w:sz w:val="28"/>
          <w:sz w:val="28"/>
          <w:szCs w:val="28"/>
          <w:rtl w:val="true"/>
          <w:lang w:bidi="ar-SA"/>
        </w:rPr>
        <w:t>المعيار هو الظهور العرفي</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وقع التعارض بين المجاز والتخصيص فالمعروف بينهم تقديم الثاني ؛ لأنّ العرف يساعد على التقديم في الغالب للغلبة ، ولست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بالنسبة إلى سائر أنواع المجازات المعمولة في الحقائق أغلب ، ولأنّ أغلب العمومات مخصّصة كما يظهر </w:t>
      </w:r>
    </w:p>
    <w:p>
      <w:pPr>
        <w:pStyle w:val="BookText"/>
        <w:rPr/>
      </w:pPr>
      <w:r>
        <w:rPr>
          <w:rFonts w:ascii="IRNazanin" w:hAnsi="IRNazanin" w:eastAsia="IRNazanin"/>
          <w:color w:val="111111"/>
          <w:sz w:val="28"/>
          <w:sz w:val="28"/>
          <w:szCs w:val="28"/>
          <w:rtl w:val="true"/>
          <w:lang w:bidi="fa-IR"/>
        </w:rPr>
        <w:t xml:space="preserve">من بعضهم </w:t>
      </w:r>
      <w:r>
        <w:rPr>
          <w:rStyle w:val="FootnoteAnchor"/>
          <w:rtl w:val="true"/>
        </w:rPr>
        <w:footnoteReference w:id="3120"/>
      </w:r>
      <w:r>
        <w:rPr>
          <w:rFonts w:ascii="Amiri" w:hAnsi="Amiri" w:eastAsia="Amiri" w:cs="Amiri"/>
          <w:color w:val="111111"/>
          <w:sz w:val="28"/>
          <w:sz w:val="28"/>
          <w:szCs w:val="28"/>
          <w:rtl w:val="true"/>
          <w:lang w:bidi="ar-SA"/>
        </w:rPr>
        <w:t xml:space="preserve">لفساد الأوّل قطعا والحكم بتقديم التخصيص فيما لو دار الأمر بينه وبين المجاز ولو في كلمة أخرى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 التخصيص في العامّ أكثر من ارتكاب سائر أنواع المجاز في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غير زيد من العلماء ونحوه أكثر من إرادة الرجل الشجاع من الأسد ، فلو دار الأمر بين ارتكاب نوع من المجاز في العامّ أو في غيره وبين التخصيص فيحكم بالثاني ، وهذه الغلبة مسلّمة في الواقع وتصير منشأ للظهور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تعارض التخصيص والتقييد فالمعروف بينهم </w:t>
      </w:r>
      <w:r>
        <w:rPr>
          <w:rStyle w:val="FootnoteAnchor"/>
          <w:rtl w:val="true"/>
        </w:rPr>
        <w:footnoteReference w:id="3121"/>
      </w:r>
      <w:r>
        <w:rPr>
          <w:rFonts w:ascii="Amiri" w:hAnsi="Amiri" w:eastAsia="Amiri" w:cs="Amiri"/>
          <w:color w:val="111111"/>
          <w:sz w:val="28"/>
          <w:sz w:val="28"/>
          <w:szCs w:val="28"/>
          <w:rtl w:val="true"/>
          <w:lang w:bidi="ar-SA"/>
        </w:rPr>
        <w:t xml:space="preserve">تقديم الثاني ، وتحقيق المقام إنّما يظهر بعد ما هو التحقيق في مسألة </w:t>
      </w:r>
      <w:r>
        <w:rPr>
          <w:rStyle w:val="FootnoteAnchor"/>
          <w:rtl w:val="true"/>
        </w:rPr>
        <w:footnoteReference w:id="3122"/>
      </w:r>
      <w:r>
        <w:rPr>
          <w:rFonts w:ascii="Amiri" w:hAnsi="Amiri" w:eastAsia="Amiri" w:cs="Amiri"/>
          <w:color w:val="111111"/>
          <w:sz w:val="28"/>
          <w:sz w:val="28"/>
          <w:szCs w:val="28"/>
          <w:rtl w:val="true"/>
          <w:lang w:bidi="ar-SA"/>
        </w:rPr>
        <w:t>الإطلاق والتقييد ولا بأس بإشارة إجمالية إليها تتميما للمطلب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وقفنا عليه في تضاعيف كلماتهم أنّ الإطلاق والتقييد إنّما يعتبران على وجوه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الإطلاق من حيث ملاحظة الأحوال على وجه لا يعدّ الأحوال المختلفة المقارنة </w:t>
      </w:r>
      <w:r>
        <w:rPr>
          <w:rStyle w:val="FootnoteAnchor"/>
          <w:rtl w:val="true"/>
        </w:rPr>
        <w:footnoteReference w:id="3123"/>
      </w:r>
      <w:r>
        <w:rPr>
          <w:rFonts w:ascii="Amiri" w:hAnsi="Amiri" w:eastAsia="Amiri" w:cs="Amiri"/>
          <w:color w:val="111111"/>
          <w:sz w:val="28"/>
          <w:sz w:val="28"/>
          <w:szCs w:val="28"/>
          <w:rtl w:val="true"/>
          <w:lang w:bidi="ar-SA"/>
        </w:rPr>
        <w:t xml:space="preserve">للمطلق من أفراده كما في إطلاق الأمر بالنسبة إلى الحالات التي يقع المأمور والمأمور به فيها ، فإنّ تلك الحالات لا يعقل أن تكون </w:t>
      </w:r>
      <w:r>
        <w:rPr>
          <w:rStyle w:val="FootnoteAnchor"/>
          <w:rtl w:val="true"/>
        </w:rPr>
        <w:footnoteReference w:id="3124"/>
      </w:r>
      <w:r>
        <w:rPr>
          <w:rFonts w:ascii="Amiri" w:hAnsi="Amiri" w:eastAsia="Amiri" w:cs="Amiri"/>
          <w:color w:val="111111"/>
          <w:sz w:val="28"/>
          <w:sz w:val="28"/>
          <w:szCs w:val="28"/>
          <w:rtl w:val="true"/>
          <w:lang w:bidi="ar-SA"/>
        </w:rPr>
        <w:t xml:space="preserve">من أفراد الطلب ولكن يعتبر إطلاق الأمر وتقييده بالنسبة إليها ، مثلا يحكم بإطلاق الطلب ويؤخذ فيما شكّ في تقييده بوقوع حادثة وعدمه مع ظهور أنّ الصادر من الآمر من </w:t>
      </w:r>
      <w:r>
        <w:rPr>
          <w:rStyle w:val="FootnoteAnchor"/>
          <w:rtl w:val="true"/>
        </w:rPr>
        <w:footnoteReference w:id="3125"/>
      </w:r>
      <w:r>
        <w:rPr>
          <w:rFonts w:ascii="Amiri" w:hAnsi="Amiri" w:eastAsia="Amiri" w:cs="Amiri"/>
          <w:color w:val="111111"/>
          <w:sz w:val="28"/>
          <w:sz w:val="28"/>
          <w:szCs w:val="28"/>
          <w:rtl w:val="true"/>
          <w:lang w:bidi="ar-SA"/>
        </w:rPr>
        <w:t>الإرادة الجازمة التي كشف عنها باستعمال الأمر فيها أمر واحد شخصي يمتنع فرض صدقه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تلك التقييدات راجعة إلى المطلوب فيمكن أن يكون الطبيعة المطلوبة تختلف أفرادها بواسطة احتفاف </w:t>
      </w:r>
      <w:r>
        <w:rPr>
          <w:rStyle w:val="FootnoteAnchor"/>
          <w:rtl w:val="true"/>
        </w:rPr>
        <w:footnoteReference w:id="3126"/>
      </w:r>
      <w:r>
        <w:rPr>
          <w:rFonts w:ascii="Amiri" w:hAnsi="Amiri" w:eastAsia="Amiri" w:cs="Amiri"/>
          <w:color w:val="111111"/>
          <w:sz w:val="28"/>
          <w:sz w:val="28"/>
          <w:szCs w:val="28"/>
          <w:rtl w:val="true"/>
          <w:lang w:bidi="ar-SA"/>
        </w:rPr>
        <w:t xml:space="preserve">تلك الحالات بها وانضمامها إليها ، </w:t>
      </w:r>
    </w:p>
    <w:p>
      <w:pPr>
        <w:pStyle w:val="BookText"/>
        <w:rPr/>
      </w:pPr>
      <w:r>
        <w:rPr>
          <w:rFonts w:ascii="Amiri" w:hAnsi="Amiri" w:eastAsia="Amiri" w:cs="Amiri"/>
          <w:color w:val="111111"/>
          <w:sz w:val="28"/>
          <w:sz w:val="28"/>
          <w:szCs w:val="28"/>
          <w:rtl w:val="true"/>
          <w:lang w:bidi="ar-SA"/>
        </w:rPr>
        <w:t>إلاّ أنّ ذلك لعلّه ممّا لا يساعده كلماتهم وإن كان مطابقا لما حقّقناه في مباحث المتقدّمة ، وإن شئت التفصيل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الإطلاق من حيث ملاحظة التعيّنات المتبادلة والتشخّصات </w:t>
      </w:r>
      <w:r>
        <w:rPr>
          <w:rStyle w:val="FootnoteAnchor"/>
          <w:rtl w:val="true"/>
        </w:rPr>
        <w:footnoteReference w:id="3127"/>
      </w:r>
      <w:r>
        <w:rPr>
          <w:rFonts w:ascii="Amiri" w:hAnsi="Amiri" w:eastAsia="Amiri" w:cs="Amiri"/>
          <w:color w:val="111111"/>
          <w:sz w:val="28"/>
          <w:sz w:val="28"/>
          <w:szCs w:val="28"/>
          <w:rtl w:val="true"/>
          <w:lang w:bidi="ar-SA"/>
        </w:rPr>
        <w:t xml:space="preserve">المتعاقبة ، كما يلاحظ في إطلاق الفرد المنتشر والنكرة </w:t>
      </w:r>
      <w:r>
        <w:rPr>
          <w:rStyle w:val="FootnoteAnchor"/>
          <w:rtl w:val="true"/>
        </w:rPr>
        <w:footnoteReference w:id="3128"/>
      </w:r>
      <w:r>
        <w:rPr>
          <w:rFonts w:ascii="Amiri" w:hAnsi="Amiri" w:eastAsia="Amiri" w:cs="Amiri"/>
          <w:color w:val="111111"/>
          <w:sz w:val="28"/>
          <w:sz w:val="28"/>
          <w:szCs w:val="28"/>
          <w:rtl w:val="true"/>
          <w:lang w:bidi="ar-SA"/>
        </w:rPr>
        <w:t xml:space="preserve">بالنسبة إلى خصوصيات أفراد </w:t>
      </w:r>
      <w:r>
        <w:rPr>
          <w:rStyle w:val="FootnoteAnchor"/>
          <w:rtl w:val="true"/>
        </w:rPr>
        <w:footnoteReference w:id="3129"/>
      </w:r>
      <w:r>
        <w:rPr>
          <w:rFonts w:ascii="Amiri" w:hAnsi="Amiri" w:eastAsia="Amiri" w:cs="Amiri"/>
          <w:color w:val="111111"/>
          <w:sz w:val="28"/>
          <w:sz w:val="28"/>
          <w:szCs w:val="28"/>
          <w:rtl w:val="true"/>
          <w:lang w:bidi="ar-SA"/>
        </w:rPr>
        <w:t>الطبيعة التي قيّدت بالفردية المحتملة على وجه لا يضرّ في ذلك اختلاف التعيّنات الطارئة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الإطلاق بالنسبة إلى الطبيعة المرسلة التي ليست في نفسها إلاّ نفسها محذوفا عنها جميع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هذين الوجهين ظاهر ؛ إذ هما بعد اشتراكهما </w:t>
      </w:r>
      <w:r>
        <w:rPr>
          <w:rStyle w:val="FootnoteAnchor"/>
          <w:rtl w:val="true"/>
        </w:rPr>
        <w:footnoteReference w:id="3130"/>
      </w:r>
      <w:r>
        <w:rPr>
          <w:rFonts w:ascii="Amiri" w:hAnsi="Amiri" w:eastAsia="Amiri" w:cs="Amiri"/>
          <w:color w:val="111111"/>
          <w:sz w:val="28"/>
          <w:sz w:val="28"/>
          <w:szCs w:val="28"/>
          <w:rtl w:val="true"/>
          <w:lang w:bidi="ar-SA"/>
        </w:rPr>
        <w:t xml:space="preserve">في أنّ الإطلاق فيهما ملحوظ بالنسبة إلى الأفراد ضرورة أنّ الرقبة إنّما </w:t>
      </w:r>
      <w:r>
        <w:rPr>
          <w:rStyle w:val="FootnoteAnchor"/>
          <w:rtl w:val="true"/>
        </w:rPr>
        <w:footnoteReference w:id="3131"/>
      </w:r>
      <w:r>
        <w:rPr>
          <w:rFonts w:ascii="Amiri" w:hAnsi="Amiri" w:eastAsia="Amiri" w:cs="Amiri"/>
          <w:color w:val="111111"/>
          <w:sz w:val="28"/>
          <w:sz w:val="28"/>
          <w:szCs w:val="28"/>
          <w:rtl w:val="true"/>
          <w:lang w:bidi="ar-SA"/>
        </w:rPr>
        <w:t xml:space="preserve">يلاحظ إطلاقها بالنسبة إلى المؤمنة والكافرة ، وكذا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w:t>
      </w:r>
      <w:r>
        <w:rPr>
          <w:rStyle w:val="FootnoteAnchor"/>
          <w:rtl w:val="true"/>
        </w:rPr>
        <w:footnoteReference w:id="3132"/>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يلاحظ إطلاق الرجل بالنسبة إلى زيد وعمرو ، إنّما يمتاز الأوّل عن الثاني بأنّ إطلاقه للأفراد بدلي ، بخلاف الثاني فإنّه شمولي لا بمعنى العموم الأصولي ، بل بمعنى الإحاطة دفعة واحدة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اختلاف هذين الوجهين للوجه الأوّل أيضا ظاهر لا يكاد يخفى</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هذه الوجوه فاعلم أنّهم اختلفوا في أنّ تقييد المطلق هل هو </w:t>
      </w:r>
      <w:r>
        <w:rPr>
          <w:rStyle w:val="FootnoteAnchor"/>
          <w:rtl w:val="true"/>
        </w:rPr>
        <w:footnoteReference w:id="3133"/>
      </w:r>
      <w:r>
        <w:rPr>
          <w:rFonts w:ascii="Amiri" w:hAnsi="Amiri" w:eastAsia="Amiri" w:cs="Amiri"/>
          <w:color w:val="111111"/>
          <w:sz w:val="28"/>
          <w:sz w:val="28"/>
          <w:szCs w:val="28"/>
          <w:rtl w:val="true"/>
          <w:lang w:bidi="ar-SA"/>
        </w:rPr>
        <w:t xml:space="preserve">يوجب مجازا في المطلق ، أو لا؟ على أقوال ثالثها ما جنح </w:t>
      </w:r>
      <w:r>
        <w:rPr>
          <w:rStyle w:val="FootnoteAnchor"/>
          <w:rtl w:val="true"/>
        </w:rPr>
        <w:footnoteReference w:id="3134"/>
      </w:r>
      <w:r>
        <w:rPr>
          <w:rFonts w:ascii="Amiri" w:hAnsi="Amiri" w:eastAsia="Amiri" w:cs="Amiri"/>
          <w:color w:val="111111"/>
          <w:sz w:val="28"/>
          <w:sz w:val="28"/>
          <w:szCs w:val="28"/>
          <w:rtl w:val="true"/>
          <w:lang w:bidi="ar-SA"/>
        </w:rPr>
        <w:t xml:space="preserve">إليها بعض المتأخّرين </w:t>
      </w:r>
      <w:r>
        <w:rPr>
          <w:rStyle w:val="FootnoteAnchor"/>
          <w:rtl w:val="true"/>
        </w:rPr>
        <w:footnoteReference w:id="3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قيّد بمقيّد متّصل بالمطلق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مؤمن ورقبة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قيّد بمنفصل كما إذا كان المقيّد عقلا أو إجماعا مثلا ، ولم يظهر منهم الفرق بين وجوه المطلق من الاعتبارات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فالحقّ أنّ التقييد ليس مجازا مطلقا ، سواء كان متّصلا أو لا ، وسواء في ذلك وجوه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أظهر من أن يخفى على أوائل العقول ، فإنّ المجاز عبارة عن الكلمة المستعملة في خلاف ما وضعت له ، وهل ترى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 قولنا </w:t>
      </w:r>
      <w:r>
        <w:rPr>
          <w:rStyle w:val="FootnoteAnchor"/>
          <w:rtl w:val="true"/>
        </w:rPr>
        <w:footnoteReference w:id="31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رجلا في الدار أو قائما أو ضربا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وجوه متعلّقات الفعل كأن يكون اضرب باعتبار ما يدلّ على الطلب من الصيغة مستعملا </w:t>
      </w:r>
      <w:r>
        <w:rPr>
          <w:rStyle w:val="FootnoteAnchor"/>
          <w:rtl w:val="true"/>
        </w:rPr>
        <w:footnoteReference w:id="3137"/>
      </w:r>
      <w:r>
        <w:rPr>
          <w:rFonts w:ascii="Amiri" w:hAnsi="Amiri" w:eastAsia="Amiri" w:cs="Amiri"/>
          <w:color w:val="111111"/>
          <w:sz w:val="28"/>
          <w:sz w:val="28"/>
          <w:szCs w:val="28"/>
          <w:rtl w:val="true"/>
          <w:lang w:bidi="ar-SA"/>
        </w:rPr>
        <w:t xml:space="preserve">في خلاف ما وضعت له من الطلب ، ولو كان الأمر على ما ذكر لأدّى إلى أن يكون اللفظ مستعملا في مجازات متعدّدة عند تعدّد وجوه </w:t>
      </w:r>
      <w:r>
        <w:rPr>
          <w:rStyle w:val="FootnoteAnchor"/>
          <w:rtl w:val="true"/>
        </w:rPr>
        <w:footnoteReference w:id="3138"/>
      </w:r>
      <w:r>
        <w:rPr>
          <w:rFonts w:ascii="Amiri" w:hAnsi="Amiri" w:eastAsia="Amiri" w:cs="Amiri"/>
          <w:color w:val="111111"/>
          <w:sz w:val="28"/>
          <w:sz w:val="28"/>
          <w:szCs w:val="28"/>
          <w:rtl w:val="true"/>
          <w:lang w:bidi="ar-SA"/>
        </w:rPr>
        <w:t xml:space="preserve">التقييد على وجه الإحاطة بها ، ومستعملا في معنى مجازي وحقيقي إذا </w:t>
      </w:r>
      <w:r>
        <w:rPr>
          <w:rStyle w:val="FootnoteAnchor"/>
          <w:rtl w:val="true"/>
        </w:rPr>
        <w:footnoteReference w:id="3139"/>
      </w:r>
      <w:r>
        <w:rPr>
          <w:rFonts w:ascii="Amiri" w:hAnsi="Amiri" w:eastAsia="Amiri" w:cs="Amiri"/>
          <w:color w:val="111111"/>
          <w:sz w:val="28"/>
          <w:sz w:val="28"/>
          <w:szCs w:val="28"/>
          <w:rtl w:val="true"/>
          <w:lang w:bidi="ar-SA"/>
        </w:rPr>
        <w:t xml:space="preserve">اعتبر التقييد بالنسبة إلى </w:t>
      </w:r>
      <w:r>
        <w:rPr>
          <w:rStyle w:val="FootnoteAnchor"/>
          <w:rtl w:val="true"/>
        </w:rPr>
        <w:footnoteReference w:id="3140"/>
      </w:r>
      <w:r>
        <w:rPr>
          <w:rFonts w:ascii="Amiri" w:hAnsi="Amiri" w:eastAsia="Amiri" w:cs="Amiri"/>
          <w:color w:val="111111"/>
          <w:sz w:val="28"/>
          <w:sz w:val="28"/>
          <w:szCs w:val="28"/>
          <w:rtl w:val="true"/>
          <w:lang w:bidi="ar-SA"/>
        </w:rPr>
        <w:t xml:space="preserve">بعض الوجوه القابلة </w:t>
      </w:r>
      <w:r>
        <w:rPr>
          <w:rStyle w:val="FootnoteAnchor"/>
          <w:rtl w:val="true"/>
        </w:rPr>
        <w:footnoteReference w:id="3141"/>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أنّه لم يظهر من المشهور القائلين بالمجازية ذهابهم إلى ذلك أيضا ، نعم ربّما يظهر من بعضهم </w:t>
      </w:r>
      <w:r>
        <w:rPr>
          <w:rStyle w:val="FootnoteAnchor"/>
          <w:rtl w:val="true"/>
        </w:rPr>
        <w:footnoteReference w:id="3142"/>
      </w:r>
      <w:r>
        <w:rPr>
          <w:rFonts w:ascii="Amiri" w:hAnsi="Amiri" w:eastAsia="Amiri" w:cs="Amiri"/>
          <w:color w:val="111111"/>
          <w:sz w:val="28"/>
          <w:sz w:val="28"/>
          <w:szCs w:val="28"/>
          <w:rtl w:val="true"/>
          <w:lang w:bidi="ar-SA"/>
        </w:rPr>
        <w:t xml:space="preserve">المجازية بالنسبة إلى التقييد </w:t>
      </w:r>
      <w:r>
        <w:rPr>
          <w:rStyle w:val="FootnoteAnchor"/>
          <w:rtl w:val="true"/>
        </w:rPr>
        <w:footnoteReference w:id="3143"/>
      </w:r>
      <w:r>
        <w:rPr>
          <w:rFonts w:ascii="Amiri" w:hAnsi="Amiri" w:eastAsia="Amiri" w:cs="Amiri"/>
          <w:color w:val="111111"/>
          <w:sz w:val="28"/>
          <w:sz w:val="28"/>
          <w:szCs w:val="28"/>
          <w:rtl w:val="true"/>
          <w:lang w:bidi="ar-SA"/>
        </w:rPr>
        <w:t xml:space="preserve">بالشرط حيث يحكمون بأنّ الأمر حقيقة في الطلب المطلق مجاز في الطلب المشروط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التفكيك بين أقسام التقييد ممّا لا يقضي به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الطلب المشروط ليس خارجا عن حقيقة الطلب على ما هو المحقّق في مقامه ، فلا وجه للقول بأنّ اللفظ الموضوع بإزاء الطلب إنّما يصير مجازا إن استعمل لأن يكشف الطالب عن هذا القسم من الطلب على تقدير القول </w:t>
      </w:r>
    </w:p>
    <w:p>
      <w:pPr>
        <w:pStyle w:val="BookText"/>
        <w:rPr/>
      </w:pPr>
      <w:r>
        <w:rPr>
          <w:rFonts w:ascii="Amiri" w:hAnsi="Amiri" w:eastAsia="Amiri" w:cs="Amiri"/>
          <w:color w:val="111111"/>
          <w:sz w:val="28"/>
          <w:sz w:val="28"/>
          <w:szCs w:val="28"/>
          <w:rtl w:val="true"/>
          <w:lang w:bidi="ar-SA"/>
        </w:rPr>
        <w:t>باختلافه للطلب المطلق ، وكيف كان ففساد هذه الدعوى في إطلاق الهيئة والصيغة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النزاع فيه إلى تعيين مدلول النكرة من حيث إنّ المعتبر فيها التجرّد عن أمور بها تتعيّن تلك الخصوصيات التي مدلولها مردّد بينها على ما يراه البعض من جزئية مدلولها ، أو التجرّد عنها وعن الخصوصيات أيضا على ما يظهر من مقالة المشهور من كونها كلّيا ، أو لا يعتبر في مدلولها التجرّد ، بل مدلولها مأخوذ لا بشرط شيء من الأمور المعيّنة أو نفس التشخّصات على اختلاف القولين ، فلعلّ القائل بالمجازية إنّما زعم أنّ مدلولها مأخوذ بشرط أن لا يكون معه قيد ، فإذا انضمّ إليه القيد </w:t>
      </w:r>
      <w:r>
        <w:rPr>
          <w:rStyle w:val="FootnoteAnchor"/>
          <w:rtl w:val="true"/>
        </w:rPr>
        <w:footnoteReference w:id="3144"/>
      </w:r>
      <w:r>
        <w:rPr>
          <w:rFonts w:ascii="Amiri" w:hAnsi="Amiri" w:eastAsia="Amiri" w:cs="Amiri"/>
          <w:color w:val="111111"/>
          <w:sz w:val="28"/>
          <w:sz w:val="28"/>
          <w:szCs w:val="28"/>
          <w:rtl w:val="true"/>
          <w:lang w:bidi="ar-SA"/>
        </w:rPr>
        <w:t xml:space="preserve">يجب تجريده عن قيد التجرّد ليصحّ التقييد </w:t>
      </w:r>
      <w:r>
        <w:rPr>
          <w:rStyle w:val="FootnoteAnchor"/>
          <w:rtl w:val="true"/>
        </w:rPr>
        <w:footnoteReference w:id="3145"/>
      </w:r>
      <w:r>
        <w:rPr>
          <w:rFonts w:ascii="Amiri" w:hAnsi="Amiri" w:eastAsia="Amiri" w:cs="Amiri"/>
          <w:color w:val="111111"/>
          <w:sz w:val="28"/>
          <w:sz w:val="28"/>
          <w:szCs w:val="28"/>
          <w:rtl w:val="true"/>
          <w:lang w:bidi="ar-SA"/>
        </w:rPr>
        <w:t xml:space="preserve">فيصير مجازا ، ولكنّ التحقيق خلافه كما يساعد بذلك العرف ؛ إذ لا استنكار </w:t>
      </w:r>
      <w:r>
        <w:rPr>
          <w:rStyle w:val="FootnoteAnchor"/>
          <w:rtl w:val="true"/>
        </w:rPr>
        <w:footnoteReference w:id="3146"/>
      </w:r>
      <w:r>
        <w:rPr>
          <w:rFonts w:ascii="Amiri" w:hAnsi="Amiri" w:eastAsia="Amiri" w:cs="Amiri"/>
          <w:color w:val="111111"/>
          <w:sz w:val="28"/>
          <w:sz w:val="28"/>
          <w:szCs w:val="28"/>
          <w:rtl w:val="true"/>
          <w:lang w:bidi="ar-SA"/>
        </w:rPr>
        <w:t xml:space="preserve">في التقييد عندهم أبدا ، فلو استعمل النكرة مرادا بها فرد خاصّ إذا لم يكن الخصوصية مقصودة باللفظ على أن يكون اللفظ مرآة وكاشفا عن المركّب لم يكن مجازا وإن كان اللفظ مستعملا في الفرد الغير المعيّن من حيث تعيّنه </w:t>
      </w:r>
      <w:r>
        <w:rPr>
          <w:rStyle w:val="FootnoteAnchor"/>
          <w:rtl w:val="true"/>
        </w:rPr>
        <w:footnoteReference w:id="3147"/>
      </w:r>
      <w:r>
        <w:rPr>
          <w:rFonts w:ascii="Amiri" w:hAnsi="Amiri" w:eastAsia="Amiri" w:cs="Amiri"/>
          <w:color w:val="111111"/>
          <w:sz w:val="28"/>
          <w:sz w:val="28"/>
          <w:szCs w:val="28"/>
          <w:rtl w:val="true"/>
          <w:lang w:bidi="ar-SA"/>
        </w:rPr>
        <w:t>بذلك المعيّن المدلول عليه بلفظ آخر ، وأمّا إذا كانت الخصوصية مدلولا عليها بلفظ النكرة فلا ينبغي الارتياب في كونها مجازا ، إلاّ أنّ ذلك خلاف المفروض فإنّ الكلام في عنوان التقييد وخروجه عنه ظاهر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أيضا ظاهر ؛ لأنّ الحقّ على ما يشهد به العرف أنّ اسم الجنس موضوع للطبيعة المهملة السارية في حدّ ذاتها في جميع الأفراد والخصوصيات على وجه لا يذبّ عنها شيء منها في هذه المرتبة وهي موجودة في جميعها ، فإنّ الفرد عين الماهيّة الخارجية وإذا تحصّلت في الذهن تصير ماهيّة مطلقة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مأخوذا معها شيء آخر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يلاحظ معها شيء آخر ، فقد يجرّد </w:t>
      </w:r>
    </w:p>
    <w:p>
      <w:pPr>
        <w:pStyle w:val="BookText"/>
        <w:rPr/>
      </w:pPr>
      <w:r>
        <w:rPr>
          <w:rFonts w:ascii="Amiri" w:hAnsi="Amiri" w:eastAsia="Amiri" w:cs="Amiri"/>
          <w:color w:val="111111"/>
          <w:sz w:val="28"/>
          <w:sz w:val="28"/>
          <w:szCs w:val="28"/>
          <w:rtl w:val="true"/>
          <w:lang w:bidi="ar-SA"/>
        </w:rPr>
        <w:t xml:space="preserve">عن هذه الملاحظة أيضا فهي في هذه المرتبة ليست إلاّ هي فإنّها حينئذ نفس المعنى والماهيّة في نفسها مع قطع النظر عن </w:t>
      </w:r>
      <w:r>
        <w:rPr>
          <w:rStyle w:val="FootnoteAnchor"/>
          <w:rtl w:val="true"/>
        </w:rPr>
        <w:footnoteReference w:id="3148"/>
      </w:r>
      <w:r>
        <w:rPr>
          <w:rFonts w:ascii="Amiri" w:hAnsi="Amiri" w:eastAsia="Amiri" w:cs="Amiri"/>
          <w:color w:val="111111"/>
          <w:sz w:val="28"/>
          <w:sz w:val="28"/>
          <w:szCs w:val="28"/>
          <w:rtl w:val="true"/>
          <w:lang w:bidi="ar-SA"/>
        </w:rPr>
        <w:t xml:space="preserve">جميع ما عداها ، وهذا </w:t>
      </w:r>
      <w:r>
        <w:rPr>
          <w:rStyle w:val="FootnoteAnchor"/>
          <w:rtl w:val="true"/>
        </w:rPr>
        <w:footnoteReference w:id="3149"/>
      </w:r>
      <w:r>
        <w:rPr>
          <w:rFonts w:ascii="Amiri" w:hAnsi="Amiri" w:eastAsia="Amiri" w:cs="Amiri"/>
          <w:color w:val="111111"/>
          <w:sz w:val="28"/>
          <w:sz w:val="28"/>
          <w:szCs w:val="28"/>
          <w:rtl w:val="true"/>
          <w:lang w:bidi="ar-SA"/>
        </w:rPr>
        <w:t xml:space="preserve">هو المقسم للاعتبارات اللاحقة للماهيّة </w:t>
      </w:r>
      <w:r>
        <w:rPr>
          <w:rStyle w:val="FootnoteAnchor"/>
          <w:rtl w:val="true"/>
        </w:rPr>
        <w:footnoteReference w:id="3150"/>
      </w:r>
      <w:r>
        <w:rPr>
          <w:rFonts w:ascii="Amiri" w:hAnsi="Amiri" w:eastAsia="Amiri" w:cs="Amiri"/>
          <w:color w:val="111111"/>
          <w:sz w:val="28"/>
          <w:sz w:val="28"/>
          <w:szCs w:val="28"/>
          <w:rtl w:val="true"/>
          <w:lang w:bidi="ar-SA"/>
        </w:rPr>
        <w:t xml:space="preserve">، ويمايز </w:t>
      </w:r>
      <w:r>
        <w:rPr>
          <w:rStyle w:val="FootnoteAnchor"/>
          <w:rtl w:val="true"/>
        </w:rPr>
        <w:footnoteReference w:id="3151"/>
      </w:r>
      <w:r>
        <w:rPr>
          <w:rFonts w:ascii="Amiri" w:hAnsi="Amiri" w:eastAsia="Amiri" w:cs="Amiri"/>
          <w:color w:val="111111"/>
          <w:sz w:val="28"/>
          <w:sz w:val="28"/>
          <w:szCs w:val="28"/>
          <w:rtl w:val="true"/>
          <w:lang w:bidi="ar-SA"/>
        </w:rPr>
        <w:t xml:space="preserve">القسم بأنّ المعتبر في المقسم ليس إلاّ نفس الماهيّة والقسم هي </w:t>
      </w:r>
      <w:r>
        <w:rPr>
          <w:rStyle w:val="FootnoteAnchor"/>
          <w:rtl w:val="true"/>
        </w:rPr>
        <w:footnoteReference w:id="3152"/>
      </w:r>
      <w:r>
        <w:rPr>
          <w:rFonts w:ascii="Amiri" w:hAnsi="Amiri" w:eastAsia="Amiri" w:cs="Amiri"/>
          <w:color w:val="111111"/>
          <w:sz w:val="28"/>
          <w:sz w:val="28"/>
          <w:szCs w:val="28"/>
          <w:rtl w:val="true"/>
          <w:lang w:bidi="ar-SA"/>
        </w:rPr>
        <w:t xml:space="preserve">الماهيّة </w:t>
      </w:r>
      <w:r>
        <w:rPr>
          <w:rStyle w:val="FootnoteAnchor"/>
          <w:rtl w:val="true"/>
        </w:rPr>
        <w:footnoteReference w:id="3153"/>
      </w:r>
      <w:r>
        <w:rPr>
          <w:rFonts w:ascii="Amiri" w:hAnsi="Amiri" w:eastAsia="Amiri" w:cs="Amiri"/>
          <w:color w:val="111111"/>
          <w:sz w:val="28"/>
          <w:sz w:val="28"/>
          <w:szCs w:val="28"/>
          <w:rtl w:val="true"/>
          <w:lang w:bidi="ar-SA"/>
        </w:rPr>
        <w:t xml:space="preserve">مع الالتفات بكونها نفس الماهيّة من غير اعتبار هذه الملاحظة والالتفات في القسم وإلاّ لكان الماهيّة مأخوذة بشرط شيء ، فالقيود المعتورة </w:t>
      </w:r>
      <w:r>
        <w:rPr>
          <w:rStyle w:val="FootnoteAnchor"/>
          <w:rtl w:val="true"/>
        </w:rPr>
        <w:footnoteReference w:id="3154"/>
      </w:r>
      <w:r>
        <w:rPr>
          <w:rFonts w:ascii="Amiri" w:hAnsi="Amiri" w:eastAsia="Amiri" w:cs="Amiri"/>
          <w:color w:val="111111"/>
          <w:sz w:val="28"/>
          <w:sz w:val="28"/>
          <w:szCs w:val="28"/>
          <w:rtl w:val="true"/>
          <w:lang w:bidi="ar-SA"/>
        </w:rPr>
        <w:t xml:space="preserve">على الماهيّة إنّما تلحق الماهيّة </w:t>
      </w:r>
      <w:r>
        <w:rPr>
          <w:rStyle w:val="FootnoteAnchor"/>
          <w:rtl w:val="true"/>
        </w:rPr>
        <w:footnoteReference w:id="3155"/>
      </w:r>
      <w:r>
        <w:rPr>
          <w:rFonts w:ascii="Amiri" w:hAnsi="Amiri" w:eastAsia="Amiri" w:cs="Amiri"/>
          <w:color w:val="111111"/>
          <w:sz w:val="28"/>
          <w:sz w:val="28"/>
          <w:szCs w:val="28"/>
          <w:rtl w:val="true"/>
          <w:lang w:bidi="ar-SA"/>
        </w:rPr>
        <w:t xml:space="preserve">في هذه المرتبة السارية التي هي مع الكثير كثير ومع الواحد واحد وتتصف بالأمور المتقابلة </w:t>
      </w:r>
      <w:r>
        <w:rPr>
          <w:rStyle w:val="FootnoteAnchor"/>
          <w:rtl w:val="true"/>
        </w:rPr>
        <w:footnoteReference w:id="3156"/>
      </w:r>
      <w:r>
        <w:rPr>
          <w:rFonts w:ascii="Amiri" w:hAnsi="Amiri" w:eastAsia="Amiri" w:cs="Amiri"/>
          <w:color w:val="111111"/>
          <w:sz w:val="28"/>
          <w:sz w:val="28"/>
          <w:szCs w:val="28"/>
          <w:rtl w:val="true"/>
          <w:lang w:bidi="ar-SA"/>
        </w:rPr>
        <w:t>في حدود ذواتها كالفصول اللاحقة لها ، وذلك معنى ما قيل من أنّ اللابشرط لا ينافي ألف شرط ويجتمع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لحوق قيد بتلك الطبيعة المطلقة فإمّا أن يراد من اللفظ الدالّ على المطلق تلك الطبيعة المقيّدة ، فذلك وإن لم يوجب تصرّفا في نفس المعنى لما عرفت من عدم تطرّق التغيير </w:t>
      </w:r>
      <w:r>
        <w:rPr>
          <w:rStyle w:val="FootnoteAnchor"/>
          <w:rtl w:val="true"/>
        </w:rPr>
        <w:footnoteReference w:id="3157"/>
      </w:r>
      <w:r>
        <w:rPr>
          <w:rFonts w:ascii="Amiri" w:hAnsi="Amiri" w:eastAsia="Amiri" w:cs="Amiri"/>
          <w:color w:val="111111"/>
          <w:sz w:val="28"/>
          <w:sz w:val="28"/>
          <w:szCs w:val="28"/>
          <w:rtl w:val="true"/>
          <w:lang w:bidi="ar-SA"/>
        </w:rPr>
        <w:t xml:space="preserve">في الماهيّة المطلقة بواسطة لحوق الشرط والقيد ، إلاّ أنّه يوجب تصرّفا في اللفظ الدالّ على الماهيّة حيث إنّه لم يجعل مرآة للمعنى من حيث هي هي ، بل المقصود باللفظ </w:t>
      </w:r>
      <w:r>
        <w:rPr>
          <w:rStyle w:val="FootnoteAnchor"/>
          <w:rtl w:val="true"/>
        </w:rPr>
        <w:footnoteReference w:id="3158"/>
      </w:r>
      <w:r>
        <w:rPr>
          <w:rFonts w:ascii="Amiri" w:hAnsi="Amiri" w:eastAsia="Amiri" w:cs="Amiri"/>
          <w:color w:val="111111"/>
          <w:sz w:val="28"/>
          <w:sz w:val="28"/>
          <w:szCs w:val="28"/>
          <w:rtl w:val="true"/>
          <w:lang w:bidi="ar-SA"/>
        </w:rPr>
        <w:t>كشف الماهيّة المقيّدة ولا ريب في كونه مجازا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يراد من اللفظ نفس المعنى ولو حال حصوله مع شرط خاصّ على وجه يكون لتلك </w:t>
      </w:r>
      <w:r>
        <w:rPr>
          <w:rStyle w:val="FootnoteAnchor"/>
          <w:rtl w:val="true"/>
        </w:rPr>
        <w:footnoteReference w:id="3159"/>
      </w:r>
      <w:r>
        <w:rPr>
          <w:rFonts w:ascii="Amiri" w:hAnsi="Amiri" w:eastAsia="Amiri" w:cs="Amiri"/>
          <w:color w:val="111111"/>
          <w:sz w:val="28"/>
          <w:sz w:val="28"/>
          <w:szCs w:val="28"/>
          <w:rtl w:val="true"/>
          <w:lang w:bidi="ar-SA"/>
        </w:rPr>
        <w:t xml:space="preserve">الخصوصية كاشفا </w:t>
      </w:r>
      <w:r>
        <w:rPr>
          <w:rStyle w:val="FootnoteAnchor"/>
          <w:rtl w:val="true"/>
        </w:rPr>
        <w:footnoteReference w:id="3160"/>
      </w:r>
      <w:r>
        <w:rPr>
          <w:rFonts w:ascii="Amiri" w:hAnsi="Amiri" w:eastAsia="Amiri" w:cs="Amiri"/>
          <w:color w:val="111111"/>
          <w:sz w:val="28"/>
          <w:sz w:val="28"/>
          <w:szCs w:val="28"/>
          <w:rtl w:val="true"/>
          <w:lang w:bidi="ar-SA"/>
        </w:rPr>
        <w:t xml:space="preserve">آخر غير ما كشف عن نفس المعنى من اللفظ المطلق من عقل أو لفظ ، فممّا لا ينبغي الارتياب فيه كونه حقيقة من دون شائبة </w:t>
      </w:r>
    </w:p>
    <w:p>
      <w:pPr>
        <w:pStyle w:val="BookText"/>
        <w:rPr/>
      </w:pPr>
      <w:r>
        <w:rPr>
          <w:rFonts w:ascii="Amiri" w:hAnsi="Amiri" w:eastAsia="Amiri" w:cs="Amiri"/>
          <w:color w:val="111111"/>
          <w:sz w:val="28"/>
          <w:sz w:val="28"/>
          <w:szCs w:val="28"/>
          <w:rtl w:val="true"/>
          <w:lang w:bidi="ar-SA"/>
        </w:rPr>
        <w:t>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لك ضعف ما أفاده بعض المحقّقين في تعليقاته على المعالم حيث زعم اختصاص كون المطلق فيما إذا قيل بأنّ اللفظ موضوع للماهيّة التي هي تنقسم إلى أقسامها بخلاف ما إذا قيل بكونه موضوعا للقسم من حيث إنّ المعتبر في القسم هو التجرّد كأن يكون التقييد بكونها لا بشرط معتبرا فيها ، وقد عرفت فساده ؛ إذ ذلك ناش من عدم الفرق بين القسم والمقسم وقد قلنا بأنّ التميّز </w:t>
      </w:r>
      <w:r>
        <w:rPr>
          <w:rStyle w:val="FootnoteAnchor"/>
          <w:rtl w:val="true"/>
        </w:rPr>
        <w:footnoteReference w:id="3161"/>
      </w:r>
      <w:r>
        <w:rPr>
          <w:rFonts w:ascii="Amiri" w:hAnsi="Amiri" w:eastAsia="Amiri" w:cs="Amiri"/>
          <w:color w:val="111111"/>
          <w:sz w:val="28"/>
          <w:sz w:val="28"/>
          <w:szCs w:val="28"/>
          <w:rtl w:val="true"/>
          <w:lang w:bidi="ar-SA"/>
        </w:rPr>
        <w:t xml:space="preserve">حاصل بالاعتبار بمعنى أنّ الماهيّة اللابشرط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تلتفت النفس إلى كونها منشأ لانتزاع </w:t>
      </w:r>
      <w:r>
        <w:rPr>
          <w:rStyle w:val="FootnoteAnchor"/>
          <w:rtl w:val="true"/>
        </w:rPr>
        <w:footnoteReference w:id="3162"/>
      </w:r>
      <w:r>
        <w:rPr>
          <w:rFonts w:ascii="Amiri" w:hAnsi="Amiri" w:eastAsia="Amiri" w:cs="Amiri"/>
          <w:color w:val="111111"/>
          <w:sz w:val="28"/>
          <w:sz w:val="28"/>
          <w:szCs w:val="28"/>
          <w:rtl w:val="true"/>
          <w:lang w:bidi="ar-SA"/>
        </w:rPr>
        <w:t xml:space="preserve">هذا الاعتبار منها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تلتفت إلاّ إلى نفسها وإن كانت منشأ لانتزاع هذه الصفة حال الالتفات إلى نفسها أيضا ، فلا فرق فيما نحن بصدده بين أن يكون اللفظ موضوعا للقسم أو يكون موضوعا للمقسم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قيل بأنّ قيد التجرّد مأخوذ في معنى اللفظ كان التقييد مستلزما لإلغاء قيد التجرّد عن المعنى ليصلح لأن يكون مقيّدا ، فيكون المطلق مجازا من حيث استعماله في جزء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فاسد قطعا كما يشعر بذلك كلمات اللغويين ويساعده الاعتبار الصحيح والوجدان الصريح ، ولا فرق في ذلك بين أن يكون القيد مرادفا للمطلق أو لم يكن مرادفا كأن يكون منفصلا </w:t>
      </w:r>
      <w:r>
        <w:rPr>
          <w:rStyle w:val="FootnoteAnchor"/>
          <w:rtl w:val="true"/>
        </w:rPr>
        <w:footnoteReference w:id="3163"/>
      </w:r>
      <w:r>
        <w:rPr>
          <w:rFonts w:ascii="Amiri" w:hAnsi="Amiri" w:eastAsia="Amiri" w:cs="Amiri"/>
          <w:color w:val="111111"/>
          <w:sz w:val="28"/>
          <w:sz w:val="28"/>
          <w:szCs w:val="28"/>
          <w:rtl w:val="true"/>
          <w:lang w:bidi="ar-SA"/>
        </w:rPr>
        <w:t>؛ إذ مجرّد كون القيد غير متّصل بالمطلق لا يدلّ على أنّ المراد من لفظ المطلق ليس معناه الحقيقي ، فلعلّ القرينة المنفصلة جزء من الدالّ على تمام المراد ، نعم ربّما يمكن ذلك وقد قلنا بإمكانه في المتّصل أيضا كأن يكون المراد من المطلق هو خصوص المقيّد ويكون القيد المذكور قرينة للمجاز</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بطلان ما زعمه المفصّل أيضا ، فالتحقيق أنّ التقييد لا يوجب مجازا في </w:t>
      </w:r>
    </w:p>
    <w:p>
      <w:pPr>
        <w:pStyle w:val="BookText"/>
        <w:rPr/>
      </w:pPr>
      <w:r>
        <w:rPr>
          <w:rFonts w:ascii="Amiri" w:hAnsi="Amiri" w:eastAsia="Amiri" w:cs="Amiri"/>
          <w:color w:val="111111"/>
          <w:sz w:val="28"/>
          <w:sz w:val="28"/>
          <w:szCs w:val="28"/>
          <w:rtl w:val="true"/>
          <w:lang w:bidi="ar-SA"/>
        </w:rPr>
        <w:t>المطلق ، وما هو مجاز منه في الحقيقة خارج عن عنوان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ما قدّمنا لك فاعلم أنّ المشهور القائلين بالمجازية أيضا زعموا أنّ التقييد مقدّم على التخصيص إذا دار الأمر بينهما ، فإن كان ذلك بواسطة الغلبة فربّما يتطرّق إليها المنع ، فإنّ ذلك ليس في مرتبة من الظهور بحيث لا يتطرّق إليه المنع كما هو الإنصاف ، بل ربّما يدعى خلافه وإن كان بعيدا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بواسطة صحّة إطلاق المطلق كالرقبة على المقيّد كالمؤمنة دون العامّ على الخاصّ فإنّه لا يصحّ إطلاق العلماء على جماعة خاصة ويصحّ إطلاق الرقبة على المؤمنة ، فهذا إن لم يكن راجعا إلى ما هو التحقيق من أنّ المطلق لا يوجب التقييد </w:t>
      </w:r>
      <w:r>
        <w:rPr>
          <w:rStyle w:val="FootnoteAnchor"/>
          <w:rtl w:val="true"/>
        </w:rPr>
        <w:footnoteReference w:id="3164"/>
      </w:r>
      <w:r>
        <w:rPr>
          <w:rFonts w:ascii="Amiri" w:hAnsi="Amiri" w:eastAsia="Amiri" w:cs="Amiri"/>
          <w:color w:val="111111"/>
          <w:sz w:val="28"/>
          <w:sz w:val="28"/>
          <w:szCs w:val="28"/>
          <w:rtl w:val="true"/>
          <w:lang w:bidi="ar-SA"/>
        </w:rPr>
        <w:t>مجازا فيه ، ممّا لا دليل على اعتباره في استكشاف المرادات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بواسطة أنّ العرف مع تساوي العلّتين ربّما يقدّمون التقييد على التخصيص فهو في محلّه إلاّ أنّ ذلك في الحقيقة يؤول إلى أنّ التقييد ليس مجازا ، ولعلّ السرّ في ذلك هو أنّ شمول المطلق للأفراد ليس شمولا وضعيا مثل شمول العامّ للأفراد ، ففيما إذا ورد العامّ في قبال المطلق تنهض العامّ بيانا للمطلق فيكون بمنزلة المقيّد للمطلق ويجب الأخذ به ورفع </w:t>
      </w:r>
      <w:r>
        <w:rPr>
          <w:rStyle w:val="FootnoteAnchor"/>
          <w:rtl w:val="true"/>
        </w:rPr>
        <w:footnoteReference w:id="3165"/>
      </w:r>
      <w:r>
        <w:rPr>
          <w:rFonts w:ascii="Amiri" w:hAnsi="Amiri" w:eastAsia="Amiri" w:cs="Amiri"/>
          <w:color w:val="111111"/>
          <w:sz w:val="28"/>
          <w:sz w:val="28"/>
          <w:szCs w:val="28"/>
          <w:rtl w:val="true"/>
          <w:lang w:bidi="ar-SA"/>
        </w:rPr>
        <w:t>اليد عنه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أنّ مراتب الأدلّة في حكومة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ورودها على آخر متفاوتة جدّا ، فربّ دليل يرتفع به الدليل الآخر وإن كان اجتهاديا كما عرفت من ارتفاع العامّ بالخاصّ وإن كان أوله في الحقيقة إلى أصل عملي ، ومنشأ ذلك فيها اختلاف دليليتها ، مثلا فيما نحن بصدده من المطلق وجه كونه دليلا في الأفراد ليس كونه موضوعا للأفراد كما أنّ العامّ موضوع لها ، بل قد عرفت أنّ المطلق موضوع للماهيّة المعرّاة عن جميع الاعتبارات واللواحق ، وعند إطلاقه يسبق إلى الذهن نفس المعنى ، وحيث إنّه لو كان المراد غير تلك الماهيّة المطلقة كان على المتكلّم أن يكشف عن </w:t>
      </w:r>
    </w:p>
    <w:p>
      <w:pPr>
        <w:pStyle w:val="BookText"/>
        <w:rPr/>
      </w:pPr>
      <w:r>
        <w:rPr>
          <w:rFonts w:ascii="Amiri" w:hAnsi="Amiri" w:eastAsia="Amiri" w:cs="Amiri"/>
          <w:color w:val="111111"/>
          <w:sz w:val="28"/>
          <w:sz w:val="28"/>
          <w:szCs w:val="28"/>
          <w:rtl w:val="true"/>
          <w:lang w:bidi="ar-SA"/>
        </w:rPr>
        <w:t xml:space="preserve">مراده بلفظ مقيّد للمطلق لئلاّ يكون كلامه قاصرا عن الإحاطة بتمام مقصوده ومراده ، والمفروض في مقام الإطلاق انتفاؤه بحكم العقل بضميمة هذه المقدمة الخارجية بشموله للأفراد صونا لكلام الحكيم عن وروده في مقام البيان مع قصوره عن الإفادة ، فالمقتضي للإطلاق هو عدم وصول البيان مع وروده في مقامه ، نعم مجرّد عدم وصول البيان يكفي في سريان الحكم المعلّق بالمطلق في جميع الأفراد حيث إنّ الماهيّة المرسلة سارية فيها فكأنّ كونه دليلا مستند </w:t>
      </w:r>
      <w:r>
        <w:rPr>
          <w:rStyle w:val="FootnoteAnchor"/>
          <w:rtl w:val="true"/>
        </w:rPr>
        <w:footnoteReference w:id="3166"/>
      </w:r>
      <w:r>
        <w:rPr>
          <w:rFonts w:ascii="Amiri" w:hAnsi="Amiri" w:eastAsia="Amiri" w:cs="Amiri"/>
          <w:color w:val="111111"/>
          <w:sz w:val="28"/>
          <w:sz w:val="28"/>
          <w:szCs w:val="28"/>
          <w:rtl w:val="true"/>
          <w:lang w:bidi="ar-SA"/>
        </w:rPr>
        <w:t xml:space="preserve">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صلاحية سريان الطبيعة في الأفراد وهذا الأمر من لوازم نفس الماهيّة المطلقة ومقتضياتها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ما يقضي بقصر تلك الطبيعة في بعض الأفراد ، فكلّ ما يصلح لأن يكون بيانا من الأمور المعتبرة عرفا وعادة ينهض بالتقييد ويصير سببا لتقصير </w:t>
      </w:r>
      <w:r>
        <w:rPr>
          <w:rStyle w:val="FootnoteAnchor"/>
          <w:rtl w:val="true"/>
        </w:rPr>
        <w:footnoteReference w:id="3167"/>
      </w:r>
      <w:r>
        <w:rPr>
          <w:rFonts w:ascii="Amiri" w:hAnsi="Amiri" w:eastAsia="Amiri" w:cs="Amiri"/>
          <w:color w:val="111111"/>
          <w:sz w:val="28"/>
          <w:sz w:val="28"/>
          <w:szCs w:val="28"/>
          <w:rtl w:val="true"/>
          <w:lang w:bidi="ar-SA"/>
        </w:rPr>
        <w:t>الماهيّة على بعض الأفراد ، وليس كذلك القول بالعكس ؛ لأنّ الأخذ بعموم العامّ ليس بواسطة عدم المخصّص ، لأنّ المخصّص مانع عن مقتضى الوضع الثابت في العامّ ، بخلاف المطلق فإنّ عدم البيان من مقتضيات الشمول فيه ، ولذلك قلنا بأنّه البرزخ بين الأدلّة الاجتهادية والأصول العملية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ذكرنا هو الحكم بتقديم التقييد على التخصيص نوعا على القول بالمجازية وعلى ما هو التحقيق أيضا إلاّ أنّ القائل بالمجازية إنّما قال بذلك نظرا إلى ما هو الواقع مع كونه غافلا </w:t>
      </w:r>
      <w:r>
        <w:rPr>
          <w:rStyle w:val="FootnoteAnchor"/>
          <w:rtl w:val="true"/>
        </w:rPr>
        <w:footnoteReference w:id="3168"/>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تعارض التقييد مع المجاز أو </w:t>
      </w:r>
      <w:r>
        <w:rPr>
          <w:rStyle w:val="FootnoteAnchor"/>
          <w:rtl w:val="true"/>
        </w:rPr>
        <w:footnoteReference w:id="3169"/>
      </w:r>
      <w:r>
        <w:rPr>
          <w:rFonts w:ascii="Amiri" w:hAnsi="Amiri" w:eastAsia="Amiri" w:cs="Amiri"/>
          <w:color w:val="111111"/>
          <w:sz w:val="28"/>
          <w:sz w:val="28"/>
          <w:szCs w:val="28"/>
          <w:rtl w:val="true"/>
          <w:lang w:bidi="ar-SA"/>
        </w:rPr>
        <w:t xml:space="preserve">الإضمار فالظاهر تقديمه عليهما </w:t>
      </w:r>
      <w:r>
        <w:rPr>
          <w:rStyle w:val="FootnoteAnchor"/>
          <w:rtl w:val="true"/>
        </w:rPr>
        <w:footnoteReference w:id="3170"/>
      </w:r>
      <w:r>
        <w:rPr>
          <w:rFonts w:ascii="Amiri" w:hAnsi="Amiri" w:eastAsia="Amiri" w:cs="Amiri"/>
          <w:color w:val="111111"/>
          <w:sz w:val="28"/>
          <w:sz w:val="28"/>
          <w:szCs w:val="28"/>
          <w:rtl w:val="true"/>
          <w:lang w:bidi="ar-SA"/>
        </w:rPr>
        <w:t xml:space="preserve">؛ لتقدّمه على التخصيص المقدّم عليه نوعا ، فإنّ المجاز يكون </w:t>
      </w:r>
      <w:r>
        <w:rPr>
          <w:rStyle w:val="FootnoteAnchor"/>
          <w:rtl w:val="true"/>
        </w:rPr>
        <w:footnoteReference w:id="3171"/>
      </w:r>
      <w:r>
        <w:rPr>
          <w:rFonts w:ascii="IRNazanin" w:hAnsi="IRNazanin" w:eastAsia="IRNazanin"/>
          <w:color w:val="111111"/>
          <w:sz w:val="28"/>
          <w:sz w:val="28"/>
          <w:szCs w:val="28"/>
          <w:rtl w:val="true"/>
          <w:lang w:bidi="fa-IR"/>
        </w:rPr>
        <w:t xml:space="preserve">مشهورا </w:t>
      </w:r>
      <w:r>
        <w:rPr>
          <w:rStyle w:val="FootnoteAnchor"/>
          <w:rtl w:val="true"/>
        </w:rPr>
        <w:footnoteReference w:id="3172"/>
      </w:r>
      <w:r>
        <w:rPr>
          <w:rFonts w:ascii="IRNazanin" w:hAnsi="IRNazanin" w:eastAsia="IRNazanin"/>
          <w:color w:val="111111"/>
          <w:sz w:val="28"/>
          <w:sz w:val="28"/>
          <w:szCs w:val="28"/>
          <w:rtl w:val="true"/>
          <w:lang w:bidi="fa-IR"/>
        </w:rPr>
        <w:t xml:space="preserve">، و </w:t>
      </w:r>
      <w:r>
        <w:rPr>
          <w:rStyle w:val="FootnoteAnchor"/>
          <w:rtl w:val="true"/>
        </w:rPr>
        <w:footnoteReference w:id="3173"/>
      </w:r>
      <w:r>
        <w:rPr>
          <w:rFonts w:ascii="Amiri" w:hAnsi="Amiri" w:eastAsia="Amiri" w:cs="Amiri"/>
          <w:color w:val="111111"/>
          <w:sz w:val="28"/>
          <w:sz w:val="28"/>
          <w:szCs w:val="28"/>
          <w:rtl w:val="true"/>
          <w:lang w:bidi="ar-SA"/>
        </w:rPr>
        <w:t xml:space="preserve">مع عدم مساعدة العرف </w:t>
      </w:r>
    </w:p>
    <w:p>
      <w:pPr>
        <w:pStyle w:val="BookText"/>
        <w:rPr/>
      </w:pPr>
      <w:r>
        <w:rPr>
          <w:rFonts w:ascii="Amiri" w:hAnsi="Amiri" w:eastAsia="Amiri" w:cs="Amiri"/>
          <w:color w:val="111111"/>
          <w:sz w:val="28"/>
          <w:sz w:val="28"/>
          <w:szCs w:val="28"/>
          <w:rtl w:val="true"/>
          <w:lang w:bidi="ar-SA"/>
        </w:rPr>
        <w:t>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تعارض الإضمار والمجاز فالمقدّم غالبا هو الثاني ؛ لأنّه الأغلب ، وأمّا الإضمار فهو قليل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فيما إذا كان التعارض بين نوعين من الوجوه المذكورة ، وإن وقع التعارض بين فردين من نوع واحد كالتخصيصين والتقييدين ونحو ذلك فقد ذكروا لتقديم أحدهما على الآخر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ملاحظة قلّة التخصيص وكثرته ، فربّما يصل التخصيص حدّا يعدّ في العرف مستهجنا ، ومن الظاهر أنّ ارتكاب التخصيص فيما كثر فيه التخصيص أولى ؛ لارتفاع ظهوره بزيادة التخصيص ، 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ظهوره أقوى من غير المخصّص ، والمدار على العرف ، ولا يجري ذلك في التقييد أو يجوز ذلك مطلقا وإن انحصر في فرد ، وقد يرجّح أحد التخصيصين على الآخر فيما إذا كان أحدهما مسبوقا بالسؤال بأنّ التخصيص في العامّ الغير المسبوق أولى منه في المسبوق ، فإن أريد منه تخصيص المورد فهو حقّ ، وإن أريد الإطلاق فهو ممنوع</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جملة من الأصوليين قالوا بتقديم المنطوق على المفهوم عند عدم الاختلاف إلاّ من هذه الجهة ، فإن أرادوا بذلك مفهوم المخالفة فربّما يكون له وجه ؛ لأنّ المنطوق لعلّه أقرب عرفا وأظهر دلالة منه ، وإن أرادوا الأعمّ منه ومن الموافقة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الأولوية قد تصير على وجه يكون اللفظ منساقا لبيان الحكم في الفرد الأولى ، فاللفظ ظهوره العرفي إنّما هو يلاحظ بالنسبة إليه ، وقد يكون اللفظ نسبته </w:t>
      </w:r>
      <w:r>
        <w:rPr>
          <w:rStyle w:val="FootnoteAnchor"/>
          <w:rtl w:val="true"/>
        </w:rPr>
        <w:footnoteReference w:id="3174"/>
      </w:r>
      <w:r>
        <w:rPr>
          <w:rFonts w:ascii="Amiri" w:hAnsi="Amiri" w:eastAsia="Amiri" w:cs="Amiri"/>
          <w:color w:val="111111"/>
          <w:sz w:val="28"/>
          <w:sz w:val="28"/>
          <w:szCs w:val="28"/>
          <w:rtl w:val="true"/>
          <w:lang w:bidi="ar-SA"/>
        </w:rPr>
        <w:t xml:space="preserve">إليهما متساوية ، وقد يكون على وجه يستفاد منه حكم الأولى أيضا وإن لم يكن سياق اللفظ لإفادة الأولى كما أنّه </w:t>
      </w:r>
      <w:r>
        <w:rPr>
          <w:rStyle w:val="FootnoteAnchor"/>
          <w:rtl w:val="true"/>
        </w:rPr>
        <w:footnoteReference w:id="3175"/>
      </w:r>
      <w:r>
        <w:rPr>
          <w:rFonts w:ascii="Amiri" w:hAnsi="Amiri" w:eastAsia="Amiri" w:cs="Amiri"/>
          <w:color w:val="111111"/>
          <w:sz w:val="28"/>
          <w:sz w:val="28"/>
          <w:szCs w:val="28"/>
          <w:rtl w:val="true"/>
          <w:lang w:bidi="ar-SA"/>
        </w:rPr>
        <w:t xml:space="preserve">في المعاني الكنائية أيضا تحتمل </w:t>
      </w:r>
      <w:r>
        <w:rPr>
          <w:rStyle w:val="FootnoteAnchor"/>
          <w:rtl w:val="true"/>
        </w:rPr>
        <w:footnoteReference w:id="3176"/>
      </w:r>
      <w:r>
        <w:rPr>
          <w:rFonts w:ascii="Amiri" w:hAnsi="Amiri" w:eastAsia="Amiri" w:cs="Amiri"/>
          <w:color w:val="111111"/>
          <w:sz w:val="28"/>
          <w:sz w:val="28"/>
          <w:szCs w:val="28"/>
          <w:rtl w:val="true"/>
          <w:lang w:bidi="ar-SA"/>
        </w:rPr>
        <w:t xml:space="preserve">الوجوه المذكورة ، ففي الصورة الأخيرة يحتمل تقديم المنطوق عليه ، وأمّا في الصورتين الأوليين فلا وجه للحكم بالتقديم كما لا </w:t>
      </w:r>
    </w:p>
    <w:p>
      <w:p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بعضهم أيضا تقديم الحقيقة على المجاز مع القرينة الصارفة فيما إذا دار الأمر بين التصرّف فيما هو ظاهر وضعا وبين ما هو ظاهر بواسطة القرينة ، فإن أريد بذلك أنّ العرف يحكمون بالتقديم </w:t>
      </w:r>
      <w:r>
        <w:rPr>
          <w:rStyle w:val="FootnoteAnchor"/>
          <w:rtl w:val="true"/>
        </w:rPr>
        <w:footnoteReference w:id="3177"/>
      </w:r>
      <w:r>
        <w:rPr>
          <w:rFonts w:ascii="Amiri" w:hAnsi="Amiri" w:eastAsia="Amiri" w:cs="Amiri"/>
          <w:color w:val="111111"/>
          <w:sz w:val="28"/>
          <w:sz w:val="28"/>
          <w:szCs w:val="28"/>
          <w:rtl w:val="true"/>
          <w:lang w:bidi="ar-SA"/>
        </w:rPr>
        <w:t xml:space="preserve">فهو مسلّم فيما يساعده العرف إلاّ أنّ المدّعى اطّراد ذلك ، وهو ممنوع كيف ومرجعه إلى دعوى أقوائية الظهور </w:t>
      </w:r>
      <w:r>
        <w:rPr>
          <w:rStyle w:val="FootnoteAnchor"/>
          <w:rtl w:val="true"/>
        </w:rPr>
        <w:footnoteReference w:id="3178"/>
      </w:r>
      <w:r>
        <w:rPr>
          <w:rFonts w:ascii="Amiri" w:hAnsi="Amiri" w:eastAsia="Amiri" w:cs="Amiri"/>
          <w:color w:val="111111"/>
          <w:sz w:val="28"/>
          <w:sz w:val="28"/>
          <w:szCs w:val="28"/>
          <w:rtl w:val="true"/>
          <w:lang w:bidi="ar-SA"/>
        </w:rPr>
        <w:t xml:space="preserve">الناشئ من الوضع من الظهور الناشئ من القرينة؟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مع القرينة يعامل معه معاملة الحقيقة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أنّ القرينة إمّا لفظية ، أو غير لفظية ، والثاني </w:t>
      </w:r>
      <w:r>
        <w:rPr>
          <w:rStyle w:val="FootnoteAnchor"/>
          <w:rtl w:val="true"/>
        </w:rPr>
        <w:footnoteReference w:id="3179"/>
      </w:r>
      <w:r>
        <w:rPr>
          <w:rFonts w:ascii="Amiri" w:hAnsi="Amiri" w:eastAsia="Amiri" w:cs="Amiri"/>
          <w:color w:val="111111"/>
          <w:sz w:val="28"/>
          <w:sz w:val="28"/>
          <w:szCs w:val="28"/>
          <w:rtl w:val="true"/>
          <w:lang w:bidi="ar-SA"/>
        </w:rPr>
        <w:t xml:space="preserve">إمّا قطعية ، أو ظنّية ، لا كلام في الثاني ؛ لعدم اعتبار الظنّ الغير </w:t>
      </w:r>
      <w:r>
        <w:rPr>
          <w:rStyle w:val="FootnoteAnchor"/>
          <w:rtl w:val="true"/>
        </w:rPr>
        <w:footnoteReference w:id="3180"/>
      </w:r>
      <w:r>
        <w:rPr>
          <w:rFonts w:ascii="Amiri" w:hAnsi="Amiri" w:eastAsia="Amiri" w:cs="Amiri"/>
          <w:color w:val="111111"/>
          <w:sz w:val="28"/>
          <w:sz w:val="28"/>
          <w:szCs w:val="28"/>
          <w:rtl w:val="true"/>
          <w:lang w:bidi="ar-SA"/>
        </w:rPr>
        <w:t>المستند إلى لفظ في استكشاف المرادات ، فلا يجوز طرح أصالة الحقيقة في قبال أمثال هذه الظنون ممّا لا يعتبرها العقلاء في استكشاف مطالبهم من عبائرهم ، وعلى تقدير اعتبارها فالأمر يدور مدار أقوائية الظنّ ولا عبرة بمجرّد الاستناد إلى الوضع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القطع فالأمر فيه ظاهر لا ريب في تقدّمه على غيره ، فلا يجوز </w:t>
      </w:r>
      <w:r>
        <w:rPr>
          <w:rStyle w:val="FootnoteAnchor"/>
          <w:rtl w:val="true"/>
        </w:rPr>
        <w:footnoteReference w:id="3181"/>
      </w:r>
      <w:r>
        <w:rPr>
          <w:rFonts w:ascii="Amiri" w:hAnsi="Amiri" w:eastAsia="Amiri" w:cs="Amiri"/>
          <w:color w:val="111111"/>
          <w:sz w:val="28"/>
          <w:sz w:val="28"/>
          <w:szCs w:val="28"/>
          <w:rtl w:val="true"/>
          <w:lang w:bidi="ar-SA"/>
        </w:rPr>
        <w:t>طرح المقطوع في قبال أصالة الحقيقة المعمولة في الحقيقة المقابلة لهذا المجاز المقطوع</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فالقرينة اللفظية لا بدّ وأن يكون ظهورها مستندا </w:t>
      </w:r>
      <w:r>
        <w:rPr>
          <w:rStyle w:val="FootnoteAnchor"/>
          <w:rtl w:val="true"/>
        </w:rPr>
        <w:footnoteReference w:id="3182"/>
      </w:r>
      <w:r>
        <w:rPr>
          <w:rFonts w:ascii="Amiri" w:hAnsi="Amiri" w:eastAsia="Amiri" w:cs="Amiri"/>
          <w:color w:val="111111"/>
          <w:sz w:val="28"/>
          <w:sz w:val="28"/>
          <w:szCs w:val="28"/>
          <w:rtl w:val="true"/>
          <w:lang w:bidi="ar-SA"/>
        </w:rPr>
        <w:t xml:space="preserve">إلى الوضع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التأمّل يعلم أن لا معارضة بين نفس المجاز والحقيقة وإنّما التعارض في الواقع بين القرينة الصارفة وبين الحقيقة والمفروض استناد الظهورين كليهما </w:t>
      </w:r>
      <w:r>
        <w:rPr>
          <w:rStyle w:val="FootnoteAnchor"/>
          <w:rtl w:val="true"/>
        </w:rPr>
        <w:footnoteReference w:id="3183"/>
      </w:r>
      <w:r>
        <w:rPr>
          <w:rFonts w:ascii="Amiri" w:hAnsi="Amiri" w:eastAsia="Amiri" w:cs="Amiri"/>
          <w:color w:val="111111"/>
          <w:sz w:val="28"/>
          <w:sz w:val="28"/>
          <w:szCs w:val="28"/>
          <w:rtl w:val="true"/>
          <w:lang w:bidi="ar-SA"/>
        </w:rPr>
        <w:t>إلى الوضع ، والحكم بتقديم أحدهما على الآخر تحكّم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القرينة الصارفة بعد تعارضها لما اعتبرت صارفة بالنسبة إليها يهوّن أمره فلا يقاوم </w:t>
      </w:r>
      <w:r>
        <w:rPr>
          <w:rStyle w:val="FootnoteAnchor"/>
          <w:rtl w:val="true"/>
        </w:rPr>
        <w:footnoteReference w:id="3184"/>
      </w:r>
      <w:r>
        <w:rPr>
          <w:rFonts w:ascii="Amiri" w:hAnsi="Amiri" w:eastAsia="Amiri" w:cs="Amiri"/>
          <w:color w:val="111111"/>
          <w:sz w:val="28"/>
          <w:sz w:val="28"/>
          <w:szCs w:val="28"/>
          <w:rtl w:val="true"/>
          <w:lang w:bidi="ar-SA"/>
        </w:rPr>
        <w:t>ظهور هذه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المناط على </w:t>
      </w:r>
      <w:r>
        <w:rPr>
          <w:rStyle w:val="FootnoteAnchor"/>
          <w:rtl w:val="true"/>
        </w:rPr>
        <w:footnoteReference w:id="3185"/>
      </w:r>
      <w:r>
        <w:rPr>
          <w:rFonts w:ascii="Amiri" w:hAnsi="Amiri" w:eastAsia="Amiri" w:cs="Amiri"/>
          <w:color w:val="111111"/>
          <w:sz w:val="28"/>
          <w:sz w:val="28"/>
          <w:szCs w:val="28"/>
          <w:rtl w:val="true"/>
          <w:lang w:bidi="ar-SA"/>
        </w:rPr>
        <w:t>قوّة الظهور فلعلّ الصارفة ، لها قوّة تدفع بها كلتا الحقيقتين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فالمعيار على ما سمعت مرارا هو قوّة الظهور ، ومن هنا تراهم يقدّمون الكلام المشتمل على التأكيد وأداة القسم على ما ليس فيه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إذا تعارض الدليلان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وقع التعارض بين أزيد منهما فالحكم في التقديم والتأخير هو ما عرفت من تقديم الأظهر على غيره ، ولكن قد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المعالجة بين الأدلّة لا بدّ أن يلاحظ فيها الترتيب ، فإذا </w:t>
      </w:r>
      <w:r>
        <w:rPr>
          <w:rStyle w:val="FootnoteAnchor"/>
          <w:rtl w:val="true"/>
        </w:rPr>
        <w:footnoteReference w:id="3186"/>
      </w:r>
      <w:r>
        <w:rPr>
          <w:rFonts w:ascii="Amiri" w:hAnsi="Amiri" w:eastAsia="Amiri" w:cs="Amiri"/>
          <w:color w:val="111111"/>
          <w:sz w:val="28"/>
          <w:sz w:val="28"/>
          <w:szCs w:val="28"/>
          <w:rtl w:val="true"/>
          <w:lang w:bidi="ar-SA"/>
        </w:rPr>
        <w:t xml:space="preserve">كان في المقام عامّ ، وبعد ذلك وقفنا على خاصّ ، ثمّ على خاصّ غيره ، فزعم بعضهم </w:t>
      </w:r>
      <w:r>
        <w:rPr>
          <w:rStyle w:val="FootnoteAnchor"/>
          <w:rtl w:val="true"/>
        </w:rPr>
        <w:footnoteReference w:id="3187"/>
      </w:r>
      <w:r>
        <w:rPr>
          <w:rFonts w:ascii="Amiri" w:hAnsi="Amiri" w:eastAsia="Amiri" w:cs="Amiri"/>
          <w:color w:val="111111"/>
          <w:sz w:val="28"/>
          <w:sz w:val="28"/>
          <w:szCs w:val="28"/>
          <w:rtl w:val="true"/>
          <w:lang w:bidi="ar-SA"/>
        </w:rPr>
        <w:t>أنّ بعد التخصيص الأوّل تنقلب النسبة بين الدليلين وتصير عموما من وجه ، والمقصود في المقام إزاحة مثل هذه الأوهام والتنبيه عليها لئلاّ يقع غيره في مثله وإلاّ فهذه أمور واضحة جليّة لا يكاد يعتريها شكّ ولا يدانيها ريب</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 الأدلّة الزائدة على اثنين </w:t>
      </w:r>
      <w:r>
        <w:rPr>
          <w:rStyle w:val="FootnoteAnchor"/>
          <w:rtl w:val="true"/>
        </w:rPr>
        <w:footnoteReference w:id="3188"/>
      </w:r>
      <w:r>
        <w:rPr>
          <w:rFonts w:ascii="Amiri" w:hAnsi="Amiri" w:eastAsia="Amiri" w:cs="Amiri"/>
          <w:color w:val="111111"/>
          <w:sz w:val="28"/>
          <w:sz w:val="28"/>
          <w:szCs w:val="28"/>
          <w:rtl w:val="true"/>
          <w:lang w:bidi="ar-SA"/>
        </w:rPr>
        <w:t xml:space="preserve">يقع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التعارض بين واحد منها وبين الآخرين ، الثاني </w:t>
      </w:r>
      <w:r>
        <w:rPr>
          <w:rStyle w:val="FootnoteAnchor"/>
          <w:rtl w:val="true"/>
        </w:rPr>
        <w:footnoteReference w:id="3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التعارض بين الجميع ، وعلى الأوّل فالخبران المعارضان للآخر إمّا أن يكونا نصّين ولو بالنسبة إلى معارضهما ، أو ظاهرين ، أو يكون أحدهما نصّا والآخر ظاهرا ، فهذه صور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نصّين ، كما إذا ورد عامّ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بعد ذلك خاصّ ، ثمّ خاصّ آخر ، فإن كانت النسبة بين الخاصّين تباينا كما إذا كان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ملاحظة الترتيب بمعنى أنّه لا يتفاوت الحال في ذلك ، سواء اعتبر التخصيص بهما دفعة واحدة ، أو اعتبر التخصيص بأحدهما مقدّما على الآخر ، فإنّ العامّ المخرج منه فرد بعد باق على عمومه بالنسبة إلى فرد مباين للفرد المخصّص ، فيخصّص بالآخر أيضا من غير إشكال ، فإن كانت النسبة بينهما عموما وخصوصا مطلقا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ولا تكرم الفقهاء ، ولا تكرم فقهاء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اعتبرنا التخصيص </w:t>
      </w:r>
      <w:r>
        <w:rPr>
          <w:rStyle w:val="FootnoteAnchor"/>
          <w:rtl w:val="true"/>
        </w:rPr>
        <w:footnoteReference w:id="3190"/>
      </w:r>
      <w:r>
        <w:rPr>
          <w:rFonts w:ascii="Amiri" w:hAnsi="Amiri" w:eastAsia="Amiri" w:cs="Amiri"/>
          <w:color w:val="111111"/>
          <w:sz w:val="28"/>
          <w:sz w:val="28"/>
          <w:szCs w:val="28"/>
          <w:rtl w:val="true"/>
          <w:lang w:bidi="ar-SA"/>
        </w:rPr>
        <w:t xml:space="preserve">بأعمّ المخصّصين فلا إشكال ؛ لعدم التنافي بينه وبين الأخصّ ، فيكون مؤكّدا والنسبة باقية بحالها ، وإن اعتبرنا التخصيص بالأخصّ مقدّما فتقلب النسبة بين العامّ الأوّل والمخصّص العامّ عموما من وجه لتعارضهما </w:t>
      </w:r>
      <w:r>
        <w:rPr>
          <w:rStyle w:val="FootnoteAnchor"/>
          <w:rtl w:val="true"/>
        </w:rPr>
        <w:footnoteReference w:id="3191"/>
      </w:r>
      <w:r>
        <w:rPr>
          <w:rFonts w:ascii="Amiri" w:hAnsi="Amiri" w:eastAsia="Amiri" w:cs="Amiri"/>
          <w:color w:val="111111"/>
          <w:sz w:val="28"/>
          <w:sz w:val="28"/>
          <w:szCs w:val="28"/>
          <w:rtl w:val="true"/>
          <w:lang w:bidi="ar-SA"/>
        </w:rPr>
        <w:t>في فقيه غير البصرة واختصاص العامّ بالأصولي واختصاص الخاصّ بفقيه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إذا كانت النسبة بينهما عموما وخصوصا من وجه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ملاحظة الترتيب توجب انقلاب النسبة بعد التخصيص بأحدهما إلاّ أنّ الواقع عدم ملاحظة الترتيب بينهما ، بل يجب التخصيص بهما دفعة ؛ لأنّهما قرينتان على التخصيص في العامّ وملاحظة الترتيب بينهما ترجيح من غير مرجّح ؛ لتساويهما في الكشف عن المراد من لفظ العامّ ولا مدخل للسبق واللحوق في ذلك ولا في العلم بأحدهما قبل الآخر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w:t>
      </w:r>
      <w:r>
        <w:rPr>
          <w:rStyle w:val="FootnoteAnchor"/>
          <w:rtl w:val="true"/>
        </w:rPr>
        <w:footnoteReference w:id="3192"/>
      </w:r>
      <w:r>
        <w:rPr>
          <w:rFonts w:ascii="Amiri" w:hAnsi="Amiri" w:eastAsia="Amiri" w:cs="Amiri"/>
          <w:color w:val="111111"/>
          <w:sz w:val="28"/>
          <w:sz w:val="28"/>
          <w:szCs w:val="28"/>
          <w:rtl w:val="true"/>
          <w:lang w:bidi="ar-SA"/>
        </w:rPr>
        <w:t xml:space="preserve">يجب ملاحظة الترتيب فيما إذا كان لتقديم </w:t>
      </w:r>
      <w:r>
        <w:rPr>
          <w:rStyle w:val="FootnoteAnchor"/>
          <w:rtl w:val="true"/>
        </w:rPr>
        <w:footnoteReference w:id="3193"/>
      </w:r>
      <w:r>
        <w:rPr>
          <w:rFonts w:ascii="Amiri" w:hAnsi="Amiri" w:eastAsia="Amiri" w:cs="Amiri"/>
          <w:color w:val="111111"/>
          <w:sz w:val="28"/>
          <w:sz w:val="28"/>
          <w:szCs w:val="28"/>
          <w:rtl w:val="true"/>
          <w:lang w:bidi="ar-SA"/>
        </w:rPr>
        <w:t xml:space="preserve">أحد التخصيصين مرجّح مع تفاوت الحال في ملاحظة الترتيب ، مثل 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تكرم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عليك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إشكال في كونهما نصّين بالنسبة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فظاهر ، وأمّا الثاني فلأنّ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الوجوب أظهر من دلالة الأمر على الوجوب ، ولا خفاء أيضا في تفاوت الحال فيما لو فرض الترتيب في المعالجة فإنّه على تقدير عدم ملاحظة الترتيب يلزم ارتكاب تخصيص ومجاز ، أمّا الأوّل فلقوله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 الأمر على الاستحباب مع تخصيص العلماء </w:t>
      </w:r>
      <w:r>
        <w:rPr>
          <w:rStyle w:val="FootnoteAnchor"/>
          <w:rtl w:val="true"/>
        </w:rPr>
        <w:footnoteReference w:id="3194"/>
      </w:r>
      <w:r>
        <w:rPr>
          <w:rFonts w:ascii="Amiri" w:hAnsi="Amiri" w:eastAsia="Amiri" w:cs="Amiri"/>
          <w:color w:val="111111"/>
          <w:sz w:val="28"/>
          <w:sz w:val="28"/>
          <w:szCs w:val="28"/>
          <w:rtl w:val="true"/>
          <w:lang w:bidi="ar-SA"/>
        </w:rPr>
        <w:t xml:space="preserve">بغير الأصوليين ، بخلاف ما إذا فرض التخصيص أوّلا فإنّ بعد ذلك يصير العامّ الأوّل أخصّ مطلقا من العامّ الظاهر في عدم وجوب الإكرام ، فيخصّص به ؛ لدوران الأمر بين التخصيص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التخصيص أولى من ارتكاب سائر أنواع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فحيث إنّ المقام ممّا يتفاوت فيه الحال </w:t>
      </w:r>
      <w:r>
        <w:rPr>
          <w:rStyle w:val="FootnoteAnchor"/>
          <w:rtl w:val="true"/>
        </w:rPr>
        <w:footnoteReference w:id="3195"/>
      </w:r>
      <w:r>
        <w:rPr>
          <w:rFonts w:ascii="Amiri" w:hAnsi="Amiri" w:eastAsia="Amiri" w:cs="Amiri"/>
          <w:color w:val="111111"/>
          <w:sz w:val="28"/>
          <w:sz w:val="28"/>
          <w:szCs w:val="28"/>
          <w:rtl w:val="true"/>
          <w:lang w:bidi="ar-SA"/>
        </w:rPr>
        <w:t xml:space="preserve">مع وجود المرجّح لأحد التصرّفين فلا بدّ من الأخذ وهو العلم بالتخصيص بالنسبة إلى الخاصّ قطعا ، سواء حمل الأمر فيه على الاستحباب أو لا ، فإنّ الخاصّ قرينة صارفة للعامّ قطعية من غير توقّف </w:t>
      </w:r>
      <w:r>
        <w:rPr>
          <w:rStyle w:val="FootnoteAnchor"/>
          <w:rtl w:val="true"/>
        </w:rPr>
        <w:footnoteReference w:id="3196"/>
      </w:r>
      <w:r>
        <w:rPr>
          <w:rFonts w:ascii="Amiri" w:hAnsi="Amiri" w:eastAsia="Amiri" w:cs="Amiri"/>
          <w:color w:val="111111"/>
          <w:sz w:val="28"/>
          <w:sz w:val="28"/>
          <w:szCs w:val="28"/>
          <w:rtl w:val="true"/>
          <w:lang w:bidi="ar-SA"/>
        </w:rPr>
        <w:t>على أمر غير حاصل ، فيدور الأمر بين ارتكاب المجاز في العامّ الأوّل أو تخصيص العامّ الثاني بحمله على الأصوليين في المثال المذكور وقد عرفت الأولوية فيما سبق آنفا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فمحصّل الكلام في الصورة الأولى أنّ بعض الموارد ممّا لا فائدة في ملاحظة الترتيب كما إذا كانا متباينين ، وبعض ممّا يتفاوت فيه الحال لانقلاب النسبة إلاّ أنّه بواسطة عدم </w:t>
      </w:r>
    </w:p>
    <w:p>
      <w:pPr>
        <w:pStyle w:val="BookText"/>
        <w:rPr/>
      </w:pPr>
      <w:r>
        <w:rPr>
          <w:rFonts w:ascii="Amiri" w:hAnsi="Amiri" w:eastAsia="Amiri" w:cs="Amiri"/>
          <w:color w:val="111111"/>
          <w:sz w:val="28"/>
          <w:sz w:val="28"/>
          <w:szCs w:val="28"/>
          <w:rtl w:val="true"/>
          <w:lang w:bidi="ar-SA"/>
        </w:rPr>
        <w:t>المرجّح لا يجوز ملاحظة الترتيب ، وبعض الموارد ممّا يجب الملاحظة لوجود المرجّح كما عرفت ، ولا بدّ أن يعلم أنّ ما ذكرنا من اختلاف الأقسام وأحكامها إنّما هو ملحوظ في المخصّصات المنفصلة كما عرفت في الأمثلة المذكورة ، وأمّا المخصّصات المتّصلة كالصفة والشرط والغاية وبدل البعض ونحوها فاللازم فيها ملاحظة الترتيب ؛ لكونها جزء من العنوان ، فما يحتمل معارضته للعنوان إنّما يؤخذ معارضا بعد أخذ العنوان على جميع أنحاء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يشكّ في بعض المخصّصات في أنّه ملحق بأيّ الفرقتين فيشكّ في حكمه أيضا كالاستثناء ؛ إذ يحتمل أن يكون من قيود الموضوع كالصفة ، ويحتمل أن يكون كالمخصّص المنفصل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بإكرام العلماء ، والظاهر إلحاق الاستثناء بالمخصّصات المتّصلة فإنّ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جاءني القوم إلاّ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غير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عندهم من الكلامين المنفصل أحدهما عن الآخر</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يكون ما ذكرنا من الإشكال في إلحاق الاستثناء وجها لاختلافهم في العارية حيث إنّهم نفوا فيها الضمان إلاّ عند اشتراطه ، ثمّ إنّهم اختلفوا في الذهب والفضّة ، فقال بعضهم بالضمان ولو عند عدم الشرط ، وبعضهم خصّ الحكم بالدراهم والدنانير وحكم بعدم الضمان في غيرهما كما عن الإيضاح </w:t>
      </w:r>
      <w:r>
        <w:rPr>
          <w:rStyle w:val="FootnoteAnchor"/>
          <w:rtl w:val="true"/>
        </w:rPr>
        <w:footnoteReference w:id="3197"/>
      </w:r>
      <w:r>
        <w:rPr>
          <w:rFonts w:ascii="Amiri" w:hAnsi="Amiri" w:eastAsia="Amiri" w:cs="Amiri"/>
          <w:color w:val="111111"/>
          <w:sz w:val="28"/>
          <w:sz w:val="28"/>
          <w:szCs w:val="28"/>
          <w:rtl w:val="true"/>
          <w:lang w:bidi="ar-SA"/>
        </w:rPr>
        <w:t xml:space="preserve">محتجّا في ذلك برواية دلّت على استثناء الدراهم والدنانير فحكم بتخصيص ما دلّ على استثناء مطلق الذهب والفضّة ، وأورد عليه ثاني المحقّقين </w:t>
      </w:r>
      <w:r>
        <w:rPr>
          <w:rStyle w:val="FootnoteAnchor"/>
          <w:rtl w:val="true"/>
        </w:rPr>
        <w:footnoteReference w:id="3198"/>
      </w:r>
      <w:r>
        <w:rPr>
          <w:rFonts w:ascii="Amiri" w:hAnsi="Amiri" w:eastAsia="Amiri" w:cs="Amiri"/>
          <w:color w:val="111111"/>
          <w:sz w:val="28"/>
          <w:sz w:val="28"/>
          <w:szCs w:val="28"/>
          <w:rtl w:val="true"/>
          <w:lang w:bidi="ar-SA"/>
        </w:rPr>
        <w:t xml:space="preserve">بأنّه لا تعارض ؛ لأنّ استثناء الذهب والفضّة في الرواية يقتضي ثبوت الضمان في هذين الجنسين ، واستثناء الدراهم والدنانير في الرواية التي تضمّنه يقتضي كون المخرج من العموم الدراهم والدنانير ، ولا تعارض بين المخصّصين ، فيحكم بخروج الجنسين ، وظاهر المورد أنّه فرض الاستثناء من قبيل المعارض المنفصل ، وإلاّ فعلى تقدير الاتّصال فلا بدّ من سلوك ما سلكه سيّد الرياض تبعا </w:t>
      </w:r>
    </w:p>
    <w:p>
      <w:pPr>
        <w:pStyle w:val="BookText"/>
        <w:rPr/>
      </w:pPr>
      <w:r>
        <w:rPr>
          <w:rFonts w:ascii="Amiri" w:hAnsi="Amiri" w:eastAsia="Amiri" w:cs="Amiri"/>
          <w:color w:val="111111"/>
          <w:sz w:val="28"/>
          <w:sz w:val="28"/>
          <w:szCs w:val="28"/>
          <w:rtl w:val="true"/>
          <w:lang w:bidi="ar-SA"/>
        </w:rPr>
        <w:t xml:space="preserve">للفاضل السبزواري </w:t>
      </w:r>
      <w:r>
        <w:rPr>
          <w:rStyle w:val="FootnoteAnchor"/>
          <w:rtl w:val="true"/>
        </w:rPr>
        <w:footnoteReference w:id="3199"/>
      </w:r>
      <w:r>
        <w:rPr>
          <w:rFonts w:ascii="Amiri" w:hAnsi="Amiri" w:eastAsia="Amiri" w:cs="Amiri"/>
          <w:color w:val="111111"/>
          <w:sz w:val="28"/>
          <w:sz w:val="28"/>
          <w:szCs w:val="28"/>
          <w:rtl w:val="true"/>
          <w:lang w:bidi="ar-SA"/>
        </w:rPr>
        <w:t>من أنّ النسبة بين ما دلّ على ثبوت الضمان في الذهب والفضّة وبين المستثنى منه في الرواية التي استثني فيها الدراهم والدنانير عموم من وجه ؛ لتصادقهما في غير النقدين من الجنسين وافتراقهما في النقدين وفي غيرهما من غير الجنسين كالثوب مثلا ، ففي مورد التعارض يرجع إلى عموم ما دلّ على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فاختلاف المذاهب في هذه المسألة منشؤه اختلافها في المسألة التي نحن بصددها ، ولعلّ الأقوى هو الإلحاق بالمخصّصات المتّصلة كما عرفت ، كما أنّه لا يبعد دعوى أقوائية ما أوضحه صاحب الإيضاح ؛ لدوران الأمر بين رفع اليد عن </w:t>
      </w:r>
      <w:r>
        <w:rPr>
          <w:rStyle w:val="FootnoteAnchor"/>
          <w:rtl w:val="true"/>
        </w:rPr>
        <w:footnoteReference w:id="3200"/>
      </w:r>
      <w:r>
        <w:rPr>
          <w:rFonts w:ascii="Amiri" w:hAnsi="Amiri" w:eastAsia="Amiri" w:cs="Amiri"/>
          <w:color w:val="111111"/>
          <w:sz w:val="28"/>
          <w:sz w:val="28"/>
          <w:szCs w:val="28"/>
          <w:rtl w:val="true"/>
          <w:lang w:bidi="ar-SA"/>
        </w:rPr>
        <w:t xml:space="preserve">الحصر المستفاد من المستثنى والمستثنى منه في رواية الدراهم والدنانير ، وبين إطلاق المطلق وهو الذهب والفضّة وإرادة المقيّد ، ولعلّ الثاني أولى ؛ لأنّ الرواية الأولى أظهر دلالة في الحصر من دلالة المطلق على الماهيّة </w:t>
      </w:r>
      <w:r>
        <w:rPr>
          <w:rStyle w:val="FootnoteAnchor"/>
          <w:rtl w:val="true"/>
        </w:rPr>
        <w:footnoteReference w:id="3201"/>
      </w:r>
      <w:r>
        <w:rPr>
          <w:rFonts w:ascii="Amiri" w:hAnsi="Amiri" w:eastAsia="Amiri" w:cs="Amiri"/>
          <w:color w:val="111111"/>
          <w:sz w:val="28"/>
          <w:sz w:val="28"/>
          <w:szCs w:val="28"/>
          <w:rtl w:val="true"/>
          <w:lang w:bidi="ar-SA"/>
        </w:rPr>
        <w:t>المطلقة كما لا يخفى ، هذا إذا كان المتعارضان نصّين مع إمكان العمل بهما كما عرفت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يمكن العمل بهما لتباينهما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التخصيص بهما يوجب استغراق العامّ ، فلا بدّ من التخصيص بأحدهما دون الآخر ، فإن وجدنا مرجّحا لأحدهما دلالة فهو ، وإلاّ فالمرجع إلى المرجّحات الصدورية من غير إشكال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المعارضان </w:t>
      </w:r>
      <w:r>
        <w:rPr>
          <w:rStyle w:val="FootnoteAnchor"/>
          <w:rtl w:val="true"/>
        </w:rPr>
        <w:footnoteReference w:id="3202"/>
      </w:r>
      <w:r>
        <w:rPr>
          <w:rFonts w:ascii="Amiri" w:hAnsi="Amiri" w:eastAsia="Amiri" w:cs="Amiri"/>
          <w:color w:val="111111"/>
          <w:sz w:val="28"/>
          <w:sz w:val="28"/>
          <w:szCs w:val="28"/>
          <w:rtl w:val="true"/>
          <w:lang w:bidi="ar-SA"/>
        </w:rPr>
        <w:t xml:space="preserve">للثالث ظاهرين فلا يخلو إمّا أن يكون النسبة بينه وبينهما تباينا ، أو عموما وخصوصا من وجه بالنسبة إليهما جميعا ، أو بالنسبة إلى أحدهما ، فعلى الأوّل فلا إشكال في لزوم الأخذ بالمرجّحات الصدورية إن وجدت وإلاّ فالتخيير ، وعلى الثاني فالحكم في مورد التعارض هو الإجمال بناء على </w:t>
      </w:r>
    </w:p>
    <w:p>
      <w:pPr>
        <w:pStyle w:val="BookText"/>
        <w:rPr/>
      </w:pPr>
      <w:r>
        <w:rPr>
          <w:rFonts w:ascii="Amiri" w:hAnsi="Amiri" w:eastAsia="Amiri" w:cs="Amiri"/>
          <w:color w:val="111111"/>
          <w:sz w:val="28"/>
          <w:sz w:val="28"/>
          <w:szCs w:val="28"/>
          <w:rtl w:val="true"/>
          <w:lang w:bidi="ar-SA"/>
        </w:rPr>
        <w:t xml:space="preserve">ما هو المختار ، وعلى الثالث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 تكرم العلماء ، ولا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بالنسبة إلى المتباينين هو الرجوع إلى مرجّحات الصدور ، فإن وجد مرجّح في طرف النهي فلا معارضة بينه وبين النهي في الثالث ، وإن وجد في طرف الأمر فيطرح النهي ويصير التعارض بين الأمر والنهي في العالم الفاسق ومرجعه إلى التوقّف كما مرّ ، وإن لم يوجد مرجّح في أحد الطرفين فلا بدّ من الحكم بالتخيير بين المتباينين ، فإن اختار المكلّف النهي الثاني فلا إشكال ، وإن اختار الأمر فهل في مورد التعارض يحكم بالإجمال ، أو المرجع إلى العامّ المطروح في قبال الأمر؟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حكم الشارع بالتخيير مرجعه إلى الترجيح بما ينقدح في نفس المكلّف فالمرجّح موجود ، ومن أنّ في مورد التعارض يتساقطان فلا بدّ من الرجوع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لسلامته عن المعارض ، وحكم الشارع بالتخيير ليس من لوازمه رفع اليد عن الثالث ، ولعلّ 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المعارضين للثالث نصّا والآخر ظاهرا فإن </w:t>
      </w:r>
      <w:r>
        <w:rPr>
          <w:rStyle w:val="FootnoteAnchor"/>
          <w:rtl w:val="true"/>
        </w:rPr>
        <w:footnoteReference w:id="3203"/>
      </w:r>
      <w:r>
        <w:rPr>
          <w:rFonts w:ascii="Amiri" w:hAnsi="Amiri" w:eastAsia="Amiri" w:cs="Amiri"/>
          <w:color w:val="111111"/>
          <w:sz w:val="28"/>
          <w:sz w:val="28"/>
          <w:szCs w:val="28"/>
          <w:rtl w:val="true"/>
          <w:lang w:bidi="ar-SA"/>
        </w:rPr>
        <w:t xml:space="preserve">كان الظاهران عامّين من وجه فلا إشكال ؛ لأنّ الخاصّ إمّا أن يكون مخرجا لمورد التعارض ، كالعالم الفاسق فيما إذا أمر بإكرام العلماء مع النهي عن إكرام الفسّاق ، فيختصّ الأمر بالعالم الغير الفاسق والنهي بمطلق </w:t>
      </w:r>
      <w:r>
        <w:rPr>
          <w:rStyle w:val="FootnoteAnchor"/>
          <w:rtl w:val="true"/>
        </w:rPr>
        <w:footnoteReference w:id="3204"/>
      </w:r>
      <w:r>
        <w:rPr>
          <w:rFonts w:ascii="Amiri" w:hAnsi="Amiri" w:eastAsia="Amiri" w:cs="Amiri"/>
          <w:color w:val="111111"/>
          <w:sz w:val="28"/>
          <w:sz w:val="28"/>
          <w:szCs w:val="28"/>
          <w:rtl w:val="true"/>
          <w:lang w:bidi="ar-SA"/>
        </w:rPr>
        <w:t>الفاسق ، وبذلك يرتفع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الخاصّ مخرجا لمورد الافتراق كأن يكون مفاده النهي عن إكرام الفاسق الغير العالم ، فينحصر مورد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 الفاسق ، فيصير خاصّا مطلقا بالنسبة إلى الأمر فيقدّم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مخرجا لعنوان يعمّ النوعين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باقية بحالها فلا يتفاوت الحال فيه </w:t>
      </w:r>
      <w:r>
        <w:rPr>
          <w:rStyle w:val="FootnoteAnchor"/>
          <w:rtl w:val="true"/>
        </w:rPr>
        <w:footnoteReference w:id="3205"/>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الظاهران متباينين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ولا تكرم العلماء ولا تكرم </w:t>
      </w:r>
    </w:p>
    <w:p>
      <w:pPr>
        <w:pStyle w:val="BookText"/>
        <w:rPr/>
      </w:pPr>
      <w:r>
        <w:rPr>
          <w:rFonts w:ascii="Amiri" w:hAnsi="Amiri" w:eastAsia="Amiri" w:cs="Amiri"/>
          <w:color w:val="111111"/>
          <w:sz w:val="28"/>
          <w:sz w:val="28"/>
          <w:szCs w:val="28"/>
          <w:rtl w:val="true"/>
          <w:lang w:bidi="ar-SA"/>
        </w:rPr>
        <w:t xml:space="preserve">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تقديم العلاج في الدلالة على العلاج في الصدور ؛ لأنّ العرف لا يتأمّلون في ذلك ولازمه تخصيص العامّ الأوّل بالخاصّ ، ثمّ تخصيص العامّ الثاني بالعامّ المخصّص ؛ لأنّه في نفس الأمر يكون المراد به الأخصّ ، وقد يحتمل القول باندراجه في الأخبار العلاجية لتباينهما ظاهرا ، كما أنّه قد يحتمل التفصيل بين ما كان الخاصّ دليلا لفظيا ، أو لبّيا فيحكم بالأوّل في الأوّل ، وبالثاني في الثاني ، إلاّ أنّ الأقوى هو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الصور الثلاثة المتفرّعة على ما إذا كان التعارض بين واحد من الأدلّة وبين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التعارض بين الجميع </w:t>
      </w:r>
      <w:r>
        <w:rPr>
          <w:rStyle w:val="FootnoteAnchor"/>
          <w:rtl w:val="true"/>
        </w:rPr>
        <w:footnoteReference w:id="3206"/>
      </w:r>
      <w:r>
        <w:rPr>
          <w:rFonts w:ascii="Amiri" w:hAnsi="Amiri" w:eastAsia="Amiri" w:cs="Amiri"/>
          <w:color w:val="111111"/>
          <w:sz w:val="28"/>
          <w:sz w:val="28"/>
          <w:szCs w:val="28"/>
          <w:rtl w:val="true"/>
          <w:lang w:bidi="ar-SA"/>
        </w:rPr>
        <w:t xml:space="preserve">فالصور المفروضة فيما تقدّم جارية فيه أيضا ؛ إذ المعارضان منها </w:t>
      </w:r>
      <w:r>
        <w:rPr>
          <w:rStyle w:val="FootnoteAnchor"/>
          <w:rtl w:val="true"/>
        </w:rPr>
        <w:footnoteReference w:id="3207"/>
      </w:r>
      <w:r>
        <w:rPr>
          <w:rFonts w:ascii="Amiri" w:hAnsi="Amiri" w:eastAsia="Amiri" w:cs="Amiri"/>
          <w:color w:val="111111"/>
          <w:sz w:val="28"/>
          <w:sz w:val="28"/>
          <w:szCs w:val="28"/>
          <w:rtl w:val="true"/>
          <w:lang w:bidi="ar-SA"/>
        </w:rPr>
        <w:t>بالنسبة إلى الثالث لا بدّ وأن يكونا على إحدى الصور ، مضافا إلى أنّ هذين المعارضين إمّا أن يكون أحدهما نصّا والآخر ظاهرا ، أو كلاهما ظاهرين ، فإنّ نصوصية كلّ واحد منهما بالنسبة إلى الآخر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المعارضان نصّين بالنسبة إلى الثالث مع ظهورهما في نفسهما أيضا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ولا تكرم الفسّاق من العلماء ويستحب إكرام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الأخيرين ينهض بتخصيص الأوّل ، ويعالج بينهما بما هو المعالجة لهما من الأخذ بالمرجّحات في الدلالة ، وإلاّ فالحكم بالإجمال</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بحالها مع نصوصية أحد المتعارضين أيضا ، كما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 ويستحب إكرام الأصوليين ، ويجب إكرام الأصولي من أهل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العامّ الأوّل على العامّ </w:t>
      </w:r>
      <w:r>
        <w:rPr>
          <w:rStyle w:val="FootnoteAnchor"/>
          <w:rtl w:val="true"/>
        </w:rPr>
        <w:footnoteReference w:id="3208"/>
      </w:r>
      <w:r>
        <w:rPr>
          <w:rFonts w:ascii="Amiri" w:hAnsi="Amiri" w:eastAsia="Amiri" w:cs="Amiri"/>
          <w:color w:val="111111"/>
          <w:sz w:val="28"/>
          <w:sz w:val="28"/>
          <w:szCs w:val="28"/>
          <w:rtl w:val="true"/>
          <w:lang w:bidi="ar-SA"/>
        </w:rPr>
        <w:t xml:space="preserve">الثاني فيحكم بحرمة إكرام ما عدا الأصولي من العلماء ، وللعامّ الثاني على الخاصّ فيحكم بوجوب إكرام أصولي المشهد ، ولا </w:t>
      </w:r>
    </w:p>
    <w:p>
      <w:pPr>
        <w:pStyle w:val="BookText"/>
        <w:rPr/>
      </w:pPr>
      <w:r>
        <w:rPr>
          <w:rFonts w:ascii="Amiri" w:hAnsi="Amiri" w:eastAsia="Amiri" w:cs="Amiri"/>
          <w:color w:val="111111"/>
          <w:sz w:val="28"/>
          <w:sz w:val="28"/>
          <w:szCs w:val="28"/>
          <w:rtl w:val="true"/>
          <w:lang w:bidi="ar-SA"/>
        </w:rPr>
        <w:t>يتفاوت الحال في ملاحظة الترتيب في هذين الصورتين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المعارضان ظاهرين بالنسبة إلى الثالث مع </w:t>
      </w:r>
      <w:r>
        <w:rPr>
          <w:rStyle w:val="FootnoteAnchor"/>
          <w:rtl w:val="true"/>
        </w:rPr>
        <w:footnoteReference w:id="3209"/>
      </w:r>
      <w:r>
        <w:rPr>
          <w:rFonts w:ascii="Amiri" w:hAnsi="Amiri" w:eastAsia="Amiri" w:cs="Amiri"/>
          <w:color w:val="111111"/>
          <w:sz w:val="28"/>
          <w:sz w:val="28"/>
          <w:szCs w:val="28"/>
          <w:rtl w:val="true"/>
          <w:lang w:bidi="ar-SA"/>
        </w:rPr>
        <w:t xml:space="preserve">ظهورهما أيضا ، فالنسبة بين الكلّ إمّا أن يكون التباين ، أو العموم من وجه ، أو في بعض الأوّل وفي الآخر الثاني ، فعلى الأوّل كما 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 ويستحب إكرام العلماء ، ويباح إكرام العلماء </w:t>
      </w:r>
      <w:r>
        <w:rPr>
          <w:rStyle w:val="FootnoteAnchor"/>
          <w:rtl w:val="true"/>
        </w:rPr>
        <w:footnoteReference w:id="3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الرجوع إلى مرجّحات الصدور ، وعلى الأوّل </w:t>
      </w:r>
      <w:r>
        <w:rPr>
          <w:rStyle w:val="FootnoteAnchor"/>
          <w:rtl w:val="true"/>
        </w:rPr>
        <w:footnoteReference w:id="3211"/>
      </w:r>
      <w:r>
        <w:rPr>
          <w:rFonts w:ascii="Amiri" w:hAnsi="Amiri" w:eastAsia="Amiri" w:cs="Amiri"/>
          <w:color w:val="111111"/>
          <w:sz w:val="28"/>
          <w:sz w:val="28"/>
          <w:szCs w:val="28"/>
          <w:rtl w:val="true"/>
          <w:lang w:bidi="ar-SA"/>
        </w:rPr>
        <w:t xml:space="preserve">كما 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ولا تكرم الفسّاق ، ويباح إكرام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مورد التعارض وهو العالم الفاسق البصري ، يحكم بالإجمال كما أنّه يحكم بالإجمال في العالم البصري ، والفاسق العالم ، والفاسق البصري ، وعلى الثالث كما 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ويباح إكرام العلماء ، ولا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فيعالج أوّلا بين المتباينين بالتخيير عند عدم المرجّح ، وعلى تقديره فيؤخذ به ، ثمّ يعالج بين الراجح أو المختار وبين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بحالها مع نصوصية أحدهما أيضا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الخامسة 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المتعارضين نصّا والآخر ظاهرا بالنسبة إلى الثالث مع ظهورهما في نفسهما أو نصوصية أحدهما بالنسبة إلى الآخر أيضا ، والأمثلة </w:t>
      </w:r>
      <w:r>
        <w:rPr>
          <w:rStyle w:val="FootnoteAnchor"/>
          <w:rtl w:val="true"/>
        </w:rPr>
        <w:footnoteReference w:id="3212"/>
      </w:r>
      <w:r>
        <w:rPr>
          <w:rFonts w:ascii="Amiri" w:hAnsi="Amiri" w:eastAsia="Amiri" w:cs="Amiri"/>
          <w:color w:val="111111"/>
          <w:sz w:val="28"/>
          <w:sz w:val="28"/>
          <w:szCs w:val="28"/>
          <w:rtl w:val="true"/>
          <w:lang w:bidi="ar-SA"/>
        </w:rPr>
        <w:t xml:space="preserve">كثيرة والحكم ظاهر ، والضابط في الكلّ هو تقديم الأظهر على الظاهر من غير ملاحظة الترتيب في حمل الظواهر على النصوص و </w:t>
      </w:r>
      <w:r>
        <w:rPr>
          <w:rStyle w:val="FootnoteAnchor"/>
          <w:rtl w:val="true"/>
        </w:rPr>
        <w:footnoteReference w:id="3213"/>
      </w:r>
      <w:r>
        <w:rPr>
          <w:rFonts w:ascii="Amiri" w:hAnsi="Amiri" w:eastAsia="Amiri" w:cs="Amiri"/>
          <w:color w:val="111111"/>
          <w:sz w:val="28"/>
          <w:sz w:val="28"/>
          <w:szCs w:val="28"/>
          <w:rtl w:val="true"/>
          <w:lang w:bidi="ar-SA"/>
        </w:rPr>
        <w:t xml:space="preserve">تفصيل الأمثلة بذكرها يحتاج إلى زمان أوسع ممّا أحاط بنا من هذا الجزء من الزمان ، واللّه </w:t>
      </w:r>
      <w:r>
        <w:rPr>
          <w:rStyle w:val="FootnoteAnchor"/>
          <w:rtl w:val="true"/>
        </w:rPr>
        <w:footnoteReference w:id="3214"/>
      </w:r>
      <w:r>
        <w:rPr>
          <w:rFonts w:ascii="Amiri" w:hAnsi="Amiri" w:eastAsia="Amiri" w:cs="Amiri"/>
          <w:color w:val="111111"/>
          <w:sz w:val="28"/>
          <w:sz w:val="28"/>
          <w:szCs w:val="28"/>
          <w:rtl w:val="true"/>
          <w:lang w:bidi="ar-SA"/>
        </w:rPr>
        <w:t xml:space="preserve">الموفّق وهو الهادي </w:t>
      </w:r>
      <w:r>
        <w:rPr>
          <w:rStyle w:val="FootnoteAnchor"/>
          <w:rtl w:val="true"/>
        </w:rPr>
        <w:footnoteReference w:id="3215"/>
      </w:r>
      <w:r>
        <w:rPr>
          <w:rFonts w:eastAsia="Times New Roman" w:cs="Times New Roman" w:ascii="Times New Roman" w:hAnsi="Times New Roman"/>
          <w:color w:val="111111"/>
          <w:sz w:val="28"/>
          <w:szCs w:val="28"/>
          <w:rtl w:val="true"/>
          <w:lang w:val="en-US" w:bidi="en-US"/>
        </w:rPr>
        <w:t xml:space="preserve">. </w:t>
      </w:r>
      <w:bookmarkStart w:id="343" w:name="pg16284_171557"/>
    </w:p>
    <w:p>
      <w:pPr>
        <w:pStyle w:val="Heading3"/>
        <w:numPr>
          <w:ilvl w:val="2"/>
          <w:numId w:val="1"/>
        </w:numPr>
        <w:rPr/>
      </w:pPr>
      <w:bookmarkStart w:id="344" w:name="__RefHeading___Toc5012236_1280447820"/>
      <w:bookmarkStart w:id="345" w:name="_Toc107"/>
      <w:bookmarkEnd w:id="343"/>
      <w:bookmarkEnd w:id="344"/>
      <w:r>
        <w:rPr>
          <w:rtl w:val="true"/>
        </w:rPr>
        <w:t xml:space="preserve">هداية </w:t>
      </w:r>
      <w:r>
        <w:rPr>
          <w:rtl w:val="true"/>
        </w:rPr>
        <w:t xml:space="preserve">[ </w:t>
      </w:r>
      <w:r>
        <w:rPr>
          <w:rtl w:val="true"/>
        </w:rPr>
        <w:t xml:space="preserve">في المرجّحات الصدورية </w:t>
      </w:r>
      <w:r>
        <w:rPr>
          <w:rtl w:val="true"/>
        </w:rPr>
        <w:t>]</w:t>
      </w:r>
      <w:bookmarkEnd w:id="345"/>
    </w:p>
    <w:p>
      <w:pPr>
        <w:pStyle w:val="BookText"/>
        <w:rPr/>
      </w:pPr>
      <w:r>
        <w:rPr>
          <w:rFonts w:ascii="Amiri" w:hAnsi="Amiri" w:eastAsia="Amiri" w:cs="Amiri"/>
          <w:color w:val="111111"/>
          <w:sz w:val="28"/>
          <w:sz w:val="28"/>
          <w:szCs w:val="28"/>
          <w:rtl w:val="true"/>
          <w:lang w:bidi="ar-SA"/>
        </w:rPr>
        <w:t>بعد ما عرفت تحقيق القول في المرجّحات التي يتقوّى بها أحد الدليلين على الآخر دلالة لا بدّ من تحقيق الكلام في المرجّحات الصدورية ، وقبل الخوض في المطلب لا بدّ من أن يعلم أنّ الحكم برجحان أحد الدليلين على الآخر وإثبات الحكم الشرعي بأحدهما دون الآخر يحتاج إلى دليل ، وعند عدمه لا يجوز الحكم بالترجيح ؛ لأنّ عند عدم الترجيح فالحكم إمّا التخيير كما هو التحقيق ، أو التساقط والتوقف ، والمفروض إقامة البرهان من الطرفين على المذهبين ، فالأخذ بالترجيح على كلّ واحد من المذهبين بدون دليل ، يوجب طرح البرهان القائم على المذهبين بغير دليل ، وفساد ذلك أجلى من أن يبيّن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فقد مرّت الإشارة منّا في الهدايات السابقة إلى أنّ المرجّحية كالحجّية تتوقّف على دلالة ، وعند عدمها يحكم بعدمها ؛ لأنّ الشكّ في ذلك يكفي في الحكم بعدمها ، فلا بدّ من الاقتصار على ما ثبت بدليل معتبر كونه مرجّحا مثل ما ورد في الأخبار العلاجية على تقدير انتهاضها عليها كما ستعرف ، إلى غير ذلك من وجوه الأدلّة الناهضة على الأخذ بوجوه التراجيح التي تعرف تفصيلها عن قريب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ولنبدأ بذكر الأخبار الواردة في هذا المضمار تيمّنا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كثيرة جدّا ، بل تبلغ إلى نيّف وثلاثين على ما حكي </w:t>
      </w:r>
      <w:r>
        <w:rPr>
          <w:rStyle w:val="FootnoteAnchor"/>
          <w:rtl w:val="true"/>
        </w:rPr>
        <w:footnoteReference w:id="3216"/>
      </w:r>
      <w:r>
        <w:rPr>
          <w:rFonts w:ascii="Amiri" w:hAnsi="Amiri" w:eastAsia="Amiri" w:cs="Amiri"/>
          <w:color w:val="111111"/>
          <w:sz w:val="28"/>
          <w:sz w:val="28"/>
          <w:szCs w:val="28"/>
          <w:rtl w:val="true"/>
          <w:lang w:bidi="ar-SA"/>
        </w:rPr>
        <w:t xml:space="preserve">، إلاّ أنّ أظهرها دلالة وأشهرها رواية مقبولة عمر بن حنظلة ، وتتلوها في بعض الوجوه مرفوعة زرارة المرويّة في </w:t>
      </w:r>
      <w:r>
        <w:rPr>
          <w:rStyle w:val="FootnoteAnchor"/>
          <w:rtl w:val="true"/>
        </w:rPr>
        <w:footnoteReference w:id="3217"/>
      </w:r>
      <w:r>
        <w:rPr>
          <w:rFonts w:ascii="Amiri" w:hAnsi="Amiri" w:eastAsia="Amiri" w:cs="Amiri"/>
          <w:color w:val="111111"/>
          <w:sz w:val="28"/>
          <w:sz w:val="28"/>
          <w:szCs w:val="28"/>
          <w:rtl w:val="true"/>
          <w:lang w:bidi="ar-SA"/>
        </w:rPr>
        <w:t>غوالى اللآلى ، فالأنسب هو إيرادهما والاكتفاء بهما عن غيرهما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المشايخ الثلاثة ، بل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لوجودها في الاحتجاج </w:t>
      </w:r>
      <w:r>
        <w:rPr>
          <w:rStyle w:val="FootnoteAnchor"/>
          <w:rtl w:val="true"/>
        </w:rPr>
        <w:footnoteReference w:id="321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 ففي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عيسى 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حصين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رجلين من أصحابنا بينهما منازعة في دين أو ميراث فتحاكما إلى السلطان أو إلى القضاة أيحلّ ذلك؟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تحاكم إليهم في حقّ أو باطل فإنّما تحاكم إلى الطاغوت ، وما يحكم له فإنّما يأخذه </w:t>
      </w:r>
      <w:r>
        <w:rPr>
          <w:rStyle w:val="FootnoteAnchor"/>
          <w:rtl w:val="true"/>
        </w:rPr>
        <w:footnoteReference w:id="3219"/>
      </w:r>
      <w:r>
        <w:rPr>
          <w:rFonts w:ascii="Amiri" w:hAnsi="Amiri" w:eastAsia="Amiri" w:cs="Amiri"/>
          <w:color w:val="111111"/>
          <w:sz w:val="28"/>
          <w:sz w:val="28"/>
          <w:szCs w:val="28"/>
          <w:rtl w:val="true"/>
          <w:lang w:bidi="ar-SA"/>
        </w:rPr>
        <w:t xml:space="preserve">سحتا وإن كان حقّا ثابتا له ؛ لأنّه أخذه </w:t>
      </w:r>
      <w:r>
        <w:rPr>
          <w:rStyle w:val="FootnoteAnchor"/>
          <w:rtl w:val="true"/>
        </w:rPr>
        <w:footnoteReference w:id="3220"/>
      </w:r>
      <w:r>
        <w:rPr>
          <w:rFonts w:ascii="Amiri" w:hAnsi="Amiri" w:eastAsia="Amiri" w:cs="Amiri"/>
          <w:color w:val="111111"/>
          <w:sz w:val="28"/>
          <w:sz w:val="28"/>
          <w:szCs w:val="28"/>
          <w:rtl w:val="true"/>
          <w:lang w:bidi="ar-SA"/>
        </w:rPr>
        <w:t xml:space="preserve">بحكم الطاغوت وقد أمر اللّه أن يكفر به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يَتَحاكَمُوا إِلَى الطَّاغُوتِ وَقَدْ أُمِرُوا أَنْ يَكْفُرُوا بِهِ </w:t>
      </w:r>
      <w:r>
        <w:rPr>
          <w:rFonts w:eastAsia="Amiri" w:cs="Amiri" w:ascii="Amiri" w:hAnsi="Amiri"/>
          <w:color w:val="111111"/>
          <w:sz w:val="28"/>
          <w:szCs w:val="28"/>
          <w:rtl w:val="true"/>
          <w:lang w:bidi="ar-SA"/>
        </w:rPr>
        <w:t xml:space="preserve">) </w:t>
      </w:r>
      <w:r>
        <w:rPr>
          <w:rStyle w:val="FootnoteAnchor"/>
          <w:rtl w:val="true"/>
        </w:rPr>
        <w:footnoteReference w:id="3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ينظران إلى من كان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منكم ممّن قد روى أحاديثنا </w:t>
      </w:r>
      <w:r>
        <w:rPr>
          <w:rStyle w:val="FootnoteAnchor"/>
          <w:rtl w:val="true"/>
        </w:rPr>
        <w:footnoteReference w:id="3222"/>
      </w:r>
      <w:r>
        <w:rPr>
          <w:rFonts w:ascii="Amiri" w:hAnsi="Amiri" w:eastAsia="Amiri" w:cs="Amiri"/>
          <w:color w:val="111111"/>
          <w:sz w:val="28"/>
          <w:sz w:val="28"/>
          <w:szCs w:val="28"/>
          <w:rtl w:val="true"/>
          <w:lang w:bidi="ar-SA"/>
        </w:rPr>
        <w:t xml:space="preserve">ونظر في حلالنا وفي حرامنا وعرف أحكامنا ، فليرضوا </w:t>
      </w:r>
      <w:r>
        <w:rPr>
          <w:rStyle w:val="FootnoteAnchor"/>
          <w:rtl w:val="true"/>
        </w:rPr>
        <w:footnoteReference w:id="3223"/>
      </w:r>
      <w:r>
        <w:rPr>
          <w:rFonts w:ascii="Amiri" w:hAnsi="Amiri" w:eastAsia="Amiri" w:cs="Amiri"/>
          <w:color w:val="111111"/>
          <w:sz w:val="28"/>
          <w:sz w:val="28"/>
          <w:szCs w:val="28"/>
          <w:rtl w:val="true"/>
          <w:lang w:bidi="ar-SA"/>
        </w:rPr>
        <w:t xml:space="preserve">به حكما فإنّي جعلته عليكم حاكما ، فإذا حكم بحكمنا فلم يقبله </w:t>
      </w:r>
      <w:r>
        <w:rPr>
          <w:rStyle w:val="FootnoteAnchor"/>
          <w:rtl w:val="true"/>
        </w:rPr>
        <w:footnoteReference w:id="3224"/>
      </w:r>
      <w:r>
        <w:rPr>
          <w:rFonts w:ascii="Amiri" w:hAnsi="Amiri" w:eastAsia="Amiri" w:cs="Amiri"/>
          <w:color w:val="111111"/>
          <w:sz w:val="28"/>
          <w:sz w:val="28"/>
          <w:szCs w:val="28"/>
          <w:rtl w:val="true"/>
          <w:lang w:bidi="ar-SA"/>
        </w:rPr>
        <w:t xml:space="preserve">منه فإنّما استخفّ بحكم اللّه وعلينا ردّ والرادّ علينا رادّ </w:t>
      </w:r>
      <w:r>
        <w:rPr>
          <w:rStyle w:val="FootnoteAnchor"/>
          <w:rtl w:val="true"/>
        </w:rPr>
        <w:footnoteReference w:id="3225"/>
      </w:r>
      <w:r>
        <w:rPr>
          <w:rFonts w:ascii="Amiri" w:hAnsi="Amiri" w:eastAsia="Amiri" w:cs="Amiri"/>
          <w:color w:val="111111"/>
          <w:sz w:val="28"/>
          <w:sz w:val="28"/>
          <w:szCs w:val="28"/>
          <w:rtl w:val="true"/>
          <w:lang w:bidi="ar-SA"/>
        </w:rPr>
        <w:t xml:space="preserve">على اللّه وهو على حدّ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واحد </w:t>
      </w:r>
      <w:r>
        <w:rPr>
          <w:rStyle w:val="FootnoteAnchor"/>
          <w:rtl w:val="true"/>
        </w:rPr>
        <w:footnoteReference w:id="3226"/>
      </w:r>
      <w:r>
        <w:rPr>
          <w:rFonts w:ascii="Amiri" w:hAnsi="Amiri" w:eastAsia="Amiri" w:cs="Amiri"/>
          <w:color w:val="111111"/>
          <w:sz w:val="28"/>
          <w:sz w:val="28"/>
          <w:szCs w:val="28"/>
          <w:rtl w:val="true"/>
          <w:lang w:bidi="ar-SA"/>
        </w:rPr>
        <w:t xml:space="preserve">اختار رجلا من أصحابنا فرضيا أن يكونا ناظرين </w:t>
      </w:r>
      <w:r>
        <w:rPr>
          <w:rStyle w:val="FootnoteAnchor"/>
          <w:rtl w:val="true"/>
        </w:rPr>
        <w:footnoteReference w:id="3227"/>
      </w:r>
      <w:r>
        <w:rPr>
          <w:rFonts w:ascii="Amiri" w:hAnsi="Amiri" w:eastAsia="Amiri" w:cs="Amiri"/>
          <w:color w:val="111111"/>
          <w:sz w:val="28"/>
          <w:sz w:val="28"/>
          <w:szCs w:val="28"/>
          <w:rtl w:val="true"/>
          <w:lang w:bidi="ar-SA"/>
        </w:rPr>
        <w:t xml:space="preserve">في حقّهما واختلفا فيما حكما وكلاهما اختلفا في حديثكم؟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ولا يلتفت إلى ما حكم </w:t>
      </w:r>
      <w:r>
        <w:rPr>
          <w:rStyle w:val="FootnoteAnchor"/>
          <w:rtl w:val="true"/>
        </w:rPr>
        <w:footnoteReference w:id="3228"/>
      </w:r>
      <w:r>
        <w:rPr>
          <w:rFonts w:ascii="Amiri" w:hAnsi="Amiri" w:eastAsia="Amiri" w:cs="Amiri"/>
          <w:color w:val="111111"/>
          <w:sz w:val="28"/>
          <w:sz w:val="28"/>
          <w:szCs w:val="28"/>
          <w:rtl w:val="true"/>
          <w:lang w:bidi="ar-SA"/>
        </w:rPr>
        <w:t xml:space="preserve">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لا يفضل واحد منهما على صاحبه؟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كان من روايتهم عنّا في ذلك الذي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من أصحابك ، فيؤخذ به من حكمنا ويترك الشاذّ الذي ليس بمشهور عند أصحابك ، فإنّ المجمع عليه لا ريب فيه ، وإنّما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وأمر بيّن غيّه فيجتنب ، وأمر مشكل يردّ علمه إلى اللّه وإلى رسوله ،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 وحرام بيّن ، وشبهات بين ذلك ، فمن ترك الشبهات نجى من المحرمات ومن أخذ بالشبهات ارتكب المحرمات وهلك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عنهما </w:t>
      </w:r>
      <w:r>
        <w:rPr>
          <w:rStyle w:val="FootnoteAnchor"/>
          <w:rtl w:val="true"/>
        </w:rPr>
        <w:footnoteReference w:id="3229"/>
      </w:r>
      <w:r>
        <w:rPr>
          <w:rFonts w:ascii="Amiri" w:hAnsi="Amiri" w:eastAsia="Amiri" w:cs="Amiri"/>
          <w:color w:val="111111"/>
          <w:sz w:val="28"/>
          <w:sz w:val="28"/>
          <w:szCs w:val="28"/>
          <w:rtl w:val="true"/>
          <w:lang w:bidi="ar-SA"/>
        </w:rPr>
        <w:t xml:space="preserve">مشهورين قد رواهما الثقات عنكم؟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حكمه حكم الكتاب والسنّة وخالف العامّة فيؤخذ به ، ويترك ما خالف حكمه حكم الكتاب والسنّة ووافق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إن كان الفقيهان عرفا حكمه من الكتاب والسنّة ووجدنا أحد الخبرين موافقا للعامّة والآخر مخالفا لهم بأيّ الخبرين يؤخذ؟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يؤخذ </w:t>
      </w:r>
      <w:r>
        <w:rPr>
          <w:rStyle w:val="FootnoteAnchor"/>
          <w:rtl w:val="true"/>
        </w:rPr>
        <w:footnoteReference w:id="3230"/>
      </w:r>
      <w:r>
        <w:rPr>
          <w:rFonts w:ascii="Amiri" w:hAnsi="Amiri" w:eastAsia="Amiri" w:cs="Amiri"/>
          <w:color w:val="111111"/>
          <w:sz w:val="28"/>
          <w:sz w:val="28"/>
          <w:szCs w:val="28"/>
          <w:rtl w:val="true"/>
          <w:lang w:bidi="ar-SA"/>
        </w:rPr>
        <w:t xml:space="preserve">ما خالف العامّة ففيه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جعلت فداك فإن وافقهما الخبران جميعا؟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هو أميل إليه </w:t>
      </w:r>
      <w:r>
        <w:rPr>
          <w:rStyle w:val="FootnoteAnchor"/>
          <w:rtl w:val="true"/>
        </w:rPr>
        <w:footnoteReference w:id="3231"/>
      </w:r>
      <w:r>
        <w:rPr>
          <w:rFonts w:ascii="Amiri" w:hAnsi="Amiri" w:eastAsia="Amiri" w:cs="Amiri"/>
          <w:color w:val="111111"/>
          <w:sz w:val="28"/>
          <w:sz w:val="28"/>
          <w:szCs w:val="28"/>
          <w:rtl w:val="true"/>
          <w:lang w:bidi="ar-SA"/>
        </w:rPr>
        <w:t xml:space="preserve">حكّامهم وقضاتهم فيترك ويؤخذ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فأرجه حتّى تلقى إمامك فإنّ الوقوف عند الشبهات خير من الاقتحام في الهلكات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هذه الرواية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السند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سند هذه الرواية ، ولذلك اشتهرت بالمقبولة ، ولعلّ تسميتها بها ليس بواسطة كونها معمولا بها عندهم ، بل لأنّ هذه الرواية لا تندرج في أحد أقسام الحديث ؛ لاختلاف الأصحاب في بعض رواتها على وجه لا يدخل في واحد منها اصطلاحا ، إلاّ أنّه يظهر منهم الاعتماد عليها ، فتأمّل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فرواة هذه الرواية ممّن عدا داود وعمر بن حنظلة كلّهم موثّقة فإنّ محمّد بن يحيى العطّار ومحمّد بن الحسين بن أبي الخطّاب من أعاظم الأصحاب كمحمّد بن عيسى وصفوان ممّا قيل </w:t>
      </w:r>
      <w:r>
        <w:rPr>
          <w:rStyle w:val="FootnoteAnchor"/>
          <w:rtl w:val="true"/>
        </w:rPr>
        <w:footnoteReference w:id="3232"/>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يروي إلاّ عن ثقة كالبزنطي مع أنّه من أصحاب الإجماع ، وأمّا داود فقد قال الشيخ </w:t>
      </w:r>
      <w:r>
        <w:rPr>
          <w:rStyle w:val="FootnoteAnchor"/>
          <w:rtl w:val="true"/>
        </w:rPr>
        <w:footnoteReference w:id="3233"/>
      </w:r>
      <w:r>
        <w:rPr>
          <w:rFonts w:ascii="Amiri" w:hAnsi="Amiri" w:eastAsia="Amiri" w:cs="Amiri"/>
          <w:color w:val="111111"/>
          <w:sz w:val="28"/>
          <w:sz w:val="28"/>
          <w:szCs w:val="28"/>
          <w:rtl w:val="true"/>
          <w:lang w:bidi="ar-SA"/>
        </w:rPr>
        <w:t xml:space="preserve">وابن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واقفي ، ووثّقه النجاشي </w:t>
      </w:r>
      <w:r>
        <w:rPr>
          <w:rStyle w:val="FootnoteAnchor"/>
          <w:rtl w:val="true"/>
        </w:rPr>
        <w:footnoteReference w:id="3234"/>
      </w:r>
      <w:r>
        <w:rPr>
          <w:rFonts w:ascii="Amiri" w:hAnsi="Amiri" w:eastAsia="Amiri" w:cs="Amiri"/>
          <w:color w:val="111111"/>
          <w:sz w:val="28"/>
          <w:sz w:val="28"/>
          <w:szCs w:val="28"/>
          <w:rtl w:val="true"/>
          <w:lang w:bidi="ar-SA"/>
        </w:rPr>
        <w:t xml:space="preserve">، فتصحيح الفاضل التوني </w:t>
      </w:r>
      <w:r>
        <w:rPr>
          <w:rStyle w:val="FootnoteAnchor"/>
          <w:rtl w:val="true"/>
        </w:rPr>
        <w:footnoteReference w:id="3235"/>
      </w:r>
      <w:r>
        <w:rPr>
          <w:rFonts w:ascii="Amiri" w:hAnsi="Amiri" w:eastAsia="Amiri" w:cs="Amiri"/>
          <w:color w:val="111111"/>
          <w:sz w:val="28"/>
          <w:sz w:val="28"/>
          <w:szCs w:val="28"/>
          <w:rtl w:val="true"/>
          <w:lang w:bidi="ar-SA"/>
        </w:rPr>
        <w:t xml:space="preserve">للرواية مبنيّ على ترجيح قول النجاشي لكونه أضبط ، وقد يقال بأنّ أضبطية النجاشي يعارضه صراحة كلام الشيخ في الحكم بوقفه ، </w:t>
      </w:r>
    </w:p>
    <w:p>
      <w:pPr>
        <w:pStyle w:val="BookText"/>
        <w:rPr/>
      </w:pPr>
      <w:r>
        <w:rPr>
          <w:rFonts w:ascii="Amiri" w:hAnsi="Amiri" w:eastAsia="Amiri" w:cs="Amiri"/>
          <w:color w:val="111111"/>
          <w:sz w:val="28"/>
          <w:sz w:val="28"/>
          <w:szCs w:val="28"/>
          <w:rtl w:val="true"/>
          <w:lang w:bidi="ar-SA"/>
        </w:rPr>
        <w:t>فإنّ التوثيق ظاهر في الإمامية بخلاف كلام الشيخ ، وعلى ذلك يبنى في الردّ على من زعم أنّ صراحة كلام الشيخ تنهض قرينة لصرف كلام النجاشي عن ظاهره ، وفساده غير خفيّ على أحد ؛ إذ لا معنى لصرف كلام متكلّم عن كلام متكلّم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كلام الشيخ إلى العلم بكونه واقفيا ، ومرجع كلام النجاشي إلى عدم العلم ، فلا تعارض بينهما كما لا تعارض بين مطلق المعدّل والجارح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 بن حنظلة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لم يصرّح فيه أهل الرجال بمدح ولا قدح إلاّ أنّ المحكيّ عن الشهيد الثاني في حاشية الخلاصة </w:t>
      </w:r>
      <w:r>
        <w:rPr>
          <w:rStyle w:val="FootnoteAnchor"/>
          <w:rtl w:val="true"/>
        </w:rPr>
        <w:footnoteReference w:id="3236"/>
      </w:r>
      <w:r>
        <w:rPr>
          <w:rFonts w:ascii="Amiri" w:hAnsi="Amiri" w:eastAsia="Amiri" w:cs="Amiri"/>
          <w:color w:val="111111"/>
          <w:sz w:val="28"/>
          <w:sz w:val="28"/>
          <w:szCs w:val="28"/>
          <w:rtl w:val="true"/>
          <w:lang w:bidi="ar-SA"/>
        </w:rPr>
        <w:t xml:space="preserve">أنّه حقّق توثيقه في مقام آخر ، وقد حكم بوهن التوثيق المذكور ابنه صاحب المعالم 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رأيت بخطّ والدي أنّ الوجه في توثيقه ما رواه الشيخ في التهذيب عن يزيد بن خليفة في باب المواقيت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حنظلة أتانا عنك بوقت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لا يكذب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فيه على التوثيق </w:t>
      </w:r>
      <w:r>
        <w:rPr>
          <w:rStyle w:val="FootnoteAnchor"/>
          <w:rtl w:val="true"/>
        </w:rPr>
        <w:footnoteReference w:id="3237"/>
      </w:r>
    </w:p>
    <w:p>
      <w:pPr>
        <w:pStyle w:val="BookText"/>
        <w:rPr/>
      </w:pPr>
      <w:r>
        <w:rPr>
          <w:rFonts w:ascii="Amiri" w:hAnsi="Amiri" w:eastAsia="Amiri" w:cs="Amiri"/>
          <w:color w:val="111111"/>
          <w:sz w:val="28"/>
          <w:sz w:val="28"/>
          <w:szCs w:val="28"/>
          <w:rtl w:val="true"/>
          <w:lang w:bidi="ar-SA"/>
        </w:rPr>
        <w:t xml:space="preserve">وأمّا حديث الوقت فقد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 باب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الاستبصار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 باب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 باب </w:t>
      </w: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 الكافى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 xml:space="preserve"> ، باب وقت الظهر والعصر ، ح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وص </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 xml:space="preserve"> ، باب وقت المغرب والعشاء الآخرة ، ح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الوسائل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 باب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من أبواب المواقيت ، ح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 باب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من أبواب صفات القاضي ، ح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ممّا لا يصغى إليه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بتوثيقه أوّلا كاف من الشهيد رحمه‌اللّه فلعلّ توثيقه لم يكن مستندا إلى هذه الرواية لاحتمال تأخّره عمّا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دلالة الرواية على التوثيق ظاهرة ؛ لأنّ عدم الكذب في حيال ذاته لا يصلح أن يكون مترتّبا على الإتيان بالوقت ، كما أنّه يترتّب الدخول في الجنّة على الإسلام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تدخل الجنة ، فلا بدّ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لا يكذب علينا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علّة لأمر محذوف ، والظاهر هو ما له مدخل في عدم الكذب كالوثاقة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لا تنقص من توثيق بعض علماء الرجال في الدلالة على الوثاقة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عليها </w:t>
      </w:r>
      <w:r>
        <w:rPr>
          <w:rStyle w:val="FootnoteAnchor"/>
          <w:rtl w:val="true"/>
        </w:rPr>
        <w:footnoteReference w:id="3238"/>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أخصّ من المدّعى ؛ لاختصاص مورده بحكم القاضي في القضاء في الموضوعات كالدين والإرث ونحوهما </w:t>
      </w:r>
      <w:r>
        <w:rPr>
          <w:rStyle w:val="FootnoteAnchor"/>
          <w:rtl w:val="true"/>
        </w:rPr>
        <w:footnoteReference w:id="3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بالشهرة بعد تساويهما في العدالة يستلزم الأخذ بالأعدل وإن خالف المشهور ، وفساده ظاهر ؛ ضرورة استقرار عملهم على الأخذ بالضعاف المطابق للمشهور وطرح الصحاح في قباله وإن بلغ في الصحّة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بظاهر الرواية يوجب جواز تعدّد الحاكمين في واقعة واحدة ، وهذا ممّا لا يكاد الالتزام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أمّا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فبمنع </w:t>
      </w:r>
      <w:r>
        <w:rPr>
          <w:rStyle w:val="FootnoteAnchor"/>
          <w:rtl w:val="true"/>
        </w:rPr>
        <w:footnoteReference w:id="3240"/>
      </w:r>
      <w:r>
        <w:rPr>
          <w:rFonts w:ascii="Amiri" w:hAnsi="Amiri" w:eastAsia="Amiri" w:cs="Amiri"/>
          <w:color w:val="111111"/>
          <w:sz w:val="28"/>
          <w:sz w:val="28"/>
          <w:szCs w:val="28"/>
          <w:rtl w:val="true"/>
          <w:lang w:bidi="ar-SA"/>
        </w:rPr>
        <w:t>الاختصاص كما يشعر بذلك احتجاجهم بالرواية في القضاء والرواية والفتوى ، فإنّ العامّ لا يخصّص بالمورد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نبّهنا عليه في بعض مباحث الظنّ </w:t>
      </w:r>
      <w:r>
        <w:rPr>
          <w:rStyle w:val="FootnoteAnchor"/>
          <w:rtl w:val="true"/>
        </w:rPr>
        <w:footnoteReference w:id="3241"/>
      </w:r>
      <w:r>
        <w:rPr>
          <w:rFonts w:ascii="Amiri" w:hAnsi="Amiri" w:eastAsia="Amiri" w:cs="Amiri"/>
          <w:color w:val="111111"/>
          <w:sz w:val="28"/>
          <w:sz w:val="28"/>
          <w:szCs w:val="28"/>
          <w:rtl w:val="true"/>
          <w:lang w:bidi="ar-SA"/>
        </w:rPr>
        <w:t xml:space="preserve">من أنّ المراد بالشهرة هي </w:t>
      </w:r>
      <w:r>
        <w:rPr>
          <w:rStyle w:val="FootnoteAnchor"/>
          <w:rtl w:val="true"/>
        </w:rPr>
        <w:footnoteReference w:id="3242"/>
      </w:r>
      <w:r>
        <w:rPr>
          <w:rFonts w:ascii="Amiri" w:hAnsi="Amiri" w:eastAsia="Amiri" w:cs="Amiri"/>
          <w:color w:val="111111"/>
          <w:sz w:val="28"/>
          <w:sz w:val="28"/>
          <w:szCs w:val="28"/>
          <w:rtl w:val="true"/>
          <w:lang w:bidi="ar-SA"/>
        </w:rPr>
        <w:t xml:space="preserve">الشهرة في الرواية دون الفتوى أو الأعمّ منهما ، ولا إجماع على وجوب تقديم الرواية المشهورة في النقل على الرواية التي رواها </w:t>
      </w:r>
      <w:r>
        <w:rPr>
          <w:rStyle w:val="FootnoteAnchor"/>
          <w:rtl w:val="true"/>
        </w:rPr>
        <w:footnoteReference w:id="3243"/>
      </w:r>
      <w:r>
        <w:rPr>
          <w:rFonts w:ascii="IRNazanin" w:hAnsi="IRNazanin" w:eastAsia="IRNazanin"/>
          <w:color w:val="111111"/>
          <w:sz w:val="28"/>
          <w:sz w:val="28"/>
          <w:szCs w:val="28"/>
          <w:rtl w:val="true"/>
          <w:lang w:bidi="fa-IR"/>
        </w:rPr>
        <w:t>الأعدل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الثالث بأنّها محمول على ما هو المعهود من استحباب مشاورة العلماء في الحكم كما هو المذكور في آداب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أيضا بوجوه ضعيفة أخر على الرواية وليس بشيء</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الإيراد عليها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اعتبر فيها في مقام الترجيح اجتماع </w:t>
      </w:r>
    </w:p>
    <w:p>
      <w:pPr>
        <w:pStyle w:val="BookText"/>
        <w:rPr/>
      </w:pPr>
      <w:r>
        <w:rPr>
          <w:rFonts w:ascii="Amiri" w:hAnsi="Amiri" w:eastAsia="Amiri" w:cs="Amiri"/>
          <w:color w:val="111111"/>
          <w:sz w:val="28"/>
          <w:sz w:val="28"/>
          <w:szCs w:val="28"/>
          <w:rtl w:val="true"/>
          <w:lang w:bidi="ar-SA"/>
        </w:rPr>
        <w:t xml:space="preserve">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الأعدلية ، والأورعية ، والأفقهية ، والأصدقية ، ولا أكاد أظنّ أنّ الأخباري أيضا يلتزم بذلك ؛ إذ قلّ ما يوجد ما يجتمع فيه الأمور الأربعة </w:t>
      </w:r>
      <w:r>
        <w:rPr>
          <w:rStyle w:val="FootnoteAnchor"/>
          <w:rtl w:val="true"/>
        </w:rPr>
        <w:footnoteReference w:id="3244"/>
      </w:r>
      <w:r>
        <w:rPr>
          <w:rFonts w:ascii="Amiri" w:hAnsi="Amiri" w:eastAsia="Amiri" w:cs="Amiri"/>
          <w:color w:val="111111"/>
          <w:sz w:val="28"/>
          <w:sz w:val="28"/>
          <w:szCs w:val="28"/>
          <w:rtl w:val="true"/>
          <w:lang w:bidi="ar-SA"/>
        </w:rPr>
        <w:t xml:space="preserve">، والتفكيك بينهما ممّا ينافيه ظاهر العطف ، وعلى تقدير التفكيك فلا دلالة في الرواية على الاقتصار على المرجّحات المنصوصة في مقام الترجيح ، بل تكون </w:t>
      </w:r>
      <w:r>
        <w:rPr>
          <w:rStyle w:val="FootnoteAnchor"/>
          <w:rtl w:val="true"/>
        </w:rPr>
        <w:footnoteReference w:id="3245"/>
      </w:r>
      <w:r>
        <w:rPr>
          <w:rFonts w:ascii="Amiri" w:hAnsi="Amiri" w:eastAsia="Amiri" w:cs="Amiri"/>
          <w:color w:val="111111"/>
          <w:sz w:val="28"/>
          <w:sz w:val="28"/>
          <w:szCs w:val="28"/>
          <w:rtl w:val="true"/>
          <w:lang w:bidi="ar-SA"/>
        </w:rPr>
        <w:t>على هذا التقدير واردة في مقام إراءة الطريق كما لعلّه يومئ إليه ظاهر الأصدقية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بالأعدلية متعسّر في الأغلب ؛ إذ غاية ما يتكلّف في المقام هو الظنّ بمجرّد الملكة ، وأمّا شدّتها في واحد دون واحد فممّا لا سبيل لنا إليه جدّا ، فإنّ مدار تشخيص هذه الأمور في أمثال زماننا إلى الرجوع إلى ما ذكره أهل الرجال في أوصاف الرواة ، ومن الظاهر أنّه لا يستفاد منها ذلك ؛ لأنّ تمجيد بعض الرواة بذكر بعض مدائحه ممّا لا دلالة فيه على عدم اتّصاف غيره به وذلك أمر ظاهر ، ومن هنا قلنا بأنّ ما قد يوجد في بعض الأخبار من الثمرات المترتّبة على بعض الأعمال لا يدلّ على أفضلية ذلك العمل بالنسبة إلى غيره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موافقة الكتاب في عداد المرجّحات مقارنة لمخالفة العامّة ، ثمّ بعد ذلك أمر بالأخذ بما خالف العامّة لعلّه لأجل لطيفة هي أنّ كلّ ما وافق الكتاب فقد خالف العامّة ، وإلاّ فلا وجه لذلك ؛ لأنّ توسيطه بين الأخذ بالمشهور وبين ما خالف العامّة ممّا لا نعرف له وجها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يخلو إمّا أنّ نقول بتخصيص الكتاب بالخبر الواحد ، أو لا نقول ، فعلى الأوّل لا بدّ من ذكرها بعد تمام المرجّحات ؛ إذ لا إشكال على هذا التقدير في وجوب التخصيص بعد ما ترجّح أحد المتعارضين على الآخر ولو بواسطة مخالفة العامّة ، وعلى الثاني فلا بدّ من ذكرها قبل كلّ مرجّح ولا أقلّ من أن يكون في عرض المشهور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بالإرجاء والتوقّف ممّا لا يصحّ على إطلاقه ؛ إذ ربّما لا يمكن ذلك ، فلعلّ ذلك ممّا يؤذّن باختصاص الرواية فيما يمكن تحصيل العلم فيه في أمثال أزمنة الأئمة عليهم‌السلام </w:t>
      </w:r>
      <w:r>
        <w:rPr>
          <w:rStyle w:val="FootnoteAnchor"/>
          <w:rtl w:val="true"/>
        </w:rPr>
        <w:footnoteReference w:id="3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المرفوعة فهي ما نسبها في القوانين إلى غوالى اللآلى مرفوعة إلى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والحديثان المتعارضان فبأيّهما آخذ؟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خذ بما اشتهر بين أصحابك ودع الشاذّ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إنّهما معا مشهوران مرويّان مأثوران عنكم؟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يقول أعدلهما عندك وأوثقهما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عدلان مرضيّان موثّقان؟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إلى ما وافق منهما مذهب العامّة فاتركه وخذ بما خالفهم فإنّ الحقّ فيما 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معا موافقين لهم أو مخالفين فكيف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فخذ بما فيه الحائطة لدينك واترك ما خالف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موافقان للاحتياط أو مخالفان له فكيف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فتخيّر أحدهما وخذ </w:t>
      </w:r>
      <w:r>
        <w:rPr>
          <w:rStyle w:val="FootnoteAnchor"/>
          <w:rtl w:val="true"/>
        </w:rPr>
        <w:footnoteReference w:id="3247"/>
      </w:r>
      <w:r>
        <w:rPr>
          <w:rFonts w:ascii="Amiri" w:hAnsi="Amiri" w:eastAsia="Amiri" w:cs="Amiri"/>
          <w:color w:val="111111"/>
          <w:sz w:val="28"/>
          <w:sz w:val="28"/>
          <w:szCs w:val="28"/>
          <w:rtl w:val="true"/>
          <w:lang w:bidi="ar-SA"/>
        </w:rPr>
        <w:t xml:space="preserve">به وتدع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فأرجه حتّى تلقى إمامك فتسأله </w:t>
      </w:r>
      <w:r>
        <w:rPr>
          <w:rFonts w:eastAsia="Amiri" w:cs="Amiri" w:ascii="Amiri" w:hAnsi="Amiri"/>
          <w:color w:val="111111"/>
          <w:sz w:val="28"/>
          <w:szCs w:val="28"/>
          <w:rtl w:val="true"/>
          <w:lang w:bidi="ar-SA"/>
        </w:rPr>
        <w:t xml:space="preserve">» </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هذه الرواية مع كونها قاصرة السند لكونها مرفوعة مع عدم ظهور حال الكتاب الذي رفعها فيه كما طعن فيه بعض من ليس له سجيّته الطعن في الروايات كصاحب الحدائق </w:t>
      </w:r>
      <w:r>
        <w:rPr>
          <w:rStyle w:val="FootnoteAnchor"/>
          <w:rtl w:val="true"/>
        </w:rPr>
        <w:footnoteReference w:id="3249"/>
      </w:r>
      <w:r>
        <w:rPr>
          <w:rFonts w:ascii="Amiri" w:hAnsi="Amiri" w:eastAsia="Amiri" w:cs="Amiri"/>
          <w:color w:val="111111"/>
          <w:sz w:val="28"/>
          <w:sz w:val="28"/>
          <w:szCs w:val="28"/>
          <w:rtl w:val="true"/>
          <w:lang w:bidi="ar-SA"/>
        </w:rPr>
        <w:t xml:space="preserve">، ممّا لا يغني عن شيء ؛ لعدم وضوح وجوه الترجيح المذكورة فيها عندنا ، كما أذعن الشيخ الجليل ثقة الإسلام في ديباجة الكافى </w:t>
      </w:r>
      <w:r>
        <w:rPr>
          <w:rStyle w:val="FootnoteAnchor"/>
          <w:rtl w:val="true"/>
        </w:rPr>
        <w:footnoteReference w:id="3250"/>
      </w:r>
      <w:r>
        <w:rPr>
          <w:rFonts w:ascii="Amiri" w:hAnsi="Amiri" w:eastAsia="Amiri" w:cs="Amiri"/>
          <w:color w:val="111111"/>
          <w:sz w:val="28"/>
          <w:sz w:val="28"/>
          <w:szCs w:val="28"/>
          <w:rtl w:val="true"/>
          <w:lang w:bidi="ar-SA"/>
        </w:rPr>
        <w:t xml:space="preserve">بذلك </w:t>
      </w:r>
    </w:p>
    <w:p>
      <w:pPr>
        <w:pStyle w:val="BookText"/>
        <w:rPr/>
      </w:pPr>
      <w:r>
        <w:rPr>
          <w:rFonts w:ascii="Amiri" w:hAnsi="Amiri" w:eastAsia="Amiri" w:cs="Amiri"/>
          <w:color w:val="111111"/>
          <w:sz w:val="28"/>
          <w:sz w:val="28"/>
          <w:szCs w:val="28"/>
          <w:rtl w:val="true"/>
          <w:lang w:bidi="ar-SA"/>
        </w:rPr>
        <w:t xml:space="preserve">حيث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سوى التخيير بين الأدلّة المتعارضة ممّا لا يمكن </w:t>
      </w:r>
      <w:r>
        <w:rPr>
          <w:rStyle w:val="FootnoteAnchor"/>
          <w:rtl w:val="true"/>
        </w:rPr>
        <w:footnoteReference w:id="3251"/>
      </w:r>
      <w:r>
        <w:rPr>
          <w:rFonts w:ascii="Amiri" w:hAnsi="Amiri" w:eastAsia="Amiri" w:cs="Amiri"/>
          <w:color w:val="111111"/>
          <w:sz w:val="28"/>
          <w:sz w:val="28"/>
          <w:szCs w:val="28"/>
          <w:rtl w:val="true"/>
          <w:lang w:bidi="ar-SA"/>
        </w:rPr>
        <w:t xml:space="preserve">استفادته من الأخبار العلاجية ؛ لاختلاف مواردها وعدم العلم بوجوه الجمع بينها </w:t>
      </w:r>
      <w:r>
        <w:rPr>
          <w:rStyle w:val="FootnoteAnchor"/>
          <w:rtl w:val="true"/>
        </w:rPr>
        <w:footnoteReference w:id="3252"/>
      </w:r>
      <w:r>
        <w:rPr>
          <w:rFonts w:ascii="Amiri" w:hAnsi="Amiri" w:eastAsia="Amiri" w:cs="Amiri"/>
          <w:color w:val="111111"/>
          <w:sz w:val="28"/>
          <w:sz w:val="28"/>
          <w:szCs w:val="28"/>
          <w:rtl w:val="true"/>
          <w:lang w:bidi="ar-SA"/>
        </w:rPr>
        <w:t xml:space="preserve">، فهذه المرفوعة تعارض المقبولة في ترتيب المرجّحات ، فإنّ المقدّم في الترجيح في المقبولة هو الأعدلية ، ثمّ بعد ذلك الترجيح بالشهرة ، بخلاف المرفوعة فإنّ الترجيح بالشهرة مقدّم عليها وإن كان يمكن ترجيح المقبولة على المرفوعة على الوجهين ؛ لأعدلية رواتها مع استشهارها أيضا بالنسبة إلى المرفوعة ، إلاّ أنّ وجوه الاختلاف بين هذه الروايات كثيرة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آمرة بأخذ ما وافق الكتاب ، وأخرى بطرح ما خالف العامّة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بالتوقّف ،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ناطقة بوجوب التخيير ، إلى غير ذلك ، فلا تكاد </w:t>
      </w:r>
      <w:r>
        <w:rPr>
          <w:rStyle w:val="FootnoteAnchor"/>
          <w:rtl w:val="true"/>
        </w:rPr>
        <w:footnoteReference w:id="3253"/>
      </w:r>
      <w:r>
        <w:rPr>
          <w:rFonts w:ascii="Amiri" w:hAnsi="Amiri" w:eastAsia="Amiri" w:cs="Amiri"/>
          <w:color w:val="111111"/>
          <w:sz w:val="28"/>
          <w:sz w:val="28"/>
          <w:szCs w:val="28"/>
          <w:rtl w:val="true"/>
          <w:lang w:bidi="ar-SA"/>
        </w:rPr>
        <w:t>يستقيم شيء منها كما هو ظاهر على المتأمّل في مساقها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سقوط ما توهّمه بعض الأخبارية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الطعن على أساطين العلماء كالعلاّمة الذي هو بين أرباب العلوم كالبدر الطالع بين النجوم ، فإنّه هو الذي قد منّ اللّه تعالى بوجوده على الفرقة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هؤلاء إنّما تركوا الأخبار العلاجية وأخذوا بالظنّ </w:t>
      </w:r>
      <w:r>
        <w:rPr>
          <w:rStyle w:val="FootnoteAnchor"/>
          <w:rtl w:val="true"/>
        </w:rPr>
        <w:footnoteReference w:id="3254"/>
      </w:r>
      <w:r>
        <w:rPr>
          <w:rFonts w:ascii="Amiri" w:hAnsi="Amiri" w:eastAsia="Amiri" w:cs="Amiri"/>
          <w:color w:val="111111"/>
          <w:sz w:val="28"/>
          <w:sz w:val="28"/>
          <w:szCs w:val="28"/>
          <w:rtl w:val="true"/>
          <w:lang w:bidi="ar-SA"/>
        </w:rPr>
        <w:t xml:space="preserve">في مقام الترجيح تبعا للعامّة ، فإنّ هذه الأخبار ممّا لا يستفاد </w:t>
      </w:r>
      <w:r>
        <w:rPr>
          <w:rStyle w:val="FootnoteAnchor"/>
          <w:rtl w:val="true"/>
        </w:rPr>
        <w:footnoteReference w:id="3255"/>
      </w:r>
      <w:r>
        <w:rPr>
          <w:rFonts w:ascii="Amiri" w:hAnsi="Amiri" w:eastAsia="Amiri" w:cs="Amiri"/>
          <w:color w:val="111111"/>
          <w:sz w:val="28"/>
          <w:sz w:val="28"/>
          <w:szCs w:val="28"/>
          <w:rtl w:val="true"/>
          <w:lang w:bidi="ar-SA"/>
        </w:rPr>
        <w:t xml:space="preserve">منها شيء ، 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طرق هذه الروايات من أقوى الشواهد على عدم اختصاص المذكورات بالترجيح ، فعليك بالإنصاف في المقام والاجتناب عن الاعتساف في تحصيل المرام ، واللّه الموفّق وهو الهادي</w:t>
      </w:r>
      <w:r>
        <w:rPr>
          <w:rFonts w:eastAsia="Amiri" w:cs="Amiri" w:ascii="Amiri" w:hAnsi="Amiri"/>
          <w:color w:val="111111"/>
          <w:sz w:val="28"/>
          <w:szCs w:val="28"/>
          <w:rtl w:val="true"/>
          <w:lang w:bidi="ar-SA"/>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6284_171567"/>
      <w:bookmarkStart w:id="347" w:name="pg16284_171567"/>
      <w:bookmarkEnd w:id="347"/>
    </w:p>
    <w:p>
      <w:pPr>
        <w:pStyle w:val="Heading3"/>
        <w:numPr>
          <w:ilvl w:val="2"/>
          <w:numId w:val="1"/>
        </w:numPr>
        <w:rPr/>
      </w:pPr>
      <w:bookmarkStart w:id="348" w:name="pg16284_171567"/>
      <w:bookmarkStart w:id="349" w:name="__RefHeading___Toc5012238_1280447820"/>
      <w:bookmarkStart w:id="350" w:name="_Toc108"/>
      <w:bookmarkEnd w:id="348"/>
      <w:bookmarkEnd w:id="349"/>
      <w:r>
        <w:rPr>
          <w:rtl w:val="true"/>
        </w:rPr>
        <w:t xml:space="preserve">هداية </w:t>
      </w:r>
      <w:r>
        <w:rPr>
          <w:rtl w:val="true"/>
        </w:rPr>
        <w:t xml:space="preserve">[ </w:t>
      </w:r>
      <w:r>
        <w:rPr>
          <w:rtl w:val="true"/>
        </w:rPr>
        <w:t xml:space="preserve">في التعدّي عن المرجّحات المنصوصة </w:t>
      </w:r>
      <w:r>
        <w:rPr>
          <w:rtl w:val="true"/>
        </w:rPr>
        <w:t>]</w:t>
      </w:r>
      <w:bookmarkEnd w:id="350"/>
    </w:p>
    <w:p>
      <w:pPr>
        <w:pStyle w:val="BookText"/>
        <w:rPr/>
      </w:pPr>
      <w:r>
        <w:rPr>
          <w:rFonts w:ascii="Amiri" w:hAnsi="Amiri" w:eastAsia="Amiri" w:cs="Amiri"/>
          <w:color w:val="111111"/>
          <w:sz w:val="28"/>
          <w:sz w:val="28"/>
          <w:szCs w:val="28"/>
          <w:rtl w:val="true"/>
          <w:lang w:bidi="ar-SA"/>
        </w:rPr>
        <w:t xml:space="preserve">بعد ما عرفت عدم وفاء الأخبار العلاجية بما هو المطلوب في مقام الترجيح فهل لنا في المقام دليل يدلّ على الأخذ بما يترجّح أحد الدليلين على الآخر وإن لم يكن من المرجّحات المنصوصة ، أو لا؟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نتكلّم فيما يستفاد من الروايات من وجوب الأخذ بما هو الأقرب من الواقع من المتعارضين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قضيّة المذاهب على اختلافها في حجّية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في المقام إنّما هو إثبات أنّ أقوائية أحد الدليلين مطلقا يوجب ترجيح الأقوى على غيره ، والمراد من الأقوائية </w:t>
      </w:r>
      <w:r>
        <w:rPr>
          <w:rStyle w:val="FootnoteAnchor"/>
          <w:rtl w:val="true"/>
        </w:rPr>
        <w:footnoteReference w:id="3256"/>
      </w:r>
      <w:r>
        <w:rPr>
          <w:rFonts w:ascii="Amiri" w:hAnsi="Amiri" w:eastAsia="Amiri" w:cs="Amiri"/>
          <w:color w:val="111111"/>
          <w:sz w:val="28"/>
          <w:sz w:val="28"/>
          <w:szCs w:val="28"/>
          <w:rtl w:val="true"/>
          <w:lang w:bidi="ar-SA"/>
        </w:rPr>
        <w:t xml:space="preserve">هو أعمّ من أن يكون في أحد الخبرين احتمال لا يوجد في الآخر ، كما إذا علمنا مثلا بورود أحد الخبرين في مقام </w:t>
      </w:r>
      <w:r>
        <w:rPr>
          <w:rStyle w:val="FootnoteAnchor"/>
          <w:rtl w:val="true"/>
        </w:rPr>
        <w:footnoteReference w:id="3257"/>
      </w:r>
      <w:r>
        <w:rPr>
          <w:rFonts w:ascii="Amiri" w:hAnsi="Amiri" w:eastAsia="Amiri" w:cs="Amiri"/>
          <w:color w:val="111111"/>
          <w:sz w:val="28"/>
          <w:sz w:val="28"/>
          <w:szCs w:val="28"/>
          <w:rtl w:val="true"/>
          <w:lang w:bidi="ar-SA"/>
        </w:rPr>
        <w:t xml:space="preserve">بيان الحكم الواقعي واحتملنا صدور الآخر تقيّة ، أو </w:t>
      </w:r>
      <w:r>
        <w:rPr>
          <w:rStyle w:val="FootnoteAnchor"/>
          <w:rtl w:val="true"/>
        </w:rPr>
        <w:footnoteReference w:id="3258"/>
      </w:r>
      <w:r>
        <w:rPr>
          <w:rFonts w:ascii="Amiri" w:hAnsi="Amiri" w:eastAsia="Amiri" w:cs="Amiri"/>
          <w:color w:val="111111"/>
          <w:sz w:val="28"/>
          <w:sz w:val="28"/>
          <w:szCs w:val="28"/>
          <w:rtl w:val="true"/>
          <w:lang w:bidi="ar-SA"/>
        </w:rPr>
        <w:t>يكون الاحتمال في أحدهما أضعف من الاحتمال في الآخر كما إذا احتمل ورودهما تقيّة إلاّ أنّ الاحتمال في أحدهما أضعف منه في الآخر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الكلام فيما يستفاد من الروايات 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الأخبار العلاجية دليل على أنّ المناط في الترجيح على مطلق الأقوائية </w:t>
      </w:r>
    </w:p>
    <w:p>
      <w:pPr>
        <w:pStyle w:val="BookText"/>
        <w:rPr/>
      </w:pPr>
      <w:r>
        <w:rPr>
          <w:rFonts w:ascii="Amiri" w:hAnsi="Amiri" w:eastAsia="Amiri" w:cs="Amiri"/>
          <w:color w:val="111111"/>
          <w:sz w:val="28"/>
          <w:sz w:val="28"/>
          <w:szCs w:val="28"/>
          <w:rtl w:val="true"/>
          <w:lang w:bidi="ar-SA"/>
        </w:rPr>
        <w:t xml:space="preserve">والأقربية كما أومأنا إليه مرارا وأشار إليه أيضا محقّق القوانين </w:t>
      </w:r>
      <w:r>
        <w:rPr>
          <w:rStyle w:val="FootnoteAnchor"/>
          <w:rtl w:val="true"/>
        </w:rPr>
        <w:footnoteReference w:id="3259"/>
      </w:r>
      <w:r>
        <w:rPr>
          <w:rFonts w:ascii="Amiri" w:hAnsi="Amiri" w:eastAsia="Amiri" w:cs="Amiri"/>
          <w:color w:val="111111"/>
          <w:sz w:val="28"/>
          <w:sz w:val="28"/>
          <w:szCs w:val="28"/>
          <w:rtl w:val="true"/>
          <w:lang w:bidi="ar-SA"/>
        </w:rPr>
        <w:t xml:space="preserve">، وهذا وإن كان قويّا إلاّ أنّه ربّما يمنعه مانع ويطالب على استكشاف ذلك من الأخبار بدليل ،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w:t>
      </w:r>
      <w:r>
        <w:rPr>
          <w:rStyle w:val="FootnoteAnchor"/>
          <w:rtl w:val="true"/>
        </w:rPr>
        <w:footnoteReference w:id="3260"/>
      </w:r>
      <w:r>
        <w:rPr>
          <w:rFonts w:ascii="Amiri" w:hAnsi="Amiri" w:eastAsia="Amiri" w:cs="Amiri"/>
          <w:color w:val="111111"/>
          <w:sz w:val="28"/>
          <w:sz w:val="28"/>
          <w:szCs w:val="28"/>
          <w:rtl w:val="true"/>
          <w:lang w:bidi="ar-SA"/>
        </w:rPr>
        <w:t xml:space="preserve">إشعارات وتلويحات ينبّه بها البصير ويعترف بها الخبير على اعتبار مطلق الأقوائية ، فمن تلك ما يلوح من الأخبار المشتملة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الاحتجاج وغيره عن الحسن بن جهم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الأحاديث عنكم متخالفة </w:t>
      </w:r>
      <w:r>
        <w:rPr>
          <w:rStyle w:val="FootnoteAnchor"/>
          <w:rtl w:val="true"/>
        </w:rPr>
        <w:footnoteReference w:id="3261"/>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جاءك عنّا فقسه على كتاب اللّه عزّ وجلّ وأحاديثنا ، فإن كان يشبههما فهو منّا ، وإن لم يكن يشبههما فليس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وكلاهما ثقة بحديثين مختلفين فلم يعلم </w:t>
      </w:r>
      <w:r>
        <w:rPr>
          <w:rStyle w:val="FootnoteAnchor"/>
          <w:rtl w:val="true"/>
        </w:rPr>
        <w:footnoteReference w:id="3262"/>
      </w:r>
      <w:r>
        <w:rPr>
          <w:rFonts w:ascii="Amiri" w:hAnsi="Amiri" w:eastAsia="Amiri" w:cs="Amiri"/>
          <w:color w:val="111111"/>
          <w:sz w:val="28"/>
          <w:sz w:val="28"/>
          <w:szCs w:val="28"/>
          <w:rtl w:val="true"/>
          <w:lang w:bidi="ar-SA"/>
        </w:rPr>
        <w:t xml:space="preserve">أيّهما الحقّ؟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يعلم </w:t>
      </w:r>
      <w:r>
        <w:rPr>
          <w:rStyle w:val="FootnoteAnchor"/>
          <w:rtl w:val="true"/>
        </w:rPr>
        <w:footnoteReference w:id="3263"/>
      </w:r>
      <w:r>
        <w:rPr>
          <w:rFonts w:ascii="Amiri" w:hAnsi="Amiri" w:eastAsia="Amiri" w:cs="Amiri"/>
          <w:color w:val="111111"/>
          <w:sz w:val="28"/>
          <w:sz w:val="28"/>
          <w:szCs w:val="28"/>
          <w:rtl w:val="true"/>
          <w:lang w:bidi="ar-SA"/>
        </w:rPr>
        <w:t xml:space="preserve">فموسّع عليك بأيّهما أخذت </w:t>
      </w:r>
      <w:r>
        <w:rPr>
          <w:rFonts w:eastAsia="Amiri" w:cs="Amiri" w:ascii="Amiri" w:hAnsi="Amiri"/>
          <w:color w:val="111111"/>
          <w:sz w:val="28"/>
          <w:szCs w:val="28"/>
          <w:rtl w:val="true"/>
          <w:lang w:bidi="ar-SA"/>
        </w:rPr>
        <w:t xml:space="preserve">» </w:t>
      </w:r>
      <w:r>
        <w:rPr>
          <w:rStyle w:val="FootnoteAnchor"/>
          <w:rtl w:val="true"/>
        </w:rPr>
        <w:footnoteReference w:id="3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وكرواية الغوالى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هو أوثقهما </w:t>
      </w:r>
      <w:r>
        <w:rPr>
          <w:rFonts w:eastAsia="Amiri" w:cs="Amiri" w:ascii="Amiri" w:hAnsi="Amiri"/>
          <w:color w:val="111111"/>
          <w:sz w:val="28"/>
          <w:szCs w:val="28"/>
          <w:rtl w:val="true"/>
          <w:lang w:bidi="ar-SA"/>
        </w:rPr>
        <w:t xml:space="preserve">» </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وكرواية الاحتجاج أيضا في احتجاج أبي عبد اللّه عليه‌السلام عن الحارث بن مغيرة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من أصحابك الحديث وكلّهم ثقة فموسّع عليك حتّى ترى القائم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فتردّه إليه </w:t>
      </w:r>
      <w:r>
        <w:rPr>
          <w:rFonts w:eastAsia="Amiri" w:cs="Amiri" w:ascii="Amiri" w:hAnsi="Amiri"/>
          <w:color w:val="111111"/>
          <w:sz w:val="28"/>
          <w:szCs w:val="28"/>
          <w:rtl w:val="true"/>
          <w:lang w:bidi="ar-SA"/>
        </w:rPr>
        <w:t xml:space="preserve">] » </w:t>
      </w:r>
      <w:r>
        <w:rPr>
          <w:rStyle w:val="FootnoteAnchor"/>
          <w:rtl w:val="true"/>
        </w:rPr>
        <w:footnoteReference w:id="3266"/>
      </w:r>
      <w:r>
        <w:rPr>
          <w:rFonts w:ascii="Amiri" w:hAnsi="Amiri" w:eastAsia="Amiri" w:cs="Amiri"/>
          <w:color w:val="111111"/>
          <w:sz w:val="28"/>
          <w:sz w:val="28"/>
          <w:szCs w:val="28"/>
          <w:rtl w:val="true"/>
          <w:lang w:bidi="ar-SA"/>
        </w:rPr>
        <w:t xml:space="preserve">والتقريب في ذلك واضح حيث إنّ المعصوم عليه‌السلام قد وكّل أمر الترجيح والاختيار في الأخبار على الوثوق ، ومن الظاهر أنّ مناط الوثوق هو الأقربية إلى الواقع ؛ ضرورة فساد احتمال التعبّد في الوثاقة وإن كان يمكن ذلك في العدالة ، ولذلك </w:t>
      </w:r>
    </w:p>
    <w:p>
      <w:pPr>
        <w:pStyle w:val="BookText"/>
        <w:rPr/>
      </w:pPr>
      <w:r>
        <w:rPr>
          <w:rFonts w:ascii="Amiri" w:hAnsi="Amiri" w:eastAsia="Amiri" w:cs="Amiri"/>
          <w:color w:val="111111"/>
          <w:sz w:val="28"/>
          <w:sz w:val="28"/>
          <w:szCs w:val="28"/>
          <w:rtl w:val="true"/>
          <w:lang w:bidi="ar-SA"/>
        </w:rPr>
        <w:t>عدلنا في المقام إلى الأخبار المشتملة على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دعوى أنّ العدالة أيضا معتبرة من حيث إنّها طريق لا من حيث إنّها موضوع لكن مجال المنع فيها واسع بخلاف الوثاقة ، والأمر في ذلك موكول إلى استقامة الطبيعة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عمر بن حنظلة من الأمر بأخذ ما قاله أصدق المخبرين ، فإنّ اعتبار الصدق في الترجيح ممّا لا يحتمل التعبّد قطعا فليس إلاّ بواسطة أنّ رواية الأصدق أقرب مطابقة إلى الواقع وأبعد عن احتمال الكذب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صدق الراوي لا على صدق الرواية ولا تنهض على المطلوب إلاّ على تقدير الثاني ؛ إذ لا منافاة بين صدق المخبر وكذب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قاض بأنّ ترجيح أحد الخبرين على الآخر بواسطة صدق مخبره ليس إلاّ بواسطة صدق الخبر كما هو ظاهر لمن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في المقبولة أيضا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الاستظهار من عموم التعليل المذكور ، وبيان ذلك أنّه حكم في الرواية بتقديم </w:t>
      </w:r>
      <w:r>
        <w:rPr>
          <w:rStyle w:val="FootnoteAnchor"/>
          <w:rtl w:val="true"/>
        </w:rPr>
        <w:footnoteReference w:id="3267"/>
      </w:r>
      <w:r>
        <w:rPr>
          <w:rFonts w:ascii="Amiri" w:hAnsi="Amiri" w:eastAsia="Amiri" w:cs="Amiri"/>
          <w:color w:val="111111"/>
          <w:sz w:val="28"/>
          <w:sz w:val="28"/>
          <w:szCs w:val="28"/>
          <w:rtl w:val="true"/>
          <w:lang w:bidi="ar-SA"/>
        </w:rPr>
        <w:t xml:space="preserve">الرواية المشهورة على الرواية الشاذّة وعلّل ذلك بأنّ المجمع عليه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ليس المراد بنفي الريب هو نفي الريب </w:t>
      </w:r>
      <w:r>
        <w:rPr>
          <w:rStyle w:val="FootnoteAnchor"/>
          <w:rtl w:val="true"/>
        </w:rPr>
        <w:footnoteReference w:id="3268"/>
      </w:r>
      <w:r>
        <w:rPr>
          <w:rFonts w:ascii="Amiri" w:hAnsi="Amiri" w:eastAsia="Amiri" w:cs="Amiri"/>
          <w:color w:val="111111"/>
          <w:sz w:val="28"/>
          <w:sz w:val="28"/>
          <w:szCs w:val="28"/>
          <w:rtl w:val="true"/>
          <w:lang w:bidi="ar-SA"/>
        </w:rPr>
        <w:t xml:space="preserve">من جميع الوجوه المحتملة كما هو كذلك في المجمع عليه بحسب مصطلحهم في الفتاوى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مجرّد كون الرواية ظاهرة ممّا نقلها غير واحد من الرواة لا يستلزم أن يكون مقطوعا بها ، وإلاّ لزم أن يكون الرواية الشاذّة ممّا يقطع بفسادها </w:t>
      </w:r>
      <w:r>
        <w:rPr>
          <w:rStyle w:val="FootnoteAnchor"/>
          <w:rtl w:val="true"/>
        </w:rPr>
        <w:footnoteReference w:id="3269"/>
      </w:r>
      <w:r>
        <w:rPr>
          <w:rFonts w:ascii="Amiri" w:hAnsi="Amiri" w:eastAsia="Amiri" w:cs="Amiri"/>
          <w:color w:val="111111"/>
          <w:sz w:val="28"/>
          <w:sz w:val="28"/>
          <w:szCs w:val="28"/>
          <w:rtl w:val="true"/>
          <w:lang w:bidi="ar-SA"/>
        </w:rPr>
        <w:t xml:space="preserve">، وفساده قطعي ؛ إذ على تقديره يكون التعارض بين الحجّة واللاحجّة ، مع </w:t>
      </w:r>
      <w:r>
        <w:rPr>
          <w:rStyle w:val="FootnoteAnchor"/>
          <w:rtl w:val="true"/>
        </w:rPr>
        <w:footnoteReference w:id="3270"/>
      </w:r>
      <w:r>
        <w:rPr>
          <w:rFonts w:ascii="Amiri" w:hAnsi="Amiri" w:eastAsia="Amiri" w:cs="Amiri"/>
          <w:color w:val="111111"/>
          <w:sz w:val="28"/>
          <w:sz w:val="28"/>
          <w:szCs w:val="28"/>
          <w:rtl w:val="true"/>
          <w:lang w:bidi="ar-SA"/>
        </w:rPr>
        <w:t>أنّه يمتنع أن يكون الخبران على هذا التقدير مشهورين كما هو صريح الرواية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غاية ما يستفاد من الشهرة هو القطع بالسند ، وأمّا الدلالة أو </w:t>
      </w:r>
    </w:p>
    <w:p>
      <w:pPr>
        <w:pStyle w:val="BookText"/>
        <w:rPr/>
      </w:pPr>
      <w:r>
        <w:rPr>
          <w:rFonts w:ascii="Amiri" w:hAnsi="Amiri" w:eastAsia="Amiri" w:cs="Amiri"/>
          <w:color w:val="111111"/>
          <w:sz w:val="28"/>
          <w:sz w:val="28"/>
          <w:szCs w:val="28"/>
          <w:rtl w:val="true"/>
          <w:lang w:bidi="ar-SA"/>
        </w:rPr>
        <w:t xml:space="preserve">جهة </w:t>
      </w:r>
      <w:r>
        <w:rPr>
          <w:rStyle w:val="FootnoteAnchor"/>
          <w:rtl w:val="true"/>
        </w:rPr>
        <w:footnoteReference w:id="3271"/>
      </w:r>
      <w:r>
        <w:rPr>
          <w:rFonts w:ascii="Amiri" w:hAnsi="Amiri" w:eastAsia="Amiri" w:cs="Amiri"/>
          <w:color w:val="111111"/>
          <w:sz w:val="28"/>
          <w:sz w:val="28"/>
          <w:szCs w:val="28"/>
          <w:rtl w:val="true"/>
          <w:lang w:bidi="ar-SA"/>
        </w:rPr>
        <w:t>صدور الرواية فلا مدخل للشهرة في نفي الريب عنها من هذه الجهة ، فاحتمال التقيّة غير مدفوع فلا بدّ أن يكون المراد بنفي الريب هو الريب الموجود في الطرف المخالف للشهرة ، فلا بدّ أن يكون المراد بعدم الريب هو انتفاؤه بالنسبة إلى الريب الموجود في خلاف المشهور ، ومتى حقّقنا انتفاء الريب في أحد الخبرين مع وجوده في الآخر ولو من جهة واحدة يجب الأخذ بما ليس فيه الريب أخذا بعموم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التسرية إلى غير مورد العلّة ؛ إذ لعلّ المناط في العلّية هو القدر المخصوص من الأقوائية الحاصلة في الخبر المشهور بالنسبة إلى الشاذّ ، وهذا المقدار </w:t>
      </w:r>
      <w:r>
        <w:rPr>
          <w:rStyle w:val="FootnoteAnchor"/>
          <w:rtl w:val="true"/>
        </w:rPr>
        <w:footnoteReference w:id="3272"/>
      </w:r>
      <w:r>
        <w:rPr>
          <w:rFonts w:ascii="Amiri" w:hAnsi="Amiri" w:eastAsia="Amiri" w:cs="Amiri"/>
          <w:color w:val="111111"/>
          <w:sz w:val="28"/>
          <w:sz w:val="28"/>
          <w:szCs w:val="28"/>
          <w:rtl w:val="true"/>
          <w:lang w:bidi="ar-SA"/>
        </w:rPr>
        <w:t>المخصوص وإن كان يمكن حصوله في أحد الخبرين وإن لم يكن مشهورا إلاّ أنّه حوالة على المجهول ؛ إذ لا سبيل إلى تشخيصه ، فلا بدّ من الاقتصار على المورد المعلوم حصول المقدار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إطلاق العلّة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الأقوائية الحاصلة في المشهور لا تزيد على سائر المرجّحات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إرادة الشهرة الفتوائية في المقام فضعيف جدّا 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وجدناه في كلمات بعض المعاصرين </w:t>
      </w:r>
      <w:r>
        <w:rPr>
          <w:rStyle w:val="FootnoteAnchor"/>
          <w:rtl w:val="true"/>
        </w:rPr>
        <w:footnoteReference w:id="3273"/>
      </w:r>
      <w:r>
        <w:rPr>
          <w:rFonts w:ascii="Amiri" w:hAnsi="Amiri" w:eastAsia="Amiri" w:cs="Amiri"/>
          <w:color w:val="111111"/>
          <w:sz w:val="28"/>
          <w:sz w:val="28"/>
          <w:szCs w:val="28"/>
          <w:rtl w:val="true"/>
          <w:lang w:bidi="ar-SA"/>
        </w:rPr>
        <w:t>من أنّ المراد بكون الخبرين مشهورين أن يكون أحدهما مطابقا للشهرة عند القدماء والآخر عند المتأخّرين ، وهذا الكلام لغاية سخافته لا يليق بأنظار العلماء إلاّ أنّ ذكره للتنبيه لئلاّ يتوهّم في المقام ، وإلاّ فهو ممّا يضحك الثكلى</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لكلّ حقّ حقيقة ولكلّ صواب نورا ، فما </w:t>
      </w:r>
      <w:r>
        <w:rPr>
          <w:rStyle w:val="FootnoteAnchor"/>
          <w:rtl w:val="true"/>
        </w:rPr>
        <w:footnoteReference w:id="3274"/>
      </w:r>
      <w:r>
        <w:rPr>
          <w:rFonts w:ascii="Amiri" w:hAnsi="Amiri" w:eastAsia="Amiri" w:cs="Amiri"/>
          <w:color w:val="111111"/>
          <w:sz w:val="28"/>
          <w:sz w:val="28"/>
          <w:szCs w:val="28"/>
          <w:rtl w:val="true"/>
          <w:lang w:bidi="ar-SA"/>
        </w:rPr>
        <w:t xml:space="preserve">وافق كتاب </w:t>
      </w:r>
    </w:p>
    <w:p>
      <w:pPr>
        <w:pStyle w:val="BookText"/>
        <w:rPr/>
      </w:pPr>
      <w:r>
        <w:rPr>
          <w:rFonts w:ascii="Amiri" w:hAnsi="Amiri" w:eastAsia="Amiri" w:cs="Amiri"/>
          <w:color w:val="111111"/>
          <w:sz w:val="28"/>
          <w:sz w:val="28"/>
          <w:szCs w:val="28"/>
          <w:rtl w:val="true"/>
          <w:lang w:bidi="ar-SA"/>
        </w:rPr>
        <w:t xml:space="preserve">اللّه فخذوه </w:t>
      </w:r>
      <w:r>
        <w:rPr>
          <w:rFonts w:eastAsia="Amiri" w:cs="Amiri" w:ascii="Amiri" w:hAnsi="Amiri"/>
          <w:color w:val="111111"/>
          <w:sz w:val="28"/>
          <w:szCs w:val="28"/>
          <w:rtl w:val="true"/>
          <w:lang w:bidi="ar-SA"/>
        </w:rPr>
        <w:t xml:space="preserve">» </w:t>
      </w:r>
      <w:r>
        <w:rPr>
          <w:rStyle w:val="FootnoteAnchor"/>
          <w:rtl w:val="true"/>
        </w:rPr>
        <w:footnoteReference w:id="3275"/>
      </w:r>
      <w:r>
        <w:rPr>
          <w:rFonts w:ascii="Amiri" w:hAnsi="Amiri" w:eastAsia="Amiri" w:cs="Amiri"/>
          <w:color w:val="111111"/>
          <w:sz w:val="28"/>
          <w:sz w:val="28"/>
          <w:szCs w:val="28"/>
          <w:rtl w:val="true"/>
          <w:lang w:bidi="ar-SA"/>
        </w:rPr>
        <w:t>وجه الدلالة ظاهر بعد وضوح أنّ المناط هو أن يكون لكلّ حقّ حقيقة فإنّه يؤذّن بأنّ المدار على استكشاف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الآمرة بالأخذ بما خالف العامّة ، 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ترجيح ما خالف العامّة على ما وافقهم يحتمل أن يكون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علّله شيخ الطائفة وتبعه في ذلك المحقّق </w:t>
      </w:r>
      <w:r>
        <w:rPr>
          <w:rStyle w:val="FootnoteAnchor"/>
          <w:rtl w:val="true"/>
        </w:rPr>
        <w:footnoteReference w:id="3276"/>
      </w:r>
    </w:p>
    <w:p>
      <w:pPr>
        <w:pStyle w:val="BookText"/>
        <w:rPr/>
      </w:pPr>
      <w:r>
        <w:rPr>
          <w:rFonts w:ascii="Amiri" w:hAnsi="Amiri" w:eastAsia="Amiri" w:cs="Amiri"/>
          <w:color w:val="111111"/>
          <w:sz w:val="28"/>
          <w:sz w:val="28"/>
          <w:szCs w:val="28"/>
          <w:rtl w:val="true"/>
          <w:lang w:bidi="ar-SA"/>
        </w:rPr>
        <w:t xml:space="preserve">قال المحقّق ـ بعد نقل كلام الشيخ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احتجاجه في ذلك برواية رويت عن الصادق عليه‌السلام ، ثمّ 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ص </w:t>
      </w:r>
      <w:r>
        <w:rPr>
          <w:rFonts w:ascii="Amiri" w:hAnsi="Amiri" w:eastAsia="Amiri" w:cs="Amiri"/>
          <w:color w:val="111111"/>
          <w:sz w:val="28"/>
          <w:sz w:val="28"/>
          <w:szCs w:val="28"/>
          <w:lang w:bidi="ar-SA"/>
        </w:rPr>
        <w:t>٦١٣</w:t>
      </w:r>
      <w:r>
        <w:rPr>
          <w:rFonts w:ascii="Amiri" w:hAnsi="Amiri" w:eastAsia="Amiri" w:cs="Amiri"/>
          <w:color w:val="111111"/>
          <w:sz w:val="28"/>
          <w:sz w:val="28"/>
          <w:szCs w:val="28"/>
          <w:rtl w:val="true"/>
          <w:lang w:bidi="ar-SA"/>
        </w:rPr>
        <w:t xml:space="preserve">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الأنصاري في فرائد الأصول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ترجيح أحد الخبرين بمخالفة العامّة يمكن أن يكون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التعبّد ، كما هو ظاهر كثير من أخباره ، ويظهر من المحقّق استظهاره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الفرائد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الترجيح بمخالفة العامّة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الخبر المخالف أبعد من التقيّة ، كما علّل به الشيخ والمحقّق ، فيستفاد منه اعتبار كلّ قرينة خارجية توجب أبعدية أحدهما عن خلاف الحقّ ولو كانت مثل الشهرة والاستقراء ، بل يستفاد منه عدم اشتراط الظنّ في الترجيح ، بل يكفي تطرّق احتمال غير بعيد في أحد الخبرين بعيد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الخبر المخالف أقرب من حيث المضمون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 كاشف عن وجه صدور الخبر ، والثاني كاشف عن مطابقة مضمون أحدهما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من أنّ المخالف للعامّة أبعد عن التقيّة وأقرب إلى ما يرد في بيان الحكم الواقعي ، وهذا الوجه وإن كان يساعده صحيح الاعتبار إلاّ أنّه لا يظهر من الأخبار ، نعم ربّما يستشعر من بعض الروايات مثل ما رواه الشيخ في باب الخلع عن الحسن بن سماعة عن الحسن بن أيّوب عن ابن بكير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عبيد بن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سمعت منّي يشبه قول الناس</w:t>
      </w:r>
    </w:p>
    <w:p>
      <w:pPr>
        <w:pStyle w:val="BookText"/>
        <w:rPr/>
      </w:pPr>
      <w:r>
        <w:rPr>
          <w:rFonts w:ascii="Amiri" w:hAnsi="Amiri" w:eastAsia="Amiri" w:cs="Amiri"/>
          <w:color w:val="111111"/>
          <w:sz w:val="28"/>
          <w:sz w:val="28"/>
          <w:szCs w:val="28"/>
          <w:rtl w:val="true"/>
          <w:lang w:bidi="ar-SA"/>
        </w:rPr>
        <w:t xml:space="preserve">ففيه </w:t>
      </w:r>
      <w:r>
        <w:rPr>
          <w:rStyle w:val="FootnoteAnchor"/>
          <w:rtl w:val="true"/>
        </w:rPr>
        <w:footnoteReference w:id="3277"/>
      </w:r>
      <w:r>
        <w:rPr>
          <w:rFonts w:ascii="Amiri" w:hAnsi="Amiri" w:eastAsia="Amiri" w:cs="Amiri"/>
          <w:color w:val="111111"/>
          <w:sz w:val="28"/>
          <w:sz w:val="28"/>
          <w:szCs w:val="28"/>
          <w:rtl w:val="true"/>
          <w:lang w:bidi="ar-SA"/>
        </w:rPr>
        <w:t xml:space="preserve">التقيّة ، وما سمعت منّي لا يشبه قول الناس فلا تقيّة فيه </w:t>
      </w:r>
      <w:r>
        <w:rPr>
          <w:rFonts w:eastAsia="Amiri" w:cs="Amiri" w:ascii="Amiri" w:hAnsi="Amiri"/>
          <w:color w:val="111111"/>
          <w:sz w:val="28"/>
          <w:szCs w:val="28"/>
          <w:rtl w:val="true"/>
          <w:lang w:bidi="ar-SA"/>
        </w:rPr>
        <w:t xml:space="preserve">» </w:t>
      </w:r>
      <w:r>
        <w:rPr>
          <w:rStyle w:val="FootnoteAnchor"/>
          <w:rtl w:val="true"/>
        </w:rPr>
        <w:footnoteReference w:id="3278"/>
      </w:r>
      <w:r>
        <w:rPr>
          <w:rFonts w:ascii="Amiri" w:hAnsi="Amiri" w:eastAsia="Amiri" w:cs="Amiri"/>
          <w:color w:val="111111"/>
          <w:sz w:val="28"/>
          <w:sz w:val="28"/>
          <w:szCs w:val="28"/>
          <w:rtl w:val="true"/>
          <w:lang w:bidi="ar-SA"/>
        </w:rPr>
        <w:t>فإنّه يمكن استفادة الوجه المذكور من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ليس المراد بأنّ </w:t>
      </w:r>
      <w:r>
        <w:rPr>
          <w:rStyle w:val="FootnoteAnchor"/>
          <w:rtl w:val="true"/>
        </w:rPr>
        <w:footnoteReference w:id="3279"/>
      </w:r>
      <w:r>
        <w:rPr>
          <w:rFonts w:ascii="Amiri" w:hAnsi="Amiri" w:eastAsia="Amiri" w:cs="Amiri"/>
          <w:color w:val="111111"/>
          <w:sz w:val="28"/>
          <w:sz w:val="28"/>
          <w:szCs w:val="28"/>
          <w:rtl w:val="true"/>
          <w:lang w:bidi="ar-SA"/>
        </w:rPr>
        <w:t xml:space="preserve">جميع ما يشبه قول الناس فيه التقيّة ، كما أنّه ليس المراد بالثاني هو الجميع </w:t>
      </w:r>
      <w:r>
        <w:rPr>
          <w:rStyle w:val="FootnoteAnchor"/>
          <w:rtl w:val="true"/>
        </w:rPr>
        <w:footnoteReference w:id="3280"/>
      </w:r>
      <w:r>
        <w:rPr>
          <w:rFonts w:ascii="Amiri" w:hAnsi="Amiri" w:eastAsia="Amiri" w:cs="Amiri"/>
          <w:color w:val="111111"/>
          <w:sz w:val="28"/>
          <w:sz w:val="28"/>
          <w:szCs w:val="28"/>
          <w:rtl w:val="true"/>
          <w:lang w:bidi="ar-SA"/>
        </w:rPr>
        <w:t>؛ للقطع بموافقة بعض الأحكام الواقعية لأقوالهم كالقطع بورود التقيّة فيما لا يشبه قولهم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بالمشابهة أعمّ من </w:t>
      </w:r>
      <w:r>
        <w:rPr>
          <w:rStyle w:val="FootnoteAnchor"/>
          <w:rtl w:val="true"/>
        </w:rPr>
        <w:footnoteReference w:id="3281"/>
      </w:r>
      <w:r>
        <w:rPr>
          <w:rFonts w:ascii="Amiri" w:hAnsi="Amiri" w:eastAsia="Amiri" w:cs="Amiri"/>
          <w:color w:val="111111"/>
          <w:sz w:val="28"/>
          <w:sz w:val="28"/>
          <w:szCs w:val="28"/>
          <w:rtl w:val="true"/>
          <w:lang w:bidi="ar-SA"/>
        </w:rPr>
        <w:t xml:space="preserve">أن يكون نفس الفتوى مشابهة لفتاويهم </w:t>
      </w:r>
      <w:r>
        <w:rPr>
          <w:rStyle w:val="FootnoteAnchor"/>
          <w:rtl w:val="true"/>
        </w:rPr>
        <w:footnoteReference w:id="3282"/>
      </w:r>
      <w:r>
        <w:rPr>
          <w:rFonts w:ascii="Amiri" w:hAnsi="Amiri" w:eastAsia="Amiri" w:cs="Amiri"/>
          <w:color w:val="111111"/>
          <w:sz w:val="28"/>
          <w:sz w:val="28"/>
          <w:szCs w:val="28"/>
          <w:rtl w:val="true"/>
          <w:lang w:bidi="ar-SA"/>
        </w:rPr>
        <w:t xml:space="preserve">، أو يكون استنباط الفتوى من المدارك شبيها لاستنباطهم كأن يكون الدليل استحسانا أو قياسا ونحو ذلك ، والمحمول على التقيّة هي الجهة المشابهة فقط ، فالمحمول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أبي جعفر عليه‌السلام لزرارة حيث سأله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نافلة وعليّ فريضة أو في وقت فريضة؟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إنّه لا تصلّي </w:t>
      </w:r>
      <w:r>
        <w:rPr>
          <w:rStyle w:val="FootnoteAnchor"/>
          <w:rtl w:val="true"/>
        </w:rPr>
        <w:footnoteReference w:id="3283"/>
      </w:r>
      <w:r>
        <w:rPr>
          <w:rFonts w:ascii="Amiri" w:hAnsi="Amiri" w:eastAsia="Amiri" w:cs="Amiri"/>
          <w:color w:val="111111"/>
          <w:sz w:val="28"/>
          <w:sz w:val="28"/>
          <w:szCs w:val="28"/>
          <w:rtl w:val="true"/>
          <w:lang w:bidi="ar-SA"/>
        </w:rPr>
        <w:t xml:space="preserve">نافلة في وقت فريضة ، أرأيت إن كان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أكان لك أن تطوّع حتّى تقضيه؟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فقايسني وما كان يقايسني </w:t>
      </w:r>
      <w:r>
        <w:rPr>
          <w:rStyle w:val="FootnoteAnchor"/>
          <w:rtl w:val="true"/>
        </w:rPr>
        <w:footnoteReference w:id="3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الاستدلال لا نفس الحكم فإنّ </w:t>
      </w:r>
      <w:r>
        <w:rPr>
          <w:rStyle w:val="FootnoteAnchor"/>
          <w:rtl w:val="true"/>
        </w:rPr>
        <w:footnoteReference w:id="3285"/>
      </w:r>
      <w:r>
        <w:rPr>
          <w:rFonts w:ascii="IRNazanin" w:hAnsi="IRNazanin" w:eastAsia="IRNazanin"/>
          <w:color w:val="111111"/>
          <w:sz w:val="28"/>
          <w:sz w:val="28"/>
          <w:szCs w:val="28"/>
          <w:rtl w:val="true"/>
          <w:lang w:bidi="fa-IR"/>
        </w:rPr>
        <w:t xml:space="preserve">المشابه </w:t>
      </w:r>
      <w:r>
        <w:rPr>
          <w:rStyle w:val="FootnoteAnchor"/>
          <w:rtl w:val="true"/>
        </w:rPr>
        <w:footnoteReference w:id="3286"/>
      </w:r>
      <w:r>
        <w:rPr>
          <w:rFonts w:ascii="Amiri" w:hAnsi="Amiri" w:eastAsia="Amiri" w:cs="Amiri"/>
          <w:color w:val="111111"/>
          <w:sz w:val="28"/>
          <w:sz w:val="28"/>
          <w:szCs w:val="28"/>
          <w:rtl w:val="true"/>
          <w:lang w:bidi="ar-SA"/>
        </w:rPr>
        <w:t>هو الاستدلال فقط ، ومثله قياسه الحجّ عن الأب على الدين الواجب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أقربية مضمون المخالف للواقع من الموافق</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الوجهين هو أنّ الأوّل يرجّح </w:t>
      </w:r>
      <w:r>
        <w:rPr>
          <w:rStyle w:val="FootnoteAnchor"/>
          <w:rtl w:val="true"/>
        </w:rPr>
        <w:footnoteReference w:id="3287"/>
      </w:r>
      <w:r>
        <w:rPr>
          <w:rFonts w:ascii="Amiri" w:hAnsi="Amiri" w:eastAsia="Amiri" w:cs="Amiri"/>
          <w:color w:val="111111"/>
          <w:sz w:val="28"/>
          <w:sz w:val="28"/>
          <w:szCs w:val="28"/>
          <w:rtl w:val="true"/>
          <w:lang w:bidi="ar-SA"/>
        </w:rPr>
        <w:t xml:space="preserve">جهة صدور الرواية ، والثاني يقوّي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مضمون الرواية كما هو ظاهر ، وهذا الوجه ممّا يظهر من جملة من الأخبار كما في المقبولة حيث علّل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الحقّ فيما 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الظاهر من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الرشد في خلافهم </w:t>
      </w:r>
      <w:r>
        <w:rPr>
          <w:rFonts w:eastAsia="Amiri" w:cs="Amiri" w:ascii="Amiri" w:hAnsi="Amiri"/>
          <w:color w:val="111111"/>
          <w:sz w:val="28"/>
          <w:szCs w:val="28"/>
          <w:rtl w:val="true"/>
          <w:lang w:bidi="ar-SA"/>
        </w:rPr>
        <w:t xml:space="preserve">» </w:t>
      </w:r>
      <w:r>
        <w:rPr>
          <w:rStyle w:val="FootnoteAnchor"/>
          <w:rtl w:val="true"/>
        </w:rPr>
        <w:footnoteReference w:id="3288"/>
      </w:r>
      <w:r>
        <w:rPr>
          <w:rFonts w:ascii="Amiri" w:hAnsi="Amiri" w:eastAsia="Amiri" w:cs="Amiri"/>
          <w:color w:val="111111"/>
          <w:sz w:val="28"/>
          <w:sz w:val="28"/>
          <w:szCs w:val="28"/>
          <w:rtl w:val="true"/>
          <w:lang w:bidi="ar-SA"/>
        </w:rPr>
        <w:t xml:space="preserve">وفي رواية عليّ 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الأمر لا أجد بدّا من معرفته وليس في البلد الذي أنا فيه أحد أستفتيه من مواليك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فقيه البلد فاستفته في أمرك فإذا أفتاك بشيء فخذ بخلافه فإنّ الحقّ فيه </w:t>
      </w:r>
      <w:r>
        <w:rPr>
          <w:rFonts w:eastAsia="Amiri" w:cs="Amiri" w:ascii="Amiri" w:hAnsi="Amiri"/>
          <w:color w:val="111111"/>
          <w:sz w:val="28"/>
          <w:szCs w:val="28"/>
          <w:rtl w:val="true"/>
          <w:lang w:bidi="ar-SA"/>
        </w:rPr>
        <w:t xml:space="preserve">» </w:t>
      </w:r>
      <w:r>
        <w:rPr>
          <w:rStyle w:val="FootnoteAnchor"/>
          <w:rtl w:val="true"/>
        </w:rPr>
        <w:footnoteReference w:id="3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دلالة من ذلك مرفوعة أبي إسحاق الأرجاني </w:t>
      </w:r>
      <w:r>
        <w:rPr>
          <w:rStyle w:val="FootnoteAnchor"/>
          <w:rtl w:val="true"/>
        </w:rPr>
        <w:footnoteReference w:id="3290"/>
      </w:r>
      <w:r>
        <w:rPr>
          <w:rFonts w:ascii="Amiri" w:hAnsi="Amiri" w:eastAsia="Amiri" w:cs="Amiri"/>
          <w:color w:val="111111"/>
          <w:sz w:val="28"/>
          <w:sz w:val="28"/>
          <w:szCs w:val="28"/>
          <w:rtl w:val="true"/>
          <w:lang w:bidi="ar-SA"/>
        </w:rPr>
        <w:t xml:space="preserve">إلى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لم أمرتم بالأخذ بخلاف ما يقوله </w:t>
      </w:r>
      <w:r>
        <w:rPr>
          <w:rStyle w:val="FootnoteAnchor"/>
          <w:rtl w:val="true"/>
        </w:rPr>
        <w:footnoteReference w:id="3291"/>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عليه‌السلام لم يكن يدين اللّه بدين إلاّ خالف عليه الأمّة إلى غيره إرادة لإبطال أمره وكانوا يسألون أمير المؤمنين عليه‌السلام عن الشيء </w:t>
      </w:r>
      <w:r>
        <w:rPr>
          <w:rStyle w:val="FootnoteAnchor"/>
          <w:rtl w:val="true"/>
        </w:rPr>
        <w:footnoteReference w:id="3292"/>
      </w:r>
      <w:r>
        <w:rPr>
          <w:rFonts w:ascii="Amiri" w:hAnsi="Amiri" w:eastAsia="Amiri" w:cs="Amiri"/>
          <w:color w:val="111111"/>
          <w:sz w:val="28"/>
          <w:sz w:val="28"/>
          <w:szCs w:val="28"/>
          <w:rtl w:val="true"/>
          <w:lang w:bidi="ar-SA"/>
        </w:rPr>
        <w:t xml:space="preserve">الذي لا يعلمونه ، فإذا أفتاهم بشيء </w:t>
      </w:r>
      <w:r>
        <w:rPr>
          <w:rStyle w:val="FootnoteAnchor"/>
          <w:rtl w:val="true"/>
        </w:rPr>
        <w:footnoteReference w:id="3293"/>
      </w:r>
      <w:r>
        <w:rPr>
          <w:rFonts w:ascii="IRNazanin" w:hAnsi="IRNazanin" w:eastAsia="IRNazanin"/>
          <w:color w:val="111111"/>
          <w:sz w:val="28"/>
          <w:sz w:val="28"/>
          <w:szCs w:val="28"/>
          <w:rtl w:val="true"/>
          <w:lang w:bidi="fa-IR"/>
        </w:rPr>
        <w:t xml:space="preserve">جعلوا له ضدّا من عند أنفسهم </w:t>
      </w:r>
      <w:r>
        <w:rPr>
          <w:rStyle w:val="FootnoteAnchor"/>
          <w:rtl w:val="true"/>
        </w:rPr>
        <w:footnoteReference w:id="3294"/>
      </w:r>
      <w:r>
        <w:rPr>
          <w:rFonts w:ascii="Amiri" w:hAnsi="Amiri" w:eastAsia="Amiri" w:cs="Amiri"/>
          <w:color w:val="111111"/>
          <w:sz w:val="28"/>
          <w:sz w:val="28"/>
          <w:szCs w:val="28"/>
          <w:rtl w:val="true"/>
          <w:lang w:bidi="ar-SA"/>
        </w:rPr>
        <w:t xml:space="preserve">ليلبسوا على الناس </w:t>
      </w:r>
      <w:r>
        <w:rPr>
          <w:rFonts w:eastAsia="Amiri" w:cs="Amiri" w:ascii="Amiri" w:hAnsi="Amiri"/>
          <w:color w:val="111111"/>
          <w:sz w:val="28"/>
          <w:szCs w:val="28"/>
          <w:rtl w:val="true"/>
          <w:lang w:bidi="ar-SA"/>
        </w:rPr>
        <w:t xml:space="preserve">» </w:t>
      </w:r>
      <w:r>
        <w:rPr>
          <w:rStyle w:val="FootnoteAnchor"/>
          <w:rtl w:val="true"/>
        </w:rPr>
        <w:footnoteReference w:id="3295"/>
      </w:r>
      <w:r>
        <w:rPr>
          <w:rFonts w:ascii="Amiri" w:hAnsi="Amiri" w:eastAsia="Amiri" w:cs="Amiri"/>
          <w:color w:val="111111"/>
          <w:sz w:val="28"/>
          <w:sz w:val="28"/>
          <w:szCs w:val="28"/>
          <w:rtl w:val="true"/>
          <w:lang w:bidi="ar-SA"/>
        </w:rPr>
        <w:t xml:space="preserve">ولعلّ المراد أنّ أصول مطالبهم الموروثة </w:t>
      </w:r>
      <w:r>
        <w:rPr>
          <w:rStyle w:val="FootnoteAnchor"/>
          <w:rtl w:val="true"/>
        </w:rPr>
        <w:footnoteReference w:id="3296"/>
      </w:r>
      <w:r>
        <w:rPr>
          <w:rFonts w:ascii="Amiri" w:hAnsi="Amiri" w:eastAsia="Amiri" w:cs="Amiri"/>
          <w:color w:val="111111"/>
          <w:sz w:val="28"/>
          <w:sz w:val="28"/>
          <w:szCs w:val="28"/>
          <w:rtl w:val="true"/>
          <w:lang w:bidi="ar-SA"/>
        </w:rPr>
        <w:t xml:space="preserve">من أسلافهم التي يتفرّع عليها فروع مذاهبهم في الموارد المتفرّقة في الفقه والأصول مخالفة لما بيّن لهم الأمير عليه‌السلام ، وإلاّ فأغلب المخالفات في المسائل الفقهية إنّما نشأ بعد زمان الأمير عليه‌السلام في زمان السامري من هذه الأمّة ، نعم ذلك الشقيّ ما قصر في مخالفة الصادق عليه‌السلام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خالفت جعفرا في كلّ ما يقول أو يفعل لكنّي لا أدري هل </w:t>
      </w:r>
    </w:p>
    <w:p>
      <w:pPr>
        <w:pStyle w:val="BookText"/>
        <w:rPr/>
      </w:pPr>
      <w:r>
        <w:rPr>
          <w:rFonts w:ascii="Amiri" w:hAnsi="Amiri" w:eastAsia="Amiri" w:cs="Amiri"/>
          <w:color w:val="111111"/>
          <w:sz w:val="28"/>
          <w:sz w:val="28"/>
          <w:szCs w:val="28"/>
          <w:rtl w:val="true"/>
          <w:lang w:bidi="ar-SA"/>
        </w:rPr>
        <w:t xml:space="preserve">يغمض عينيه في الركوع أو يفتحهما؟ </w:t>
      </w:r>
      <w:r>
        <w:rPr>
          <w:rStyle w:val="FootnoteAnchor"/>
          <w:rtl w:val="true"/>
        </w:rPr>
        <w:footnoteReference w:id="3297"/>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الوجه في المخالفة هو مطلوبية مخالفتهم على أن يكون المخالفة معتبرة من حيث الموضوعية ، فلا يكون المناط في كشفها عن صدور الرواية من غير جهة التقيّة كما هو المدار في الوجه الأوّل ، أو أقربية المضمون للواقع على ما هو المناط في الوجه الثاني ، ويمكن استظهار ذلك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جعلنا الخلاف مصدرا ، فيكون المعنى فإنّ الرشد في مجرّد مخالفتهم ومحض خلافهم ، وكذا 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الحقّ فيما 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لا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تحقّق هذه الوجوه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الثالث ممّا يلتصق بما نحن بصدده لكنّه كما عرفت مبنيّ على استظهار غير ظاهر وإن كان محتملا ، والوجه الأوّل وإن كان يساعده الاعتبار إلاّ أنّه لم يكن معلوما من الأخبار ، نعم يمكن الاتّكال عليه عند ما يراد تشخيص عمل العلماء بمطلق القوّة ، والوجه الثاني لو تمّ كما عرفت من دلالة الأخبار عليه ينهض بما هو المقصود حيث إنّ المناط فيه هو الأقربية إلى الواقع ، فيعلم منه أنّ الأقرب إلى الواقع مقدّم على غيره ، وهذا هو الوجه في تعويل الأصحاب على الأخذ بما هو الأقرب إلى الواقع عند المعارضة ، وليس في ذلك متابعة للعامّة كما افتراهم بذلك بعض القاصرين ، فحاشاهم عن متابعة من ملئوا طواميرهم عن وجوب مخالفتهم ، وهل يرتضي المنصف من نفسه أن يظنّ في حقّ الشيخ والمحقّق والعلاّمة مثل هذا الظنّ؟ فإنّ بعض الظنّ إثم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Style w:val="FootnoteAnchor"/>
          <w:rtl w:val="true"/>
        </w:rPr>
        <w:footnoteReference w:id="3298"/>
      </w:r>
      <w:r>
        <w:rPr>
          <w:rFonts w:ascii="Amiri" w:hAnsi="Amiri" w:eastAsia="Amiri" w:cs="Amiri"/>
          <w:color w:val="111111"/>
          <w:sz w:val="28"/>
          <w:sz w:val="28"/>
          <w:szCs w:val="28"/>
          <w:rtl w:val="true"/>
          <w:lang w:bidi="ar-SA"/>
        </w:rPr>
        <w:t xml:space="preserve">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الإجماع على ذلك وليس بكلّ البعيد ، وقد نقل الإجماع غير واحد من أصحابنا </w:t>
      </w:r>
    </w:p>
    <w:p>
      <w:pPr>
        <w:pStyle w:val="BookText"/>
        <w:rPr/>
      </w:pPr>
      <w:r>
        <w:rPr>
          <w:rFonts w:ascii="Amiri" w:hAnsi="Amiri" w:eastAsia="Amiri" w:cs="Amiri"/>
          <w:color w:val="111111"/>
          <w:sz w:val="28"/>
          <w:sz w:val="28"/>
          <w:szCs w:val="28"/>
          <w:rtl w:val="true"/>
          <w:lang w:bidi="ar-SA"/>
        </w:rPr>
        <w:t xml:space="preserve">كالعلاّمة في النهاية والأستاد الأكبر في بعض رسائله وسيّد المفاتيح </w:t>
      </w:r>
      <w:r>
        <w:rPr>
          <w:rStyle w:val="FootnoteAnchor"/>
          <w:rtl w:val="true"/>
        </w:rPr>
        <w:footnoteReference w:id="3299"/>
      </w:r>
    </w:p>
    <w:p>
      <w:pPr>
        <w:pStyle w:val="BookText"/>
        <w:rPr/>
      </w:pPr>
      <w:r>
        <w:rPr>
          <w:rFonts w:ascii="Amiri" w:hAnsi="Amiri" w:eastAsia="Amiri" w:cs="Amiri"/>
          <w:color w:val="111111"/>
          <w:sz w:val="28"/>
          <w:sz w:val="28"/>
          <w:szCs w:val="28"/>
          <w:rtl w:val="true"/>
          <w:lang w:bidi="ar-SA"/>
        </w:rPr>
        <w:t xml:space="preserve">قال السيّد المجاهد في مفاتيح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 اتّفاقهم على صحّة الترجيح بكلّ ما يفيد الظنّ عدا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مبادئ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أنّه لو لم يعمل بالراجح لعمل بالمرجوح وهو خلاف المعقول ، ولأنّ الإجماع من الصحابة وقع على ترجيح بعض الأخبار على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ذلك أيضا في مفاتيح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٦٨٦</w:t>
      </w:r>
      <w:r>
        <w:rPr>
          <w:rFonts w:ascii="Amiri" w:hAnsi="Amiri" w:eastAsia="Amiri" w:cs="Amiri"/>
          <w:color w:val="111111"/>
          <w:sz w:val="28"/>
          <w:sz w:val="28"/>
          <w:szCs w:val="28"/>
          <w:rtl w:val="true"/>
          <w:lang w:bidi="ar-SA"/>
        </w:rPr>
        <w:t xml:space="preserve">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ويستكشف ما ذكرنا من الرجوع إلى كلماتهم حيث يقتصرون في مقام الاستدلال بإحراز صغرى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الأقوائية من غير ملاحظة أنّ مجرّد إحراز الصغرى لا يجدي في إثبات الحكم المستدلّ عليه نظرا إلى أنّ الكبرى مفروغ عنها ، وقد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تعليل الشيخ والمحقّق في مخالفة العامّة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فإنّ الأمر دائر بين الأخذ بما في طرفه المرجّح الظنّي والتخيير ؛ إذ المفروض انتفاء التساقط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مرّ </w:t>
      </w:r>
      <w:r>
        <w:rPr>
          <w:rStyle w:val="FootnoteAnchor"/>
          <w:rtl w:val="true"/>
        </w:rPr>
        <w:footnoteReference w:id="3300"/>
      </w:r>
      <w:r>
        <w:rPr>
          <w:rFonts w:ascii="Amiri" w:hAnsi="Amiri" w:eastAsia="Amiri" w:cs="Amiri"/>
          <w:color w:val="111111"/>
          <w:sz w:val="28"/>
          <w:sz w:val="28"/>
          <w:szCs w:val="28"/>
          <w:rtl w:val="true"/>
          <w:lang w:bidi="ar-SA"/>
        </w:rPr>
        <w:t>في بعض مباحث الظنّ أنّ الاشتغال في المسألة الفرعية ربّما يقدّم على الاشتغال في المسألة الأصولية ، وعلى ذلك بنيت في ردّ من زعم إهمال النتيجة الحاصلة من دليل الانسداد ، ثمّ حاول التعميم بالقاعدة المزبورة ، فلعلّ المقام أيضا من الموارد التي يقدّم الاشتغال في المسألة الفرعية عليه في الأصولية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ظاهر بين المقامين ؛ إذ أدلّة التخيير بين الدليلين الواردة في مقام علاج المتعارضين ناطقة بأنّ الطريق هو أحد الخبرين ، وبعد قيام الدليل الاجتهادي على </w:t>
      </w:r>
    </w:p>
    <w:p>
      <w:pPr>
        <w:pStyle w:val="BookText"/>
        <w:rPr/>
      </w:pPr>
      <w:r>
        <w:rPr>
          <w:rFonts w:ascii="Amiri" w:hAnsi="Amiri" w:eastAsia="Amiri" w:cs="Amiri"/>
          <w:color w:val="111111"/>
          <w:sz w:val="28"/>
          <w:sz w:val="28"/>
          <w:szCs w:val="28"/>
          <w:rtl w:val="true"/>
          <w:lang w:bidi="ar-SA"/>
        </w:rPr>
        <w:t xml:space="preserve">التخيير لا وجه للاحتياط في المسألة الفرعية بخلاف ما ذكرنا في مباحث الظنّ ، كذا أفاد سلّمه اللّه </w:t>
      </w:r>
      <w:r>
        <w:rPr>
          <w:rStyle w:val="FootnoteAnchor"/>
          <w:rtl w:val="true"/>
        </w:rPr>
        <w:footnoteReference w:id="3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المفروض في دليل الانسداد حجّية مطلق الظنّ بواسطة الاحتياط في المسألة الأصولية ، وبعد اعتبار الظنّ وقيامه على أنّ السورة ليست جزء في الصلاة لا وجه للشكّ في كونها جزء حتّى يتحقّق موضوع الاشتغال في المسألة الفرعية ، فكلّما فرض حجّية دليل ولو بواسطة الاحتياط لا يعقل الشكّ الشرعي في المسألة الفرعية ؛ لأنّ الشكّ في المسألة الفرعية مسبّب عن الشكّ في المسألة الأصولية ، وهو دام ظلّه العالي تفطّن بذلك أيضا إلاّ أنّه دفعه بعدم المنافاة بين مفاد الظنّ القائم على عدم الوجوب وبين ما يدلّ على وجوبه بالفرض </w:t>
      </w:r>
      <w:r>
        <w:rPr>
          <w:rStyle w:val="FootnoteAnchor"/>
          <w:rtl w:val="true"/>
        </w:rPr>
        <w:footnoteReference w:id="3302"/>
      </w:r>
      <w:r>
        <w:rPr>
          <w:rFonts w:ascii="Amiri" w:hAnsi="Amiri" w:eastAsia="Amiri" w:cs="Amiri"/>
          <w:color w:val="111111"/>
          <w:sz w:val="28"/>
          <w:sz w:val="28"/>
          <w:szCs w:val="28"/>
          <w:rtl w:val="true"/>
          <w:lang w:bidi="ar-SA"/>
        </w:rPr>
        <w:t>؛ لكونه واقعا في أطراف العلم الإجمالي في المسألة الفرعية ، وظنّي أنّه غير مجد ؛ لأنّ العلم الإجمالي القاضي بالاحتياط إنّما ارتفع بواسطة حجّية الظنّ القائم على أحد أطراف العلم الإجمالي ، نعم ذلك يجدي فيما لو كان الشكّ ناشئا من غير الجهة التي أقيمت عليها الحجّة الظنّية وذلك ظاهر</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إطلاق أدلّة التخيير لا يفرق فيه بين ارتفاع الاحتياط في الفرع وبين ارتفاعه في المسألة الأصولية ، فلو أخذ ما به </w:t>
      </w:r>
      <w:r>
        <w:rPr>
          <w:rStyle w:val="FootnoteAnchor"/>
          <w:rtl w:val="true"/>
        </w:rPr>
        <w:footnoteReference w:id="3303"/>
      </w:r>
      <w:r>
        <w:rPr>
          <w:rFonts w:ascii="Amiri" w:hAnsi="Amiri" w:eastAsia="Amiri" w:cs="Amiri"/>
          <w:color w:val="111111"/>
          <w:sz w:val="28"/>
          <w:sz w:val="28"/>
          <w:szCs w:val="28"/>
          <w:rtl w:val="true"/>
          <w:lang w:bidi="ar-SA"/>
        </w:rPr>
        <w:t xml:space="preserve">يلزم القول بالتخيير </w:t>
      </w:r>
      <w:r>
        <w:rPr>
          <w:rStyle w:val="FootnoteAnchor"/>
          <w:rtl w:val="true"/>
        </w:rPr>
        <w:footnoteReference w:id="3304"/>
      </w:r>
      <w:r>
        <w:rPr>
          <w:rFonts w:ascii="Amiri" w:hAnsi="Amiri" w:eastAsia="Amiri" w:cs="Amiri"/>
          <w:color w:val="111111"/>
          <w:sz w:val="28"/>
          <w:sz w:val="28"/>
          <w:szCs w:val="28"/>
          <w:rtl w:val="true"/>
          <w:lang w:bidi="ar-SA"/>
        </w:rPr>
        <w:t>مطلقا كما لا يخفى ، فالحقّ عدم استقامة الوجه المذكور نظرا إلى ما حقّقنا من أنّ أصالة البراءة محكّمة فيما دار الأمر بين التعيين والتخيير وإن قلنا بتقديم الاشتغال في المسألة الأصولية على الاشتغال في المسألة الفرعية ، على أنّه قد يحتمل أن يكون المرجّح النصوص في طرف آخر ، فلا يمكن الاستناد إلى الاشتغال ؛ لتعارضه من الطرفين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تمام الكلام فيما يستفاد من الروايات والأدلّة الخاصّة ، وأمّا الكلام فيما هو قضيّة لمذاهب </w:t>
      </w:r>
      <w:r>
        <w:rPr>
          <w:rStyle w:val="FootnoteAnchor"/>
          <w:rtl w:val="true"/>
        </w:rPr>
        <w:footnoteReference w:id="3305"/>
      </w:r>
      <w:r>
        <w:rPr>
          <w:rFonts w:ascii="Amiri" w:hAnsi="Amiri" w:eastAsia="Amiri" w:cs="Amiri"/>
          <w:color w:val="111111"/>
          <w:sz w:val="28"/>
          <w:sz w:val="28"/>
          <w:szCs w:val="28"/>
          <w:rtl w:val="true"/>
          <w:lang w:bidi="ar-SA"/>
        </w:rPr>
        <w:t xml:space="preserve">بتقريب أنّ ما مرّ من التلويحات الأخبارية والإجماعات المنقولة ربّما يمنع عنها مانع ، وحيث إنّ دائرة المنع أوسع ممّا يمكن أن يحاط به فنحن إرخاء لعنان الخصم وإغماضا عمّا ذكرنا نفصّل الكلام على مقتضى المذاهب وإلاّ فالخبير تنبّه ممّا ذكر </w:t>
      </w:r>
      <w:r>
        <w:rPr>
          <w:rStyle w:val="FootnoteAnchor"/>
          <w:rtl w:val="true"/>
        </w:rPr>
        <w:footnoteReference w:id="3306"/>
      </w:r>
      <w:r>
        <w:rPr>
          <w:rFonts w:ascii="Amiri" w:hAnsi="Amiri" w:eastAsia="Amiri" w:cs="Amiri"/>
          <w:color w:val="111111"/>
          <w:sz w:val="28"/>
          <w:sz w:val="28"/>
          <w:szCs w:val="28"/>
          <w:rtl w:val="true"/>
          <w:lang w:bidi="ar-SA"/>
        </w:rPr>
        <w:t xml:space="preserve">قطعا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يدّعى جريان دليل الانسداد القاضي بحجّية مطلق الظنّ في نفس مسألة الترجيح ، وتقريره هو أنّه لا ريب في وجوب الترجيح على المجتهد في الأخبار المتعارضة ؛ إذ لو لم يؤخذ به لزم طرح الأخبار الكثيرة المستلزمة للمخالفة القطعية ، والمرجّحات المنصوصة قد </w:t>
      </w:r>
      <w:r>
        <w:rPr>
          <w:rStyle w:val="FootnoteAnchor"/>
          <w:rtl w:val="true"/>
        </w:rPr>
        <w:footnoteReference w:id="3307"/>
      </w:r>
      <w:r>
        <w:rPr>
          <w:rFonts w:ascii="IRNazanin" w:hAnsi="IRNazanin" w:eastAsia="IRNazanin"/>
          <w:color w:val="111111"/>
          <w:sz w:val="28"/>
          <w:sz w:val="28"/>
          <w:szCs w:val="28"/>
          <w:rtl w:val="true"/>
          <w:lang w:bidi="fa-IR"/>
        </w:rPr>
        <w:t xml:space="preserve">عرفت </w:t>
      </w:r>
      <w:r>
        <w:rPr>
          <w:rStyle w:val="FootnoteAnchor"/>
          <w:rtl w:val="true"/>
        </w:rPr>
        <w:footnoteReference w:id="3308"/>
      </w:r>
      <w:r>
        <w:rPr>
          <w:rFonts w:ascii="Amiri" w:hAnsi="Amiri" w:eastAsia="Amiri" w:cs="Amiri"/>
          <w:color w:val="111111"/>
          <w:sz w:val="28"/>
          <w:sz w:val="28"/>
          <w:szCs w:val="28"/>
          <w:rtl w:val="true"/>
          <w:lang w:bidi="ar-SA"/>
        </w:rPr>
        <w:t>حالها من عدم انضباطها وقلّة مواردها وعدم إمكان الجمع بينها في الروايات المختلفة ، والاحتياط بالجمع بين مدلولي المتعارضين غير ممكن أو غير واجب إجماعا ، فلا بدّ من الأخذ بالظنّ القائم على أحد الطرفين ، ضرورة بطلان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إلى التخيير في كلّ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بالعلم الإجمالي بالمخالفة القطعية على تقديره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عدم استقامة الوجه المذكور ؛ لأنّ الأغلب ارتفاع التعارض بين المتعارضين بإعمال المرجّحات الإجماعية كحمل الظاهر على النصّ والأظهر ، ونحو ذلك من المرجّحات المعمولة في الدلالة على ما عرفت شطرا منها ؛ إذ أغلب موارد التعارض كما يظهر بالتتبّع مرجعها إلى التعارض في الدلالة ، وبعد إعمال المرجّحات المنصوصة أيضا على الوجه المعلوم اعتبارها من اجتماع الأخبار </w:t>
      </w:r>
      <w:r>
        <w:rPr>
          <w:rStyle w:val="FootnoteAnchor"/>
          <w:rtl w:val="true"/>
        </w:rPr>
        <w:footnoteReference w:id="3309"/>
      </w:r>
      <w:r>
        <w:rPr>
          <w:rFonts w:ascii="Amiri" w:hAnsi="Amiri" w:eastAsia="Amiri" w:cs="Amiri"/>
          <w:color w:val="111111"/>
          <w:sz w:val="28"/>
          <w:sz w:val="28"/>
          <w:szCs w:val="28"/>
          <w:rtl w:val="true"/>
          <w:lang w:bidi="ar-SA"/>
        </w:rPr>
        <w:t>العلاجية لا نسلّم أنّ الرجوع إلى التخيير يستلزم المخالفة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قد عرفت </w:t>
      </w:r>
      <w:r>
        <w:rPr>
          <w:rStyle w:val="FootnoteAnchor"/>
          <w:rtl w:val="true"/>
        </w:rPr>
        <w:footnoteReference w:id="3310"/>
      </w:r>
      <w:r>
        <w:rPr>
          <w:rFonts w:ascii="Amiri" w:hAnsi="Amiri" w:eastAsia="Amiri" w:cs="Amiri"/>
          <w:color w:val="111111"/>
          <w:sz w:val="28"/>
          <w:sz w:val="28"/>
          <w:szCs w:val="28"/>
          <w:rtl w:val="true"/>
          <w:lang w:bidi="ar-SA"/>
        </w:rPr>
        <w:t xml:space="preserve">أنّ التعارض الواقع بين الأدلّة قد لا يحتاج الجمع بينها إلى قيام شاهد خارجي على الجمع ، وقد يحتاج ، وعلى الثاني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الجمع إخراج أحدهما عن الظهور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 بل لو أريد الجمع فاللازم إخراجهما عن ظاهريهما ، قد عرفت وجوب الجمع على الأوّل ، والرجوع إلى الأصل في الثاني ما لم يظهر لأحد الظاهرين مرجّح به يتقوّى ظهوره بالنسبة إلى الآخر ، فإنّ المطابقة المضمونية </w:t>
      </w:r>
      <w:r>
        <w:rPr>
          <w:rStyle w:val="FootnoteAnchor"/>
          <w:rtl w:val="true"/>
        </w:rPr>
        <w:footnoteReference w:id="3311"/>
      </w:r>
      <w:r>
        <w:rPr>
          <w:rFonts w:ascii="Amiri" w:hAnsi="Amiri" w:eastAsia="Amiri" w:cs="Amiri"/>
          <w:color w:val="111111"/>
          <w:sz w:val="28"/>
          <w:sz w:val="28"/>
          <w:szCs w:val="28"/>
          <w:rtl w:val="true"/>
          <w:lang w:bidi="ar-SA"/>
        </w:rPr>
        <w:t xml:space="preserve">ممّا لا يكفي في حمل ظهور أحد الظاهرين على الآخر ما لم يرجع إلى قوّة نفس الظهور ، وأغلب موارد التعارض يرجع إلى هذين القسمين ، وأمّا القسم الثالث فبعض المرجّحات المتّفق على الترجيح بها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كالترجيح بالشهرة فيما لم يكن </w:t>
      </w:r>
      <w:r>
        <w:rPr>
          <w:rStyle w:val="FootnoteAnchor"/>
          <w:rtl w:val="true"/>
        </w:rPr>
        <w:footnoteReference w:id="3312"/>
      </w:r>
      <w:r>
        <w:rPr>
          <w:rFonts w:ascii="Amiri" w:hAnsi="Amiri" w:eastAsia="Amiri" w:cs="Amiri"/>
          <w:color w:val="111111"/>
          <w:sz w:val="28"/>
          <w:sz w:val="28"/>
          <w:szCs w:val="28"/>
          <w:rtl w:val="true"/>
          <w:lang w:bidi="ar-SA"/>
        </w:rPr>
        <w:t xml:space="preserve">معارضة بالأعدلية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وقلنا بتقديم المقبولة على المرفوعة كما عرفت </w:t>
      </w:r>
      <w:r>
        <w:rPr>
          <w:rStyle w:val="FootnoteAnchor"/>
          <w:rtl w:val="true"/>
        </w:rPr>
        <w:footnoteReference w:id="3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كلام في لزوم الأخذ بذلك البعض ، وأمّا ما يبقى بعد ذلك فالعلم الإجمالي ببقاء التكليف بين الأخبار المتعارضة من جهة الترجيح ممنوع وعلى المستدلّ إقامة الدليل على ذلك وأنّى له بذلك؟ فلا وجه للاعتماد على دليل الانسداد في نفس مسألة الترجيح ؛ لعدم تمامية مقدّماته ، وهل يجدي في ذلك ملاحظة الأدلّة </w:t>
      </w:r>
      <w:r>
        <w:rPr>
          <w:rStyle w:val="FootnoteAnchor"/>
          <w:rtl w:val="true"/>
        </w:rPr>
        <w:footnoteReference w:id="3314"/>
      </w:r>
      <w:r>
        <w:rPr>
          <w:rFonts w:ascii="Amiri" w:hAnsi="Amiri" w:eastAsia="Amiri" w:cs="Amiri"/>
          <w:color w:val="111111"/>
          <w:sz w:val="28"/>
          <w:sz w:val="28"/>
          <w:szCs w:val="28"/>
          <w:rtl w:val="true"/>
          <w:lang w:bidi="ar-SA"/>
        </w:rPr>
        <w:t>الدالّة على حجّية أخبار الآحاد ، أو لا؟ فيه تفصيل</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اختلف آراء المتمسّكين بعروة الانسداد ، فمنهم من يرى أنّ نتيجة البرهان حجّية الظنّ بنفس الحكم الفرعي ، وهذا هو المشهور بينهم ، ومنهم من زعم أنّها حجّية الظنّ المتعلّق بطرق الأحكام كما علم في محلّه مستوفى ، ومنهم من قال بأنّ النتيجة بعد تسليم المقدّمات هو الحكم بوجوب تفريغ الذمّة وتحصيل الامتثال الظنّي ، والظنّ بالفراغ كما يحصل بإتيان نفس الواقع الظنّي كذلك يحصل بالأخذ بما هو قضيّة </w:t>
      </w:r>
    </w:p>
    <w:p>
      <w:pPr>
        <w:pStyle w:val="BookText"/>
        <w:rPr/>
      </w:pPr>
      <w:r>
        <w:rPr>
          <w:rFonts w:ascii="Amiri" w:hAnsi="Amiri" w:eastAsia="Amiri" w:cs="Amiri"/>
          <w:color w:val="111111"/>
          <w:sz w:val="28"/>
          <w:sz w:val="28"/>
          <w:szCs w:val="28"/>
          <w:rtl w:val="true"/>
          <w:lang w:bidi="ar-SA"/>
        </w:rPr>
        <w:t>ما يظنّ كونه بدلا عن الواقع وهو الإتيان بما يستفاد من الطريق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فأصحاب المقالة المشهورة لا يعقل لهم مباحث التراجيح حيث إنّ الظاهر أنّ نتيجة الدليل هو الظنّ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ما هو التحقيق من حكومة العقل باعتبار الظنّ بعد إبطال البراءة والاحتياط والرجوع إلى الأصول المحرّمة </w:t>
      </w:r>
      <w:r>
        <w:rPr>
          <w:rStyle w:val="FootnoteAnchor"/>
          <w:rtl w:val="true"/>
        </w:rPr>
        <w:footnoteReference w:id="3315"/>
      </w:r>
      <w:r>
        <w:rPr>
          <w:rFonts w:ascii="Amiri" w:hAnsi="Amiri" w:eastAsia="Amiri" w:cs="Amiri"/>
          <w:color w:val="111111"/>
          <w:sz w:val="28"/>
          <w:sz w:val="28"/>
          <w:szCs w:val="28"/>
          <w:rtl w:val="true"/>
          <w:lang w:bidi="ar-SA"/>
        </w:rPr>
        <w:t xml:space="preserve">، وأمّا على تقدير الكشف كأن يكون </w:t>
      </w:r>
      <w:r>
        <w:rPr>
          <w:rStyle w:val="FootnoteAnchor"/>
          <w:rtl w:val="true"/>
        </w:rPr>
        <w:footnoteReference w:id="3316"/>
      </w:r>
      <w:r>
        <w:rPr>
          <w:rFonts w:ascii="Amiri" w:hAnsi="Amiri" w:eastAsia="Amiri" w:cs="Amiri"/>
          <w:color w:val="111111"/>
          <w:sz w:val="28"/>
          <w:sz w:val="28"/>
          <w:szCs w:val="28"/>
          <w:rtl w:val="true"/>
          <w:lang w:bidi="ar-SA"/>
        </w:rPr>
        <w:t xml:space="preserve">الانسداد مع بطلان المحتملات كاشفا عن كون الظنّ حجّة كما هو المعتمد عند أصحاب هذه المقالة فيمكن أن يكون الحجّة عندهم نوع الأمارة الظنّية فيتعقّل عندهم مسألة الترجيح </w:t>
      </w:r>
      <w:r>
        <w:rPr>
          <w:rStyle w:val="FootnoteAnchor"/>
          <w:rtl w:val="true"/>
        </w:rPr>
        <w:footnoteReference w:id="3317"/>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فعلى ما هو التحقيق لا يمكن التعارض عند القائلين بالظنون الشخصية ، نعم يتأتّى ذلك في حقّهم بالنسبة إلى الأدلّة التي يعتمدون عليها من جهة أدلّة خاصّة كالصحاح الأعلائية الموثوق بها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 المقالة الثانية فقد يظهر من بعض الأجلّة على ما استظهره الأستاد دام مجده وعلاه من تضاعيف كلماته أنّه يكفي في الأخذ بالخبر المقرون بالمرجّح الظنّي عند التعارض ما زعمه من اعتبار الظنّ في الطريق ولا حاجة إلى ملاحظة اعتبار الظنّ في مسألة الترجيح بالانسداد أو بغيره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وتوجيهه على ذلك المذهب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الحاصل من دليل الانسداد هو إعمال الظنّ في طريق الأحكام والأخذ بما يظنّ </w:t>
      </w:r>
      <w:r>
        <w:rPr>
          <w:rStyle w:val="FootnoteAnchor"/>
          <w:rtl w:val="true"/>
        </w:rPr>
        <w:footnoteReference w:id="3318"/>
      </w:r>
      <w:r>
        <w:rPr>
          <w:rFonts w:ascii="Amiri" w:hAnsi="Amiri" w:eastAsia="Amiri" w:cs="Amiri"/>
          <w:color w:val="111111"/>
          <w:sz w:val="28"/>
          <w:sz w:val="28"/>
          <w:szCs w:val="28"/>
          <w:rtl w:val="true"/>
          <w:lang w:bidi="ar-SA"/>
        </w:rPr>
        <w:t xml:space="preserve">فعلا في كلّ واقعة أنّه هو الطريق ، ولا خفاء في أنّ الطريق الظنّي فعلا في الواقعة التي توارد فيها الطريقان </w:t>
      </w:r>
      <w:r>
        <w:rPr>
          <w:rStyle w:val="FootnoteAnchor"/>
          <w:rtl w:val="true"/>
        </w:rPr>
        <w:footnoteReference w:id="3319"/>
      </w:r>
      <w:r>
        <w:rPr>
          <w:rFonts w:ascii="IRNazanin" w:hAnsi="IRNazanin" w:eastAsia="IRNazanin"/>
          <w:color w:val="111111"/>
          <w:sz w:val="28"/>
          <w:sz w:val="28"/>
          <w:szCs w:val="28"/>
          <w:rtl w:val="true"/>
          <w:lang w:bidi="fa-IR"/>
        </w:rPr>
        <w:t xml:space="preserve">هو المعاضد </w:t>
      </w:r>
      <w:r>
        <w:rPr>
          <w:rStyle w:val="FootnoteAnchor"/>
          <w:rtl w:val="true"/>
        </w:rPr>
        <w:footnoteReference w:id="3320"/>
      </w:r>
      <w:r>
        <w:rPr>
          <w:rFonts w:ascii="Amiri" w:hAnsi="Amiri" w:eastAsia="Amiri" w:cs="Amiri"/>
          <w:color w:val="111111"/>
          <w:sz w:val="28"/>
          <w:sz w:val="28"/>
          <w:szCs w:val="28"/>
          <w:rtl w:val="true"/>
          <w:lang w:bidi="ar-SA"/>
        </w:rPr>
        <w:t xml:space="preserve">بالوجه الظنّي دون الآخر ، فلا بدّ من الأخذ به وطرح مقابله بحسب نفس دليل حجّية الأخبار وإن لم يكن ذلك المرجّح الظنّي معلوم الاعتبار ، وهو ضعيف جدّا ؛ لأنّ قضيّة العلم </w:t>
      </w:r>
    </w:p>
    <w:p>
      <w:pPr>
        <w:pStyle w:val="BookText"/>
        <w:rPr/>
      </w:pPr>
      <w:r>
        <w:rPr>
          <w:rFonts w:ascii="Amiri" w:hAnsi="Amiri" w:eastAsia="Amiri" w:cs="Amiri"/>
          <w:color w:val="111111"/>
          <w:sz w:val="28"/>
          <w:sz w:val="28"/>
          <w:szCs w:val="28"/>
          <w:rtl w:val="true"/>
          <w:lang w:bidi="ar-SA"/>
        </w:rPr>
        <w:t xml:space="preserve">الإجمالي بوجود الطريق المنصوب بين الأمور المحتملة لذلك على هذا المذهب ليس إلاّ اعتبار الظنّ في تشخيص نوع الطريق بين الأنواع المحتملة ، وأمّا تشخيص شخص الطريق بين المتعارضين فليس يقضي بذلك شيء من وجوه الأدلّة التي أقامها هو وبعض موافقيه هنالك ، ونظير ذلك هو القول بحجّية الظنّ الحاصل بالموضوع كالوقت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جريان دليل الانسداد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الذي هو الملاك في دليل الانسداد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على وجه يقضي بحجّية الظنّ المتعلّق بنوع الأمارة ، فيكون الظنّ المتعلّق بخصوصية الأمارة في الواقعة الخاصّة خارجا عن مقتضى العلم الإجمالي ، فيحتاج التعويل عليه في مقام الترجيح من التماس دليل آخر وذلك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إجمالا بأنّ الشارع الحكيم قد جعل لنا طريقا إلى مطلوبه ولا تكليف إلاّ بما يستفاد من ذلك الطريق وقد تشابه علينا ذلك الطريق ، فلا بدّ من الأخذ بالظنّ التفصيلي في تشخيص ذلك المعلوم الإجمالي ، فإنّ هذا الدليل لا يستفاد منه إلاّ حجّية الطريق المظنون بحسب نوعه ، وأمّا أنّ المقدّم في مقام التعارض هو أيّهما؟ فلا دلالة فيه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يقضي بحجّية الظنّ المتعلّق بشخص الطريق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إجمالا أنّ الشارع الحكيم قد جعل لنا في كلّ واقعة طريقا إلى ما هو مطلوبه في تلك الواقعة ، وحيث لا نعلمه بخصوصه فلا بدّ من الأخذ بالظنّ في تشخيصه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الأوّل ما إذا قلنا بثبوت الأحكام الشرعية الواقعية مع عدم العلم بها ولو من وجه شرعي ، وبعد بطلان الوجوه المحتملة يحكم العقل باقتناع الامتثال الظنّي ووجوب تفريغ الذمّة على وجه ظنّي ، وأمّا لو تعلّق الظنّ بموضوع الحكم الشرعي كما إذا ظنّ بدخول الوقت المستلزم للظنّ بوجوب الصلاة فيه على الظانّ فهو خارج عن مفاد الدليل ، فإنّ العلم الإجمالي في نفس الأحكام لا يقضي إلاّ بحجّية الظنّ في نفس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 الثاني ما إذا قلنا بأنّا نقطع بأنّ هذه الحركات والسكنات الصادرة منّا طول الليل والنهار تشتمل على أمور واجبة علينا وأمور محرّمة بالنسبة إلينا ، ولمّا انسدّ باب العلم في تشخيص هذه الحركات انفتح طريق الظنّ بها بالاقتناع به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 في كلام الزاعم المذكور هو الوجه الأوّل وقد عرفت أنّه غير واف بإثبات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فمع فساده في أصله غير مذكور في كلماتهم كما يظهر بالتتبّع في مطاويها ، ولعلّ ذلك هو منشأ الخلط ، وقد تفطّن بذلك في نظير المقام حيث لم يعتبر الظنّ بالعدالة مع أنّ الظنّ بها أيضا مثل الظنّ بأنّ المقدّم من المتعارضين هو الموافق للمرجّح الظنّي فراجع كلامه ، بل الحقّ أنّ أرباب هذه المقالة الباطلة كما ليس لهم العمل بالمرجّحات الظنّية كذلك ليس لهم العمل بالمرجّحات المنصوصة ، فإنّ العلاج المهديّ إليه بواسطة الأخبار العلاجية إنّما يعالج به فيما هو الحجّة عند السائل لا فيما هو الحجّة مطلقا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القائلين بالظنون الخاصّة يعوّلون عليها بواسطة قيام حجّة شرعية كالإجماع على حجّية أمارة خاصّة كأخبار الآحاد ، ولا شكّ أنّ قضيّة ذلك حجّية الخبر في نفس الأمر لجميع المكلّفين ، فما هو حجّة لنا فهو حجّة للسائل في الأخبار العلاجية أيضا وبذلك يصحّ الأخذ بالمرجّحات المنصوصة عند تعارض الظنون الخاصّة بخلاف ما إذا اشتبه الحجّة والطريق في أمور محتملة لذلك فإنّ الظنّ بأنّ الأمارة </w:t>
      </w:r>
      <w:r>
        <w:rPr>
          <w:rStyle w:val="FootnoteAnchor"/>
          <w:rtl w:val="true"/>
        </w:rPr>
        <w:footnoteReference w:id="3321"/>
      </w:r>
      <w:r>
        <w:rPr>
          <w:rStyle w:val="FootnoteAnchor"/>
          <w:rtl w:val="true"/>
        </w:rPr>
        <w:footnoteReference w:id="3322"/>
      </w:r>
      <w:r>
        <w:rPr>
          <w:rFonts w:ascii="Amiri" w:hAnsi="Amiri" w:eastAsia="Amiri" w:cs="Amiri"/>
          <w:color w:val="111111"/>
          <w:sz w:val="28"/>
          <w:sz w:val="28"/>
          <w:szCs w:val="28"/>
          <w:rtl w:val="true"/>
          <w:lang w:bidi="ar-SA"/>
        </w:rPr>
        <w:t xml:space="preserve">الفلانية هي الحجّة التي يجب عليها التعويل يحتمل أن يكون مخالفا للواقع ولو عند الظانّ أيضا ، فما ظنّه حجّة يحتمل أن لا يكون حجّة واقعية والسائل إنّما سأل عمّا هو الحجّة في الواقع ، والوجوه المذكورة في الترجيح بناء على ذلك يختصّ بما هو الحجّة الواقعية ، فليس لهذا القائل إعمال المرجّحات المنصوصة فيما ظنّه طريقا وحجّة ؛ </w:t>
      </w:r>
    </w:p>
    <w:p>
      <w:pPr>
        <w:pStyle w:val="BookText"/>
        <w:rPr/>
      </w:pPr>
      <w:r>
        <w:rPr>
          <w:rFonts w:ascii="Amiri" w:hAnsi="Amiri" w:eastAsia="Amiri" w:cs="Amiri"/>
          <w:color w:val="111111"/>
          <w:sz w:val="28"/>
          <w:sz w:val="28"/>
          <w:szCs w:val="28"/>
          <w:rtl w:val="true"/>
          <w:lang w:bidi="ar-SA"/>
        </w:rPr>
        <w:t>إذ لا يعلم بأنّه هو الطريق الذي يجب الأخذ بتلك المرجّحات عند تعارضه بمثله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الأمارة المظنونة وإن لم يعلم بكونها الحجّة الواقعية إلاّ أنّها حجّة قطعية نظرا إلى الدليل القاضي بذلك ، فيصحّ الأخذ بالمرجّحات المنصوصة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المرجّحات ليست بمرجّحات لمطلق ما هو الحجّة ، بل لما هو كذلك عند السائل كما لا يخفى ، فإنّ ظهور اختصاص السؤال بما هو المتعارف بينهم من الأخبار ممّا لا يقبل الإنكار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القول باكتفاء الظنّ عند الانسداد بما هو الحجّة الواقعية في ترتيب مثل هذه الآثار أيضا إلاّ أنّه لا يخلو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على المذهب المختار </w:t>
      </w:r>
      <w:r>
        <w:rPr>
          <w:rStyle w:val="FootnoteAnchor"/>
          <w:rtl w:val="true"/>
        </w:rPr>
        <w:footnoteReference w:id="3323"/>
      </w:r>
      <w:r>
        <w:rPr>
          <w:rFonts w:ascii="Amiri" w:hAnsi="Amiri" w:eastAsia="Amiri" w:cs="Amiri"/>
          <w:color w:val="111111"/>
          <w:sz w:val="28"/>
          <w:sz w:val="28"/>
          <w:szCs w:val="28"/>
          <w:rtl w:val="true"/>
          <w:lang w:bidi="ar-SA"/>
        </w:rPr>
        <w:t>من أنّ نتيجة البرهان هو وجوب تفريغ الذمّة الحاصل بإتيان ما هو الواقع وبإتيان ما هو بدل منه ، فالتحقيق أنّه لا يتصوّر التعارض أيضا كما عرفت من مذاق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الظنّ </w:t>
      </w:r>
      <w:r>
        <w:rPr>
          <w:rStyle w:val="FootnoteAnchor"/>
          <w:rtl w:val="true"/>
        </w:rPr>
        <w:footnoteReference w:id="3324"/>
      </w:r>
      <w:r>
        <w:rPr>
          <w:rFonts w:ascii="Amiri" w:hAnsi="Amiri" w:eastAsia="Amiri" w:cs="Amiri"/>
          <w:color w:val="111111"/>
          <w:sz w:val="28"/>
          <w:sz w:val="28"/>
          <w:szCs w:val="28"/>
          <w:rtl w:val="true"/>
          <w:lang w:bidi="ar-SA"/>
        </w:rPr>
        <w:t xml:space="preserve">بالواقع فظاهر ؛ لأنّ النتيجة هو الظنّ الشخصي ولا يعقل التعارض بين الظنّين كما في القطعين </w:t>
      </w:r>
      <w:r>
        <w:rPr>
          <w:rStyle w:val="FootnoteAnchor"/>
          <w:rtl w:val="true"/>
        </w:rPr>
        <w:footnoteReference w:id="3325"/>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الظنّ بما هو مسقط عن الواقع وبدل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يعقل </w:t>
      </w:r>
      <w:r>
        <w:rPr>
          <w:rStyle w:val="FootnoteAnchor"/>
          <w:rtl w:val="true"/>
        </w:rPr>
        <w:footnoteReference w:id="3326"/>
      </w:r>
      <w:r>
        <w:rPr>
          <w:rFonts w:ascii="Amiri" w:hAnsi="Amiri" w:eastAsia="Amiri" w:cs="Amiri"/>
          <w:color w:val="111111"/>
          <w:sz w:val="28"/>
          <w:sz w:val="28"/>
          <w:szCs w:val="28"/>
          <w:rtl w:val="true"/>
          <w:lang w:bidi="ar-SA"/>
        </w:rPr>
        <w:t xml:space="preserve">القول بتعلّق الظنّ بنوع الأمارة فيصير الظنّ المتعلّق بتقديم أحد أفراد ذلك النوع على الآخر خارجا عمّا هو مفاد الدليل كما عرفت على تقدير القول بحجّية الظنّ في خصوص الطريق فقط ، فيحتاج في إثبات حجّية مثل هذا الظنّ إلى دليل آخر غير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ليس على ذلك المنوال ، فإنّا </w:t>
      </w:r>
      <w:r>
        <w:rPr>
          <w:rStyle w:val="FootnoteAnchor"/>
          <w:rtl w:val="true"/>
        </w:rPr>
        <w:footnoteReference w:id="3327"/>
      </w:r>
      <w:r>
        <w:rPr>
          <w:rFonts w:ascii="Amiri" w:hAnsi="Amiri" w:eastAsia="Amiri" w:cs="Amiri"/>
          <w:color w:val="111111"/>
          <w:sz w:val="28"/>
          <w:sz w:val="28"/>
          <w:szCs w:val="28"/>
          <w:rtl w:val="true"/>
          <w:lang w:bidi="ar-SA"/>
        </w:rPr>
        <w:t xml:space="preserve">ندّعي أنّ الظنّ بالفراغ لا يحصل من خبر </w:t>
      </w:r>
    </w:p>
    <w:p>
      <w:pPr>
        <w:pStyle w:val="BookText"/>
        <w:rPr/>
      </w:pPr>
      <w:r>
        <w:rPr>
          <w:rFonts w:ascii="Amiri" w:hAnsi="Amiri" w:eastAsia="Amiri" w:cs="Amiri"/>
          <w:color w:val="111111"/>
          <w:sz w:val="28"/>
          <w:sz w:val="28"/>
          <w:szCs w:val="28"/>
          <w:rtl w:val="true"/>
          <w:lang w:bidi="ar-SA"/>
        </w:rPr>
        <w:t xml:space="preserve">العادل فيما يعارضه خبر الأعدل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فالمفرّغ </w:t>
      </w:r>
      <w:r>
        <w:rPr>
          <w:rStyle w:val="FootnoteAnchor"/>
          <w:rtl w:val="true"/>
        </w:rPr>
        <w:footnoteReference w:id="3328"/>
      </w:r>
      <w:r>
        <w:rPr>
          <w:rFonts w:ascii="Amiri" w:hAnsi="Amiri" w:eastAsia="Amiri" w:cs="Amiri"/>
          <w:color w:val="111111"/>
          <w:sz w:val="28"/>
          <w:sz w:val="28"/>
          <w:szCs w:val="28"/>
          <w:rtl w:val="true"/>
          <w:lang w:bidi="ar-SA"/>
        </w:rPr>
        <w:t>للذمّة عند التعارض منحصر فيما هو الأقوى ، وعلى هذا فلا تعارض ، وبالجملة فنوع الأمارة مظنون الحجّية فيما إذا لم يعارض بعضها ما هو أقوى منه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يشكل الأمر في ذلك فيما إذا تعلّق الظنّ بحسب الواقع بخلاف ما هو المظنون كونه بدلا ، ودفعه بالتزام الأخذ بما هو أقوى الظنّين </w:t>
      </w:r>
      <w:r>
        <w:rPr>
          <w:rStyle w:val="FootnoteAnchor"/>
          <w:rtl w:val="true"/>
        </w:rPr>
        <w:footnoteReference w:id="3329"/>
      </w:r>
      <w:r>
        <w:rPr>
          <w:rFonts w:ascii="Amiri" w:hAnsi="Amiri" w:eastAsia="Amiri" w:cs="Amiri"/>
          <w:color w:val="111111"/>
          <w:sz w:val="28"/>
          <w:sz w:val="28"/>
          <w:szCs w:val="28"/>
          <w:rtl w:val="true"/>
          <w:lang w:bidi="ar-SA"/>
        </w:rPr>
        <w:t>كما مرّ ذلك مفصّلا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بالنسبة إلى دليل الانسداد ، وأمّا الكلام في سائر الأدلّة الدالّة على حجّية أخبار الآحاد فتحقيقه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فرض انتفاء الأدلّة الخاصّة على حجّية مطلق الأقوائية في مقام الترجيح لا وجه للأخذ بها على مذهب من زعم وجوب العمل بقول العادل تعبّدا كما عرفت فيما مهّدنا لك من الأصل ، فلا بدّ من الاقتصار على المرجّحات المنصوصة الثابتة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يصحّ الأخذ بها على تقدير القول بحجّية الأخبار الصادرة ظنّا عن الأئمّة الأطهار ، فإنّ الأقوائية مرجعها إلى أقوائية الظنّ بصدور الأقوى ممّا </w:t>
      </w:r>
      <w:r>
        <w:rPr>
          <w:rStyle w:val="FootnoteAnchor"/>
          <w:rtl w:val="true"/>
        </w:rPr>
        <w:footnoteReference w:id="3330"/>
      </w:r>
      <w:r>
        <w:rPr>
          <w:rFonts w:ascii="Amiri" w:hAnsi="Amiri" w:eastAsia="Amiri" w:cs="Amiri"/>
          <w:color w:val="111111"/>
          <w:sz w:val="28"/>
          <w:sz w:val="28"/>
          <w:szCs w:val="28"/>
          <w:rtl w:val="true"/>
          <w:lang w:bidi="ar-SA"/>
        </w:rPr>
        <w:t xml:space="preserve">هو الملاك في الحجّية ، والمناط في الاعتبار متأكّد في الأقوى دون الآخر ، وبذلك يظهر أنّ الأخذ بما هو الأقوى </w:t>
      </w:r>
      <w:r>
        <w:rPr>
          <w:rStyle w:val="FootnoteAnchor"/>
          <w:rtl w:val="true"/>
        </w:rPr>
        <w:footnoteReference w:id="3331"/>
      </w:r>
      <w:r>
        <w:rPr>
          <w:rFonts w:ascii="Amiri" w:hAnsi="Amiri" w:eastAsia="Amiri" w:cs="Amiri"/>
          <w:color w:val="111111"/>
          <w:sz w:val="28"/>
          <w:sz w:val="28"/>
          <w:szCs w:val="28"/>
          <w:rtl w:val="true"/>
          <w:lang w:bidi="ar-SA"/>
        </w:rPr>
        <w:t xml:space="preserve">صدورا لازم على ما هو التحقيق من حجّية الأخبار الموثوق بها ، فإنّ سكون النفس وركونها في الأخذ بما هو الأقوى من الدليلين </w:t>
      </w:r>
      <w:r>
        <w:rPr>
          <w:rStyle w:val="FootnoteAnchor"/>
          <w:rtl w:val="true"/>
        </w:rPr>
        <w:footnoteReference w:id="3332"/>
      </w:r>
      <w:r>
        <w:rPr>
          <w:rFonts w:ascii="Amiri" w:hAnsi="Amiri" w:eastAsia="Amiri" w:cs="Amiri"/>
          <w:color w:val="111111"/>
          <w:sz w:val="28"/>
          <w:sz w:val="28"/>
          <w:szCs w:val="28"/>
          <w:rtl w:val="true"/>
          <w:lang w:bidi="ar-SA"/>
        </w:rPr>
        <w:t xml:space="preserve">، ولا حاجة إلى إقامة برهان غير ما انتهض على اعتبارها في محلّه ، ولا يلزم من ذلك عدم اعتبار المعارض الآخر نظرا إلى انتفاء الوثوق فيه كما هو المفروض حتّى يؤول الأمر حقيقة إلى انتفاء التعارض كما عرفت نظير ذلك على القول بحجّية الظنّ المطلق ، والوجه في ذلك أنّ </w:t>
      </w:r>
    </w:p>
    <w:p>
      <w:pPr>
        <w:pStyle w:val="BookText"/>
        <w:rPr/>
      </w:pPr>
      <w:r>
        <w:rPr>
          <w:rFonts w:ascii="Amiri" w:hAnsi="Amiri" w:eastAsia="Amiri" w:cs="Amiri"/>
          <w:color w:val="111111"/>
          <w:sz w:val="28"/>
          <w:sz w:val="28"/>
          <w:szCs w:val="28"/>
          <w:rtl w:val="true"/>
          <w:lang w:bidi="ar-SA"/>
        </w:rPr>
        <w:t>زوال الوثوق بالمعارضة لا يقضي بعدم الحجّية كما أنّ الذاهب إلى حجّية الخبر المظنون الصدور أيضا يلتزم بذلك ، وليس لك إجراء مثله على القول بمطلق الظنّ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المرجّحات التي بها يتقوّى أحد الدليلين على الآخر بإحدى الجهات الراجعة إلى كونه دليلا كتقوية الدلالة والصدور وجهة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مرجّحات أخر لا دخل لها في تقوية الجهات الراجعة إلى الدليلية وهي ما يتقوّى بها أحد الدليلين مضمونا على الآخر كموافقته للأمارات </w:t>
      </w:r>
      <w:r>
        <w:rPr>
          <w:rStyle w:val="FootnoteAnchor"/>
          <w:rtl w:val="true"/>
        </w:rPr>
        <w:footnoteReference w:id="3333"/>
      </w:r>
      <w:r>
        <w:rPr>
          <w:rFonts w:ascii="Amiri" w:hAnsi="Amiri" w:eastAsia="Amiri" w:cs="Amiri"/>
          <w:color w:val="111111"/>
          <w:sz w:val="28"/>
          <w:sz w:val="28"/>
          <w:szCs w:val="28"/>
          <w:rtl w:val="true"/>
          <w:lang w:bidi="ar-SA"/>
        </w:rPr>
        <w:t xml:space="preserve">الظنّية كالاستقراء والشهرة الفتوائية ونحوها ، فالظاهر جريان الأدلّة المذكورة فيها أيضا إلاّ أنّ الإجماع المنقول في المقام السابق لعلّه لا ينهض في المقام بدعوى ظهور اختصاصه بما إذا أفاد المرجّح تقوية للدليل من حيث هو دليل ، وأمّا مجرّد الموافقة المضمونية </w:t>
      </w:r>
      <w:r>
        <w:rPr>
          <w:rStyle w:val="FootnoteAnchor"/>
          <w:rtl w:val="true"/>
        </w:rPr>
        <w:footnoteReference w:id="3334"/>
      </w:r>
      <w:r>
        <w:rPr>
          <w:rFonts w:ascii="Amiri" w:hAnsi="Amiri" w:eastAsia="Amiri" w:cs="Amiri"/>
          <w:color w:val="111111"/>
          <w:sz w:val="28"/>
          <w:sz w:val="28"/>
          <w:szCs w:val="28"/>
          <w:rtl w:val="true"/>
          <w:lang w:bidi="ar-SA"/>
        </w:rPr>
        <w:t>فلا يورث تقوية في الدليل ، ولعلّك بعد الرجوع إلى وجوه التراجيح الواقعة في كلماتهم كما يظهر بالتصفّح في مطاويها تقدر على فكّ هذه العقدة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يستفاد من الوجوه المذكورة في مقام الترجيح بالوجوه الظنّية هو الظنّ وهو لا يغني من الحقّ شيئا فكيف يجوز التعويل بمثله في المسألة الأصولية مع أنّ الشيخ نفى الخلاف في عدم اعتباره فيه كما عن العدّة </w:t>
      </w:r>
      <w:r>
        <w:rPr>
          <w:rStyle w:val="FootnoteAnchor"/>
          <w:rtl w:val="true"/>
        </w:rPr>
        <w:footnoteReference w:id="3335"/>
      </w:r>
      <w:r>
        <w:rPr>
          <w:rFonts w:ascii="Amiri" w:hAnsi="Amiri" w:eastAsia="Amiri" w:cs="Amiri"/>
          <w:color w:val="111111"/>
          <w:sz w:val="28"/>
          <w:sz w:val="28"/>
          <w:szCs w:val="28"/>
          <w:rtl w:val="true"/>
          <w:lang w:bidi="ar-SA"/>
        </w:rPr>
        <w:t xml:space="preserve">ونقل السيّد الإجماع عليه ونسبه السيّد الشارح في شرحه للوافية </w:t>
      </w:r>
      <w:r>
        <w:rPr>
          <w:rStyle w:val="FootnoteAnchor"/>
          <w:rtl w:val="true"/>
        </w:rPr>
        <w:footnoteReference w:id="3336"/>
      </w:r>
      <w:r>
        <w:rPr>
          <w:rFonts w:ascii="Amiri" w:hAnsi="Amiri" w:eastAsia="Amiri" w:cs="Amiri"/>
          <w:color w:val="111111"/>
          <w:sz w:val="28"/>
          <w:sz w:val="28"/>
          <w:szCs w:val="28"/>
          <w:rtl w:val="true"/>
          <w:lang w:bidi="ar-SA"/>
        </w:rPr>
        <w:t>إلى المحقّقين؟ فالتعويل على الظنّ في الترجيح يرجع إلى التعويل عليه في المسألة الأصولية وقد عرفت فساده في مذهب أهل التحقيق</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ظنّية الوجوه المذكورة كما ربّما هو ظاهر لمن راجع نفسه منصفا أنّ ذلك وإن اشتهر عندهم غاية الاشتهار إلاّ أنّ عدم الفرق بينها </w:t>
      </w:r>
      <w:r>
        <w:rPr>
          <w:rStyle w:val="FootnoteAnchor"/>
          <w:rtl w:val="true"/>
        </w:rPr>
        <w:footnoteReference w:id="3337"/>
      </w:r>
      <w:r>
        <w:rPr>
          <w:rFonts w:ascii="Amiri" w:hAnsi="Amiri" w:eastAsia="Amiri" w:cs="Amiri"/>
          <w:color w:val="111111"/>
          <w:sz w:val="28"/>
          <w:sz w:val="28"/>
          <w:szCs w:val="28"/>
          <w:rtl w:val="true"/>
          <w:lang w:bidi="ar-SA"/>
        </w:rPr>
        <w:t xml:space="preserve">وبين غيرها </w:t>
      </w:r>
    </w:p>
    <w:p>
      <w:pPr>
        <w:pStyle w:val="BookText"/>
        <w:rPr/>
      </w:pPr>
      <w:r>
        <w:rPr>
          <w:rFonts w:ascii="Amiri" w:hAnsi="Amiri" w:eastAsia="Amiri" w:cs="Amiri"/>
          <w:color w:val="111111"/>
          <w:sz w:val="28"/>
          <w:sz w:val="28"/>
          <w:szCs w:val="28"/>
          <w:rtl w:val="true"/>
          <w:lang w:bidi="ar-SA"/>
        </w:rPr>
        <w:t>من المسائل الفرعية في منار كما يقضي بذلك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ذلك هو تخيّل أنّ المرجع في المسائل الفرعية هو المسألة الأصولية ، فاعتمدوا فيها على العلم قطعا للدور والتسلسل اللازمين على تقدير الظنّ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ليس على ما ينبغي ؛ لإمكان انتهائه إلى العلم في مدرك المسألة الأصولية كما لا يخفى</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فغاية ما يلزم من نقل الإجماع المذكور هو الظنّ بذلك ، فيؤول الأمر إلى تعارض الظنّ المانع والممنوع وقد مرّ في محلّه أنّ الأقوى هو الأخذ بأقوى الظنّيين ، فتأمّل في المقام فلعلّك تهتدي إلى ما هو التحقيق في الكلام واللّه الموفّق وهو الهادي</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6284_171587"/>
      <w:bookmarkStart w:id="352" w:name="pg16284_171587"/>
      <w:bookmarkEnd w:id="352"/>
    </w:p>
    <w:p>
      <w:pPr>
        <w:pStyle w:val="Heading3"/>
        <w:numPr>
          <w:ilvl w:val="2"/>
          <w:numId w:val="1"/>
        </w:numPr>
        <w:rPr/>
      </w:pPr>
      <w:bookmarkStart w:id="353" w:name="pg16284_171587"/>
      <w:bookmarkStart w:id="354" w:name="__RefHeading___Toc5012240_1280447820"/>
      <w:bookmarkStart w:id="355" w:name="_Toc109"/>
      <w:bookmarkEnd w:id="353"/>
      <w:bookmarkEnd w:id="354"/>
      <w:r>
        <w:rPr>
          <w:rtl w:val="true"/>
        </w:rPr>
        <w:t xml:space="preserve">هداية </w:t>
      </w:r>
      <w:r>
        <w:rPr>
          <w:rtl w:val="true"/>
        </w:rPr>
        <w:t xml:space="preserve">[ </w:t>
      </w:r>
      <w:r>
        <w:rPr>
          <w:rtl w:val="true"/>
        </w:rPr>
        <w:t xml:space="preserve">في بيان المرجّحات المنصوصة </w:t>
      </w:r>
      <w:r>
        <w:rPr>
          <w:rtl w:val="true"/>
        </w:rPr>
        <w:t>]</w:t>
      </w:r>
      <w:bookmarkEnd w:id="355"/>
    </w:p>
    <w:p>
      <w:pPr>
        <w:pStyle w:val="BookText"/>
        <w:rPr/>
      </w:pPr>
      <w:r>
        <w:rPr>
          <w:rFonts w:ascii="Amiri" w:hAnsi="Amiri" w:eastAsia="Amiri" w:cs="Amiri"/>
          <w:color w:val="111111"/>
          <w:sz w:val="28"/>
          <w:sz w:val="28"/>
          <w:szCs w:val="28"/>
          <w:rtl w:val="true"/>
          <w:lang w:bidi="ar-SA"/>
        </w:rPr>
        <w:t xml:space="preserve">قد مرّ تفصيل القول في حكم التراجيح بحسب الكبرى فلنعطف الكلام إلى تفاصيل الصغريات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المرجّحات المنصوصة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غيرها في طيّ هداية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بين الدليلين إمّا أن يكون بحسب الدلالة وقد عرفت أنّ المناط فيه على الظهور ، فالمقدّم منهما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بحسب الصدور وقد عرفت أيضا أنّ المقدّم هو الأقرب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بحسب جهة الصدور وقد مرّ أيضا أنّ المقدّم هو الأبعد عن التقيّة من الآخر</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التعارض بين كلّ واحد من هذه الجهات وبين الجهة الأخرى ، كما إذا دار الأمر بين حمل الرواية على التقيّة أو تصرّف </w:t>
      </w:r>
      <w:r>
        <w:rPr>
          <w:rStyle w:val="FootnoteAnchor"/>
          <w:rtl w:val="true"/>
        </w:rPr>
        <w:footnoteReference w:id="3338"/>
      </w:r>
      <w:r>
        <w:rPr>
          <w:rFonts w:ascii="Amiri" w:hAnsi="Amiri" w:eastAsia="Amiri" w:cs="Amiri"/>
          <w:color w:val="111111"/>
          <w:sz w:val="28"/>
          <w:sz w:val="28"/>
          <w:szCs w:val="28"/>
          <w:rtl w:val="true"/>
          <w:lang w:bidi="ar-SA"/>
        </w:rPr>
        <w:t xml:space="preserve">في الدلالة ، فالظاهر هو تقديم الترجيح في الدلالة على العلاج في السند مطلقا ولو كان المرجّح بحسب الدلالة في غاية الضعف ، وقد مرّ التنبيه </w:t>
      </w:r>
      <w:r>
        <w:rPr>
          <w:rStyle w:val="FootnoteAnchor"/>
          <w:rtl w:val="true"/>
        </w:rPr>
        <w:footnoteReference w:id="3339"/>
      </w:r>
      <w:r>
        <w:rPr>
          <w:rFonts w:ascii="Amiri" w:hAnsi="Amiri" w:eastAsia="Amiri" w:cs="Amiri"/>
          <w:color w:val="111111"/>
          <w:sz w:val="28"/>
          <w:sz w:val="28"/>
          <w:szCs w:val="28"/>
          <w:rtl w:val="true"/>
          <w:lang w:bidi="ar-SA"/>
        </w:rPr>
        <w:t xml:space="preserve">على فساد مقالة من زعم تقديم المطلق على المقيّد بواسطة موافقة المقيّد لمذهب العامّة ، ولعلّ ذلك محلّ وفاق عندهم ، ولا فرق فيه بين أن يكون المرجّح في الدلالة داخليا كما مرّ أو خارجيا وستعرف تفصيله ، والوجه في </w:t>
      </w:r>
    </w:p>
    <w:p>
      <w:pPr>
        <w:pStyle w:val="BookText"/>
        <w:rPr/>
      </w:pPr>
      <w:r>
        <w:rPr>
          <w:rFonts w:ascii="Amiri" w:hAnsi="Amiri" w:eastAsia="Amiri" w:cs="Amiri"/>
          <w:color w:val="111111"/>
          <w:sz w:val="28"/>
          <w:sz w:val="28"/>
          <w:szCs w:val="28"/>
          <w:rtl w:val="true"/>
          <w:lang w:bidi="ar-SA"/>
        </w:rPr>
        <w:t>ذلك هو ملاحظة طريقة العرف في امتثال أوامر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وقع التعارض بين الترجيح بحسب السند بالأخذ بالمرجّحات السندية الداخلية كالأعدلية ونحوها وبينه بالأخذ بالمرجّحات الخارجية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سيّد المفاتيح </w:t>
      </w:r>
      <w:r>
        <w:rPr>
          <w:rStyle w:val="FootnoteAnchor"/>
          <w:rtl w:val="true"/>
        </w:rPr>
        <w:footnoteReference w:id="3340"/>
      </w:r>
      <w:r>
        <w:rPr>
          <w:rFonts w:ascii="Amiri" w:hAnsi="Amiri" w:eastAsia="Amiri" w:cs="Amiri"/>
          <w:color w:val="111111"/>
          <w:sz w:val="28"/>
          <w:sz w:val="28"/>
          <w:szCs w:val="28"/>
          <w:rtl w:val="true"/>
          <w:lang w:bidi="ar-SA"/>
        </w:rPr>
        <w:t>طاب ثراه تقديم المرجّح الخارجي على الداخلي مطلقا ولعلّه ليس في محلّه على إطلاقه ؛ إذ ربّما يكون الأقرب هو المرجّح الداخلي ، نعم ، لا يبعد القول بأنّ الغالب هو تقديم الخارجي ؛ لأنّه هو الأقرب ، فالمناط هو الأقربية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عرفت </w:t>
      </w:r>
      <w:r>
        <w:rPr>
          <w:rStyle w:val="FootnoteAnchor"/>
          <w:rtl w:val="true"/>
        </w:rPr>
        <w:footnoteReference w:id="3341"/>
      </w:r>
      <w:r>
        <w:rPr>
          <w:rFonts w:ascii="Amiri" w:hAnsi="Amiri" w:eastAsia="Amiri" w:cs="Amiri"/>
          <w:color w:val="111111"/>
          <w:sz w:val="28"/>
          <w:sz w:val="28"/>
          <w:szCs w:val="28"/>
          <w:rtl w:val="true"/>
          <w:lang w:bidi="ar-SA"/>
        </w:rPr>
        <w:t xml:space="preserve">ذلك فاعلم أنّ المرجّحات المنصوصة مختلفة غاية الاختلاف ، وأوضح الروايات الواردة فيها هي المقبولة فنسوق الكلام فيها توضيحا لما اشتملت عليها من الفقرات وتحقيقا لتقديم بعضها على الآخر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اعتبر فيها الترجيح أوّلا بعدّة أمور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الأعدلية ، والأفقهية ، والأورعية ، والأصدقية ، والأخذ بظاهرها كما مرّ غير نافع في مقام الترجيح لندر اجتماعها في الغاية ، بل ينبغي أن يكون المراد الترجيح بكلّ واحد منها ويكشف عن 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فالعارف بصناعة الكلام ومن له ذوق في تحصيل المرام إذا تأمّل في مساق الخبر وأعطاه حقّ النظر لعلّه يقطع بذلك ، فإنّ اجتماع أمور في مقام التعبير مع اعتبار كلّ واحد منها على حدّه في مقام التأثير ممّا ليس بذلك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فالسائل لم يعدّ إلى السؤال عن اجتماع بعضها دون الآخر مع أنّ الترتيب الطبيعي على تقدير اعتبار الأمور الأربع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فانفراد الأعدلية عن أخواتها في مرفوعة زرارة شاهد صدق على اعتبار كلّ واحد منها في مقام الترجيح</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اعتبار الأعدلية مع الأصدقية في غاية البعد ، فإنّ ما هو المعتبر من العدالة في الخبر هو التحرّز عن الكذب ، وأمّا الاجتناب عن غيره من المعاصي فممّا </w:t>
      </w:r>
    </w:p>
    <w:p>
      <w:pPr>
        <w:pStyle w:val="BookText"/>
        <w:rPr/>
      </w:pPr>
      <w:r>
        <w:rPr>
          <w:rFonts w:ascii="IRNazanin" w:hAnsi="IRNazanin" w:eastAsia="IRNazanin"/>
          <w:color w:val="111111"/>
          <w:sz w:val="28"/>
          <w:sz w:val="28"/>
          <w:szCs w:val="28"/>
          <w:rtl w:val="true"/>
          <w:lang w:bidi="fa-IR"/>
        </w:rPr>
        <w:t xml:space="preserve">لا دخل </w:t>
      </w:r>
      <w:r>
        <w:rPr>
          <w:rStyle w:val="FootnoteAnchor"/>
          <w:rtl w:val="true"/>
        </w:rPr>
        <w:footnoteReference w:id="3342"/>
      </w:r>
      <w:r>
        <w:rPr>
          <w:rFonts w:ascii="Amiri" w:hAnsi="Amiri" w:eastAsia="Amiri" w:cs="Amiri"/>
          <w:color w:val="111111"/>
          <w:sz w:val="28"/>
          <w:sz w:val="28"/>
          <w:szCs w:val="28"/>
          <w:rtl w:val="true"/>
          <w:lang w:bidi="ar-SA"/>
        </w:rPr>
        <w:t>له في صدق الخبر إلاّ أن يكون المدار على التعبّد الصرف ولا نقول به ، فما هو الحاصل من أحدهما يحصل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يحمل على أنّ المعتبر في مقام الترجيح هو أحد هذه الأمور ، ولا يضرّ في ذلك تكرار أحدهما ولو بعبارة أخرى غير العبارة التي عبّر بها أوّلا ؛ إذ لا شبهة أنّ خبر العادل أقرب إلى الواقع من غيره وقضيّة ذلك أقربية الأعدل من غيره ، وذلك أمر ظاهر بالرجوع إلى كلماتهم فإنّ المناط عندهم الأقربية ولذلك يقدّمون روايات حسن بن عليّ بن فضّال مع كونه فطحيا على رواية بعض آخر وإن كان إماميا حيث إنّه لم يتّكل على الروايات التي رواها عن أبيه ؛ لعدم بلوغه حال التحمّل مع أنّ المعتبر عندهم هو البلوغ حال الرواية ، ومن هنا ينقدح لك الوجه في تقديم رواية صاحب الواقعة على غيره ؛ لكونه على حرص من ضبط الرواية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المرجّحات المذكورة في المقبولة اشتهار أحد الخبرين دون الآخر بحسب الرواية وقد عرفت </w:t>
      </w:r>
      <w:r>
        <w:rPr>
          <w:rStyle w:val="FootnoteAnchor"/>
          <w:rtl w:val="true"/>
        </w:rPr>
        <w:footnoteReference w:id="3343"/>
      </w:r>
      <w:r>
        <w:rPr>
          <w:rFonts w:ascii="Amiri" w:hAnsi="Amiri" w:eastAsia="Amiri" w:cs="Amiri"/>
          <w:color w:val="111111"/>
          <w:sz w:val="28"/>
          <w:sz w:val="28"/>
          <w:szCs w:val="28"/>
          <w:rtl w:val="true"/>
          <w:lang w:bidi="ar-SA"/>
        </w:rPr>
        <w:t xml:space="preserve">المراد منه ، وتوضيحه أنّ الشهرة في المقام المراد منها معناها اللغوي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شاهر ، أي ظاهر بارز لا سترة عليه ولا يخفى عند أحد ، ولذلك أردفه في الرواية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التي تتداول </w:t>
      </w:r>
      <w:r>
        <w:rPr>
          <w:rStyle w:val="FootnoteAnchor"/>
          <w:rtl w:val="true"/>
        </w:rPr>
        <w:footnoteReference w:id="3344"/>
      </w:r>
      <w:r>
        <w:rPr>
          <w:rFonts w:ascii="Amiri" w:hAnsi="Amiri" w:eastAsia="Amiri" w:cs="Amiri"/>
          <w:color w:val="111111"/>
          <w:sz w:val="28"/>
          <w:sz w:val="28"/>
          <w:szCs w:val="28"/>
          <w:rtl w:val="true"/>
          <w:lang w:bidi="ar-SA"/>
        </w:rPr>
        <w:t>بين الرواة ويحكيها جماعة من الثقات تعدّ مشهورة ، وما انفرد في روايتها بعض الرواة على وجه يستراب فيها هو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باشتهار الرواية هو اشتهارها على وجه ينتهي اشتهارها إلى المعصوم ، وأمّا لو اشتهرت في بعض الطبقات دون أخرى فالظاهر أنّ الرواية ليست شاملة لها وإن كان لا يبعد إلحاق مثلها بالمشهورة حكما كما لا يخفى</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أمثال هذه الأزمنة قد يشكل العلم بموضوع هذه الشهرة ؛ لاجتماع </w:t>
      </w:r>
    </w:p>
    <w:p>
      <w:pPr>
        <w:pStyle w:val="BookText"/>
        <w:rPr/>
      </w:pPr>
      <w:r>
        <w:rPr>
          <w:rFonts w:ascii="Amiri" w:hAnsi="Amiri" w:eastAsia="Amiri" w:cs="Amiri"/>
          <w:color w:val="111111"/>
          <w:sz w:val="28"/>
          <w:sz w:val="28"/>
          <w:szCs w:val="28"/>
          <w:rtl w:val="true"/>
          <w:lang w:bidi="ar-SA"/>
        </w:rPr>
        <w:t>الأحاديث في الأغلب في الكتب المشهورة عندنا من تصانيف المشايخ الستّة وافتراق الأصول التي أخذوا منها من الأصول الأربعمائة ، نعم يمكن استظهار ذلك من تعدّد طرق الرواية فإنّ بعضها مرويّة في جميع تلك الكتب ومع ذلك قد يكون طريق صاحب الكتاب متعدّدا فيها وبعضها ينفرد في ذكرها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اعتبار مثل هذه الشهرة في الرواية عند الأصحاب فلا ينبغي فيها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زعم بعضهم شمول الشهرة هذه للشهرة في الفتوى ، وقد دفعناه في محلّه بما لا مزيد عليه </w:t>
      </w:r>
      <w:r>
        <w:rPr>
          <w:rStyle w:val="FootnoteAnchor"/>
          <w:rtl w:val="true"/>
        </w:rPr>
        <w:footnoteReference w:id="3345"/>
      </w:r>
      <w:r>
        <w:rPr>
          <w:rFonts w:ascii="Amiri" w:hAnsi="Amiri" w:eastAsia="Amiri" w:cs="Amiri"/>
          <w:color w:val="111111"/>
          <w:sz w:val="28"/>
          <w:sz w:val="28"/>
          <w:szCs w:val="28"/>
          <w:rtl w:val="true"/>
          <w:lang w:bidi="ar-SA"/>
        </w:rPr>
        <w:t xml:space="preserve">، إلاّ أنّ الشهرة في الفتوى أيضا قد يمكن أن تكون </w:t>
      </w:r>
      <w:r>
        <w:rPr>
          <w:rStyle w:val="FootnoteAnchor"/>
          <w:rtl w:val="true"/>
        </w:rPr>
        <w:footnoteReference w:id="3346"/>
      </w:r>
      <w:r>
        <w:rPr>
          <w:rFonts w:ascii="Amiri" w:hAnsi="Amiri" w:eastAsia="Amiri" w:cs="Amiri"/>
          <w:color w:val="111111"/>
          <w:sz w:val="28"/>
          <w:sz w:val="28"/>
          <w:szCs w:val="28"/>
          <w:rtl w:val="true"/>
          <w:lang w:bidi="ar-SA"/>
        </w:rPr>
        <w:t xml:space="preserve">مرجّحة للرواية ، فلا بأس بذكرها إجمالا تتميما للمبحث وهي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منها الترجيح لإحدى </w:t>
      </w:r>
      <w:r>
        <w:rPr>
          <w:rStyle w:val="FootnoteAnchor"/>
          <w:rtl w:val="true"/>
        </w:rPr>
        <w:footnoteReference w:id="3347"/>
      </w:r>
      <w:r>
        <w:rPr>
          <w:rFonts w:ascii="Amiri" w:hAnsi="Amiri" w:eastAsia="Amiri" w:cs="Amiri"/>
          <w:color w:val="111111"/>
          <w:sz w:val="28"/>
          <w:sz w:val="28"/>
          <w:szCs w:val="28"/>
          <w:rtl w:val="true"/>
          <w:lang w:bidi="ar-SA"/>
        </w:rPr>
        <w:t xml:space="preserve">الروايتين ولا التوهين للأخرى </w:t>
      </w:r>
      <w:r>
        <w:rPr>
          <w:rStyle w:val="FootnoteAnchor"/>
          <w:rtl w:val="true"/>
        </w:rPr>
        <w:footnoteReference w:id="3348"/>
      </w:r>
      <w:r>
        <w:rPr>
          <w:rFonts w:ascii="Amiri" w:hAnsi="Amiri" w:eastAsia="Amiri" w:cs="Amiri"/>
          <w:color w:val="111111"/>
          <w:sz w:val="28"/>
          <w:sz w:val="28"/>
          <w:szCs w:val="28"/>
          <w:rtl w:val="true"/>
          <w:lang w:bidi="ar-SA"/>
        </w:rPr>
        <w:t xml:space="preserve">،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الترجيح فقط وحينئذ فقد يكون من المرجّحات الداخلية ، وقد يكون من المرجّحات الخارجية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منها التوهين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فيتحقّق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بفساد مدرك المشهور كاستنادهم إلى رواية عادمة الدلالة على مطلبهم مع القول بأنّها لا تصلح لأن تكون </w:t>
      </w:r>
      <w:r>
        <w:rPr>
          <w:rStyle w:val="FootnoteAnchor"/>
          <w:rtl w:val="true"/>
        </w:rPr>
        <w:footnoteReference w:id="3349"/>
      </w:r>
      <w:r>
        <w:rPr>
          <w:rFonts w:ascii="Amiri" w:hAnsi="Amiri" w:eastAsia="Amiri" w:cs="Amiri"/>
          <w:color w:val="111111"/>
          <w:sz w:val="28"/>
          <w:sz w:val="28"/>
          <w:szCs w:val="28"/>
          <w:rtl w:val="true"/>
          <w:lang w:bidi="ar-SA"/>
        </w:rPr>
        <w:t>قرينة صارفة كما هو التحقيق ، أو مع عدم كشفها عن القرينة كشفا قطعيا ، وأمّا إذا قلنا بالأوّل فالشهرة تنهض قرينة على إرادة خلاف الظاهر كما إذا كانت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مأخذ المشهور أمرا لا يصلح للترجيح كما إذا كان أصلا من الأصول العملية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مآخذهم مختلفة ، كما إذا زعموا استحباب شيء فبعضهم </w:t>
      </w:r>
    </w:p>
    <w:p>
      <w:pPr>
        <w:pStyle w:val="BookText"/>
        <w:rPr/>
      </w:pPr>
      <w:r>
        <w:rPr>
          <w:rFonts w:ascii="Amiri" w:hAnsi="Amiri" w:eastAsia="Amiri" w:cs="Amiri"/>
          <w:color w:val="111111"/>
          <w:sz w:val="28"/>
          <w:sz w:val="28"/>
          <w:szCs w:val="28"/>
          <w:rtl w:val="true"/>
          <w:lang w:bidi="ar-SA"/>
        </w:rPr>
        <w:t xml:space="preserve">للاحتياط والآخر </w:t>
      </w:r>
      <w:r>
        <w:rPr>
          <w:rStyle w:val="FootnoteAnchor"/>
          <w:rtl w:val="true"/>
        </w:rPr>
        <w:footnoteReference w:id="3350"/>
      </w:r>
      <w:r>
        <w:rPr>
          <w:rFonts w:ascii="Amiri" w:hAnsi="Amiri" w:eastAsia="Amiri" w:cs="Amiri"/>
          <w:color w:val="111111"/>
          <w:sz w:val="28"/>
          <w:sz w:val="28"/>
          <w:szCs w:val="28"/>
          <w:rtl w:val="true"/>
          <w:lang w:bidi="ar-SA"/>
        </w:rPr>
        <w:t xml:space="preserve">لتضعيف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وجوه اختلاف المدارك ، فيكون الشهرة تقييدية نظير الإجماع التقييدي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المأخذ مردّدا بين واحد من الأمور المذكورة وبين ما يصلح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أمثال هذه الموارد لا وجه للتعويل على الشهرة في مقام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إذا علم استناد المشهور إلى الرواية على وجه يورث اطمئنانا في صدورها أو جهة صدورها أو دلالتها وكما إذا أفاد الظنّ الواقعي بالحكم المطابق لمضمون أحد الخبرين ، فعلى الأوّل يكون الشهرة من المرجّحات الداخلية ، وعلى الثاني تكون </w:t>
      </w:r>
      <w:r>
        <w:rPr>
          <w:rStyle w:val="FootnoteAnchor"/>
          <w:rtl w:val="true"/>
        </w:rPr>
        <w:footnoteReference w:id="3351"/>
      </w:r>
      <w:r>
        <w:rPr>
          <w:rFonts w:ascii="Amiri" w:hAnsi="Amiri" w:eastAsia="Amiri" w:cs="Amiri"/>
          <w:color w:val="111111"/>
          <w:sz w:val="28"/>
          <w:sz w:val="28"/>
          <w:szCs w:val="28"/>
          <w:rtl w:val="true"/>
          <w:lang w:bidi="ar-SA"/>
        </w:rPr>
        <w:t>من المرجّحات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القسم الثالث </w:t>
      </w:r>
      <w:r>
        <w:rPr>
          <w:rStyle w:val="FootnoteAnchor"/>
          <w:rtl w:val="true"/>
        </w:rPr>
        <w:footnoteReference w:id="3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إذا علم استناد المشهور إلى أحد الخبرين مع إعراضهم عن الآخر على وجه يكشف عن ضعف فيه وقوّة لمعارضه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ازدادت الصحاح في قبال المشهور ازداد 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المرجّحات موافقة الكتاب والسنّة </w:t>
      </w:r>
      <w:r>
        <w:rPr>
          <w:rStyle w:val="FootnoteAnchor"/>
          <w:rtl w:val="true"/>
        </w:rPr>
        <w:footnoteReference w:id="3353"/>
      </w:r>
      <w:r>
        <w:rPr>
          <w:rFonts w:ascii="Amiri" w:hAnsi="Amiri" w:eastAsia="Amiri" w:cs="Amiri"/>
          <w:color w:val="111111"/>
          <w:sz w:val="28"/>
          <w:sz w:val="28"/>
          <w:szCs w:val="28"/>
          <w:rtl w:val="true"/>
          <w:lang w:bidi="ar-SA"/>
        </w:rPr>
        <w:t xml:space="preserve">ومخالفة العامّة ، قد سبق </w:t>
      </w:r>
      <w:r>
        <w:rPr>
          <w:rStyle w:val="FootnoteAnchor"/>
          <w:rtl w:val="true"/>
        </w:rPr>
        <w:footnoteReference w:id="3354"/>
      </w:r>
      <w:r>
        <w:rPr>
          <w:rFonts w:ascii="Amiri" w:hAnsi="Amiri" w:eastAsia="Amiri" w:cs="Amiri"/>
          <w:color w:val="111111"/>
          <w:sz w:val="28"/>
          <w:sz w:val="28"/>
          <w:szCs w:val="28"/>
          <w:rtl w:val="true"/>
          <w:lang w:bidi="ar-SA"/>
        </w:rPr>
        <w:t>ما يرشدك إلى أنّ كلاّ من مخالفة العامّة وموافقة الكتاب والسنّة مرجّح في حيال ذاتهما ، فيكون اجتماعهما في الرواية تنبيها على لطيفة الملازمة بينهما ، وإلاّ فلا يكون لذكر المخالفة بعد ذلك وجه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المعتبر في الترجيح أوّلا اجتماعهما ، ثمّ على تقدير عدم الاجتماع فالمرجّح هو المخالفة كما نبّهناك على مثله في الأصدقية فراجعه ، وكيف فالأولى تخصيص كلّ واحد منهما بالبحث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موافقة الكتاب فتحقيق الكلام فيه يتوقّف على بيان وجوه المخالفة المتصوّرة بين الكتاب والخبر وهي على أنحاء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 الخبر المخالف رافعا لموضوع الحكم الكلّي المستفاد من عمومات الكتاب ، مثل ما ورد في الموارد الخاصّة من أدلّة الأحكام المخالفة للأصول العملية المأخوذة من العامّ الكتابي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3355"/>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الثابت بالخبر أخصّ مطلقا ممّا ثبت بالكتاب ، مثل ما ورد من تخصيص وجوب الإنصات عند القراءة بحال قراءة الإمام </w:t>
      </w:r>
      <w:r>
        <w:rPr>
          <w:rStyle w:val="FootnoteAnchor"/>
          <w:rtl w:val="true"/>
        </w:rPr>
        <w:footnoteReference w:id="3356"/>
      </w:r>
      <w:r>
        <w:rPr>
          <w:rFonts w:ascii="Amiri" w:hAnsi="Amiri" w:eastAsia="Amiri" w:cs="Amiri"/>
          <w:color w:val="111111"/>
          <w:sz w:val="28"/>
          <w:sz w:val="28"/>
          <w:szCs w:val="28"/>
          <w:rtl w:val="true"/>
          <w:lang w:bidi="ar-SA"/>
        </w:rPr>
        <w:t xml:space="preserve">، ومثل ما ورد في وجوب الغسل على المريض المتعمّد بالجنابة وإن أصابه ما أصابه </w:t>
      </w:r>
      <w:r>
        <w:rPr>
          <w:rStyle w:val="FootnoteAnchor"/>
          <w:rtl w:val="true"/>
        </w:rPr>
        <w:footnoteReference w:id="3357"/>
      </w:r>
      <w:r>
        <w:rPr>
          <w:rFonts w:ascii="Amiri" w:hAnsi="Amiri" w:eastAsia="Amiri" w:cs="Amiri"/>
          <w:color w:val="111111"/>
          <w:sz w:val="28"/>
          <w:sz w:val="28"/>
          <w:szCs w:val="28"/>
          <w:rtl w:val="true"/>
          <w:lang w:bidi="ar-SA"/>
        </w:rPr>
        <w:t xml:space="preserve">فإنّه تخصيص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3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مفاد الخبر والكتاب عموما من وجه ولا يحضرني الآن مثالا لهذا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المخالفة على وجه المباينة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الارتياب في تقديم الخبر على الكتاب ؛ إذ لولاه لم يثبت تكليف قطعا بالأخبار ، والسرّ فيه انتفاء المخالفة حقيقة وإنّما يظنّها مخالفة من لا يكاد يعقل معنى المخالفة ، كما أنّه لا إشكال في لزوم طرح الخبر على الرابع فإنّ الاخبار الآمرة بطرح الأخبار المخالفة للكتاب ربّما تعدّ </w:t>
      </w:r>
      <w:r>
        <w:rPr>
          <w:rStyle w:val="FootnoteAnchor"/>
          <w:rtl w:val="true"/>
        </w:rPr>
        <w:footnoteReference w:id="3359"/>
      </w:r>
      <w:r>
        <w:rPr>
          <w:rFonts w:ascii="Amiri" w:hAnsi="Amiri" w:eastAsia="Amiri" w:cs="Amiri"/>
          <w:color w:val="111111"/>
          <w:sz w:val="28"/>
          <w:sz w:val="28"/>
          <w:szCs w:val="28"/>
          <w:rtl w:val="true"/>
          <w:lang w:bidi="ar-SA"/>
        </w:rPr>
        <w:t>من المتواترات وليس بذلك البعيد فإنّها زخرف لا بدّ من ضربها على الجدار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وجوب تخصيص الكتاب بالخبر المخالف للكتاب على تقدير جواز التخصيص مع وجود مرجّح لذلك الخبر ولو في أدنى مراتب المرجّحية ؛ لعدم المانع منه ووجود المقتضي له ، وعلى تقدير عدم جواز التخصيص فلا تعارض ؛ لعدم اعتبار الخبر المخالف للكتاب ، فيكون المخالفة موهنة للخبر ، وعلى تقدير عدم المرجّح فالمرجع هو عامّ الكتاب لسقوط الخبرين بالمعارضة عن الحجّية ، وليس المقام محلّ التخيير ؛ لادّائه إلى عدم حجّية الكتاب ، إذ على تقديره كما يجوز </w:t>
      </w:r>
      <w:r>
        <w:rPr>
          <w:rStyle w:val="FootnoteAnchor"/>
          <w:rtl w:val="true"/>
        </w:rPr>
        <w:footnoteReference w:id="3360"/>
      </w:r>
      <w:r>
        <w:rPr>
          <w:rFonts w:ascii="Amiri" w:hAnsi="Amiri" w:eastAsia="Amiri" w:cs="Amiri"/>
          <w:color w:val="111111"/>
          <w:sz w:val="28"/>
          <w:sz w:val="28"/>
          <w:szCs w:val="28"/>
          <w:rtl w:val="true"/>
          <w:lang w:bidi="ar-SA"/>
        </w:rPr>
        <w:t>الأخذ بما يوافق كذلك يجوز الأخذ بما يخالف الكتاب ، وذلك طرح للكتاب من 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بين الخبرين والأخذ بالمخالف يقوم مقام الأخذ بالخبر مع الترجيح ، فكما لا غائلة في التخصيص مع الترجيح لا غائلة فيه مع ما هو بمنزلته شرعا وليس ذلك طرحا للكتاب من غير وجه ، وكيف كان فعلى ما أفاده مدّ اللّه ظلاله على رءوس العالمين </w:t>
      </w:r>
      <w:r>
        <w:rPr>
          <w:rStyle w:val="FootnoteAnchor"/>
          <w:rtl w:val="true"/>
        </w:rPr>
        <w:footnoteReference w:id="3361"/>
      </w:r>
      <w:r>
        <w:rPr>
          <w:rFonts w:ascii="Amiri" w:hAnsi="Amiri" w:eastAsia="Amiri" w:cs="Amiri"/>
          <w:color w:val="111111"/>
          <w:sz w:val="28"/>
          <w:sz w:val="28"/>
          <w:szCs w:val="28"/>
          <w:rtl w:val="true"/>
          <w:lang w:bidi="ar-SA"/>
        </w:rPr>
        <w:t xml:space="preserve">ليس المورد من موارد التخيير ، ولا من موارد ترجيح </w:t>
      </w:r>
      <w:r>
        <w:rPr>
          <w:rStyle w:val="FootnoteAnchor"/>
          <w:rtl w:val="true"/>
        </w:rPr>
        <w:footnoteReference w:id="3362"/>
      </w:r>
      <w:r>
        <w:rPr>
          <w:rFonts w:ascii="Amiri" w:hAnsi="Amiri" w:eastAsia="Amiri" w:cs="Amiri"/>
          <w:color w:val="111111"/>
          <w:sz w:val="28"/>
          <w:sz w:val="28"/>
          <w:szCs w:val="28"/>
          <w:rtl w:val="true"/>
          <w:lang w:bidi="ar-SA"/>
        </w:rPr>
        <w:t xml:space="preserve">الموافق للكتاب </w:t>
      </w:r>
      <w:r>
        <w:rPr>
          <w:rStyle w:val="FootnoteAnchor"/>
          <w:rtl w:val="true"/>
        </w:rPr>
        <w:footnoteReference w:id="3363"/>
      </w:r>
      <w:r>
        <w:rPr>
          <w:rFonts w:ascii="Amiri" w:hAnsi="Amiri" w:eastAsia="Amiri" w:cs="Amiri"/>
          <w:color w:val="111111"/>
          <w:sz w:val="28"/>
          <w:sz w:val="28"/>
          <w:szCs w:val="28"/>
          <w:rtl w:val="true"/>
          <w:lang w:bidi="ar-SA"/>
        </w:rPr>
        <w:t>على الآخر ، أمّا الأوّل فلما عرفت ، وأمّا الثاني فلأنّ الترجيح بالعموم إنّما يحصل بعد فرض بقائه على عمومه وهو حينئذ دليل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دليلا مستقلاّ لا ينافي أن يكون مرجّحا للدليل الموافق ، فإنّ كثرة الدليل أيضا من وجوه الترجيح كما هو معلوم وستعرفه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يفضي إليه النظر هو الأخذ بالخبر الموافق وطرح الخبر المخالف </w:t>
      </w:r>
      <w:r>
        <w:rPr>
          <w:rStyle w:val="FootnoteAnchor"/>
          <w:rtl w:val="true"/>
        </w:rPr>
        <w:footnoteReference w:id="3364"/>
      </w:r>
      <w:r>
        <w:rPr>
          <w:rFonts w:ascii="Amiri" w:hAnsi="Amiri" w:eastAsia="Amiri" w:cs="Amiri"/>
          <w:color w:val="111111"/>
          <w:sz w:val="28"/>
          <w:sz w:val="28"/>
          <w:szCs w:val="28"/>
          <w:rtl w:val="true"/>
          <w:lang w:bidi="ar-SA"/>
        </w:rPr>
        <w:t xml:space="preserve">؛ لحصول الترجيح له بالموافقة ، ولا سيّما فيما قلنا باعتبار أصالة الحقيقة من باب الظنّ ، ولو تنزّلنا عن ذلك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 وعلى تقدير الأخذ بالخبر </w:t>
      </w:r>
    </w:p>
    <w:p>
      <w:pPr>
        <w:pStyle w:val="BookText"/>
        <w:rPr/>
      </w:pPr>
      <w:r>
        <w:rPr>
          <w:rFonts w:ascii="IRNazanin" w:hAnsi="IRNazanin" w:eastAsia="IRNazanin"/>
          <w:color w:val="111111"/>
          <w:sz w:val="28"/>
          <w:sz w:val="28"/>
          <w:szCs w:val="28"/>
          <w:rtl w:val="true"/>
          <w:lang w:bidi="fa-IR"/>
        </w:rPr>
        <w:t xml:space="preserve">المخالف </w:t>
      </w:r>
      <w:r>
        <w:rPr>
          <w:rStyle w:val="FootnoteAnchor"/>
          <w:rtl w:val="true"/>
        </w:rPr>
        <w:footnoteReference w:id="3365"/>
      </w:r>
      <w:r>
        <w:rPr>
          <w:rFonts w:ascii="Amiri" w:hAnsi="Amiri" w:eastAsia="Amiri" w:cs="Amiri"/>
          <w:color w:val="111111"/>
          <w:sz w:val="28"/>
          <w:sz w:val="28"/>
          <w:szCs w:val="28"/>
          <w:rtl w:val="true"/>
          <w:lang w:bidi="ar-SA"/>
        </w:rPr>
        <w:t>فلا ضير في تخصيص الكتاب ؛ لأنّ التخيير بمنزلة الترجيح ولا مانع من ذلك بعد ما هو المعلوم من إطلاق أدلّة التخيير وقد أوردت عليه دام ظلّه فلم ينكره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بأنّ مرجع التعارض في العامّين </w:t>
      </w:r>
      <w:r>
        <w:rPr>
          <w:rStyle w:val="FootnoteAnchor"/>
          <w:rtl w:val="true"/>
        </w:rPr>
        <w:footnoteReference w:id="3366"/>
      </w:r>
      <w:r>
        <w:rPr>
          <w:rFonts w:ascii="Amiri" w:hAnsi="Amiri" w:eastAsia="Amiri" w:cs="Amiri"/>
          <w:color w:val="111111"/>
          <w:sz w:val="28"/>
          <w:sz w:val="28"/>
          <w:szCs w:val="28"/>
          <w:rtl w:val="true"/>
          <w:lang w:bidi="ar-SA"/>
        </w:rPr>
        <w:t xml:space="preserve">من وجه إلى تعارض سنديهما فمن المعلوم وجوب تقديم الكتاب ؛ لكونه معلوم الصدور ، فيبقى الخبر الموافق سليما عن المعارض ؛ إذ المفروض أنّ المخالف بمعارضته للكتاب </w:t>
      </w:r>
      <w:r>
        <w:rPr>
          <w:rStyle w:val="FootnoteAnchor"/>
          <w:rtl w:val="true"/>
        </w:rPr>
        <w:footnoteReference w:id="3367"/>
      </w:r>
      <w:r>
        <w:rPr>
          <w:rFonts w:ascii="Amiri" w:hAnsi="Amiri" w:eastAsia="Amiri" w:cs="Amiri"/>
          <w:color w:val="111111"/>
          <w:sz w:val="28"/>
          <w:sz w:val="28"/>
          <w:szCs w:val="28"/>
          <w:rtl w:val="true"/>
          <w:lang w:bidi="ar-SA"/>
        </w:rPr>
        <w:t>فقد سقط عن الاعتبار كما في صورة التباين ، فالمخالفة موهنة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قلنا بأنّ مرجع التعارض إلى </w:t>
      </w:r>
      <w:r>
        <w:rPr>
          <w:rStyle w:val="FootnoteAnchor"/>
          <w:rtl w:val="true"/>
        </w:rPr>
        <w:footnoteReference w:id="3368"/>
      </w:r>
      <w:r>
        <w:rPr>
          <w:rFonts w:ascii="Amiri" w:hAnsi="Amiri" w:eastAsia="Amiri" w:cs="Amiri"/>
          <w:color w:val="111111"/>
          <w:sz w:val="28"/>
          <w:sz w:val="28"/>
          <w:szCs w:val="28"/>
          <w:rtl w:val="true"/>
          <w:lang w:bidi="ar-SA"/>
        </w:rPr>
        <w:t xml:space="preserve">الدلالة مع قطع النظر عن السند مطلقا ، فالظاهر تقديم الموافق على المخالف ؛ لدوران الأمر بين طرح ظاهر واحد والحكم بسقوطه من الاعتبار وبين طرح ظاهرين ، والأوّل على القول باعتبار أصالة الحقيقة من باب الظنّ أولى ، ولا يبعد ذلك بناء على الأخذ بها من حيث بناء العقلاء أيضا </w:t>
      </w:r>
      <w:r>
        <w:rPr>
          <w:rStyle w:val="FootnoteAnchor"/>
          <w:rtl w:val="true"/>
        </w:rPr>
        <w:footnoteReference w:id="3369"/>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بالتفصيل بين العامّين من وجه وأخواتهما كما عرفت ممّا فصّلناه لك في محلّه ، فيلحق بكلّ من القسمين حكمه من 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يعلم أنّ المراد من العموم والخصوص المطلق أو من وجه هو ذلك باعتبار موضوع الحكم وذلك أمر ظاهر لا يكاد يخفى على أوائل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موافقة السنّة فالمراد </w:t>
      </w:r>
      <w:r>
        <w:rPr>
          <w:rStyle w:val="FootnoteAnchor"/>
          <w:rtl w:val="true"/>
        </w:rPr>
        <w:footnoteReference w:id="3370"/>
      </w:r>
      <w:r>
        <w:rPr>
          <w:rFonts w:ascii="Amiri" w:hAnsi="Amiri" w:eastAsia="Amiri" w:cs="Amiri"/>
          <w:color w:val="111111"/>
          <w:sz w:val="28"/>
          <w:sz w:val="28"/>
          <w:szCs w:val="28"/>
          <w:rtl w:val="true"/>
          <w:lang w:bidi="ar-SA"/>
        </w:rPr>
        <w:t xml:space="preserve">بها قول الحجّة </w:t>
      </w:r>
      <w:r>
        <w:rPr>
          <w:rStyle w:val="FootnoteAnchor"/>
          <w:rtl w:val="true"/>
        </w:rPr>
        <w:footnoteReference w:id="3371"/>
      </w:r>
      <w:r>
        <w:rPr>
          <w:rFonts w:ascii="Amiri" w:hAnsi="Amiri" w:eastAsia="Amiri" w:cs="Amiri"/>
          <w:color w:val="111111"/>
          <w:sz w:val="28"/>
          <w:sz w:val="28"/>
          <w:szCs w:val="28"/>
          <w:rtl w:val="true"/>
          <w:lang w:bidi="ar-SA"/>
        </w:rPr>
        <w:t>أو فعله أو تقريره على وجه قطعي ولا اختصاص لها بالنبيّ وإن كان يظهر من بعض تلك الأخبار ذلك</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الظنّية فهي </w:t>
      </w:r>
      <w:r>
        <w:rPr>
          <w:rStyle w:val="FootnoteAnchor"/>
          <w:rtl w:val="true"/>
        </w:rPr>
        <w:footnoteReference w:id="3372"/>
      </w:r>
      <w:r>
        <w:rPr>
          <w:rFonts w:ascii="Amiri" w:hAnsi="Amiri" w:eastAsia="Amiri" w:cs="Amiri"/>
          <w:color w:val="111111"/>
          <w:sz w:val="28"/>
          <w:sz w:val="28"/>
          <w:szCs w:val="28"/>
          <w:rtl w:val="true"/>
          <w:lang w:bidi="ar-SA"/>
        </w:rPr>
        <w:t xml:space="preserve">في عرض الأخبار المتعارضة و </w:t>
      </w:r>
      <w:r>
        <w:rPr>
          <w:rStyle w:val="FootnoteAnchor"/>
          <w:rtl w:val="true"/>
        </w:rPr>
        <w:footnoteReference w:id="3373"/>
      </w:r>
      <w:r>
        <w:rPr>
          <w:rFonts w:ascii="Amiri" w:hAnsi="Amiri" w:eastAsia="Amiri" w:cs="Amiri"/>
          <w:color w:val="111111"/>
          <w:sz w:val="28"/>
          <w:sz w:val="28"/>
          <w:szCs w:val="28"/>
          <w:rtl w:val="true"/>
          <w:lang w:bidi="ar-SA"/>
        </w:rPr>
        <w:t xml:space="preserve">لا يصلح للترجيح في </w:t>
      </w:r>
    </w:p>
    <w:p>
      <w:pPr>
        <w:pStyle w:val="BookText"/>
        <w:rPr/>
      </w:pPr>
      <w:r>
        <w:rPr>
          <w:rFonts w:ascii="Amiri" w:hAnsi="Amiri" w:eastAsia="Amiri" w:cs="Amiri"/>
          <w:color w:val="111111"/>
          <w:sz w:val="28"/>
          <w:sz w:val="28"/>
          <w:szCs w:val="28"/>
          <w:rtl w:val="true"/>
          <w:lang w:bidi="ar-SA"/>
        </w:rPr>
        <w:t>حيال ذاتها ، اللّهمّ إلاّ لمعاضدة أو شهرة في الرواية ونحو ذلك ممّا هو خارج عمّا نحن بصدده ، والكلام فيه كالكلام في الكتاب تحقيقا وتنقيحا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مخالفة العامّة فلا إشكال في حصول الترجيح بها في الجملة ، بل وبموافقتهم </w:t>
      </w:r>
      <w:r>
        <w:rPr>
          <w:rStyle w:val="FootnoteAnchor"/>
          <w:rtl w:val="true"/>
        </w:rPr>
        <w:footnoteReference w:id="3374"/>
      </w:r>
      <w:r>
        <w:rPr>
          <w:rFonts w:ascii="Amiri" w:hAnsi="Amiri" w:eastAsia="Amiri" w:cs="Amiri"/>
          <w:color w:val="111111"/>
          <w:sz w:val="28"/>
          <w:sz w:val="28"/>
          <w:szCs w:val="28"/>
          <w:rtl w:val="true"/>
          <w:lang w:bidi="ar-SA"/>
        </w:rPr>
        <w:t>يسقط الآخر عن الحجّية فيما إذا انضمّت قرائن التقيّة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الطائفة في العدّة </w:t>
      </w:r>
      <w:r>
        <w:rPr>
          <w:rStyle w:val="FootnoteAnchor"/>
          <w:rtl w:val="true"/>
        </w:rPr>
        <w:footnoteReference w:id="3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تساوت الروايتان في العدالة والعدد عمل بأبعدهما عن قول العامّة وترك العمل بما يوافقهم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المحقّق في المعارج بأنّ الظاهر أنّ احتجاجه في ذلك برواية </w:t>
      </w:r>
      <w:r>
        <w:rPr>
          <w:rStyle w:val="FootnoteAnchor"/>
          <w:rtl w:val="true"/>
        </w:rPr>
        <w:footnoteReference w:id="3376"/>
      </w:r>
      <w:r>
        <w:rPr>
          <w:rFonts w:ascii="Amiri" w:hAnsi="Amiri" w:eastAsia="Amiri" w:cs="Amiri"/>
          <w:color w:val="111111"/>
          <w:sz w:val="28"/>
          <w:sz w:val="28"/>
          <w:szCs w:val="28"/>
          <w:rtl w:val="true"/>
          <w:lang w:bidi="ar-SA"/>
        </w:rPr>
        <w:t xml:space="preserve">رويت عن الصادق عليه‌السلام وهو إثبات لمسألة علمية بخبر واحد ، ولا يخفى عليك ما فيه مع أنّه قد طعن فيه </w:t>
      </w:r>
      <w:r>
        <w:rPr>
          <w:rStyle w:val="FootnoteAnchor"/>
          <w:rtl w:val="true"/>
        </w:rPr>
        <w:footnoteReference w:id="3377"/>
      </w:r>
      <w:r>
        <w:rPr>
          <w:rFonts w:ascii="Amiri" w:hAnsi="Amiri" w:eastAsia="Amiri" w:cs="Amiri"/>
          <w:color w:val="111111"/>
          <w:sz w:val="28"/>
          <w:sz w:val="28"/>
          <w:szCs w:val="28"/>
          <w:rtl w:val="true"/>
          <w:lang w:bidi="ar-SA"/>
        </w:rPr>
        <w:t>فضلاء من الشيعة كالمفيد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احتجّ بأنّ الأبعد لا يحتمل إلاّ الفتوى والموافق للعامّة يحتمل التقية فوجب </w:t>
      </w:r>
      <w:r>
        <w:rPr>
          <w:rStyle w:val="FootnoteAnchor"/>
          <w:rtl w:val="true"/>
        </w:rPr>
        <w:footnoteReference w:id="3378"/>
      </w:r>
      <w:r>
        <w:rPr>
          <w:rFonts w:ascii="Amiri" w:hAnsi="Amiri" w:eastAsia="Amiri" w:cs="Amiri"/>
          <w:color w:val="111111"/>
          <w:sz w:val="28"/>
          <w:sz w:val="28"/>
          <w:szCs w:val="28"/>
          <w:rtl w:val="true"/>
          <w:lang w:bidi="ar-SA"/>
        </w:rPr>
        <w:t>الرجوع إلى ما لا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 لا يحتمل إلاّ الفتوى ؛ لأنّه </w:t>
      </w:r>
      <w:r>
        <w:rPr>
          <w:rStyle w:val="FootnoteAnchor"/>
          <w:rtl w:val="true"/>
        </w:rPr>
        <w:footnoteReference w:id="3379"/>
      </w:r>
      <w:r>
        <w:rPr>
          <w:rFonts w:ascii="Amiri" w:hAnsi="Amiri" w:eastAsia="Amiri" w:cs="Amiri"/>
          <w:color w:val="111111"/>
          <w:sz w:val="28"/>
          <w:sz w:val="28"/>
          <w:szCs w:val="28"/>
          <w:rtl w:val="true"/>
          <w:lang w:bidi="ar-SA"/>
        </w:rPr>
        <w:t>كما جاز الفتوى لمصلحة يراها الإمام كذلك يجوز الفتوى بما يحتمل التأويل مراعاة لمصلحة يعلمها الإمام وإن كنّا لا نعلمها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يسدّ باب العمل بالحديث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Style w:val="FootnoteAnchor"/>
          <w:rtl w:val="true"/>
        </w:rPr>
        <w:footnoteReference w:id="3380"/>
      </w:r>
      <w:r>
        <w:rPr>
          <w:rFonts w:ascii="Amiri" w:hAnsi="Amiri" w:eastAsia="Amiri" w:cs="Amiri"/>
          <w:color w:val="111111"/>
          <w:sz w:val="28"/>
          <w:sz w:val="28"/>
          <w:szCs w:val="28"/>
          <w:rtl w:val="true"/>
          <w:lang w:bidi="ar-SA"/>
        </w:rPr>
        <w:t xml:space="preserve">يصير إلى ذلك على تقدير التعارض وحصول مانع يمنع من العمل لا مطلقا ، فلم يلزم سدّ باب العلم </w:t>
      </w:r>
      <w:r>
        <w:rPr>
          <w:rStyle w:val="FootnoteAnchor"/>
          <w:rtl w:val="true"/>
        </w:rPr>
        <w:footnoteReference w:id="33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وضعّفه في المعالم أوّلا بأنّ ردّ الاستدلال بالخبر بأنّه إثبات لمسألة علمية بخبر واحد ، ليس بجيّد إذ لا مانع من إثبات مثله بالخبر المعتبر من الآحاد ، ونحن نطالبه بدليل منعه </w:t>
      </w:r>
      <w:r>
        <w:rPr>
          <w:rStyle w:val="FootnoteAnchor"/>
          <w:rtl w:val="true"/>
        </w:rPr>
        <w:footnoteReference w:id="3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رحمه‌اللّه بناء على ما سلكه في الأخبار إنّما منع من صحّة الخبر في المقام ، وليس بجيّد ؛ لأنّ الأخبار في هذا المعنى فوق حدّ الاستفاضة ، بل وكاد تبلغ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بأنّ الإفتاء بما يحتمل التأويل وإن كان محتملا إلاّ أنّ احتمال التقيّة على ما هو المعلوم من أحوال الأئمّة عليهم‌السلام أقرب وأظهر ، وذلك كاف في الترجيح ، فكلام الشيخ عندي هو الحقّ </w:t>
      </w:r>
      <w:r>
        <w:rPr>
          <w:rStyle w:val="FootnoteAnchor"/>
          <w:rtl w:val="true"/>
        </w:rPr>
        <w:footnoteReference w:id="338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كذلك ، 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العرف واللغة على الأخذ بالأصول المعمولة في الألفاظ من الأمور المشخّصة </w:t>
      </w:r>
      <w:r>
        <w:rPr>
          <w:rStyle w:val="FootnoteAnchor"/>
          <w:rtl w:val="true"/>
        </w:rPr>
        <w:footnoteReference w:id="3384"/>
      </w:r>
      <w:r>
        <w:rPr>
          <w:rFonts w:ascii="Amiri" w:hAnsi="Amiri" w:eastAsia="Amiri" w:cs="Amiri"/>
          <w:color w:val="111111"/>
          <w:sz w:val="28"/>
          <w:sz w:val="28"/>
          <w:szCs w:val="28"/>
          <w:rtl w:val="true"/>
          <w:lang w:bidi="ar-SA"/>
        </w:rPr>
        <w:t xml:space="preserve">لنفس الإرادة وتعيين ما هو المراد منها ما لم يظهر دلالة يمكن التعويل عليه في صرف تلك الأمور ، والإنصاف أنّ الاعتماد على أصالة عدم التقيّة في أمثال المقام ربّما لا يساعده المقام ، فيدور الأمر بين الأخذ بتلك الأصالة دفعا لاحتمال التقيّة وبين الأخذ بأصالة عدم القرينة وأصالة الحقيقة دفعا لاحتمال التأويل من غير جهة التقية ، ولا ريب أنّ الثاني في كلماتهم أغلب فالأخذ به أقرب كما أفاده محقّق المعالم ، نعم قد يمكن أن يكون المقام بواسطة احتفاف القرائن والشواهد الدالّة </w:t>
      </w:r>
    </w:p>
    <w:p>
      <w:pPr>
        <w:pStyle w:val="BookText"/>
        <w:rPr/>
      </w:pPr>
      <w:r>
        <w:rPr>
          <w:rFonts w:ascii="Amiri" w:hAnsi="Amiri" w:eastAsia="Amiri" w:cs="Amiri"/>
          <w:color w:val="111111"/>
          <w:sz w:val="28"/>
          <w:sz w:val="28"/>
          <w:szCs w:val="28"/>
          <w:rtl w:val="true"/>
          <w:lang w:bidi="ar-SA"/>
        </w:rPr>
        <w:t>على عدم التقيّة مردّدا بينهما ، وقد يزيد ذلك فيرجّح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إنكار كفاية المخالفة في مقام الترجيح على أحد الوجوه التي مرّ </w:t>
      </w:r>
      <w:r>
        <w:rPr>
          <w:rStyle w:val="FootnoteAnchor"/>
          <w:rtl w:val="true"/>
        </w:rPr>
        <w:footnoteReference w:id="3385"/>
      </w:r>
      <w:r>
        <w:rPr>
          <w:rFonts w:ascii="Amiri" w:hAnsi="Amiri" w:eastAsia="Amiri" w:cs="Amiri"/>
          <w:color w:val="111111"/>
          <w:sz w:val="28"/>
          <w:sz w:val="28"/>
          <w:szCs w:val="28"/>
          <w:rtl w:val="true"/>
          <w:lang w:bidi="ar-SA"/>
        </w:rPr>
        <w:t xml:space="preserve">إليها الإشارة من الأخذ بالمخالفة تعبّدا ، أو من جهة أنّ الموافق لا يحتمل إلاّ الفتوى ، أو من جهة أنّ الواقع في خلاف مقالتهم ، أو من جهة أنّ في خلافهم حسنا ومصلحة تزيد على مصلحة الواقع وإن لم تدرك نظير جلوس النبيّ حين ما سمع قيام اليهود عند دفن الأموات إبداء لمخالفتهم وإرغاما لأنفهم </w:t>
      </w:r>
      <w:r>
        <w:rPr>
          <w:rStyle w:val="FootnoteAnchor"/>
          <w:rtl w:val="true"/>
        </w:rPr>
        <w:footnoteReference w:id="3386"/>
      </w:r>
      <w:r>
        <w:rPr>
          <w:rFonts w:ascii="Amiri" w:hAnsi="Amiri" w:eastAsia="Amiri" w:cs="Amiri"/>
          <w:color w:val="111111"/>
          <w:sz w:val="28"/>
          <w:sz w:val="28"/>
          <w:szCs w:val="28"/>
          <w:rtl w:val="true"/>
          <w:lang w:bidi="ar-SA"/>
        </w:rPr>
        <w:t>، فقاتلهم اللّه أنّى يؤفكون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الأخبار يشتمل على الأخذ بما خالفهم وهو ظاهر في المخالفة القولية ، وبعض الآخر يشمل على الأخذ بما يخالف أخبارهم ، فمن الأوّل ما قد سمعت مرارا ، ومن الثاني ما قد رواه الصدوق عن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إلى ما وافق أخبارهم فدعوه </w:t>
      </w:r>
      <w:r>
        <w:rPr>
          <w:rFonts w:eastAsia="Amiri" w:cs="Amiri" w:ascii="Amiri" w:hAnsi="Amiri"/>
          <w:color w:val="111111"/>
          <w:sz w:val="28"/>
          <w:szCs w:val="28"/>
          <w:rtl w:val="true"/>
          <w:lang w:bidi="ar-SA"/>
        </w:rPr>
        <w:t xml:space="preserve">» </w:t>
      </w:r>
      <w:r>
        <w:rPr>
          <w:rStyle w:val="FootnoteAnchor"/>
          <w:rtl w:val="true"/>
        </w:rPr>
        <w:footnoteReference w:id="3387"/>
      </w:r>
      <w:r>
        <w:rPr>
          <w:rFonts w:ascii="Amiri" w:hAnsi="Amiri" w:eastAsia="Amiri" w:cs="Amiri"/>
          <w:color w:val="111111"/>
          <w:sz w:val="28"/>
          <w:sz w:val="28"/>
          <w:szCs w:val="28"/>
          <w:rtl w:val="true"/>
          <w:lang w:bidi="ar-SA"/>
        </w:rPr>
        <w:t xml:space="preserve">وما رواه القطب الراوندي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وافق أخبارهم فذروه ، وما خالف أخبارهم فخذوه </w:t>
      </w:r>
      <w:r>
        <w:rPr>
          <w:rFonts w:eastAsia="Amiri" w:cs="Amiri" w:ascii="Amiri" w:hAnsi="Amiri"/>
          <w:color w:val="111111"/>
          <w:sz w:val="28"/>
          <w:szCs w:val="28"/>
          <w:rtl w:val="true"/>
          <w:lang w:bidi="ar-SA"/>
        </w:rPr>
        <w:t xml:space="preserve">» </w:t>
      </w:r>
      <w:r>
        <w:rPr>
          <w:rStyle w:val="FootnoteAnchor"/>
          <w:rtl w:val="true"/>
        </w:rPr>
        <w:footnoteReference w:id="3388"/>
      </w:r>
    </w:p>
    <w:p>
      <w:pPr>
        <w:pStyle w:val="BookText"/>
        <w:rPr/>
      </w:pPr>
      <w:r>
        <w:rPr>
          <w:rFonts w:ascii="Amiri" w:hAnsi="Amiri" w:eastAsia="Amiri" w:cs="Amiri"/>
          <w:color w:val="111111"/>
          <w:sz w:val="28"/>
          <w:sz w:val="28"/>
          <w:szCs w:val="28"/>
          <w:rtl w:val="true"/>
          <w:lang w:bidi="ar-SA"/>
        </w:rPr>
        <w:t xml:space="preserve">ونقل عنها بالواسطة في البحار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 باب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بتمامه في ص </w:t>
      </w:r>
      <w:r>
        <w:rPr>
          <w:rFonts w:ascii="Amiri" w:hAnsi="Amiri" w:eastAsia="Amiri" w:cs="Amiri"/>
          <w:color w:val="111111"/>
          <w:sz w:val="28"/>
          <w:sz w:val="28"/>
          <w:szCs w:val="28"/>
          <w:lang w:bidi="ar-SA"/>
        </w:rPr>
        <w:t>٦٢١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المآل في ذلك إلى أمر واحد كما يكشف عن ذلك اجتماعهما في رواية الصدوق عن محمّد بن موسى بن المتوكّل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السعدآبادي عن أحمد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بالخبرين المختلفين؟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ورد عليكم خبران مختلفان</w:t>
      </w:r>
    </w:p>
    <w:p>
      <w:pPr>
        <w:pStyle w:val="BookText"/>
        <w:rPr/>
      </w:pPr>
      <w:r>
        <w:rPr>
          <w:rFonts w:ascii="Amiri" w:hAnsi="Amiri" w:eastAsia="Amiri" w:cs="Amiri"/>
          <w:color w:val="111111"/>
          <w:sz w:val="28"/>
          <w:sz w:val="28"/>
          <w:szCs w:val="28"/>
          <w:rtl w:val="true"/>
          <w:lang w:bidi="ar-SA"/>
        </w:rPr>
        <w:t xml:space="preserve">فانظروا إلى ما يخالف منهما العامّة ، فخذوه وانظروا إلى ما وافق </w:t>
      </w:r>
      <w:r>
        <w:rPr>
          <w:rStyle w:val="FootnoteAnchor"/>
          <w:rtl w:val="true"/>
        </w:rPr>
        <w:footnoteReference w:id="3389"/>
      </w:r>
      <w:r>
        <w:rPr>
          <w:rFonts w:ascii="IRNazanin" w:hAnsi="IRNazanin" w:eastAsia="IRNazanin"/>
          <w:color w:val="111111"/>
          <w:sz w:val="28"/>
          <w:sz w:val="28"/>
          <w:szCs w:val="28"/>
          <w:rtl w:val="true"/>
          <w:lang w:bidi="fa-IR"/>
        </w:rPr>
        <w:t xml:space="preserve">أخبارهم فدعوه </w:t>
      </w:r>
      <w:r>
        <w:rPr>
          <w:rFonts w:eastAsia="IRNazanin" w:cs="IRNazanin"/>
          <w:color w:val="111111"/>
          <w:sz w:val="28"/>
          <w:szCs w:val="28"/>
          <w:rtl w:val="true"/>
          <w:lang w:bidi="fa-IR"/>
        </w:rPr>
        <w:t xml:space="preserve">» </w:t>
      </w:r>
      <w:r>
        <w:rPr>
          <w:rStyle w:val="FootnoteAnchor"/>
          <w:rtl w:val="true"/>
        </w:rPr>
        <w:footnoteReference w:id="3390"/>
      </w:r>
    </w:p>
    <w:p>
      <w:pPr>
        <w:pStyle w:val="BookText"/>
        <w:rPr/>
      </w:pPr>
      <w:r>
        <w:rPr>
          <w:rFonts w:ascii="Amiri" w:hAnsi="Amiri" w:eastAsia="Amiri" w:cs="Amiri"/>
          <w:color w:val="111111"/>
          <w:sz w:val="28"/>
          <w:sz w:val="28"/>
          <w:szCs w:val="28"/>
          <w:rtl w:val="true"/>
          <w:lang w:bidi="ar-SA"/>
        </w:rPr>
        <w:t xml:space="preserve">ونقل عنها بالواسطة في البحار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 باب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ذلك أمر ظاهر لا ينبغي الارتياب فيه وإنّما الإشكال في تعيين ما هو المقصود من المخالفة في هذه الأخبار الكثيرة ، فإنّ الأخذ بظاهرها يوجب اختصاص هذه الأخبار بموارد قليلة لا يكاد يلتزم به الخبير في مثل هذه الروايات ، فإنّ مخالفة جميع العامّة كما هو الظاهر من الروايات لا يوجد إلاّ أقلّ قليل من الأحكام وهي تعدّ في </w:t>
      </w:r>
      <w:r>
        <w:rPr>
          <w:rStyle w:val="FootnoteAnchor"/>
          <w:rtl w:val="true"/>
        </w:rPr>
        <w:footnoteReference w:id="3391"/>
      </w:r>
      <w:r>
        <w:rPr>
          <w:rFonts w:ascii="Amiri" w:hAnsi="Amiri" w:eastAsia="Amiri" w:cs="Amiri"/>
          <w:color w:val="111111"/>
          <w:sz w:val="28"/>
          <w:sz w:val="28"/>
          <w:szCs w:val="28"/>
          <w:rtl w:val="true"/>
          <w:lang w:bidi="ar-SA"/>
        </w:rPr>
        <w:t xml:space="preserve">ضروريات المذهب في الغالب ، بل الأغلب </w:t>
      </w:r>
      <w:r>
        <w:rPr>
          <w:rStyle w:val="FootnoteAnchor"/>
          <w:rtl w:val="true"/>
        </w:rPr>
        <w:footnoteReference w:id="3392"/>
      </w:r>
      <w:r>
        <w:rPr>
          <w:rFonts w:ascii="Amiri" w:hAnsi="Amiri" w:eastAsia="Amiri" w:cs="Amiri"/>
          <w:color w:val="111111"/>
          <w:sz w:val="28"/>
          <w:sz w:val="28"/>
          <w:szCs w:val="28"/>
          <w:rtl w:val="true"/>
          <w:lang w:bidi="ar-SA"/>
        </w:rPr>
        <w:t>، نعم قد يتّفق ذلك في غاية الندرة كما في روايات طهارة البئر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التأويل </w:t>
      </w:r>
      <w:r>
        <w:rPr>
          <w:rStyle w:val="FootnoteAnchor"/>
          <w:rtl w:val="true"/>
        </w:rPr>
        <w:footnoteReference w:id="3393"/>
      </w:r>
      <w:r>
        <w:rPr>
          <w:rFonts w:ascii="Amiri" w:hAnsi="Amiri" w:eastAsia="Amiri" w:cs="Amiri"/>
          <w:color w:val="111111"/>
          <w:sz w:val="28"/>
          <w:sz w:val="28"/>
          <w:szCs w:val="28"/>
          <w:rtl w:val="true"/>
          <w:lang w:bidi="ar-SA"/>
        </w:rPr>
        <w:t xml:space="preserve">فيها بأنّ المراد مخالفة البعض فهل المدار على مخالفة أيّ الفرق منهم؟ فإنّهم مع اجتماعهم على أمر باطل متفرّقين </w:t>
      </w:r>
      <w:r>
        <w:rPr>
          <w:rStyle w:val="FootnoteAnchor"/>
          <w:rtl w:val="true"/>
        </w:rPr>
        <w:footnoteReference w:id="3394"/>
      </w:r>
      <w:r>
        <w:rPr>
          <w:rFonts w:ascii="Amiri" w:hAnsi="Amiri" w:eastAsia="Amiri" w:cs="Amiri"/>
          <w:color w:val="111111"/>
          <w:sz w:val="28"/>
          <w:sz w:val="28"/>
          <w:szCs w:val="28"/>
          <w:rtl w:val="true"/>
          <w:lang w:bidi="ar-SA"/>
        </w:rPr>
        <w:t>على وجوه شتّى ومذاهب لا تنتهي</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في النظر أنّ هذه الأخبار إنّما وردت أنموذجا لما هو اللائق أن يؤخذ به ودستورا لما هو الحقيق لأن يعمل به ، وليس المراد بها تشخيص موارد المخالفة فإنّها مختلفة جدّا لا تكاد تنضبط ، فإنّ المقتضي للتقيّة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المتكلّم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المخاطب بحسب بلديهما أو بلد آخر ، أو السامع ، أو </w:t>
      </w:r>
      <w:r>
        <w:rPr>
          <w:rStyle w:val="FootnoteAnchor"/>
          <w:rtl w:val="true"/>
        </w:rPr>
        <w:footnoteReference w:id="3395"/>
      </w:r>
      <w:r>
        <w:rPr>
          <w:rFonts w:ascii="Amiri" w:hAnsi="Amiri" w:eastAsia="Amiri" w:cs="Amiri"/>
          <w:color w:val="111111"/>
          <w:sz w:val="28"/>
          <w:sz w:val="28"/>
          <w:szCs w:val="28"/>
          <w:rtl w:val="true"/>
          <w:lang w:bidi="ar-SA"/>
        </w:rPr>
        <w:t xml:space="preserve">الحاكم في ذلك الزمان أو زمان آخر ، والفقيه يستشعر </w:t>
      </w:r>
      <w:r>
        <w:rPr>
          <w:rStyle w:val="FootnoteAnchor"/>
          <w:rtl w:val="true"/>
        </w:rPr>
        <w:footnoteReference w:id="3396"/>
      </w:r>
      <w:r>
        <w:rPr>
          <w:rFonts w:ascii="Amiri" w:hAnsi="Amiri" w:eastAsia="Amiri" w:cs="Amiri"/>
          <w:color w:val="111111"/>
          <w:sz w:val="28"/>
          <w:sz w:val="28"/>
          <w:szCs w:val="28"/>
          <w:rtl w:val="true"/>
          <w:lang w:bidi="ar-SA"/>
        </w:rPr>
        <w:t>بذلك في موارده ، فإنّ ذلك محال على أنظار أرباب النظر وأصحاب البصر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يلزم في التقيّة وجود قول من العامّة على طبق ما يحتمل التقيّة ، أو لا؟ وجهان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البحراني في مقدّمات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خفيّ على ذوي العقول من أهل الإيمان وطالبي الحقّ من ذوي الأذهان ما أصاب بهذا الدين </w:t>
      </w:r>
      <w:r>
        <w:rPr>
          <w:rStyle w:val="FootnoteAnchor"/>
          <w:rtl w:val="true"/>
        </w:rPr>
        <w:footnoteReference w:id="3397"/>
      </w:r>
      <w:r>
        <w:rPr>
          <w:rFonts w:ascii="Amiri" w:hAnsi="Amiri" w:eastAsia="Amiri" w:cs="Amiri"/>
          <w:color w:val="111111"/>
          <w:sz w:val="28"/>
          <w:sz w:val="28"/>
          <w:szCs w:val="28"/>
          <w:rtl w:val="true"/>
          <w:lang w:bidi="ar-SA"/>
        </w:rPr>
        <w:t xml:space="preserve">من أولئك المردة المعاندين بعد موت سيّد المرسلين وغصب الخلافة من وصيّه سيّد الوصيين </w:t>
      </w:r>
      <w:r>
        <w:rPr>
          <w:rStyle w:val="FootnoteAnchor"/>
          <w:rtl w:val="true"/>
        </w:rPr>
        <w:footnoteReference w:id="3398"/>
      </w:r>
      <w:r>
        <w:rPr>
          <w:rFonts w:ascii="Amiri" w:hAnsi="Amiri" w:eastAsia="Amiri" w:cs="Amiri"/>
          <w:color w:val="111111"/>
          <w:sz w:val="28"/>
          <w:sz w:val="28"/>
          <w:szCs w:val="28"/>
          <w:rtl w:val="true"/>
          <w:lang w:bidi="ar-SA"/>
        </w:rPr>
        <w:t xml:space="preserve">، وتواثب أولئك الكفرة عليه وتزايد الأمر شدّة بعد موته صلوات اللّه عليه وما بلغ به </w:t>
      </w:r>
      <w:r>
        <w:rPr>
          <w:rStyle w:val="FootnoteAnchor"/>
          <w:rtl w:val="true"/>
        </w:rPr>
        <w:footnoteReference w:id="3399"/>
      </w:r>
      <w:r>
        <w:rPr>
          <w:rFonts w:ascii="Amiri" w:hAnsi="Amiri" w:eastAsia="Amiri" w:cs="Amiri"/>
          <w:color w:val="111111"/>
          <w:sz w:val="28"/>
          <w:sz w:val="28"/>
          <w:szCs w:val="28"/>
          <w:rtl w:val="true"/>
          <w:lang w:bidi="ar-SA"/>
        </w:rPr>
        <w:t xml:space="preserve">حال الأئمّة عليهم‌السلام من الجلوس في زوايا التقيّة والاصطبار </w:t>
      </w:r>
      <w:r>
        <w:rPr>
          <w:rStyle w:val="FootnoteAnchor"/>
          <w:rtl w:val="true"/>
        </w:rPr>
        <w:footnoteReference w:id="3400"/>
      </w:r>
      <w:r>
        <w:rPr>
          <w:rFonts w:ascii="Amiri" w:hAnsi="Amiri" w:eastAsia="Amiri" w:cs="Amiri"/>
          <w:color w:val="111111"/>
          <w:sz w:val="28"/>
          <w:sz w:val="28"/>
          <w:szCs w:val="28"/>
          <w:rtl w:val="true"/>
          <w:lang w:bidi="ar-SA"/>
        </w:rPr>
        <w:t xml:space="preserve">على كلّ محنة وبليّة ، وحثّ الشيعة على استشعار شعار التقيّة والتديّن بما عليه تلك الفرقة الأموية الغويّة حتّى كوّرت شمس الدين النيّرة وخسفت كواكب </w:t>
      </w:r>
      <w:r>
        <w:rPr>
          <w:rStyle w:val="FootnoteAnchor"/>
          <w:rtl w:val="true"/>
        </w:rPr>
        <w:footnoteReference w:id="3401"/>
      </w:r>
      <w:r>
        <w:rPr>
          <w:rFonts w:ascii="Amiri" w:hAnsi="Amiri" w:eastAsia="Amiri" w:cs="Amiri"/>
          <w:color w:val="111111"/>
          <w:sz w:val="28"/>
          <w:sz w:val="28"/>
          <w:szCs w:val="28"/>
          <w:rtl w:val="true"/>
          <w:lang w:bidi="ar-SA"/>
        </w:rPr>
        <w:t xml:space="preserve">المقمرة ، فلم يعلم من أحكام الدين على اليقين إلاّ القليل ؛ لامتزاج أخبارنا </w:t>
      </w:r>
      <w:r>
        <w:rPr>
          <w:rStyle w:val="FootnoteAnchor"/>
          <w:rtl w:val="true"/>
        </w:rPr>
        <w:footnoteReference w:id="3402"/>
      </w:r>
      <w:r>
        <w:rPr>
          <w:rFonts w:ascii="Amiri" w:hAnsi="Amiri" w:eastAsia="Amiri" w:cs="Amiri"/>
          <w:color w:val="111111"/>
          <w:sz w:val="28"/>
          <w:sz w:val="28"/>
          <w:szCs w:val="28"/>
          <w:rtl w:val="true"/>
          <w:lang w:bidi="ar-SA"/>
        </w:rPr>
        <w:t xml:space="preserve">بأخبار التقيّة كما اعترف بذلك ثقة الإسلام وعلم الأعلام محمّد بن يعقوب الكليني نوّر اللّه مرقده في جامع </w:t>
      </w:r>
      <w:r>
        <w:rPr>
          <w:rStyle w:val="FootnoteAnchor"/>
          <w:rtl w:val="true"/>
        </w:rPr>
        <w:footnoteReference w:id="3403"/>
      </w:r>
      <w:r>
        <w:rPr>
          <w:rFonts w:ascii="Amiri" w:hAnsi="Amiri" w:eastAsia="Amiri" w:cs="Amiri"/>
          <w:color w:val="111111"/>
          <w:sz w:val="28"/>
          <w:sz w:val="28"/>
          <w:szCs w:val="28"/>
          <w:rtl w:val="true"/>
          <w:lang w:bidi="ar-SA"/>
        </w:rPr>
        <w:t xml:space="preserve">الكافى حتّى أنّه قدس‌سره تخطّأ العلم برجحان الرواية </w:t>
      </w:r>
      <w:r>
        <w:rPr>
          <w:rStyle w:val="FootnoteAnchor"/>
          <w:rtl w:val="true"/>
        </w:rPr>
        <w:footnoteReference w:id="3404"/>
      </w:r>
      <w:r>
        <w:rPr>
          <w:rFonts w:ascii="Amiri" w:hAnsi="Amiri" w:eastAsia="Amiri" w:cs="Amiri"/>
          <w:color w:val="111111"/>
          <w:sz w:val="28"/>
          <w:sz w:val="28"/>
          <w:szCs w:val="28"/>
          <w:rtl w:val="true"/>
          <w:lang w:bidi="ar-SA"/>
        </w:rPr>
        <w:t xml:space="preserve">عند تعارض الأخبار والتجأ إلى مجرّد الردّ والتسليم للأئمّة الأبرار ، فصاروا صلوات اللّه عليهم محافظة على أنفسهم وشيعتهم يخالفون بيّن الأحكام وإن لم يحضرهم أحد من أولئك الأنعام ، فتراهم يجيبون في مسألة واحدة أجوبة </w:t>
      </w:r>
      <w:r>
        <w:rPr>
          <w:rStyle w:val="FootnoteAnchor"/>
          <w:rtl w:val="true"/>
        </w:rPr>
        <w:footnoteReference w:id="3405"/>
      </w:r>
      <w:r>
        <w:rPr>
          <w:rFonts w:ascii="Amiri" w:hAnsi="Amiri" w:eastAsia="Amiri" w:cs="Amiri"/>
          <w:color w:val="111111"/>
          <w:sz w:val="28"/>
          <w:sz w:val="28"/>
          <w:szCs w:val="28"/>
          <w:rtl w:val="true"/>
          <w:lang w:bidi="ar-SA"/>
        </w:rPr>
        <w:t xml:space="preserve">متعدّدة وإن لم يكن بها قائل من المخالفين كما هو ظاهر لمن تتبّع قصصهم وأخبارهم واحتدى </w:t>
      </w:r>
      <w:r>
        <w:rPr>
          <w:rStyle w:val="FootnoteAnchor"/>
          <w:rtl w:val="true"/>
        </w:rPr>
        <w:footnoteReference w:id="3406"/>
      </w:r>
      <w:r>
        <w:rPr>
          <w:rFonts w:ascii="Amiri" w:hAnsi="Amiri" w:eastAsia="Amiri" w:cs="Amiri"/>
          <w:color w:val="111111"/>
          <w:sz w:val="28"/>
          <w:sz w:val="28"/>
          <w:szCs w:val="28"/>
          <w:rtl w:val="true"/>
          <w:lang w:bidi="ar-SA"/>
        </w:rPr>
        <w:t xml:space="preserve">سيرهم </w:t>
      </w:r>
      <w:r>
        <w:rPr>
          <w:rStyle w:val="FootnoteAnchor"/>
          <w:rtl w:val="true"/>
        </w:rPr>
        <w:footnoteReference w:id="3407"/>
      </w:r>
      <w:r>
        <w:rPr>
          <w:rFonts w:ascii="Amiri" w:hAnsi="Amiri" w:eastAsia="Amiri" w:cs="Amiri"/>
          <w:color w:val="111111"/>
          <w:sz w:val="28"/>
          <w:sz w:val="28"/>
          <w:szCs w:val="28"/>
          <w:rtl w:val="true"/>
          <w:lang w:bidi="ar-SA"/>
        </w:rPr>
        <w:t xml:space="preserve">وآثارهم ، وحيث إنّ أصحابنا رضوان اللّه عليهم خصّوا الحمل على </w:t>
      </w:r>
    </w:p>
    <w:p>
      <w:pPr>
        <w:pStyle w:val="BookText"/>
        <w:rPr/>
      </w:pPr>
      <w:r>
        <w:rPr>
          <w:rFonts w:ascii="Amiri" w:hAnsi="Amiri" w:eastAsia="Amiri" w:cs="Amiri"/>
          <w:color w:val="111111"/>
          <w:sz w:val="28"/>
          <w:sz w:val="28"/>
          <w:szCs w:val="28"/>
          <w:rtl w:val="true"/>
          <w:lang w:bidi="ar-SA"/>
        </w:rPr>
        <w:t xml:space="preserve">التقيّة بوجود قائل من العامّة وهو خلاف ما أدّى إليه الفهم الكليل والفكر العليل من أخبارهم رأينا أن نبسط الكلام بذكر جملة من الأخبار الدالّة على ذلك لئلاّ يرمينا </w:t>
      </w:r>
      <w:r>
        <w:rPr>
          <w:rStyle w:val="FootnoteAnchor"/>
          <w:rtl w:val="true"/>
        </w:rPr>
        <w:footnoteReference w:id="3408"/>
      </w:r>
      <w:r>
        <w:rPr>
          <w:rFonts w:ascii="Amiri" w:hAnsi="Amiri" w:eastAsia="Amiri" w:cs="Amiri"/>
          <w:color w:val="111111"/>
          <w:sz w:val="28"/>
          <w:sz w:val="28"/>
          <w:szCs w:val="28"/>
          <w:rtl w:val="true"/>
          <w:lang w:bidi="ar-SA"/>
        </w:rPr>
        <w:t xml:space="preserve">الناظر إلى مخالفة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وينسبنا إلى الضلال والتضليل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بذكر الأخبار المشعرة بذلك ناقلا ما ذكره من المحدّث الأمين أيضا وذكر في عدادها ما رواه في الكافى في الموثّق عن زرارة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مسألة فأجابني فيها ، ثمّ جاءه رجل آخر </w:t>
      </w:r>
      <w:r>
        <w:rPr>
          <w:rStyle w:val="FootnoteAnchor"/>
          <w:rtl w:val="true"/>
        </w:rPr>
        <w:footnoteReference w:id="3409"/>
      </w:r>
      <w:r>
        <w:rPr>
          <w:rFonts w:ascii="Amiri" w:hAnsi="Amiri" w:eastAsia="Amiri" w:cs="Amiri"/>
          <w:color w:val="111111"/>
          <w:sz w:val="28"/>
          <w:sz w:val="28"/>
          <w:szCs w:val="28"/>
          <w:rtl w:val="true"/>
          <w:lang w:bidi="ar-SA"/>
        </w:rPr>
        <w:t xml:space="preserve">فسأله عنها فأجابه بخلاف ما أجابني ، ثمّ جاء </w:t>
      </w:r>
      <w:r>
        <w:rPr>
          <w:rStyle w:val="FootnoteAnchor"/>
          <w:rtl w:val="true"/>
        </w:rPr>
        <w:footnoteReference w:id="3410"/>
      </w:r>
      <w:r>
        <w:rPr>
          <w:rFonts w:ascii="Amiri" w:hAnsi="Amiri" w:eastAsia="Amiri" w:cs="Amiri"/>
          <w:color w:val="111111"/>
          <w:sz w:val="28"/>
          <w:sz w:val="28"/>
          <w:szCs w:val="28"/>
          <w:rtl w:val="true"/>
          <w:lang w:bidi="ar-SA"/>
        </w:rPr>
        <w:t xml:space="preserve">رجل آخر فأجابه بخلاف ما أجابني وأجاب صاحبي ، فلمّا خرج الرجلان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من شيعتكم قدما يسألان فأجبت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ما أجبت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إنّ هذا خير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وأبقى لنا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Style w:val="FootnoteAnchor"/>
          <w:rtl w:val="true"/>
        </w:rPr>
        <w:footnoteReference w:id="3411"/>
      </w:r>
      <w:r>
        <w:rPr>
          <w:rFonts w:ascii="Amiri" w:hAnsi="Amiri" w:eastAsia="Amiri" w:cs="Amiri"/>
          <w:color w:val="111111"/>
          <w:sz w:val="28"/>
          <w:sz w:val="28"/>
          <w:szCs w:val="28"/>
          <w:rtl w:val="true"/>
          <w:lang w:bidi="ar-SA"/>
        </w:rPr>
        <w:t xml:space="preserve">اجتمعتم على أمر واحد لصدّقكم الناس علينا ولكان أقلّ لبقائنا وبقائكم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شيعتكم لو حملتموهم على الأسنّة أو على النار لمضوا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يخرجون من عندكم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بمثل جواب أبيه </w:t>
      </w:r>
      <w:r>
        <w:rPr>
          <w:rStyle w:val="FootnoteAnchor"/>
          <w:rtl w:val="true"/>
        </w:rPr>
        <w:footnoteReference w:id="3412"/>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توجيه دلالة الرواية على ما هو مطلوبه وذكر طرف من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ولعلّك بمعرفة </w:t>
      </w:r>
      <w:r>
        <w:rPr>
          <w:rStyle w:val="FootnoteAnchor"/>
          <w:rtl w:val="true"/>
        </w:rPr>
        <w:footnoteReference w:id="3413"/>
      </w:r>
      <w:r>
        <w:rPr>
          <w:rFonts w:ascii="Amiri" w:hAnsi="Amiri" w:eastAsia="Amiri" w:cs="Amiri"/>
          <w:color w:val="111111"/>
          <w:sz w:val="28"/>
          <w:sz w:val="28"/>
          <w:szCs w:val="28"/>
          <w:rtl w:val="true"/>
          <w:lang w:bidi="ar-SA"/>
        </w:rPr>
        <w:t xml:space="preserve">ذلك تعلم أنّ الترجيح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العرض على الكتاب العزيز من أقوى المرجّحات ، فإنّ جلّ الاختلاف الواقع في أخبارنا ، بل كلّه عند التأمّل والتحقيق ناش </w:t>
      </w:r>
      <w:r>
        <w:rPr>
          <w:rStyle w:val="FootnoteAnchor"/>
          <w:rtl w:val="true"/>
        </w:rPr>
        <w:footnoteReference w:id="3414"/>
      </w:r>
      <w:r>
        <w:rPr>
          <w:rFonts w:ascii="Amiri" w:hAnsi="Amiri" w:eastAsia="Amiri" w:cs="Amiri"/>
          <w:color w:val="111111"/>
          <w:sz w:val="28"/>
          <w:sz w:val="28"/>
          <w:szCs w:val="28"/>
          <w:rtl w:val="true"/>
          <w:lang w:bidi="ar-SA"/>
        </w:rPr>
        <w:t xml:space="preserve">عن التقيّة </w:t>
      </w:r>
      <w:r>
        <w:rPr>
          <w:rStyle w:val="FootnoteAnchor"/>
          <w:rtl w:val="true"/>
        </w:rPr>
        <w:footnoteReference w:id="3415"/>
      </w:r>
      <w:r>
        <w:rPr>
          <w:rFonts w:ascii="Amiri" w:hAnsi="Amiri" w:eastAsia="Amiri" w:cs="Amiri"/>
          <w:color w:val="111111"/>
          <w:sz w:val="28"/>
          <w:sz w:val="28"/>
          <w:szCs w:val="28"/>
          <w:rtl w:val="true"/>
          <w:lang w:bidi="ar-SA"/>
        </w:rPr>
        <w:t xml:space="preserve">، انتهى موضع الحاجة من كلامه ، وهو كما </w:t>
      </w:r>
    </w:p>
    <w:p>
      <w:pPr>
        <w:pStyle w:val="BookText"/>
        <w:rPr/>
      </w:pPr>
      <w:r>
        <w:rPr>
          <w:rFonts w:ascii="Amiri" w:hAnsi="Amiri" w:eastAsia="Amiri" w:cs="Amiri"/>
          <w:color w:val="111111"/>
          <w:sz w:val="28"/>
          <w:sz w:val="28"/>
          <w:szCs w:val="28"/>
          <w:rtl w:val="true"/>
          <w:lang w:bidi="ar-SA"/>
        </w:rPr>
        <w:t>ترى صريح في أنّ الحمل على التقيّة لا يستلزم وجود قول من العامّة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الوحيد البهبهاني في فوائده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إذا لم يكن موافقا لمذهب العامّة يكون رشدا وصوابا ؛ لأنّ الرشد في خلافهم إذا المراد هو الرشد الواقعي مع قطع النظر عن وقوع الفعل من جهة التقيّة ، وإلاّ فهذه الجهة قد تعرض </w:t>
      </w:r>
      <w:r>
        <w:rPr>
          <w:rStyle w:val="FootnoteAnchor"/>
          <w:rtl w:val="true"/>
        </w:rPr>
        <w:footnoteReference w:id="3416"/>
      </w:r>
      <w:r>
        <w:rPr>
          <w:rFonts w:ascii="Amiri" w:hAnsi="Amiri" w:eastAsia="Amiri" w:cs="Amiri"/>
          <w:color w:val="111111"/>
          <w:sz w:val="28"/>
          <w:sz w:val="28"/>
          <w:szCs w:val="28"/>
          <w:rtl w:val="true"/>
          <w:lang w:bidi="ar-SA"/>
        </w:rPr>
        <w:t>لمذهب من مذاهب العامّة فيصير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يصلح وجها للتقيّة ؛ لأنّ القول بخلاف ما ذهب إليه العامّة ولو واحدا أدخل في وقوع الأذى منهم على الشيعة فإنّهم كانوا يتّهمونهم بأمور جزئية فكيف بالقول بما هو خلاف الكلّ منهم؟</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التقيّة اعتبرت لأجل ترجيح الخبر الذي هو الحقّ على الذي هو ليس بحقّ ورشد على ما يظهر من الأخبار وهذا ينافي ما ذكر قطعا </w:t>
      </w:r>
      <w:r>
        <w:rPr>
          <w:rStyle w:val="FootnoteAnchor"/>
          <w:rtl w:val="true"/>
        </w:rPr>
        <w:footnoteReference w:id="3417"/>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المحدّث المذكور إنّما قال بذلك روما إلى أنّ وجه الاختلاف بين الأخبار لا ينحصر في التقيّة بالمعنى المعهود بين الأصحاب ، بل يمكن أن يكون التقيّة على هذا الوجه ولم يرد بذلك أنّ التقيّة على هذا الوجه تنهض مرجّحة للخبر ، وإنّما ساق الكلام في ذلك المقام لا في مقام الترجيح ، نعم قد نبّه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بذلك الترجيح بمثل هذه التقيّة كما يشعر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أقوى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أن يكون هذه التقيّة من المرجّحات ، كيف والخبران متساويان في هذا الاحتمال؟ كما اعترضه المحقّق البهبهاني ، إلاّ أنّ الظاهر منه في تضاعيف كلماته في الموارد الفقهية عدم الاعتداد بمثل هذه التقيّة في مقام الترجيح ، فالإنصاف أنّ مقصوده ما عرفت من إبداء وجه الاختلاف بين الأخبار ، وإنّما رام بذلك إبطال تقسيم الأخبار عند المتأخّرين من أصحابنا إلى الأقسام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فلا يرد عليه شيء من الوجوه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فلاختصاص </w:t>
      </w:r>
      <w:r>
        <w:rPr>
          <w:rStyle w:val="FootnoteAnchor"/>
          <w:rtl w:val="true"/>
        </w:rPr>
        <w:footnoteReference w:id="3418"/>
      </w:r>
      <w:r>
        <w:rPr>
          <w:rFonts w:ascii="Amiri" w:hAnsi="Amiri" w:eastAsia="Amiri" w:cs="Amiri"/>
          <w:color w:val="111111"/>
          <w:sz w:val="28"/>
          <w:sz w:val="28"/>
          <w:szCs w:val="28"/>
          <w:rtl w:val="true"/>
          <w:lang w:bidi="ar-SA"/>
        </w:rPr>
        <w:t>كون الرشد في خلافهم بصورة التعارض ، وعلى إشكال في ذلك أيضا ؛ إذ الأخذ بعمومه ربّما يخالف الإجماع ، 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أهل البيت أدرى بما في البيت ، فلعلّ المقام يقضي بالتقيّة على ذلك الوجه ولا دليل يقضي بامتناعه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المقصود بذلك ليس إلاّ بيان وجه الاختلاف كما هو الإنصاف ، فراجعه متدبّرا ، وما ذكره من وجه الاختلاف ليس بذلك البعيد أيضا ، ويكشف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أنّا لا نقول إلاّ حقّا فليكتف بما يعلم منّا ، فإن سمع منّا خلاف ما يعلم فليعلم أنّ ذلك دفاع منّا عنه </w:t>
      </w:r>
      <w:r>
        <w:rPr>
          <w:rFonts w:eastAsia="Amiri" w:cs="Amiri" w:ascii="Amiri" w:hAnsi="Amiri"/>
          <w:color w:val="111111"/>
          <w:sz w:val="28"/>
          <w:szCs w:val="28"/>
          <w:rtl w:val="true"/>
          <w:lang w:bidi="ar-SA"/>
        </w:rPr>
        <w:t xml:space="preserve">» </w:t>
      </w:r>
      <w:r>
        <w:rPr>
          <w:rStyle w:val="FootnoteAnchor"/>
          <w:rtl w:val="true"/>
        </w:rPr>
        <w:footnoteReference w:id="3419"/>
      </w:r>
      <w:r>
        <w:rPr>
          <w:rFonts w:ascii="Amiri" w:hAnsi="Amiri" w:eastAsia="Amiri" w:cs="Amiri"/>
          <w:color w:val="111111"/>
          <w:sz w:val="28"/>
          <w:sz w:val="28"/>
          <w:szCs w:val="28"/>
          <w:rtl w:val="true"/>
          <w:lang w:bidi="ar-SA"/>
        </w:rPr>
        <w:t xml:space="preserve">ويحتمل أن يكون الأخبار التي يتراءى اختلافها بحسب أنظارنا واقعة على وجه من الوجوه المحتملة في الواقع إلاّ أنّها خفيت </w:t>
      </w:r>
      <w:r>
        <w:rPr>
          <w:rStyle w:val="FootnoteAnchor"/>
          <w:rtl w:val="true"/>
        </w:rPr>
        <w:footnoteReference w:id="3420"/>
      </w:r>
      <w:r>
        <w:rPr>
          <w:rFonts w:ascii="Amiri" w:hAnsi="Amiri" w:eastAsia="Amiri" w:cs="Amiri"/>
          <w:color w:val="111111"/>
          <w:sz w:val="28"/>
          <w:sz w:val="28"/>
          <w:szCs w:val="28"/>
          <w:rtl w:val="true"/>
          <w:lang w:bidi="ar-SA"/>
        </w:rPr>
        <w:t xml:space="preserve">علينا لقصورنا عن الإحاطة بجميع وجوه الواقع </w:t>
      </w:r>
      <w:r>
        <w:rPr>
          <w:rStyle w:val="FootnoteAnchor"/>
          <w:rtl w:val="true"/>
        </w:rPr>
        <w:footnoteReference w:id="3421"/>
      </w:r>
      <w:r>
        <w:rPr>
          <w:rFonts w:ascii="Amiri" w:hAnsi="Amiri" w:eastAsia="Amiri" w:cs="Amiri"/>
          <w:color w:val="111111"/>
          <w:sz w:val="28"/>
          <w:sz w:val="28"/>
          <w:szCs w:val="28"/>
          <w:rtl w:val="true"/>
          <w:lang w:bidi="ar-SA"/>
        </w:rPr>
        <w:t xml:space="preserve">وأنحاء نفس الأمر ، ويؤيّد ذلك ما قد روي عنهم من النهي عن إنكار ما قد ينسب إليهم عليهم‌السلام صونا عن وقوعنا في الكفر من حيث لا نشعر ، ومن هنا أفتى بعضهم بحرمة الإنكار عند سماع الخبر والرواية ، ويستعلم ذلك من بعض التعليلات الواردة في الروايات القاصرة عنها عقولنا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الماء ربّ التراب </w:t>
      </w:r>
      <w:r>
        <w:rPr>
          <w:rFonts w:eastAsia="Amiri" w:cs="Amiri" w:ascii="Amiri" w:hAnsi="Amiri"/>
          <w:color w:val="111111"/>
          <w:sz w:val="28"/>
          <w:szCs w:val="28"/>
          <w:rtl w:val="true"/>
          <w:lang w:bidi="ar-SA"/>
        </w:rPr>
        <w:t xml:space="preserve">» </w:t>
      </w:r>
      <w:r>
        <w:rPr>
          <w:rStyle w:val="FootnoteAnchor"/>
          <w:rtl w:val="true"/>
        </w:rPr>
        <w:footnoteReference w:id="3422"/>
      </w:r>
      <w:r>
        <w:rPr>
          <w:rFonts w:ascii="Amiri" w:hAnsi="Amiri" w:eastAsia="Amiri" w:cs="Amiri"/>
          <w:color w:val="111111"/>
          <w:sz w:val="28"/>
          <w:sz w:val="28"/>
          <w:szCs w:val="28"/>
          <w:rtl w:val="true"/>
          <w:lang w:bidi="ar-SA"/>
        </w:rPr>
        <w:t xml:space="preserve">وممّا روي </w:t>
      </w:r>
      <w:r>
        <w:rPr>
          <w:rStyle w:val="FootnoteAnchor"/>
          <w:rtl w:val="true"/>
        </w:rPr>
        <w:footnoteReference w:id="3423"/>
      </w:r>
      <w:r>
        <w:rPr>
          <w:rFonts w:ascii="IRNazanin" w:hAnsi="IRNazanin" w:eastAsia="IRNazanin"/>
          <w:color w:val="111111"/>
          <w:sz w:val="28"/>
          <w:sz w:val="28"/>
          <w:szCs w:val="28"/>
          <w:rtl w:val="true"/>
          <w:lang w:bidi="fa-IR"/>
        </w:rPr>
        <w:t xml:space="preserve">أنّ بعض أهل العراق سألهم </w:t>
      </w:r>
      <w:r>
        <w:rPr>
          <w:rStyle w:val="FootnoteAnchor"/>
          <w:rtl w:val="true"/>
        </w:rPr>
        <w:footnoteReference w:id="3424"/>
      </w:r>
      <w:r>
        <w:rPr>
          <w:rFonts w:ascii="Amiri" w:hAnsi="Amiri" w:eastAsia="Amiri" w:cs="Amiri"/>
          <w:color w:val="111111"/>
          <w:sz w:val="28"/>
          <w:sz w:val="28"/>
          <w:szCs w:val="28"/>
          <w:rtl w:val="true"/>
          <w:lang w:bidi="ar-SA"/>
        </w:rPr>
        <w:t xml:space="preserve">أنّه كم آية يقرأ في الزوال؟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يعد السائل سؤاله في توضيحه وانصرف ، فقال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يظنّ أنّه من أهل الإدراك مع أنّه لم يستفسر عمّا قلت له من وجوبه وندبه وسائر كيفياته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له </w:t>
      </w:r>
      <w:r>
        <w:rPr>
          <w:rStyle w:val="FootnoteAnchor"/>
          <w:rtl w:val="true"/>
        </w:rPr>
        <w:footnoteReference w:id="3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بذلك وما هذه الآيات؟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منها ما يقرأ في نافلة الزوال فإنّ الحمد والتوحيد لا يزيدان على عشرة وهي ثمان ركعات </w:t>
      </w:r>
      <w:r>
        <w:rPr>
          <w:rStyle w:val="FootnoteAnchor"/>
          <w:rtl w:val="true"/>
        </w:rPr>
        <w:footnoteReference w:id="3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w:t>
      </w:r>
      <w:r>
        <w:rPr>
          <w:rStyle w:val="FootnoteAnchor"/>
          <w:rtl w:val="true"/>
        </w:rPr>
        <w:footnoteReference w:id="3427"/>
      </w:r>
      <w:r>
        <w:rPr>
          <w:rFonts w:ascii="Amiri" w:hAnsi="Amiri" w:eastAsia="Amiri" w:cs="Amiri"/>
          <w:color w:val="111111"/>
          <w:sz w:val="28"/>
          <w:sz w:val="28"/>
          <w:szCs w:val="28"/>
          <w:rtl w:val="true"/>
          <w:lang w:bidi="ar-SA"/>
        </w:rPr>
        <w:t>من حكمهم بوجوب الوتر ، ثمّ التفسير بوجوبه على النبيّ ، إلى غير ذلك من الموارد ، وكيف كان فهذه أحد الوجوه المحتملة في الجمع بين الأخبار المختلفة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ظاهر المقبولة المشتملة على هذه المرجّحات تقديم الترجيح بمخالفة الكتاب على موافقة العامّة وهو محمول على ما إذا كان الخبر المخالف للكتاب مباينا </w:t>
      </w:r>
      <w:r>
        <w:rPr>
          <w:rStyle w:val="FootnoteAnchor"/>
          <w:rtl w:val="true"/>
        </w:rPr>
        <w:footnoteReference w:id="3428"/>
      </w:r>
      <w:r>
        <w:rPr>
          <w:rFonts w:ascii="Amiri" w:hAnsi="Amiri" w:eastAsia="Amiri" w:cs="Amiri"/>
          <w:color w:val="111111"/>
          <w:sz w:val="28"/>
          <w:sz w:val="28"/>
          <w:szCs w:val="28"/>
          <w:rtl w:val="true"/>
          <w:lang w:bidi="ar-SA"/>
        </w:rPr>
        <w:t xml:space="preserve">، مثل ما رواه القطب الراوندي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عليكم حديثان مختلفان فاعرضوهما على كتاب اللّه ، فما وافق كتاب اللّه فخذوه ، وما خالف كتاب اللّه فردّوه </w:t>
      </w:r>
      <w:r>
        <w:rPr>
          <w:rStyle w:val="FootnoteAnchor"/>
          <w:rtl w:val="true"/>
        </w:rPr>
        <w:footnoteReference w:id="3429"/>
      </w:r>
      <w:r>
        <w:rPr>
          <w:rFonts w:ascii="Amiri" w:hAnsi="Amiri" w:eastAsia="Amiri" w:cs="Amiri"/>
          <w:color w:val="111111"/>
          <w:sz w:val="28"/>
          <w:sz w:val="28"/>
          <w:szCs w:val="28"/>
          <w:rtl w:val="true"/>
          <w:lang w:bidi="ar-SA"/>
        </w:rPr>
        <w:t xml:space="preserve">، وإن لم تجدوهما في كتاب اللّه فاعرضوهما على أخبار العامّة ، فما وافق أخبارهم فذروه ، وما خالف أخبارهم فخذوه </w:t>
      </w:r>
      <w:r>
        <w:rPr>
          <w:rFonts w:eastAsia="Amiri" w:cs="Amiri" w:ascii="Amiri" w:hAnsi="Amiri"/>
          <w:color w:val="111111"/>
          <w:sz w:val="28"/>
          <w:szCs w:val="28"/>
          <w:rtl w:val="true"/>
          <w:lang w:bidi="ar-SA"/>
        </w:rPr>
        <w:t xml:space="preserve">» </w:t>
      </w:r>
      <w:r>
        <w:rPr>
          <w:rStyle w:val="FootnoteAnchor"/>
          <w:rtl w:val="true"/>
        </w:rPr>
        <w:footnoteReference w:id="3430"/>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الحمل أنّ بعد القول بحجّية الأخبار الظنّية فعلى تقدير أن يكون الخبر خاصّا يجوز تخصيص الكتاب به ، فلو فرضنا أنّ أحد الخبرين المتعارضين يكون مخالفا للعامّة مع كونه أخصّ من الكتاب فيترجّح على الآخر وينهض مخصّصا بعموم الكتاب ؛ لأنّ العمل بأصالة الحقيقة في الكتاب إنّما يصحّ فيما لم يوجد ما يصلح لأن يكون قرينة والمفروض وجود ذلك ، وأمّا إذا كان الاختلاف بين الكتاب وبين الخبر المخالف على وجه العموم والخصوص من وجه ، فإن قلنا برجوع التعارض فيهما إلى السند فمن المعلوم لزوم طرح المخالف بعد مقاومته للكتاب حينئذ ، وإن قلنا برجوعه إلى الدلالة فيعاضد الدلالتان ويرتفع بذلك الخبر المخالف أيضا ، فلا وجه </w:t>
      </w:r>
    </w:p>
    <w:p>
      <w:pPr>
        <w:pStyle w:val="BookText"/>
        <w:rPr/>
      </w:pPr>
      <w:r>
        <w:rPr>
          <w:rFonts w:ascii="Amiri" w:hAnsi="Amiri" w:eastAsia="Amiri" w:cs="Amiri"/>
          <w:color w:val="111111"/>
          <w:sz w:val="28"/>
          <w:sz w:val="28"/>
          <w:szCs w:val="28"/>
          <w:rtl w:val="true"/>
          <w:lang w:bidi="ar-SA"/>
        </w:rPr>
        <w:t xml:space="preserve">لتقديم العلاج الكتابي على العلاج بالمخالفة مطلقا ، وإنّما يصحّ ذلك فيما عرفت </w:t>
      </w:r>
      <w:r>
        <w:rPr>
          <w:rStyle w:val="FootnoteAnchor"/>
          <w:rtl w:val="true"/>
        </w:rPr>
        <w:footnoteReference w:id="3431"/>
      </w:r>
      <w:r>
        <w:rPr>
          <w:rFonts w:ascii="Amiri" w:hAnsi="Amiri" w:eastAsia="Amiri" w:cs="Amiri"/>
          <w:color w:val="111111"/>
          <w:sz w:val="28"/>
          <w:sz w:val="28"/>
          <w:szCs w:val="28"/>
          <w:rtl w:val="true"/>
          <w:lang w:bidi="ar-SA"/>
        </w:rPr>
        <w:t>من المباينة والعموم من وجه ، كما لا وجه لتقديم العلاج بالمخالفة على العلاج بالكتاب مطلقا ، وإنّما يصحّ فيما إذا كان الخبر أخصّ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المرجّحات المذكورة في المقبولة قوله عليه‌السلام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هم إليه أميل حكّامهم وقضاتهم فيترك ويؤخذ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وافقهما 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موافقة الخبرين للعامّة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بعضهم موافقا لأحد الخبرين وبعض الآخر منهم للآخر وهو الظاهر من السياق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واحد من الخبرين موافقا لجميعهم بأن يكون حكم الواقعة عندهم هو التخيير بين حكمين </w:t>
      </w:r>
      <w:r>
        <w:rPr>
          <w:rStyle w:val="FootnoteAnchor"/>
          <w:rtl w:val="true"/>
        </w:rPr>
        <w:footnoteReference w:id="3432"/>
      </w:r>
      <w:r>
        <w:rPr>
          <w:rFonts w:ascii="Amiri" w:hAnsi="Amiri" w:eastAsia="Amiri" w:cs="Amiri"/>
          <w:color w:val="111111"/>
          <w:sz w:val="28"/>
          <w:sz w:val="28"/>
          <w:szCs w:val="28"/>
          <w:rtl w:val="true"/>
          <w:lang w:bidi="ar-SA"/>
        </w:rPr>
        <w:t>يستفاد أحدهما من أحدهما والآخر من الآخر</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أميل إليه قضاتهم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يحتمل بعد ما ذكرنا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باسم التفضيل ما هو المعهود منه من إفادته كثرة الفعل وشدّته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به كثرة المائلين لا شدّة الميل على ضرب من التأويل ، وهذا الوجه يلائم الوجه الأوّل من الموافقة فإنّ كثرة الميل بعد اختلاف المدارك بعيد ، سيّما بعد ملاحظة اختلاف مذاهب القضاة ، فإنّ الكلام فيمن هو المرجع عندهم في الأحكام الشرعية فقضاة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بعد أخذهم مذهب الشافعي كثرة ميلهم إلى ما ذهب إليه أبو حنيفة ، فلا بدّ من الحمل على كثرة المائلين ، نعم يصحّ ذلك على الوجه الثاني ؛ إذ بعد ما هو المفروض من أنّ حكم الواقعة عندهم التخيير فيمكن كثرة ميل قضاتهم إلى طرف من أطراف التخيير ، و </w:t>
      </w:r>
      <w:r>
        <w:rPr>
          <w:rStyle w:val="FootnoteAnchor"/>
          <w:rtl w:val="true"/>
        </w:rPr>
        <w:footnoteReference w:id="3433"/>
      </w:r>
      <w:r>
        <w:rPr>
          <w:rFonts w:ascii="Amiri" w:hAnsi="Amiri" w:eastAsia="Amiri" w:cs="Amiri"/>
          <w:color w:val="111111"/>
          <w:sz w:val="28"/>
          <w:sz w:val="28"/>
          <w:szCs w:val="28"/>
          <w:rtl w:val="true"/>
          <w:lang w:bidi="ar-SA"/>
        </w:rPr>
        <w:t xml:space="preserve">هذا وإن كان مناسبا لظاهر لفظ العامّة فإنّه ظاهر في الجميع وملائما </w:t>
      </w:r>
      <w:r>
        <w:rPr>
          <w:rStyle w:val="FootnoteAnchor"/>
          <w:rtl w:val="true"/>
        </w:rPr>
        <w:footnoteReference w:id="3434"/>
      </w:r>
      <w:r>
        <w:rPr>
          <w:rFonts w:ascii="Amiri" w:hAnsi="Amiri" w:eastAsia="Amiri" w:cs="Amiri"/>
          <w:color w:val="111111"/>
          <w:sz w:val="28"/>
          <w:sz w:val="28"/>
          <w:szCs w:val="28"/>
          <w:rtl w:val="true"/>
          <w:lang w:bidi="ar-SA"/>
        </w:rPr>
        <w:t>لاسم التفضيل إلاّ أنّه بعيد عن السياق كما عرفت ، كذا أفيد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بالموافقة هو موافقة البعض ، ومع ذلك فلا ينافي كثرة ميلهم إلى طرف ؛ إذ ليس بناؤهم على إصابة الواقع على ما هو عليه ، نعم لو فرض انحصار المطلوب في إصابة الواقع فبعد اختلاف المدارك لا وجه لكثرة الميل ، وأمّا بعد ما هو المعهود منهم من التخلّف عن العترة الطاهرة والأخذ بمشتهيات نفوسهم القاصرة فلا استبعاد في كثرة الميل إلى طرف من أطراف المسألة الخلافية كما هو ديدنهم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محصّل المراد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وافق الخبران العامّة بأن يكون أحدهما موافقا لبعضهم والآخر لبعض آخر فينظر إلى </w:t>
      </w:r>
      <w:r>
        <w:rPr>
          <w:rStyle w:val="FootnoteAnchor"/>
          <w:rtl w:val="true"/>
        </w:rPr>
        <w:footnoteReference w:id="3435"/>
      </w:r>
      <w:r>
        <w:rPr>
          <w:rFonts w:ascii="Amiri" w:hAnsi="Amiri" w:eastAsia="Amiri" w:cs="Amiri"/>
          <w:color w:val="111111"/>
          <w:sz w:val="28"/>
          <w:sz w:val="28"/>
          <w:szCs w:val="28"/>
          <w:rtl w:val="true"/>
          <w:lang w:bidi="ar-SA"/>
        </w:rPr>
        <w:t>كثرة ميل أكابر قضاتهم وسلاطينهم إلى أحدهما فيترك ويؤخذ بالآخر ، ولا حزازة في ذلك إلاّ بواسطة تقدير مضاف للقضاة ، ولا بأس به بعد مساعدة السياق عليه وذلك يستقيم وجها للأخذ بالآخر ، فيكون الرواية الشريفة إشارة إلى اغتشاش أمورهم في الفتوى والقضاء ونحو ذلك ، وكم من إشارة مثلها في أخبار أهل البيت ، عليهم من الصلاة أفضلها ومن السلام أزكاه وأنماه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الترجيح بهذا المرجّح ممّا لا ينبغي الارتياب فيه فإنّه على منار من الوضوح ، والذي ينبغي أن ينظر فيه هو أنّه لو فرضنا تعارض الترجيح الصدوري لترجيح جهة الصدور فهل المقدّم في العمل أيّهما؟ مثلا لو دار الأمر بين روايتين ، إحداهما مخالفة للعامّة ، والأخرى راويها أعدل </w:t>
      </w:r>
      <w:r>
        <w:rPr>
          <w:rStyle w:val="FootnoteAnchor"/>
          <w:rtl w:val="true"/>
        </w:rPr>
        <w:footnoteReference w:id="3436"/>
      </w:r>
      <w:r>
        <w:rPr>
          <w:rFonts w:ascii="Amiri" w:hAnsi="Amiri" w:eastAsia="Amiri" w:cs="Amiri"/>
          <w:color w:val="111111"/>
          <w:sz w:val="28"/>
          <w:sz w:val="28"/>
          <w:szCs w:val="28"/>
          <w:rtl w:val="true"/>
          <w:lang w:bidi="ar-SA"/>
        </w:rPr>
        <w:t xml:space="preserve">، فهل يجب الأخذ بالمخالفة ، أو يجب الأخذ بالأعدلية؟ ظاهر المقبولة والمرفوعة المتقدّمين هو الأوّل ؛ لاعتبار الترجيح بالأعدلية فيهما مقدّما على الترجيح بالمخالفة ، إلاّ أنّ قضيّة القاعدة هو الثاني ؛ لدوران الأمر بين ارتفاع اليد عن عموم الدليل الدالّ على الحجّية بواسطة الأخذ بالترجيح الصدوري إذ يستلزم ذلك خروج الآخر عن عموم الدليل ، وبين ارتفاع اليد عن أصالة عدم التقيّة ، ولا ريب أنّ الثاني أهون فإنّ العمل بتلك الأصالة وإن كان بواسطة الدليل الدالّ عليها إلاّ أنّ التصرّف فيها لا يوجب التصرّف في أمر لفظي ، فالأخذ بمرجّح جهة الصدور </w:t>
      </w:r>
    </w:p>
    <w:p>
      <w:pPr>
        <w:pStyle w:val="BookText"/>
        <w:rPr/>
      </w:pPr>
      <w:r>
        <w:rPr>
          <w:rFonts w:ascii="Amiri" w:hAnsi="Amiri" w:eastAsia="Amiri" w:cs="Amiri"/>
          <w:color w:val="111111"/>
          <w:sz w:val="28"/>
          <w:sz w:val="28"/>
          <w:szCs w:val="28"/>
          <w:rtl w:val="true"/>
          <w:lang w:bidi="ar-SA"/>
        </w:rPr>
        <w:t>أولى ، ويحتمل القول بعدم الفرق ؛ إذ الأخذ بمرجّح الصدور لا يفيد في الأخذ بعموم الدليل ؛ إذ المفروض كونه متروك العمل بعد حمله على التقيّة ، وليس بسديد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الأخذ بمرجّح الصدور أيضا لا يستلزم التصرّف في دليل الحجّية فإنّ الحجّية في مقام النوع لا تنافي </w:t>
      </w:r>
      <w:r>
        <w:rPr>
          <w:rStyle w:val="FootnoteAnchor"/>
          <w:rtl w:val="true"/>
        </w:rPr>
        <w:footnoteReference w:id="3437"/>
      </w:r>
      <w:r>
        <w:rPr>
          <w:rFonts w:ascii="Amiri" w:hAnsi="Amiri" w:eastAsia="Amiri" w:cs="Amiri"/>
          <w:color w:val="111111"/>
          <w:sz w:val="28"/>
          <w:sz w:val="28"/>
          <w:szCs w:val="28"/>
          <w:rtl w:val="true"/>
          <w:lang w:bidi="ar-SA"/>
        </w:rPr>
        <w:t xml:space="preserve">عدم اعتبار فرد منه في مقابل الفرد المقارن للمرجّح ، بل عنوان الترجيح قاض بذلك أيضا ، سيّما على ما قدّمنا من أنّ القاعدة تقضي بالتخيير بين الخبرين عند فقد الترجيح بينهما فإنّ ذلك بمنزلة تزاحم الحقوق ، ولا ريب في أنّ حصول الترجيح لأحد الواجبين لا يوجب التصرّف في دليل الوجوب كما نبّهناك عليه ، فتدبّر ، وجه التدبّر أنّ </w:t>
      </w:r>
      <w:r>
        <w:rPr>
          <w:rStyle w:val="FootnoteAnchor"/>
          <w:rtl w:val="true"/>
        </w:rPr>
        <w:footnoteReference w:id="3438"/>
      </w:r>
    </w:p>
    <w:p>
      <w:pPr>
        <w:pStyle w:val="BookText"/>
        <w:rPr/>
      </w:pPr>
      <w:r>
        <w:rPr>
          <w:rFonts w:ascii="Amiri" w:hAnsi="Amiri" w:eastAsia="Amiri" w:cs="Amiri"/>
          <w:color w:val="111111"/>
          <w:sz w:val="28"/>
          <w:sz w:val="28"/>
          <w:szCs w:val="28"/>
          <w:rtl w:val="true"/>
          <w:lang w:bidi="ar-SA"/>
        </w:rPr>
        <w:t xml:space="preserve">وورد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في الدليل لازم بوجه من الوجوه ولو بواسطة التقييد بالإمكان على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أخبار تدلّ على تقديم المرجّح المعمول في جهة الصدور على مرجّح الصدور ، والظاهر أنّ عملهم أيضا على ذلك كما يظهر بالتتبّع في مطاوي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الطبرسي في الاحتجاج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واحد يأمرنا بالعمل </w:t>
      </w:r>
      <w:r>
        <w:rPr>
          <w:rStyle w:val="FootnoteAnchor"/>
          <w:rtl w:val="true"/>
        </w:rPr>
        <w:footnoteReference w:id="3439"/>
      </w:r>
      <w:r>
        <w:rPr>
          <w:rFonts w:ascii="Amiri" w:hAnsi="Amiri" w:eastAsia="Amiri" w:cs="Amiri"/>
          <w:color w:val="111111"/>
          <w:sz w:val="28"/>
          <w:sz w:val="28"/>
          <w:szCs w:val="28"/>
          <w:rtl w:val="true"/>
          <w:lang w:bidi="ar-SA"/>
        </w:rPr>
        <w:t xml:space="preserve">والآخر ينهانا عن العمل </w:t>
      </w:r>
      <w:r>
        <w:rPr>
          <w:rStyle w:val="FootnoteAnchor"/>
          <w:rtl w:val="true"/>
        </w:rPr>
        <w:footnoteReference w:id="34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تعمل بواحد منهما حتّى تأتي </w:t>
      </w:r>
      <w:r>
        <w:rPr>
          <w:rStyle w:val="FootnoteAnchor"/>
          <w:rtl w:val="true"/>
        </w:rPr>
        <w:footnoteReference w:id="3441"/>
      </w:r>
      <w:r>
        <w:rPr>
          <w:rFonts w:ascii="Amiri" w:hAnsi="Amiri" w:eastAsia="Amiri" w:cs="Amiri"/>
          <w:color w:val="111111"/>
          <w:sz w:val="28"/>
          <w:sz w:val="28"/>
          <w:szCs w:val="28"/>
          <w:rtl w:val="true"/>
          <w:lang w:bidi="ar-SA"/>
        </w:rPr>
        <w:t xml:space="preserve">صاحبك فتسأله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يعمل </w:t>
      </w:r>
      <w:r>
        <w:rPr>
          <w:rStyle w:val="FootnoteAnchor"/>
          <w:rtl w:val="true"/>
        </w:rPr>
        <w:footnoteReference w:id="3442"/>
      </w:r>
      <w:r>
        <w:rPr>
          <w:rFonts w:ascii="IRNazanin" w:hAnsi="IRNazanin" w:eastAsia="IRNazanin"/>
          <w:color w:val="111111"/>
          <w:sz w:val="28"/>
          <w:sz w:val="28"/>
          <w:szCs w:val="28"/>
          <w:rtl w:val="true"/>
          <w:lang w:bidi="fa-IR"/>
        </w:rPr>
        <w:t xml:space="preserve">بأحدهما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اعمل </w:t>
      </w:r>
      <w:r>
        <w:rPr>
          <w:rStyle w:val="FootnoteAnchor"/>
          <w:rtl w:val="true"/>
        </w:rPr>
        <w:footnoteReference w:id="3443"/>
      </w:r>
      <w:r>
        <w:rPr>
          <w:rFonts w:ascii="Amiri" w:hAnsi="Amiri" w:eastAsia="Amiri" w:cs="Amiri"/>
          <w:color w:val="111111"/>
          <w:sz w:val="28"/>
          <w:sz w:val="28"/>
          <w:szCs w:val="28"/>
          <w:rtl w:val="true"/>
          <w:lang w:bidi="ar-SA"/>
        </w:rPr>
        <w:t xml:space="preserve">بما فيه خلاف العامّة </w:t>
      </w:r>
      <w:r>
        <w:rPr>
          <w:rFonts w:eastAsia="Amiri" w:cs="Amiri" w:ascii="Amiri" w:hAnsi="Amiri"/>
          <w:color w:val="111111"/>
          <w:sz w:val="28"/>
          <w:szCs w:val="28"/>
          <w:rtl w:val="true"/>
          <w:lang w:bidi="ar-SA"/>
        </w:rPr>
        <w:t xml:space="preserve">» </w:t>
      </w:r>
      <w:r>
        <w:rPr>
          <w:rStyle w:val="FootnoteAnchor"/>
          <w:rtl w:val="true"/>
        </w:rPr>
        <w:footnoteReference w:id="3444"/>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رحمه‌اللّه بإسناده عن يونس بن عبد الرحمن عن حسين بن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عليكم حديثان مختلفان فخذوا ما خالف </w:t>
      </w:r>
    </w:p>
    <w:p>
      <w:pPr>
        <w:pStyle w:val="BookText"/>
        <w:rPr/>
      </w:pP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 xml:space="preserve">» </w:t>
      </w:r>
      <w:r>
        <w:rPr>
          <w:rStyle w:val="FootnoteAnchor"/>
          <w:rtl w:val="true"/>
        </w:rPr>
        <w:footnoteReference w:id="3445"/>
      </w:r>
      <w:r>
        <w:rPr>
          <w:rFonts w:ascii="Amiri" w:hAnsi="Amiri" w:eastAsia="Amiri" w:cs="Amiri"/>
          <w:color w:val="111111"/>
          <w:sz w:val="28"/>
          <w:sz w:val="28"/>
          <w:szCs w:val="28"/>
          <w:rtl w:val="true"/>
          <w:lang w:bidi="ar-SA"/>
        </w:rPr>
        <w:t xml:space="preserve">وما رواه أيضا بإسناده إلى ابن فضّال عن الحسن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يسعنا فيما ورد علينا منكم إلاّ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التسليم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فيروى عن أبي عبد اللّه عليه‌السلام شيء ويروى عنه خلافه فبأيّهما نأخذ؟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خالف القوم ، وما وافق القوم فاجتنبه </w:t>
      </w:r>
      <w:r>
        <w:rPr>
          <w:rFonts w:eastAsia="Amiri" w:cs="Amiri" w:ascii="Amiri" w:hAnsi="Amiri"/>
          <w:color w:val="111111"/>
          <w:sz w:val="28"/>
          <w:szCs w:val="28"/>
          <w:rtl w:val="true"/>
          <w:lang w:bidi="ar-SA"/>
        </w:rPr>
        <w:t xml:space="preserve">» </w:t>
      </w:r>
      <w:r>
        <w:rPr>
          <w:rStyle w:val="FootnoteAnchor"/>
          <w:rtl w:val="true"/>
        </w:rPr>
        <w:footnoteReference w:id="3446"/>
      </w:r>
      <w:r>
        <w:rPr>
          <w:rFonts w:ascii="Amiri" w:hAnsi="Amiri" w:eastAsia="Amiri" w:cs="Amiri"/>
          <w:color w:val="111111"/>
          <w:sz w:val="28"/>
          <w:sz w:val="28"/>
          <w:szCs w:val="28"/>
          <w:rtl w:val="true"/>
          <w:lang w:bidi="ar-SA"/>
        </w:rPr>
        <w:t>والتقريب في ذلك ظاهر حيث إنّهم عليهم‌السلام أمروا بالأخذ بما خالف العامّة من غير تقديم شيء على ذلك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المرجّحات المنصوصة في المقبولة والمرفوعة ، وأمّا ما اشتمل عليه الأخبار الأخر فأمران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بالأحدث ويدلّ عليه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حسين بن مختار عن بعض أصحابنا عن أبي عبد اللّه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 لو حدّثتك بحديث العامّ ، ثمّ جئتني من قابل فحدّثتك بخلافه بأيّهما كنت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آخذ بالأخير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Style w:val="FootnoteAnchor"/>
          <w:rtl w:val="true"/>
        </w:rPr>
        <w:footnoteReference w:id="3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حديث من </w:t>
      </w:r>
      <w:r>
        <w:rPr>
          <w:rStyle w:val="FootnoteAnchor"/>
          <w:rtl w:val="true"/>
        </w:rPr>
        <w:footnoteReference w:id="3448"/>
      </w:r>
      <w:r>
        <w:rPr>
          <w:rFonts w:ascii="Amiri" w:hAnsi="Amiri" w:eastAsia="Amiri" w:cs="Amiri"/>
          <w:color w:val="111111"/>
          <w:sz w:val="28"/>
          <w:sz w:val="28"/>
          <w:szCs w:val="28"/>
          <w:rtl w:val="true"/>
          <w:lang w:bidi="ar-SA"/>
        </w:rPr>
        <w:t xml:space="preserve">أوّلكم وحديث من آخركم فبأيّهما نأخذ؟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به حتّى يبلغكم عن الحيّ فإن بلغكم عن الحيّ فخذوا بقوله </w:t>
      </w:r>
      <w:r>
        <w:rPr>
          <w:rFonts w:eastAsia="Amiri" w:cs="Amiri" w:ascii="Amiri" w:hAnsi="Amiri"/>
          <w:color w:val="111111"/>
          <w:sz w:val="28"/>
          <w:szCs w:val="28"/>
          <w:rtl w:val="true"/>
          <w:lang w:bidi="ar-SA"/>
        </w:rPr>
        <w:t xml:space="preserve">» </w:t>
      </w:r>
      <w:r>
        <w:rPr>
          <w:rStyle w:val="FootnoteAnchor"/>
          <w:rtl w:val="true"/>
        </w:rPr>
        <w:footnoteReference w:id="3449"/>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عن أبي عمرو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عمرو أرأيت لو حدّثتك بحديث أو أفتيتك بفتيا ، ثمّ جئتني بعد ذلك فسألتني عنه فأخبرتك بخلافه ما كنت أخبرتك أو أفتيتك بخلاف ذلك بأيّهما كنت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بأحدثهما وأدع الآخر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أصبت يا أبا عمرو ، أبى </w:t>
      </w:r>
      <w:r>
        <w:rPr>
          <w:rStyle w:val="FootnoteAnchor"/>
          <w:rtl w:val="true"/>
        </w:rPr>
        <w:footnoteReference w:id="3450"/>
      </w:r>
      <w:r>
        <w:rPr>
          <w:rFonts w:ascii="Amiri" w:hAnsi="Amiri" w:eastAsia="Amiri" w:cs="Amiri"/>
          <w:color w:val="111111"/>
          <w:sz w:val="28"/>
          <w:sz w:val="28"/>
          <w:szCs w:val="28"/>
          <w:rtl w:val="true"/>
          <w:lang w:bidi="ar-SA"/>
        </w:rPr>
        <w:t xml:space="preserve">اللّه إلاّ أن يعبد </w:t>
      </w:r>
    </w:p>
    <w:p>
      <w:pPr>
        <w:pStyle w:val="BookText"/>
        <w:rPr/>
      </w:pP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Style w:val="FootnoteAnchor"/>
          <w:rtl w:val="true"/>
        </w:rPr>
        <w:footnoteReference w:id="3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الأخذ بالأحدث في يومنا هذا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باب التعبّد الشرعي ، وهذه الأخبار لا تنهض بإثباته فإنّ الظاهر منها أنّ الأخذ بالأحدث إنّما هو بواسطة احتمال التقيّة في الأوّل وإلاّ فما الوجه في سؤال المعصوم عليه‌السلام عن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كنت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مقام بيان الحكم التعبّدي لا بدّ من أن يظهر الحكم بنفسه كما هو ظاهر ويرشدك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أبى اللّه إلاّ أن يعبد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الأخذ بالثاني من باب احتمال التقيّة في الأوّل وهو أيضا لا يخلو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صدور الحكم ثانيا منهم قرينة واقعية على أنّ الأوّل صادر تقيّة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قرينة تعبّدية على أنّ الأوّل صادر تقيّة ، والأوّل ليس مطّردا ؛ إذ قد يكون آثار التقيّة لائحة من الثاني كما لا يخفى على من تتبّع ، والثاني خلاف الظاهر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الثاني ناسخا للأوّل وذلك لا يتمّ في الأخبار الصادرة عن الأئمّة عليهم‌السلام ولا بأس بالتزامه في الأخبار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على إطلاقها ليست معمولا بها عند أصحابنا ؛ للإرسال في بعضها وضعف بعض رواة </w:t>
      </w:r>
      <w:r>
        <w:rPr>
          <w:rStyle w:val="FootnoteAnchor"/>
          <w:rtl w:val="true"/>
        </w:rPr>
        <w:footnoteReference w:id="3452"/>
      </w:r>
      <w:r>
        <w:rPr>
          <w:rFonts w:ascii="Amiri" w:hAnsi="Amiri" w:eastAsia="Amiri" w:cs="Amiri"/>
          <w:color w:val="111111"/>
          <w:sz w:val="28"/>
          <w:sz w:val="28"/>
          <w:szCs w:val="28"/>
          <w:rtl w:val="true"/>
          <w:lang w:bidi="ar-SA"/>
        </w:rPr>
        <w:t>الآخر كإسماعيل وأبي عمرو ، فلا يصلح وجها لعدم الأخذ بإطلاق أخبار التخيير كما لا يخفى</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على ما نطق به المرفوعة وبعد ما عرفت من طعن بعض الأخبارية </w:t>
      </w:r>
      <w:r>
        <w:rPr>
          <w:rStyle w:val="FootnoteAnchor"/>
          <w:rtl w:val="true"/>
        </w:rPr>
        <w:footnoteReference w:id="3453"/>
      </w:r>
      <w:r>
        <w:rPr>
          <w:rFonts w:ascii="Amiri" w:hAnsi="Amiri" w:eastAsia="Amiri" w:cs="Amiri"/>
          <w:color w:val="111111"/>
          <w:sz w:val="28"/>
          <w:sz w:val="28"/>
          <w:szCs w:val="28"/>
          <w:rtl w:val="true"/>
          <w:lang w:bidi="ar-SA"/>
        </w:rPr>
        <w:t>في الكتاب الذي اشتمل عليها لا وجه للتعرّض لذلك فاللّه الموفّق وهو الهادي إلى سواء السبيل</w:t>
      </w:r>
      <w:r>
        <w:rPr>
          <w:rFonts w:eastAsia="Amiri" w:cs="Amiri" w:ascii="Amiri" w:hAnsi="Amiri"/>
          <w:color w:val="111111"/>
          <w:sz w:val="28"/>
          <w:szCs w:val="28"/>
          <w:rtl w:val="true"/>
          <w:lang w:bidi="ar-SA"/>
        </w:rPr>
        <w:t xml:space="preserve">. </w:t>
      </w:r>
      <w:bookmarkStart w:id="356" w:name="pg16284_171609"/>
    </w:p>
    <w:p>
      <w:pPr>
        <w:pStyle w:val="Heading3"/>
        <w:numPr>
          <w:ilvl w:val="2"/>
          <w:numId w:val="1"/>
        </w:numPr>
        <w:rPr/>
      </w:pPr>
      <w:bookmarkStart w:id="357" w:name="__RefHeading___Toc5012242_1280447820"/>
      <w:bookmarkStart w:id="358" w:name="_Toc110"/>
      <w:bookmarkEnd w:id="356"/>
      <w:bookmarkEnd w:id="357"/>
      <w:r>
        <w:rPr>
          <w:rtl w:val="true"/>
        </w:rPr>
        <w:t xml:space="preserve">هداية </w:t>
      </w:r>
      <w:r>
        <w:rPr>
          <w:rtl w:val="true"/>
        </w:rPr>
        <w:t xml:space="preserve">[ </w:t>
      </w:r>
      <w:r>
        <w:rPr>
          <w:rtl w:val="true"/>
        </w:rPr>
        <w:t xml:space="preserve">في المرجّحات غير المنصوصة المضمونية </w:t>
      </w:r>
      <w:r>
        <w:rPr>
          <w:rtl w:val="true"/>
        </w:rPr>
        <w:t>]</w:t>
      </w:r>
      <w:bookmarkEnd w:id="358"/>
    </w:p>
    <w:p>
      <w:pPr>
        <w:pStyle w:val="BookText"/>
        <w:rPr/>
      </w:pPr>
      <w:r>
        <w:rPr>
          <w:rFonts w:ascii="Amiri" w:hAnsi="Amiri" w:eastAsia="Amiri" w:cs="Amiri"/>
          <w:color w:val="111111"/>
          <w:sz w:val="28"/>
          <w:sz w:val="28"/>
          <w:szCs w:val="28"/>
          <w:rtl w:val="true"/>
          <w:lang w:bidi="ar-SA"/>
        </w:rPr>
        <w:t xml:space="preserve">بعد ما عرفت تفصيل القول في المرجّحات المنصوصة فلا بدّ من الإشارة إلى بعض المرجّحات التي ذكرها القوم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بموافقة الأصل ومخالفته ، والموافق يسمّى مقرّرا والمخالف ناقلا ، واختلفت </w:t>
      </w:r>
      <w:r>
        <w:rPr>
          <w:rStyle w:val="FootnoteAnchor"/>
          <w:rtl w:val="true"/>
        </w:rPr>
        <w:footnoteReference w:id="3454"/>
      </w:r>
      <w:r>
        <w:rPr>
          <w:rFonts w:ascii="Amiri" w:hAnsi="Amiri" w:eastAsia="Amiri" w:cs="Amiri"/>
          <w:color w:val="111111"/>
          <w:sz w:val="28"/>
          <w:sz w:val="28"/>
          <w:szCs w:val="28"/>
          <w:rtl w:val="true"/>
          <w:lang w:bidi="ar-SA"/>
        </w:rPr>
        <w:t xml:space="preserve">كلماتهم في ذلك ، فعن العلاّمة وأكثر العامّة </w:t>
      </w:r>
      <w:r>
        <w:rPr>
          <w:rStyle w:val="FootnoteAnchor"/>
          <w:rtl w:val="true"/>
        </w:rPr>
        <w:footnoteReference w:id="3455"/>
      </w:r>
      <w:r>
        <w:rPr>
          <w:rFonts w:ascii="Amiri" w:hAnsi="Amiri" w:eastAsia="Amiri" w:cs="Amiri"/>
          <w:color w:val="111111"/>
          <w:sz w:val="28"/>
          <w:sz w:val="28"/>
          <w:szCs w:val="28"/>
          <w:rtl w:val="true"/>
          <w:lang w:bidi="ar-SA"/>
        </w:rPr>
        <w:t xml:space="preserve">اختيار الناقل ، وذهب شيخ الطائفة </w:t>
      </w:r>
      <w:r>
        <w:rPr>
          <w:rStyle w:val="FootnoteAnchor"/>
          <w:rtl w:val="true"/>
        </w:rPr>
        <w:footnoteReference w:id="3456"/>
      </w:r>
      <w:r>
        <w:rPr>
          <w:rFonts w:ascii="Amiri" w:hAnsi="Amiri" w:eastAsia="Amiri" w:cs="Amiri"/>
          <w:color w:val="111111"/>
          <w:sz w:val="28"/>
          <w:sz w:val="28"/>
          <w:szCs w:val="28"/>
          <w:rtl w:val="true"/>
          <w:lang w:bidi="ar-SA"/>
        </w:rPr>
        <w:t xml:space="preserve">إلى اختيار المقرّر ، وتوقّف في ذلك قوم ، وصار إلى التخيير آخرون ، وعن المحقّق في المعارج </w:t>
      </w:r>
      <w:r>
        <w:rPr>
          <w:rStyle w:val="FootnoteAnchor"/>
          <w:rtl w:val="true"/>
        </w:rPr>
        <w:footnoteReference w:id="3457"/>
      </w:r>
      <w:r>
        <w:rPr>
          <w:rFonts w:ascii="Amiri" w:hAnsi="Amiri" w:eastAsia="Amiri" w:cs="Amiri"/>
          <w:color w:val="111111"/>
          <w:sz w:val="28"/>
          <w:sz w:val="28"/>
          <w:szCs w:val="28"/>
          <w:rtl w:val="true"/>
          <w:lang w:bidi="ar-SA"/>
        </w:rPr>
        <w:t xml:space="preserve">اختيار التخيير في أخبار الأئمّة عليهم‌السلام والأخذ بالأحدث في أخبار الرسول صلى‌اللّه‌عليه‌وآله على تفصيل في ذلك ستطّلع عليه </w:t>
      </w:r>
      <w:r>
        <w:rPr>
          <w:rStyle w:val="FootnoteAnchor"/>
          <w:rtl w:val="true"/>
        </w:rPr>
        <w:footnoteReference w:id="3458"/>
      </w:r>
      <w:r>
        <w:rPr>
          <w:rFonts w:ascii="Amiri" w:hAnsi="Amiri" w:eastAsia="Amiri" w:cs="Amiri"/>
          <w:color w:val="111111"/>
          <w:sz w:val="28"/>
          <w:sz w:val="28"/>
          <w:szCs w:val="28"/>
          <w:rtl w:val="true"/>
          <w:lang w:bidi="ar-SA"/>
        </w:rPr>
        <w:t>، وكأنّه ليس منطبقا على هذا العنوان وإنّما هو قول في المسألة المتقدّمة كما لا يخفى</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يكون المراد بالأصل في هذا المقام هي الأصول العملية كالبراءة والاستصحاب لا القواعد الكلّية مثل قاعدة نفي العسر والحرج ونفي الضرر والضرار </w:t>
      </w:r>
      <w:r>
        <w:rPr>
          <w:rStyle w:val="FootnoteAnchor"/>
          <w:rtl w:val="true"/>
        </w:rPr>
        <w:footnoteReference w:id="3459"/>
      </w:r>
      <w:r>
        <w:rPr>
          <w:rFonts w:ascii="Amiri" w:hAnsi="Amiri" w:eastAsia="Amiri" w:cs="Amiri"/>
          <w:color w:val="111111"/>
          <w:sz w:val="28"/>
          <w:sz w:val="28"/>
          <w:szCs w:val="28"/>
          <w:rtl w:val="true"/>
          <w:lang w:bidi="ar-SA"/>
        </w:rPr>
        <w:t xml:space="preserve">ونحوهما فإنّ ذلك خارج عمّا نحن بصدده ؛ لرجوع الترجيح في ذلك إلى الترجيح </w:t>
      </w:r>
    </w:p>
    <w:p>
      <w:pPr>
        <w:pStyle w:val="BookText"/>
        <w:rPr/>
      </w:pPr>
      <w:r>
        <w:rPr>
          <w:rFonts w:ascii="Amiri" w:hAnsi="Amiri" w:eastAsia="Amiri" w:cs="Amiri"/>
          <w:color w:val="111111"/>
          <w:sz w:val="28"/>
          <w:sz w:val="28"/>
          <w:szCs w:val="28"/>
          <w:rtl w:val="true"/>
          <w:lang w:bidi="ar-SA"/>
        </w:rPr>
        <w:t>بالعامّ للخاصّ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المراد بالأصل التخيير فإنّ موافقة أحد الخبرين للتخيير غير معقول ؛ إذ التخيير مورده فيما إذا تعارض الخبران أو الاحتمالان مع عدم المرجّح لأحدهما ، فعلى الأوّل ظاهر فساده ، وعلى الثاني فلأنّ كلاّ من الخبرين موافق لأحد احتمالي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مفاد أحد الخبرين هو التخيير ويكون مفاد الآخر هو أحد الاحتمالين ، وذلك أيضا فاسد ؛ لأنّ ورود الرواية على وجه يكون مفادها التخيير بين الفعل والترك في غير ما يكون مفادها إباحة </w:t>
      </w:r>
      <w:r>
        <w:rPr>
          <w:rStyle w:val="FootnoteAnchor"/>
          <w:rtl w:val="true"/>
        </w:rPr>
        <w:footnoteReference w:id="3460"/>
      </w:r>
      <w:r>
        <w:rPr>
          <w:rFonts w:ascii="Amiri" w:hAnsi="Amiri" w:eastAsia="Amiri" w:cs="Amiri"/>
          <w:color w:val="111111"/>
          <w:sz w:val="28"/>
          <w:sz w:val="28"/>
          <w:szCs w:val="28"/>
          <w:rtl w:val="true"/>
          <w:lang w:bidi="ar-SA"/>
        </w:rPr>
        <w:t xml:space="preserve">غير معقول ، وعلى تقدير ذلك لا يكون أحد الخبرين حينئذ موافقا لأصالة التخيير ؛ إذ المقصود من الموافقة هو أنّ الأصل على وجه لو فرض ارتفاع الدليلين بالتساقط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الرجوع إلى الأصل الموافق ، وفي المقام ليس كذلك ؛ إذ بعد فرض التساقط في ذلك المورد يدور الأمر بين التخيير والتعيين ، والأصل فيه ليس التخيير ، بل الاشتغال أو البراءة من التعيين</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الاشتغال فليس المراد بالأصل في المقام هو أيضا ؛ إذ المراد به إمّا الاحتياط اللازم ، أو غيره ، والثاني لا يجدي </w:t>
      </w:r>
      <w:r>
        <w:rPr>
          <w:rStyle w:val="FootnoteAnchor"/>
          <w:rtl w:val="true"/>
        </w:rPr>
        <w:footnoteReference w:id="3461"/>
      </w:r>
      <w:r>
        <w:rPr>
          <w:rFonts w:ascii="Amiri" w:hAnsi="Amiri" w:eastAsia="Amiri" w:cs="Amiri"/>
          <w:color w:val="111111"/>
          <w:sz w:val="28"/>
          <w:sz w:val="28"/>
          <w:szCs w:val="28"/>
          <w:rtl w:val="true"/>
          <w:lang w:bidi="ar-SA"/>
        </w:rPr>
        <w:t xml:space="preserve">في مقام الترجيح ، والأوّل غير معقول أن يكون مرجّحا ؛ لأنّ موارد وجوب الاحتياط فيما إذا ثبت التكليف الإجمالي ودار الأمر بين أمور محصورة في تعيين المكلّف به ، كما في دوران الأمر بين الظهر والجمعة والصلاة بالجهات الأربع والاجتناب عن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وجوه ذلك في موارده مفصّلا فأحد الخبرين لو دلّ على وجوب الظهر بخصوصه لم يكن موافقا للاحتياط </w:t>
      </w:r>
      <w:r>
        <w:rPr>
          <w:rStyle w:val="FootnoteAnchor"/>
          <w:rtl w:val="true"/>
        </w:rPr>
        <w:footnoteReference w:id="3462"/>
      </w:r>
      <w:r>
        <w:rPr>
          <w:rFonts w:ascii="Amiri" w:hAnsi="Amiri" w:eastAsia="Amiri" w:cs="Amiri"/>
          <w:color w:val="111111"/>
          <w:sz w:val="28"/>
          <w:sz w:val="28"/>
          <w:szCs w:val="28"/>
          <w:rtl w:val="true"/>
          <w:lang w:bidi="ar-SA"/>
        </w:rPr>
        <w:t xml:space="preserve">، كما إذا دلّ الدليل على وجوب الصلاة بجهة خاصّة ، ولو دلّ على وجوب الجمع بين المحتملين لم يكن ذلك من موافقة الخبر للاحتياط ؛ إذ مدلول الخبر حينئذ هو الاحتياط ، ألا </w:t>
      </w:r>
    </w:p>
    <w:p>
      <w:pPr>
        <w:pStyle w:val="BookText"/>
        <w:rPr/>
      </w:pPr>
      <w:r>
        <w:rPr>
          <w:rFonts w:ascii="Amiri" w:hAnsi="Amiri" w:eastAsia="Amiri" w:cs="Amiri"/>
          <w:color w:val="111111"/>
          <w:sz w:val="28"/>
          <w:sz w:val="28"/>
          <w:szCs w:val="28"/>
          <w:rtl w:val="true"/>
          <w:lang w:bidi="ar-SA"/>
        </w:rPr>
        <w:t xml:space="preserve">ترى أنّ واحدا من القوم لم يذهب إلى ترجيح أخبار الاحتياط على القول بتحقّق المعارضة بينها وبين أخبار البراءة أنّ </w:t>
      </w:r>
      <w:r>
        <w:rPr>
          <w:rStyle w:val="FootnoteAnchor"/>
          <w:rtl w:val="true"/>
        </w:rPr>
        <w:footnoteReference w:id="3463"/>
      </w:r>
      <w:r>
        <w:rPr>
          <w:rFonts w:ascii="Amiri" w:hAnsi="Amiri" w:eastAsia="Amiri" w:cs="Amiri"/>
          <w:color w:val="111111"/>
          <w:sz w:val="28"/>
          <w:sz w:val="28"/>
          <w:szCs w:val="28"/>
          <w:rtl w:val="true"/>
          <w:lang w:bidi="ar-SA"/>
        </w:rPr>
        <w:t>الترجيح لأخبار الاحتياط لموافقتها للاحتياط وذلك أمر ظاهر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ينقدح لك أنّ الترجيح بالأصل على تقديره إنّما هو ترجيح مدلولي ولا مدخل للسند فيه ، نعم على القول باعتبار الأصل ظنّا يزيد على ذلك شيء وهو كشفه عن مطابقة مضمون الموافق للواقع ، بخلاف ما إذا قيل به تعبّدا فإنّ المطابقة اللازمة على هذا التقدير عملية صرفة ، ولذلك قلنا بأنّه ترجيح مدلولي صرف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تحقّقت ذلك فاعلم أنّه احتجّ القائل بتقديم الناقل بأنّه يستفاد منه ما لا يستفاد إلاّ منه ، والموافق حكمه معلوم بالعقل فلا يحتاج حكمه إلى البيان ، ولمّا كان وظيفة الشارع بيان أمور غير معلومة كان اعتبار الناقل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الحجّة ظاهرة الضعف وبيّنة الفساد وسبيل المنع إلى مقدّمتيها واضح ؛ إذ لا نسلّم الأولوية أوّلا ولا غضاضة فإنّ وظيفة الشارع بيان ما يحتاج إليه العباد على أيّ وجه يكون ، وهل ترى أنّ الإمام عليه‌السلام أحال أمرا من الأمور في حكم من الأحكام إلى </w:t>
      </w:r>
      <w:r>
        <w:rPr>
          <w:rStyle w:val="FootnoteAnchor"/>
          <w:rtl w:val="true"/>
        </w:rPr>
        <w:footnoteReference w:id="3464"/>
      </w:r>
      <w:r>
        <w:rPr>
          <w:rFonts w:ascii="Amiri" w:hAnsi="Amiri" w:eastAsia="Amiri" w:cs="Amiri"/>
          <w:color w:val="111111"/>
          <w:sz w:val="28"/>
          <w:sz w:val="28"/>
          <w:szCs w:val="28"/>
          <w:rtl w:val="true"/>
          <w:lang w:bidi="ar-SA"/>
        </w:rPr>
        <w:t>أصل من الأصول؟ كلاّ ثمّ كلاّ فإنّ الأصل إنّما هو علاج لمرض الشكّ في الواقع عند عدم إمكان الوصول إليه ومن هو في الواقع يستتبع الواقع كيف يوكل السائل عن الواقع إلى ما هو علاج للشكّ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 وعلى تقدير التسليم لا دليل على جواز الاتّكال بمثل هذه الظنون العقلية التي منشؤها استحسان عقلي في مقام الترجيح ولا ينافي ذلك ما تقدّم من عموم حجّية الظنّ في مقام الترجيح ؛ إذ لم يكن التعويل هناك إلاّ على العمل والإجماع ، وانتفاؤها في المقام معلوم</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أيضا القائل بتقديم الناقل بأنّ العمل به يقتضي تقليل النسخ ؛ لأنّه يزيل </w:t>
      </w:r>
    </w:p>
    <w:p>
      <w:pPr>
        <w:pStyle w:val="BookText"/>
        <w:rPr/>
      </w:pPr>
      <w:r>
        <w:rPr>
          <w:rFonts w:ascii="Amiri" w:hAnsi="Amiri" w:eastAsia="Amiri" w:cs="Amiri"/>
          <w:color w:val="111111"/>
          <w:sz w:val="28"/>
          <w:sz w:val="28"/>
          <w:szCs w:val="28"/>
          <w:rtl w:val="true"/>
          <w:lang w:bidi="ar-SA"/>
        </w:rPr>
        <w:t xml:space="preserve">حكم العقل فقط ، بخلاف المقرّر فإنّه يوجب تكثيره </w:t>
      </w:r>
      <w:r>
        <w:rPr>
          <w:rStyle w:val="FootnoteAnchor"/>
          <w:rtl w:val="true"/>
        </w:rPr>
        <w:footnoteReference w:id="3465"/>
      </w:r>
      <w:r>
        <w:rPr>
          <w:rFonts w:ascii="Amiri" w:hAnsi="Amiri" w:eastAsia="Amiri" w:cs="Amiri"/>
          <w:color w:val="111111"/>
          <w:sz w:val="28"/>
          <w:sz w:val="28"/>
          <w:szCs w:val="28"/>
          <w:rtl w:val="true"/>
          <w:lang w:bidi="ar-SA"/>
        </w:rPr>
        <w:t>؛ لإزالته حكم الناقل بعد إزالة الناقل حكم الأصل المستفاد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الحجّة مبنيّة </w:t>
      </w:r>
      <w:r>
        <w:rPr>
          <w:rStyle w:val="FootnoteAnchor"/>
          <w:rtl w:val="true"/>
        </w:rPr>
        <w:footnoteReference w:id="3466"/>
      </w:r>
      <w:r>
        <w:rPr>
          <w:rFonts w:ascii="Amiri" w:hAnsi="Amiri" w:eastAsia="Amiri" w:cs="Amiri"/>
          <w:color w:val="111111"/>
          <w:sz w:val="28"/>
          <w:sz w:val="28"/>
          <w:szCs w:val="28"/>
          <w:rtl w:val="true"/>
          <w:lang w:bidi="ar-SA"/>
        </w:rPr>
        <w:t xml:space="preserve">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بأحدث الخبرين لازم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الأحدث ينبغي أن يكون الناقل ؛ إذ لو كان المقرّر هو الأحدث يلزم ارتفاع حكم الناقل به وارتفاع حكم الأصل بالناقل ، فالنسخ اللازم على تقدير الأخذ بالمقرّر أكثر من النسخ اللازم على تقدير الأخذ بالناقل ؛ لأنّ ورود المقرّر ليس نسخا للأصل ، بل هو مقرّر له و </w:t>
      </w:r>
      <w:r>
        <w:rPr>
          <w:rStyle w:val="FootnoteAnchor"/>
          <w:rtl w:val="true"/>
        </w:rPr>
        <w:footnoteReference w:id="3467"/>
      </w:r>
      <w:r>
        <w:rPr>
          <w:rFonts w:ascii="Amiri" w:hAnsi="Amiri" w:eastAsia="Amiri" w:cs="Amiri"/>
          <w:color w:val="111111"/>
          <w:sz w:val="28"/>
          <w:sz w:val="28"/>
          <w:szCs w:val="28"/>
          <w:rtl w:val="true"/>
          <w:lang w:bidi="ar-SA"/>
        </w:rPr>
        <w:t>مؤكّد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وفسادها ظاهر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رفع الحكم الثابت بالأصل لا يعدّ من النسخ في شيء ، اللّهمّ إلاّ أن يراد منه مطلق الإزالة وهو مع كونه خلاف مصطلحهم لا يلائم قول المحقّق كما ستعرفه </w:t>
      </w:r>
      <w:r>
        <w:rPr>
          <w:rStyle w:val="FootnoteAnchor"/>
          <w:rtl w:val="true"/>
        </w:rPr>
        <w:footnoteReference w:id="3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الأخذ بالأحدث قد عرفت </w:t>
      </w:r>
      <w:r>
        <w:rPr>
          <w:rStyle w:val="FootnoteAnchor"/>
          <w:rtl w:val="true"/>
        </w:rPr>
        <w:footnoteReference w:id="3469"/>
      </w:r>
      <w:r>
        <w:rPr>
          <w:rFonts w:ascii="Amiri" w:hAnsi="Amiri" w:eastAsia="Amiri" w:cs="Amiri"/>
          <w:color w:val="111111"/>
          <w:sz w:val="28"/>
          <w:sz w:val="28"/>
          <w:szCs w:val="28"/>
          <w:rtl w:val="true"/>
          <w:lang w:bidi="ar-SA"/>
        </w:rPr>
        <w:t xml:space="preserve">القول فيه على وجه يغني عن إعادة </w:t>
      </w:r>
      <w:r>
        <w:rPr>
          <w:rStyle w:val="FootnoteAnchor"/>
          <w:rtl w:val="true"/>
        </w:rPr>
        <w:footnoteReference w:id="3470"/>
      </w:r>
      <w:r>
        <w:rPr>
          <w:rFonts w:ascii="Amiri" w:hAnsi="Amiri" w:eastAsia="Amiri" w:cs="Amiri"/>
          <w:color w:val="111111"/>
          <w:sz w:val="28"/>
          <w:sz w:val="28"/>
          <w:szCs w:val="28"/>
          <w:rtl w:val="true"/>
          <w:lang w:bidi="ar-SA"/>
        </w:rPr>
        <w:t>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الاعتماد على هذه الاعتبارات الضعيفة ممّا لم يعلم جوازه في مقام الأحكام الشرعية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القائل بتقديم المقرّر بأنّ حمل الحديث على ما لا يستفاد إلاّ من الشرع أولى من حمله على ما يستقلّ </w:t>
      </w:r>
      <w:r>
        <w:rPr>
          <w:rStyle w:val="FootnoteAnchor"/>
          <w:rtl w:val="true"/>
        </w:rPr>
        <w:footnoteReference w:id="3471"/>
      </w:r>
      <w:r>
        <w:rPr>
          <w:rFonts w:ascii="Amiri" w:hAnsi="Amiri" w:eastAsia="Amiri" w:cs="Amiri"/>
          <w:color w:val="111111"/>
          <w:sz w:val="28"/>
          <w:sz w:val="28"/>
          <w:szCs w:val="28"/>
          <w:rtl w:val="true"/>
          <w:lang w:bidi="ar-SA"/>
        </w:rPr>
        <w:t xml:space="preserve">العقل بمعرفته ؛ إذ فائدة التأسيس أقوى من فائدة التأكيد ، وحمل كلام الشارع على الأكثر </w:t>
      </w:r>
      <w:r>
        <w:rPr>
          <w:rStyle w:val="FootnoteAnchor"/>
          <w:rtl w:val="true"/>
        </w:rPr>
        <w:footnoteReference w:id="3472"/>
      </w:r>
      <w:r>
        <w:rPr>
          <w:rFonts w:ascii="Amiri" w:hAnsi="Amiri" w:eastAsia="Amiri" w:cs="Amiri"/>
          <w:color w:val="111111"/>
          <w:sz w:val="28"/>
          <w:sz w:val="28"/>
          <w:szCs w:val="28"/>
          <w:rtl w:val="true"/>
          <w:lang w:bidi="ar-SA"/>
        </w:rPr>
        <w:t xml:space="preserve">فائدة أولى ، والحكم بترجيح الناقل يستلزم الحكم بتقديم المقرّر عليه وذلك يقتضي كونه واردا حيث لا حاجة إليه ؛ لأنّ مضمونه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سوى التأكيد وقد علم مرجوحيته ، بخلاف ما إذا رجّحنا </w:t>
      </w:r>
    </w:p>
    <w:p>
      <w:pPr>
        <w:pStyle w:val="BookText"/>
        <w:rPr/>
      </w:pPr>
      <w:r>
        <w:rPr>
          <w:rFonts w:ascii="Amiri" w:hAnsi="Amiri" w:eastAsia="Amiri" w:cs="Amiri"/>
          <w:color w:val="111111"/>
          <w:sz w:val="28"/>
          <w:sz w:val="28"/>
          <w:szCs w:val="28"/>
          <w:rtl w:val="true"/>
          <w:lang w:bidi="ar-SA"/>
        </w:rPr>
        <w:t xml:space="preserve">المقرّر فإنّ ترجيحه يقتضي تقديم </w:t>
      </w:r>
      <w:r>
        <w:rPr>
          <w:rStyle w:val="FootnoteAnchor"/>
          <w:rtl w:val="true"/>
        </w:rPr>
        <w:footnoteReference w:id="3473"/>
      </w:r>
      <w:r>
        <w:rPr>
          <w:rFonts w:ascii="Amiri" w:hAnsi="Amiri" w:eastAsia="Amiri" w:cs="Amiri"/>
          <w:color w:val="111111"/>
          <w:sz w:val="28"/>
          <w:sz w:val="28"/>
          <w:szCs w:val="28"/>
          <w:rtl w:val="true"/>
          <w:lang w:bidi="ar-SA"/>
        </w:rPr>
        <w:t xml:space="preserve">الناقل عليه ، فيكون كلّ </w:t>
      </w:r>
      <w:r>
        <w:rPr>
          <w:rStyle w:val="FootnoteAnchor"/>
          <w:rtl w:val="true"/>
        </w:rPr>
        <w:footnoteReference w:id="3474"/>
      </w:r>
      <w:r>
        <w:rPr>
          <w:rFonts w:ascii="Amiri" w:hAnsi="Amiri" w:eastAsia="Amiri" w:cs="Amiri"/>
          <w:color w:val="111111"/>
          <w:sz w:val="28"/>
          <w:sz w:val="28"/>
          <w:szCs w:val="28"/>
          <w:rtl w:val="true"/>
          <w:lang w:bidi="ar-SA"/>
        </w:rPr>
        <w:t>منهما واردا في موضع الحاجة ، أمّا الناقل فظاهر ، وأمّا المقرّر فلوروده بعده فيؤسّس ما رفعه الناقل فيكون 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الحجّة متّحدة مناطا مع احتجاج القائل بالناقل ؛ إذ بعد اشتراكهما فيما نبّهنا عليه من المقدّمتين بتفاوت </w:t>
      </w:r>
      <w:r>
        <w:rPr>
          <w:rStyle w:val="FootnoteAnchor"/>
          <w:rtl w:val="true"/>
        </w:rPr>
        <w:footnoteReference w:id="3475"/>
      </w:r>
      <w:r>
        <w:rPr>
          <w:rFonts w:ascii="Amiri" w:hAnsi="Amiri" w:eastAsia="Amiri" w:cs="Amiri"/>
          <w:color w:val="111111"/>
          <w:sz w:val="28"/>
          <w:sz w:val="28"/>
          <w:szCs w:val="28"/>
          <w:rtl w:val="true"/>
          <w:lang w:bidi="ar-SA"/>
        </w:rPr>
        <w:t>قليل في تشخيص الصغرى استند المستدلّ الأولى إلى تقليل النسخ وتكثيره ، والمستدلّ بالثانية إلى ورود كلّ منهما في مقام الحاجة حملا لكلام الشارع على ما هو الأكثر فائدة ، فما هو المذكور في دفعها ينهض بدفع هذه الحجّة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صحّة ما ذهب إليه المحقّق </w:t>
      </w:r>
      <w:r>
        <w:rPr>
          <w:rStyle w:val="FootnoteAnchor"/>
          <w:rtl w:val="true"/>
        </w:rPr>
        <w:footnoteReference w:id="3476"/>
      </w:r>
      <w:r>
        <w:rPr>
          <w:rFonts w:ascii="Amiri" w:hAnsi="Amiri" w:eastAsia="Amiri" w:cs="Amiri"/>
          <w:color w:val="111111"/>
          <w:sz w:val="28"/>
          <w:sz w:val="28"/>
          <w:szCs w:val="28"/>
          <w:rtl w:val="true"/>
          <w:lang w:bidi="ar-SA"/>
        </w:rPr>
        <w:t>من التفصيل بين أخبار الأئمّة عليهم‌السلام فيحكم بالتخيير لانقطاع النسخ في أخبارهم عليهم‌السلام ، وبين أخبار الرسول صلى‌اللّه‌عليه‌وآله فيحكم بوجوب الأخذ بالأحدث لو علم التاريخان ، سواء كان مطابقا للأصل أو مخالفا ، ويتوقّف عند جهل التاريخ</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الترجيح بموافقة الأصل ومخالفة الأصل لا يبتني على القول بلزوم الأخذ بأحدث الروايتين ، ولذلك قلنا </w:t>
      </w:r>
      <w:r>
        <w:rPr>
          <w:rStyle w:val="FootnoteAnchor"/>
          <w:rtl w:val="true"/>
        </w:rPr>
        <w:footnoteReference w:id="3477"/>
      </w:r>
      <w:r>
        <w:rPr>
          <w:rFonts w:ascii="Amiri" w:hAnsi="Amiri" w:eastAsia="Amiri" w:cs="Amiri"/>
          <w:color w:val="111111"/>
          <w:sz w:val="28"/>
          <w:sz w:val="28"/>
          <w:szCs w:val="28"/>
          <w:rtl w:val="true"/>
          <w:lang w:bidi="ar-SA"/>
        </w:rPr>
        <w:t xml:space="preserve">بأنّ قول المحقّق لا ينطبق على العنوان وإنّما هو قول في مسألة </w:t>
      </w:r>
      <w:r>
        <w:rPr>
          <w:rStyle w:val="FootnoteAnchor"/>
          <w:rtl w:val="true"/>
        </w:rPr>
        <w:footnoteReference w:id="3478"/>
      </w:r>
      <w:r>
        <w:rPr>
          <w:rFonts w:ascii="Amiri" w:hAnsi="Amiri" w:eastAsia="Amiri" w:cs="Amiri"/>
          <w:color w:val="111111"/>
          <w:sz w:val="28"/>
          <w:sz w:val="28"/>
          <w:szCs w:val="28"/>
          <w:rtl w:val="true"/>
          <w:lang w:bidi="ar-SA"/>
        </w:rPr>
        <w:t xml:space="preserve">الأخذ بالأحدث ، وهو حقّ في تلك المسألة كما يظهر ممّا أومأنا إليه فيها من المحتملات </w:t>
      </w:r>
      <w:r>
        <w:rPr>
          <w:rStyle w:val="FootnoteAnchor"/>
          <w:rtl w:val="true"/>
        </w:rPr>
        <w:footnoteReference w:id="3479"/>
      </w:r>
      <w:r>
        <w:rPr>
          <w:rFonts w:ascii="Amiri" w:hAnsi="Amiri" w:eastAsia="Amiri" w:cs="Amiri"/>
          <w:color w:val="111111"/>
          <w:sz w:val="28"/>
          <w:sz w:val="28"/>
          <w:szCs w:val="28"/>
          <w:rtl w:val="true"/>
          <w:lang w:bidi="ar-SA"/>
        </w:rPr>
        <w:t xml:space="preserve">وإحقاق الحقّ منها وإبطال ما سواه ، إلاّ أنّ التزام النسخ فيما يحتمل النسخ كأخبار الرسول صلى‌اللّه‌عليه‌وآله أيضا مشروط بما يصحّ معه النسخ كمضيّ زمان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النسخ قبل حضور وقت الفعل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التحقيق في مسألة ترجيح أحد الخبرين بالأصل وإن قطعنا النظر عن وجوب الأخذ بالأحدث 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الأصول العملية بناء على التعويل عليها من باب الظنّ بعدم التكليف في البراءة وببقاء المستصحب في الاستصحاب فلا ينبغي النزاع في الترجيح بالأصول فإنّها حينئذ تفيد تقوية فيما هو ملاك الحجّية ومناط الاعتبار كما في صورة تعدّد الدليل ، وأمّا بناء على القول بها بواسطة القاعدة العقلية والأخبار الواردة فيها من حيث التعبّد بها وإن لم تفد ظنّا كما هو المعروف بين المتأخّرين ، فلا يكاد يعقل الترجيح بالأصل ؛ إذ مفاد كلّ من الأصل والخبر غير مفاد الآخر فإنّ هذا من واد وذاك </w:t>
      </w:r>
      <w:r>
        <w:rPr>
          <w:rStyle w:val="FootnoteAnchor"/>
          <w:rtl w:val="true"/>
        </w:rPr>
        <w:footnoteReference w:id="3480"/>
      </w:r>
      <w:r>
        <w:rPr>
          <w:rFonts w:ascii="Amiri" w:hAnsi="Amiri" w:eastAsia="Amiri" w:cs="Amiri"/>
          <w:color w:val="111111"/>
          <w:sz w:val="28"/>
          <w:sz w:val="28"/>
          <w:szCs w:val="28"/>
          <w:rtl w:val="true"/>
          <w:lang w:bidi="ar-SA"/>
        </w:rPr>
        <w:t>من آخر ، فلا يحصل تقوية فيما هو المناط في دليلية الرواية ، والترجيح التعبّدي ممّا لا دليل عليه كما هو المفروض ، فلا بدّ من الأخذ بإطلاق أخبار التخيير ، وبذلك يرتفع الشكّ في مورد الأصل فيحكم بالتخيير بين الدليلين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يتراءى في بادئ النظر تفصيلا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الأصول قد يكون الشكّ والحيرة ، وقد يكون عدم العلم بالخلاف ، فعلى الأوّل لا وجه للترجيح بالأصل لما عرفت من اختلاف مناطهما ، وعلى الثاني كما ربّما يستظهر من بعض أدلّة الأصول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w:t>
      </w:r>
      <w:r>
        <w:rPr>
          <w:rFonts w:eastAsia="Amiri" w:cs="Amiri" w:ascii="Amiri" w:hAnsi="Amiri"/>
          <w:color w:val="111111"/>
          <w:sz w:val="28"/>
          <w:szCs w:val="28"/>
          <w:rtl w:val="true"/>
          <w:lang w:bidi="ar-SA"/>
        </w:rPr>
        <w:t xml:space="preserve">) </w:t>
      </w:r>
      <w:r>
        <w:rPr>
          <w:rStyle w:val="FootnoteAnchor"/>
          <w:rtl w:val="true"/>
        </w:rPr>
        <w:footnoteReference w:id="3481"/>
      </w:r>
      <w:r>
        <w:rPr>
          <w:rFonts w:ascii="Amiri" w:hAnsi="Amiri" w:eastAsia="Amiri" w:cs="Amiri"/>
          <w:color w:val="111111"/>
          <w:sz w:val="28"/>
          <w:sz w:val="28"/>
          <w:szCs w:val="28"/>
          <w:rtl w:val="true"/>
          <w:lang w:bidi="ar-SA"/>
        </w:rPr>
        <w:t xml:space="preserve">في البراءة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3482"/>
      </w:r>
      <w:r>
        <w:rPr>
          <w:rFonts w:ascii="Amiri" w:hAnsi="Amiri" w:eastAsia="Amiri" w:cs="Amiri"/>
          <w:color w:val="111111"/>
          <w:sz w:val="28"/>
          <w:sz w:val="28"/>
          <w:szCs w:val="28"/>
          <w:rtl w:val="true"/>
          <w:lang w:bidi="ar-SA"/>
        </w:rPr>
        <w:t>في أصالة الطهارة ، فإنّ ظاهر هذه الأدلّة جريان الأصول عند عدم العلم بالخلاف ، وذلك لا ينافي العلم بالوفاق ، فيمكن الترجيح بهذه الأصول ؛ إذ لا مانع من ذلك بعد تحقّق مورد الأصل وجريانه</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كلام ظاهري خال عن التحصيل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جريان الأصل في مورد </w:t>
      </w:r>
    </w:p>
    <w:p>
      <w:pPr>
        <w:pStyle w:val="BookText"/>
        <w:rPr/>
      </w:pPr>
      <w:r>
        <w:rPr>
          <w:rFonts w:ascii="Amiri" w:hAnsi="Amiri" w:eastAsia="Amiri" w:cs="Amiri"/>
          <w:color w:val="111111"/>
          <w:sz w:val="28"/>
          <w:sz w:val="28"/>
          <w:szCs w:val="28"/>
          <w:rtl w:val="true"/>
          <w:lang w:bidi="ar-SA"/>
        </w:rPr>
        <w:t>التعارض على ما ذكر أيضا ؛ إذ لا أقلّ من اعتبار عدم العلم بالخلاف في مجرى الأصل ، وذلك أيضا غير معلوم في محلّ التعارض ؛ لأنّ الخبر المخالف للأصل ما لم يحكم بسقوطه ، فلا يعلم عدم العلم بخلاف الأصل فلا يعلم بتحقّق مورد الأصل ولا يحكم بسقوطه ما لم يعلم بترجيح معارضه عليه ، فيلزم توقّف الجريان عليه ، وهو محال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الوجه في عدم الترجيح على ما عرفت هو عدم حصول التقوية بالأصل لأحد الدليلين ؛ لاختلاف مفادهما من حيث إنّ مفاد الأصل هو حكم الواقعة المشكوكة من حيث إنّها مشكوكة ومفاد الخبر هو الحكم الواقعي لها ، وما ذكر في وجه التفصيل ممّا لا ينهض </w:t>
      </w:r>
      <w:r>
        <w:rPr>
          <w:rStyle w:val="FootnoteAnchor"/>
          <w:rtl w:val="true"/>
        </w:rPr>
        <w:footnoteReference w:id="3483"/>
      </w:r>
      <w:r>
        <w:rPr>
          <w:rFonts w:ascii="Amiri" w:hAnsi="Amiri" w:eastAsia="Amiri" w:cs="Amiri"/>
          <w:color w:val="111111"/>
          <w:sz w:val="28"/>
          <w:sz w:val="28"/>
          <w:szCs w:val="28"/>
          <w:rtl w:val="true"/>
          <w:lang w:bidi="ar-SA"/>
        </w:rPr>
        <w:t>بدفع هذا الوجه بوجه ، فهو خارج عن قانون التوجيه ؛ إذ اللازم للمفصّل دفع ما جعله النافي وجها للنفي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بإطلاق أخبار التخيير لا الترجيح بالأصل ، ولا الحكم بالتساقط والرجوع إلى الأصل ، أمّا الأوّل فلما عرفت ، وأمّا الثاني فلقول الرضا عليه آلاف التحية والثناء فيما رواه الطبرسي في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تعلم فموسّع عليك بأيّهما أخذت </w:t>
      </w:r>
      <w:r>
        <w:rPr>
          <w:rFonts w:eastAsia="Amiri" w:cs="Amiri" w:ascii="Amiri" w:hAnsi="Amiri"/>
          <w:color w:val="111111"/>
          <w:sz w:val="28"/>
          <w:szCs w:val="28"/>
          <w:rtl w:val="true"/>
          <w:lang w:bidi="ar-SA"/>
        </w:rPr>
        <w:t xml:space="preserve">» </w:t>
      </w:r>
      <w:r>
        <w:rPr>
          <w:rStyle w:val="FootnoteAnchor"/>
          <w:rtl w:val="true"/>
        </w:rPr>
        <w:footnoteReference w:id="3484"/>
      </w:r>
      <w:r>
        <w:rPr>
          <w:rFonts w:ascii="Amiri" w:hAnsi="Amiri" w:eastAsia="Amiri" w:cs="Amiri"/>
          <w:color w:val="111111"/>
          <w:sz w:val="28"/>
          <w:sz w:val="28"/>
          <w:szCs w:val="28"/>
          <w:rtl w:val="true"/>
          <w:lang w:bidi="ar-SA"/>
        </w:rPr>
        <w:t xml:space="preserve">وفي المرفوعة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فتخيّر أحدهما فتأخذ به وتدع الآخر </w:t>
      </w:r>
      <w:r>
        <w:rPr>
          <w:rFonts w:eastAsia="Amiri" w:cs="Amiri" w:ascii="Amiri" w:hAnsi="Amiri"/>
          <w:color w:val="111111"/>
          <w:sz w:val="28"/>
          <w:szCs w:val="28"/>
          <w:rtl w:val="true"/>
          <w:lang w:bidi="ar-SA"/>
        </w:rPr>
        <w:t xml:space="preserve">» </w:t>
      </w:r>
      <w:r>
        <w:rPr>
          <w:rStyle w:val="FootnoteAnchor"/>
          <w:rtl w:val="true"/>
        </w:rPr>
        <w:footnoteReference w:id="3485"/>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محاسن الاتّفاق أنّ الإمام عليه‌السلام حكم بالتخيير في مورد الأصل ، كما في صحيحة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لعبد اللّه بن محمّد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رواياتهم عن أبي عبد اللّه عليه‌السلام في ركعتي الفجر في السفر فروى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w:t>
      </w:r>
      <w:r>
        <w:rPr>
          <w:rStyle w:val="FootnoteAnchor"/>
          <w:rtl w:val="true"/>
        </w:rPr>
        <w:footnoteReference w:id="3486"/>
      </w:r>
      <w:r>
        <w:rPr>
          <w:rFonts w:ascii="Amiri" w:hAnsi="Amiri" w:eastAsia="Amiri" w:cs="Amiri"/>
          <w:color w:val="111111"/>
          <w:sz w:val="28"/>
          <w:sz w:val="28"/>
          <w:szCs w:val="28"/>
          <w:rtl w:val="true"/>
          <w:lang w:bidi="ar-SA"/>
        </w:rPr>
        <w:t xml:space="preserve">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يصلّيها إلاّ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فأعلمني كيف أصنع؟ وأعلمني </w:t>
      </w:r>
      <w:r>
        <w:rPr>
          <w:rStyle w:val="FootnoteAnchor"/>
          <w:rtl w:val="true"/>
        </w:rPr>
        <w:footnoteReference w:id="3487"/>
      </w:r>
      <w:r>
        <w:rPr>
          <w:rFonts w:ascii="Amiri" w:hAnsi="Amiri" w:eastAsia="Amiri" w:cs="Amiri"/>
          <w:color w:val="111111"/>
          <w:sz w:val="28"/>
          <w:sz w:val="28"/>
          <w:szCs w:val="28"/>
          <w:rtl w:val="true"/>
          <w:lang w:bidi="ar-SA"/>
        </w:rPr>
        <w:t xml:space="preserve">كيف تصنع أنت لأقتدي بك؟ فوقّع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موسّع عليك بأيّة </w:t>
      </w:r>
    </w:p>
    <w:p>
      <w:pPr>
        <w:pStyle w:val="BookText"/>
        <w:rPr/>
      </w:pPr>
      <w:r>
        <w:rPr>
          <w:rFonts w:ascii="IRNazanin" w:hAnsi="IRNazanin" w:eastAsia="IRNazanin"/>
          <w:color w:val="111111"/>
          <w:sz w:val="28"/>
          <w:sz w:val="28"/>
          <w:szCs w:val="28"/>
          <w:rtl w:val="true"/>
          <w:lang w:bidi="fa-IR"/>
        </w:rPr>
        <w:t xml:space="preserve">عملت </w:t>
      </w:r>
      <w:r>
        <w:rPr>
          <w:rFonts w:eastAsia="IRNazanin" w:cs="IRNazanin"/>
          <w:color w:val="111111"/>
          <w:sz w:val="28"/>
          <w:szCs w:val="28"/>
          <w:rtl w:val="true"/>
          <w:lang w:bidi="fa-IR"/>
        </w:rPr>
        <w:t xml:space="preserve">» </w:t>
      </w:r>
      <w:r>
        <w:rPr>
          <w:rStyle w:val="FootnoteAnchor"/>
          <w:rtl w:val="true"/>
        </w:rPr>
        <w:footnoteReference w:id="3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رواه في الوسائل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عليّ الطبرسي في الاحتجاج في جواب مكاتبة محمّد بن عبد اللّه بن جعفر الحميري إلى صاحب الزمان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w:t>
      </w:r>
      <w:r>
        <w:rPr>
          <w:rStyle w:val="FootnoteAnchor"/>
          <w:rtl w:val="true"/>
        </w:rPr>
        <w:footnoteReference w:id="3489"/>
      </w:r>
      <w:r>
        <w:rPr>
          <w:rFonts w:ascii="Amiri" w:hAnsi="Amiri" w:eastAsia="Amiri" w:cs="Amiri"/>
          <w:color w:val="111111"/>
          <w:sz w:val="28"/>
          <w:sz w:val="28"/>
          <w:szCs w:val="28"/>
          <w:rtl w:val="true"/>
          <w:lang w:bidi="ar-SA"/>
        </w:rPr>
        <w:t xml:space="preserve">عن المصلّي إذا قام من التشهد الأوّل إلى الركعة الثالثة هل يجب عليه أن يكبّر؟ إلى أن قال عليه‌السلام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حديثين أمّا أحدهما فإنّه إذا انتقل من حالة إلى </w:t>
      </w:r>
      <w:r>
        <w:rPr>
          <w:rStyle w:val="FootnoteAnchor"/>
          <w:rtl w:val="true"/>
        </w:rPr>
        <w:footnoteReference w:id="3490"/>
      </w:r>
      <w:r>
        <w:rPr>
          <w:rFonts w:ascii="Amiri" w:hAnsi="Amiri" w:eastAsia="Amiri" w:cs="Amiri"/>
          <w:color w:val="111111"/>
          <w:sz w:val="28"/>
          <w:sz w:val="28"/>
          <w:szCs w:val="28"/>
          <w:rtl w:val="true"/>
          <w:lang w:bidi="ar-SA"/>
        </w:rPr>
        <w:t xml:space="preserve">حالة أخرى فعليه التكبير ، وأمّا الآخر فإنّه روي أنّه إذا رفع رأسه من السجدة الثانية فكبّر ، ثمّ جلس ، ثمّ قام ، فليس عليه في القيام بعد القعود تكبير وكذلك التشهّد الأوّل يجري هذا المجرى ، وبأيّهما أخذت من باب التسليم كان صوابا </w:t>
      </w:r>
      <w:r>
        <w:rPr>
          <w:rFonts w:eastAsia="Amiri" w:cs="Amiri" w:ascii="Amiri" w:hAnsi="Amiri"/>
          <w:color w:val="111111"/>
          <w:sz w:val="28"/>
          <w:szCs w:val="28"/>
          <w:rtl w:val="true"/>
          <w:lang w:bidi="ar-SA"/>
        </w:rPr>
        <w:t xml:space="preserve">» </w:t>
      </w:r>
      <w:r>
        <w:rPr>
          <w:rStyle w:val="FootnoteAnchor"/>
          <w:rtl w:val="true"/>
        </w:rPr>
        <w:footnoteReference w:id="3491"/>
      </w:r>
      <w:r>
        <w:rPr>
          <w:rFonts w:ascii="Amiri" w:hAnsi="Amiri" w:eastAsia="Amiri" w:cs="Amiri"/>
          <w:color w:val="111111"/>
          <w:sz w:val="28"/>
          <w:sz w:val="28"/>
          <w:szCs w:val="28"/>
          <w:rtl w:val="true"/>
          <w:lang w:bidi="ar-SA"/>
        </w:rPr>
        <w:t xml:space="preserve">فإنّ مفاد الخبر القائل بجواز الصلاة في المحمل مطابق للأصل وقد حكم الإمام عليه‌السلام بالتخيير ، كما أنّ الرواية الدالّة على عدم ثبوت التكبير موافقة للأصل وقد </w:t>
      </w:r>
      <w:r>
        <w:rPr>
          <w:rStyle w:val="FootnoteAnchor"/>
          <w:rtl w:val="true"/>
        </w:rPr>
        <w:footnoteReference w:id="3492"/>
      </w:r>
      <w:r>
        <w:rPr>
          <w:rFonts w:ascii="Amiri" w:hAnsi="Amiri" w:eastAsia="Amiri" w:cs="Amiri"/>
          <w:color w:val="111111"/>
          <w:sz w:val="28"/>
          <w:sz w:val="28"/>
          <w:szCs w:val="28"/>
          <w:rtl w:val="true"/>
          <w:lang w:bidi="ar-SA"/>
        </w:rPr>
        <w:t>أفاد عليه‌السلام بالتخيير ، اللّهمّ إلاّ أن يكون الخبران واردين في بيان الحكم الواقعي في نفس الواقعة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الرواية الأخيرة يمكن أن يستشكل فيها بأنّ سياق الجواب فيها ممّا لا يشاكل كلام الأئمّة عليهم‌السلام فإنّه ليس شأنهم الاجتهاد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ظَنُّ الَّذِينَ كَفَرُوا </w:t>
      </w:r>
      <w:r>
        <w:rPr>
          <w:rFonts w:eastAsia="Amiri" w:cs="Amiri" w:ascii="Amiri" w:hAnsi="Amiri"/>
          <w:color w:val="111111"/>
          <w:sz w:val="28"/>
          <w:szCs w:val="28"/>
          <w:rtl w:val="true"/>
          <w:lang w:bidi="ar-SA"/>
        </w:rPr>
        <w:t xml:space="preserve">) </w:t>
      </w:r>
      <w:r>
        <w:rPr>
          <w:rStyle w:val="FootnoteAnchor"/>
          <w:rtl w:val="true"/>
        </w:rPr>
        <w:footnoteReference w:id="3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عنه بأنّهم قد يستعملون هذه الوجوه إراءة لشيعتهم طريق الاجتهاد وسبيل الاستنباط</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ما يدلّ على تكرار التكبير في كلّ انتقال وبين ما دلّ </w:t>
      </w:r>
    </w:p>
    <w:p>
      <w:pPr>
        <w:pStyle w:val="BookText"/>
        <w:rPr/>
      </w:pPr>
      <w:r>
        <w:rPr>
          <w:rFonts w:ascii="Amiri" w:hAnsi="Amiri" w:eastAsia="Amiri" w:cs="Amiri"/>
          <w:color w:val="111111"/>
          <w:sz w:val="28"/>
          <w:sz w:val="28"/>
          <w:szCs w:val="28"/>
          <w:rtl w:val="true"/>
          <w:lang w:bidi="ar-SA"/>
        </w:rPr>
        <w:t>على عدم لزومه بعد السجدة الثانية عموم مطلق ، وقضيّة ذلك هو الحمل دون التخيير ، وقد يتعسّف في دفعه بأنّ العامّ لعلّه كان غير قابل للتخصيص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بموافقة الحظر والإباحة وقد عرفت فيما قدّمنا لك أن لا محصّل لهذا الترجيح ، ومع ذلك فلا يخلو كلماتهم عن تشويش وتناقض أيضا فإنّ اختلافهم في تلك المسألة إلى الأقوال المختلفة وانحصار القول في هذه المسألة مع كونها من جزئيات تلك المسألة ممّا لم نعرف له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w:t>
      </w:r>
      <w:r>
        <w:rPr>
          <w:rStyle w:val="FootnoteAnchor"/>
          <w:rtl w:val="true"/>
        </w:rPr>
        <w:footnoteReference w:id="3494"/>
      </w:r>
      <w:r>
        <w:rPr>
          <w:rFonts w:ascii="Amiri" w:hAnsi="Amiri" w:eastAsia="Amiri" w:cs="Amiri"/>
          <w:color w:val="111111"/>
          <w:sz w:val="28"/>
          <w:sz w:val="28"/>
          <w:szCs w:val="28"/>
          <w:rtl w:val="true"/>
          <w:lang w:bidi="ar-SA"/>
        </w:rPr>
        <w:t xml:space="preserve">أنّ أقوال تلك المسألة تنطبق على مسألة الأخذ بالأحدث وإنّما راموا بالموافقة </w:t>
      </w:r>
      <w:r>
        <w:rPr>
          <w:rStyle w:val="FootnoteAnchor"/>
          <w:rtl w:val="true"/>
        </w:rPr>
        <w:footnoteReference w:id="3495"/>
      </w:r>
      <w:r>
        <w:rPr>
          <w:rFonts w:ascii="Amiri" w:hAnsi="Amiri" w:eastAsia="Amiri" w:cs="Amiri"/>
          <w:color w:val="111111"/>
          <w:sz w:val="28"/>
          <w:sz w:val="28"/>
          <w:szCs w:val="28"/>
          <w:rtl w:val="true"/>
          <w:lang w:bidi="ar-SA"/>
        </w:rPr>
        <w:t>والمخالفة تشخيص الصغرى ، كما ينادي بذلك ما عرفت من الأدلّة التي تمسّك بها أصحابها ، وهذه المسألة إنّما يلاحظ فيها مطابقة الرواية للاحتياط كما ورد به المرفوعة ، فلا غائلة في اختلاف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يشكل </w:t>
      </w:r>
      <w:r>
        <w:rPr>
          <w:rStyle w:val="FootnoteAnchor"/>
          <w:rtl w:val="true"/>
        </w:rPr>
        <w:footnoteReference w:id="3496"/>
      </w:r>
      <w:r>
        <w:rPr>
          <w:rFonts w:ascii="Amiri" w:hAnsi="Amiri" w:eastAsia="Amiri" w:cs="Amiri"/>
          <w:color w:val="111111"/>
          <w:sz w:val="28"/>
          <w:sz w:val="28"/>
          <w:szCs w:val="28"/>
          <w:rtl w:val="true"/>
          <w:lang w:bidi="ar-SA"/>
        </w:rPr>
        <w:t xml:space="preserve">المقام بأنّ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بتقديم الحظر في المقام ، وهذا ينافي ما هو المعروف من مذهب المجتهدين من الأخذ بالبراءة فيما تعارض فيه النصّان وعدم الأخذ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 أيضا ظاهر ؛ إذ لم يعلم ذهاب المجتهدين من أصحابنا في المقام أيضا إلى الاحتياط ، بل المختار هو التخيير كما هو ظاهر ، فلا تناقض أيضا</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يتمسّك في ذلك بما اشتهر عندهم من أنّ دفع المضرّة أولى من جلب المنفعة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اجتمع الحلال والحرام إلاّ وقد غلب الحرام الحلال </w:t>
      </w:r>
      <w:r>
        <w:rPr>
          <w:rFonts w:eastAsia="Amiri" w:cs="Amiri" w:ascii="Amiri" w:hAnsi="Amiri"/>
          <w:color w:val="111111"/>
          <w:sz w:val="28"/>
          <w:szCs w:val="28"/>
          <w:rtl w:val="true"/>
          <w:lang w:bidi="ar-SA"/>
        </w:rPr>
        <w:t xml:space="preserve">» </w:t>
      </w:r>
      <w:r>
        <w:rPr>
          <w:rStyle w:val="FootnoteAnchor"/>
          <w:rtl w:val="true"/>
        </w:rPr>
        <w:footnoteReference w:id="3497"/>
      </w:r>
      <w:r>
        <w:rPr>
          <w:rFonts w:ascii="Amiri" w:hAnsi="Amiri" w:eastAsia="Amiri" w:cs="Amiri"/>
          <w:color w:val="111111"/>
          <w:sz w:val="28"/>
          <w:sz w:val="28"/>
          <w:szCs w:val="28"/>
          <w:rtl w:val="true"/>
          <w:lang w:bidi="ar-SA"/>
        </w:rPr>
        <w:t>، ولا يستقيم شيء منهما ؛ لعدم قطع العقل بالأوّل ، نعم ربّما يستحسنه العقول وليس بذلك البعيد كما أومأنا إليه في مباحث البراءة ، وعدم دلالة الثاني ؛ لظهوره في الشبهات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مفاد أحد الخبرين حكما وضعيا فيرجّح على ما هو مفاده حكم تكليفي ، والمستند في ذلك عدم احتياج الأوّل إلى الفهم بخلاف الثاني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فيرجّح الثاني على الأوّل ؛ لأنّه يترتّب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هذه الوجوه ممّا لا يكاد يخفى على ذي فطنة ؛ إذ قدّمنا في بعض مباحث الاستصحاب ما يغني عن إطالة الكلام في المقام ، وعلى التنزّل فهذه الاعتبارات الضعيفة ممّا لا دليل على اعتبارها ، فإطلاق أخبار التخيير في محلّه وقد ذكروا أمورا ليس شيء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الترجيح بالمرجّحات هذه ليس كالترجيح بالشهرة ونحوها فإنّها ليست أمارة على الحكم في نفسها كما في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فالمرجّحات المضمونية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ما يكون من الأمارات على الأحكام كالشهرة والاستقراء ونحوهما ، وقسم لا يكون كذلك كموافقة الأصل وكون مفاد أحد الخبرين حكما وضعيا وأمثال ذلك ، وقد عرفت الكلام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فلا بدّ من تفصيل الكلام فيه أيضا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الأمارات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اعتبارها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ذلك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عدم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فلا إشكال في حصول الترجيح بها بعد القول بها ؛ إذ كثرة الأدلّة معتبرة في مقام الترجيح ، وعلى الثاني فالقول بالترجيح بها موكول إلى ما قدّمنا من اعتبار مطلق الظنّ في مقام الترجيح وعدمه ، وعلى الثالث كما في القياس وأضرابه من الظنون التي دلّ الدليل على عدم اعتبارها فهل يصحّ </w:t>
      </w:r>
      <w:r>
        <w:rPr>
          <w:rStyle w:val="FootnoteAnchor"/>
          <w:rtl w:val="true"/>
        </w:rPr>
        <w:footnoteReference w:id="3498"/>
      </w:r>
      <w:r>
        <w:rPr>
          <w:rFonts w:ascii="Amiri" w:hAnsi="Amiri" w:eastAsia="Amiri" w:cs="Amiri"/>
          <w:color w:val="111111"/>
          <w:sz w:val="28"/>
          <w:sz w:val="28"/>
          <w:szCs w:val="28"/>
          <w:rtl w:val="true"/>
          <w:lang w:bidi="ar-SA"/>
        </w:rPr>
        <w:t xml:space="preserve">التعويل عليها في مقام الترجيح ، أو لا؟ قولان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قدّس اللّه نفسه الزكية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ذاهب إلى أنّ الخبرين إذا تعارضا وكان القياس موافقا لما تضمّنه أحدهما كان ذلك وجها يقتضي ترجيح ذلك الخبر </w:t>
      </w:r>
    </w:p>
    <w:p>
      <w:pPr>
        <w:pStyle w:val="BookText"/>
        <w:rPr/>
      </w:pPr>
      <w:r>
        <w:rPr>
          <w:rFonts w:ascii="Amiri" w:hAnsi="Amiri" w:eastAsia="Amiri" w:cs="Amiri"/>
          <w:color w:val="111111"/>
          <w:sz w:val="28"/>
          <w:sz w:val="28"/>
          <w:szCs w:val="28"/>
          <w:rtl w:val="true"/>
          <w:lang w:bidi="ar-SA"/>
        </w:rPr>
        <w:t xml:space="preserve">على معارضه ، ويمكن أن يحتجّ لذلك بأنّ الحقّ في أحد الخبرين فلا يمكن </w:t>
      </w:r>
      <w:r>
        <w:rPr>
          <w:rStyle w:val="FootnoteAnchor"/>
          <w:rtl w:val="true"/>
        </w:rPr>
        <w:footnoteReference w:id="3499"/>
      </w:r>
      <w:r>
        <w:rPr>
          <w:rFonts w:ascii="Amiri" w:hAnsi="Amiri" w:eastAsia="Amiri" w:cs="Amiri"/>
          <w:color w:val="111111"/>
          <w:sz w:val="28"/>
          <w:sz w:val="28"/>
          <w:szCs w:val="28"/>
          <w:rtl w:val="true"/>
          <w:lang w:bidi="ar-SA"/>
        </w:rPr>
        <w:t>العمل بهما ولا طرحهما ، فتعيّن أن يعمل بأحدهما ، وإذا كان التقدير تقدير التعارض فلا بدّ من العمل بأحدهما من مرجّح والقياس ممّا يصلح أن يكون مرجّحا لحصول الظنّ به ، فتعيّن العمل بما 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أجمعنا على أنّ القياس مطروح في الشريعة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ليس بدليل على الحكم لا بمعنى أنّه لا يكون مرجّحا لأحد الخبرين على الآخر ، وهذا لأنّ فائدة كونه مرجّحا كونه دافعا </w:t>
      </w:r>
      <w:r>
        <w:rPr>
          <w:rStyle w:val="FootnoteAnchor"/>
          <w:rtl w:val="true"/>
        </w:rPr>
        <w:footnoteReference w:id="3500"/>
      </w:r>
      <w:r>
        <w:rPr>
          <w:rFonts w:ascii="Amiri" w:hAnsi="Amiri" w:eastAsia="Amiri" w:cs="Amiri"/>
          <w:color w:val="111111"/>
          <w:sz w:val="28"/>
          <w:sz w:val="28"/>
          <w:szCs w:val="28"/>
          <w:rtl w:val="true"/>
          <w:lang w:bidi="ar-SA"/>
        </w:rPr>
        <w:t xml:space="preserve">للعمل بالخبر المرجوح ، فيعود الراجح كالخبر السليم عن المعارض ويكون العمل به لا بذلك القياس ، وفي ذلك نظر </w:t>
      </w:r>
      <w:r>
        <w:rPr>
          <w:rStyle w:val="FootnoteAnchor"/>
          <w:rtl w:val="true"/>
        </w:rPr>
        <w:footnoteReference w:id="3501"/>
      </w:r>
      <w:r>
        <w:rPr>
          <w:rFonts w:ascii="Amiri" w:hAnsi="Amiri" w:eastAsia="Amiri" w:cs="Amiri"/>
          <w:color w:val="111111"/>
          <w:sz w:val="28"/>
          <w:sz w:val="28"/>
          <w:szCs w:val="28"/>
          <w:rtl w:val="true"/>
          <w:lang w:bidi="ar-SA"/>
        </w:rPr>
        <w:t>، انتهى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الحقيق بالتصديق هو أنّ ما ذهب إليه الذاهب ممّا لا ينبغي أن يصغى إليه ولا أن يكون مسرحا لأنظار العلماء ، فإنّ بداهة </w:t>
      </w:r>
      <w:r>
        <w:rPr>
          <w:rStyle w:val="FootnoteAnchor"/>
          <w:rtl w:val="true"/>
        </w:rPr>
        <w:footnoteReference w:id="3502"/>
      </w:r>
      <w:r>
        <w:rPr>
          <w:rFonts w:ascii="Amiri" w:hAnsi="Amiri" w:eastAsia="Amiri" w:cs="Amiri"/>
          <w:color w:val="111111"/>
          <w:sz w:val="28"/>
          <w:sz w:val="28"/>
          <w:szCs w:val="28"/>
          <w:rtl w:val="true"/>
          <w:lang w:bidi="ar-SA"/>
        </w:rPr>
        <w:t xml:space="preserve">بطلان التعويل على القياس على أيّ وجه يقاس ممّا لا ينبغي أن يقاس بأجلى الضروريات وأوّل البديهيات في مذهب القائلين بإمامة الأئمّة عليهم أفضل الصلاة والسلام ومع ذلك فحيث إنّ المحقّق مع جلالة قدره وعظم مرتبته قد تصدّى لذكره ، فنحن اقتفاء له بخيل الطرف في هذا الميدان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فساد ما ذهب إليه 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وإخواننا عن أمثال هذه المذاهب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المحقّة بأجمعهم على ترك التعويل عليه والركون إليه ، وبذلك يشهد كلّ موافق ومخالف ويذعن كلّ منافق ومؤالف وبهذا كانوا معروفين عند خصومهم ويبرءون </w:t>
      </w:r>
      <w:r>
        <w:rPr>
          <w:rStyle w:val="FootnoteAnchor"/>
          <w:rtl w:val="true"/>
        </w:rPr>
        <w:footnoteReference w:id="3503"/>
      </w:r>
      <w:r>
        <w:rPr>
          <w:rFonts w:ascii="Amiri" w:hAnsi="Amiri" w:eastAsia="Amiri" w:cs="Amiri"/>
          <w:color w:val="111111"/>
          <w:sz w:val="28"/>
          <w:sz w:val="28"/>
          <w:szCs w:val="28"/>
          <w:rtl w:val="true"/>
          <w:lang w:bidi="ar-SA"/>
        </w:rPr>
        <w:t xml:space="preserve">ممّن زعم ذلك حتّى أنّهم تركوا بعض من ربّما يظهر منه الميل إليه ، وقصّة هجر بعض الكتب المنسوب إلى بعض أصحاب هذا القول معروفة إلى أن صار </w:t>
      </w:r>
    </w:p>
    <w:p>
      <w:pPr>
        <w:pStyle w:val="BookText"/>
        <w:rPr/>
      </w:pPr>
      <w:r>
        <w:rPr>
          <w:rFonts w:ascii="Amiri" w:hAnsi="Amiri" w:eastAsia="Amiri" w:cs="Amiri"/>
          <w:color w:val="111111"/>
          <w:sz w:val="28"/>
          <w:sz w:val="28"/>
          <w:szCs w:val="28"/>
          <w:rtl w:val="true"/>
          <w:lang w:bidi="ar-SA"/>
        </w:rPr>
        <w:t>الأمر بمرتبة لم يمكن إنكار 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والذاهب إن زعم أنّ الترجيح به ليس تعويلا عليه والقدر المعلوم من بطلانه هو ما إذا كان القياس دليلا لأحد طرفي الحكم في الواقعة فبعد أنّ ذلك فاسد في نفسه والمدّعي لذلك لا بدّ له من الرجوع إلى كلمات الأصحاب في المسائل الفقهية كي يتّضح له الحال ويظهر له صدق المقال </w:t>
      </w:r>
      <w:r>
        <w:rPr>
          <w:rStyle w:val="FootnoteAnchor"/>
          <w:rtl w:val="true"/>
        </w:rPr>
        <w:footnoteReference w:id="3504"/>
      </w:r>
      <w:r>
        <w:rPr>
          <w:rFonts w:ascii="Amiri" w:hAnsi="Amiri" w:eastAsia="Amiri" w:cs="Amiri"/>
          <w:color w:val="111111"/>
          <w:sz w:val="28"/>
          <w:sz w:val="28"/>
          <w:szCs w:val="28"/>
          <w:rtl w:val="true"/>
          <w:lang w:bidi="ar-SA"/>
        </w:rPr>
        <w:t>، فإنّا بعد ما استقصينا التتبّع في مطاويها واستوفينا التصفّح في تضاعيفها ما وقفنا على مورد اتّكل فيه الأصحاب في مقام الترجيح عليه على وجه يظهر منه إعراضهم عنه ؛ إذ كثيرا ما لا يكون المورد خاليا عن قياس معتبر عند العامل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w:t>
      </w:r>
      <w:r>
        <w:rPr>
          <w:rStyle w:val="FootnoteAnchor"/>
          <w:rtl w:val="true"/>
        </w:rPr>
        <w:footnoteReference w:id="3505"/>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بالقياس يرجع إلى التعويل عليه والأخذ به دليلا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أنّ الوجه في تقديم الخبر الموافق للقياس وطرح الآخر هو القياس ، ولا معنى للأخذ بشيء دليلا إلاّ جعله مناطا لحكم على وجه يرتفع به الأصل المحكّم في محلّ ذلك الحكم لولاه ، والأصل في المسألة الأصولية على ما يفيده الأخبار هو التخيير أو التوقّف ، فلو لم يكن القياس دليلا في المسألة الأصولية لم يجز رفع اليد عن الأصل المذكور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ليس بدليل مسلّم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به راجع إلى اعتقاد كونه دليلا</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في المسألة الفرعية أيضا مستند إليه فإنّ في دفع المعارضات وتوضيح الدلالات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يتوقف تمامية الدليل الشرعي عليه من الأصول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مدخلا في الحكم الشرعي الفرعي المستنبط من الدليل ، بل </w:t>
      </w:r>
      <w:r>
        <w:rPr>
          <w:rStyle w:val="FootnoteAnchor"/>
          <w:rtl w:val="true"/>
        </w:rPr>
        <w:footnoteReference w:id="3506"/>
      </w:r>
      <w:r>
        <w:rPr>
          <w:rFonts w:ascii="Amiri" w:hAnsi="Amiri" w:eastAsia="Amiri" w:cs="Amiri"/>
          <w:color w:val="111111"/>
          <w:sz w:val="28"/>
          <w:sz w:val="28"/>
          <w:szCs w:val="28"/>
          <w:rtl w:val="true"/>
          <w:lang w:bidi="ar-SA"/>
        </w:rPr>
        <w:t xml:space="preserve">ربّما يكون الحكم في العادة مستندا إلى القياس بتمامه من حيث استناد الحكم المعلول إلى ما هو الأخير من أجزاء علّته التامّة كما يقضي بذلك العرف والعادة ، وهل ذلك إلاّ افتراء </w:t>
      </w:r>
    </w:p>
    <w:p>
      <w:pPr>
        <w:pStyle w:val="BookText"/>
        <w:rPr/>
      </w:pPr>
      <w:r>
        <w:rPr>
          <w:rFonts w:ascii="Amiri" w:hAnsi="Amiri" w:eastAsia="Amiri" w:cs="Amiri"/>
          <w:color w:val="111111"/>
          <w:sz w:val="28"/>
          <w:sz w:val="28"/>
          <w:szCs w:val="28"/>
          <w:rtl w:val="true"/>
          <w:lang w:bidi="ar-SA"/>
        </w:rPr>
        <w:t>على اللّه؟</w:t>
      </w:r>
    </w:p>
    <w:p>
      <w:pPr>
        <w:pStyle w:val="BookText"/>
        <w:rPr/>
      </w:pPr>
      <w:r>
        <w:rPr>
          <w:rFonts w:ascii="Amiri" w:hAnsi="Amiri" w:eastAsia="Amiri" w:cs="Amiri"/>
          <w:color w:val="111111"/>
          <w:sz w:val="28"/>
          <w:sz w:val="28"/>
          <w:szCs w:val="28"/>
          <w:rtl w:val="true"/>
          <w:lang w:bidi="ar-SA"/>
        </w:rPr>
        <w:t xml:space="preserve">وإن زعم أنّ أمر الترجيح ممّا قد يتساهل فيه كما زعمه بعض الأفاضل </w:t>
      </w:r>
      <w:r>
        <w:rPr>
          <w:rStyle w:val="FootnoteAnchor"/>
          <w:rtl w:val="true"/>
        </w:rPr>
        <w:footnoteReference w:id="3507"/>
      </w:r>
      <w:r>
        <w:rPr>
          <w:rFonts w:ascii="Amiri" w:hAnsi="Amiri" w:eastAsia="Amiri" w:cs="Amiri"/>
          <w:color w:val="111111"/>
          <w:sz w:val="28"/>
          <w:sz w:val="28"/>
          <w:szCs w:val="28"/>
          <w:rtl w:val="true"/>
          <w:lang w:bidi="ar-SA"/>
        </w:rPr>
        <w:t xml:space="preserve">فيما نبّهنا عليه في بعض مباحث الظنّ </w:t>
      </w:r>
      <w:r>
        <w:rPr>
          <w:rStyle w:val="FootnoteAnchor"/>
          <w:rtl w:val="true"/>
        </w:rPr>
        <w:footnoteReference w:id="3508"/>
      </w:r>
      <w:r>
        <w:rPr>
          <w:rFonts w:ascii="Amiri" w:hAnsi="Amiri" w:eastAsia="Amiri" w:cs="Amiri"/>
          <w:color w:val="111111"/>
          <w:sz w:val="28"/>
          <w:sz w:val="28"/>
          <w:szCs w:val="28"/>
          <w:rtl w:val="true"/>
          <w:lang w:bidi="ar-SA"/>
        </w:rPr>
        <w:t>، فيمكن الاعتماد فيه بأمور لا يجوز التعويل عليه في غير مقام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زعم باطل وتوهّم عاطل قد برهنّا على فساده فيما سلف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w:t>
      </w:r>
      <w:r>
        <w:rPr>
          <w:rStyle w:val="FootnoteAnchor"/>
          <w:rtl w:val="true"/>
        </w:rPr>
        <w:footnoteReference w:id="3509"/>
      </w:r>
      <w:r>
        <w:rPr>
          <w:rFonts w:ascii="Amiri" w:hAnsi="Amiri" w:eastAsia="Amiri" w:cs="Amiri"/>
          <w:color w:val="111111"/>
          <w:sz w:val="28"/>
          <w:sz w:val="28"/>
          <w:szCs w:val="28"/>
          <w:rtl w:val="true"/>
          <w:lang w:bidi="ar-SA"/>
        </w:rPr>
        <w:t xml:space="preserve">، بل المتواترة القائلة بأنّ دين اللّه لا يصاب بالعقول ، وأنّه ليس شيء أبعد في </w:t>
      </w:r>
      <w:r>
        <w:rPr>
          <w:rStyle w:val="FootnoteAnchor"/>
          <w:rtl w:val="true"/>
        </w:rPr>
        <w:footnoteReference w:id="3510"/>
      </w:r>
      <w:r>
        <w:rPr>
          <w:rFonts w:ascii="Amiri" w:hAnsi="Amiri" w:eastAsia="Amiri" w:cs="Amiri"/>
          <w:color w:val="111111"/>
          <w:sz w:val="28"/>
          <w:sz w:val="28"/>
          <w:szCs w:val="28"/>
          <w:rtl w:val="true"/>
          <w:lang w:bidi="ar-SA"/>
        </w:rPr>
        <w:t>دين اللّه من عقول الرجال ، وأنّ في القياس محق الدين وفساد شريعة سيّد المرسلين ، وأنّه ليس على دين الرسول من استعمل القياس فيه ، وأنّ مقاييس الأوهام تقصر عن إدراك المطالب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يخفى أنّ الأخذ بالقياس في مقام الترجيح استعمال للقياس في الدين ، وليس المذكور في عناوين هذه الروايات لفظ الدليل حتّى يتوهّم الذاهب أنّه ليس بدليل مع أنّك قد عرفت على تقدير ذلك ، فالحقّ أنّ التعويل عليه مرجعه إلى جعله دليلا وإنكاره ربّما يعدّ في إنكار الضروريات</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تعارض الأخبار الدالّة على اعتبار مطلق القوّة في الترجيح تعارض العموم والخصوص من وجه ، وعند عدم المرجّح في مادّة التعارض يسقط </w:t>
      </w:r>
    </w:p>
    <w:p>
      <w:pPr>
        <w:pStyle w:val="BookText"/>
        <w:rPr/>
      </w:pPr>
      <w:r>
        <w:rPr>
          <w:rFonts w:ascii="Amiri" w:hAnsi="Amiri" w:eastAsia="Amiri" w:cs="Amiri"/>
          <w:color w:val="111111"/>
          <w:sz w:val="28"/>
          <w:sz w:val="28"/>
          <w:szCs w:val="28"/>
          <w:rtl w:val="true"/>
          <w:lang w:bidi="ar-SA"/>
        </w:rPr>
        <w:t>الاعتبار فيهما معا ، فلا وجه للاستناد بهذه الأخبار الواردة في مقام المنع عن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الأخبار على </w:t>
      </w:r>
      <w:r>
        <w:rPr>
          <w:rStyle w:val="FootnoteAnchor"/>
          <w:rtl w:val="true"/>
        </w:rPr>
        <w:footnoteReference w:id="3511"/>
      </w:r>
      <w:r>
        <w:rPr>
          <w:rFonts w:ascii="Amiri" w:hAnsi="Amiri" w:eastAsia="Amiri" w:cs="Amiri"/>
          <w:color w:val="111111"/>
          <w:sz w:val="28"/>
          <w:sz w:val="28"/>
          <w:szCs w:val="28"/>
          <w:rtl w:val="true"/>
          <w:lang w:bidi="ar-SA"/>
        </w:rPr>
        <w:t xml:space="preserve">حرمة العمل بالقياس أظهر </w:t>
      </w:r>
      <w:r>
        <w:rPr>
          <w:rStyle w:val="FootnoteAnchor"/>
          <w:rtl w:val="true"/>
        </w:rPr>
        <w:footnoteReference w:id="3512"/>
      </w:r>
      <w:r>
        <w:rPr>
          <w:rFonts w:ascii="Amiri" w:hAnsi="Amiri" w:eastAsia="Amiri" w:cs="Amiri"/>
          <w:color w:val="111111"/>
          <w:sz w:val="28"/>
          <w:sz w:val="28"/>
          <w:szCs w:val="28"/>
          <w:rtl w:val="true"/>
          <w:lang w:bidi="ar-SA"/>
        </w:rPr>
        <w:t>من دلالة هذه الأخبار على حجّية مطلق القوّة ، ولعلّك تذكّر بعد الرجوع إليها فإنّها إشعارات محضة مستفادة من موارد جمّة لا يصحّ اجتماعها في عنوان لفظي حتّى يؤخذ بلوازمه من ملاحظة النسبة بينه وبين ما يعارضه ، فإنّ ذلك أمر قد استشعرنا به بأنّه بعد إعمال أنواع العنايات والتنويرات</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الإمامية قد أولعوا في تحقيق المباحث التي يتوقّف عليها الاستنباط في الكتب </w:t>
      </w:r>
      <w:r>
        <w:rPr>
          <w:rStyle w:val="FootnoteAnchor"/>
          <w:rtl w:val="true"/>
        </w:rPr>
        <w:footnoteReference w:id="3513"/>
      </w:r>
      <w:r>
        <w:rPr>
          <w:rFonts w:ascii="Amiri" w:hAnsi="Amiri" w:eastAsia="Amiri" w:cs="Amiri"/>
          <w:color w:val="111111"/>
          <w:sz w:val="28"/>
          <w:sz w:val="28"/>
          <w:szCs w:val="28"/>
          <w:rtl w:val="true"/>
          <w:lang w:bidi="ar-SA"/>
        </w:rPr>
        <w:t xml:space="preserve">الأصولية كما يشهد بذلك مراجعتها ، ولو لا أنّ من المحظور عندهم الترجيح بالقياس كان الواجب عليهم التعرّض لمباحثه كعلماء الجمهور وتشخيص أقسامه ، وعدم الاعتناء به في مقام الدليلية كما زعمه الذاهب لا يوجب عدم الاعتناء به مطلقا ، فلا يصلح </w:t>
      </w:r>
      <w:r>
        <w:rPr>
          <w:rStyle w:val="FootnoteAnchor"/>
          <w:rtl w:val="true"/>
        </w:rPr>
        <w:footnoteReference w:id="3514"/>
      </w:r>
      <w:r>
        <w:rPr>
          <w:rFonts w:ascii="Amiri" w:hAnsi="Amiri" w:eastAsia="Amiri" w:cs="Amiri"/>
          <w:color w:val="111111"/>
          <w:sz w:val="28"/>
          <w:sz w:val="28"/>
          <w:szCs w:val="28"/>
          <w:rtl w:val="true"/>
          <w:lang w:bidi="ar-SA"/>
        </w:rPr>
        <w:t xml:space="preserve">ذلك عذرا في عدم تعرّضهم ، وهذا إجماع آخر منهم على عدم الاعتناء به ، وما عسى يظهر من البعض من الاستناد بوجوه ظنّية في تشخيص الأحكام الشرعية ، كما يلوح من استناد كاشف اللثام </w:t>
      </w:r>
      <w:r>
        <w:rPr>
          <w:rStyle w:val="FootnoteAnchor"/>
          <w:rtl w:val="true"/>
        </w:rPr>
        <w:footnoteReference w:id="3515"/>
      </w:r>
      <w:r>
        <w:rPr>
          <w:rFonts w:ascii="Amiri" w:hAnsi="Amiri" w:eastAsia="Amiri" w:cs="Amiri"/>
          <w:color w:val="111111"/>
          <w:sz w:val="28"/>
          <w:sz w:val="28"/>
          <w:szCs w:val="28"/>
          <w:rtl w:val="true"/>
          <w:lang w:bidi="ar-SA"/>
        </w:rPr>
        <w:t xml:space="preserve">في طهارة الماء الموجود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الكرّ الموجود في خارج البئر لا ينجّس بالملاقاة فكيف ينفعل فيها مع اتّصاله بالمادّة ، ونحو ذلك ، فمحمول على إرادة التأييد بمثل هذه الاعتبارات ، وليس مستندهم في الحكم إلاّ ما هو المعتبر شرعا كما هو ظاهر من ديدنهم في غير هذه الموارد </w:t>
      </w:r>
      <w:r>
        <w:rPr>
          <w:rStyle w:val="FootnoteAnchor"/>
          <w:rtl w:val="true"/>
        </w:rPr>
        <w:footnoteReference w:id="3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وجوده وتقارنه لأحد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ينقص من عدمه ؛ إذ ربّما يعدّ المخالف للقياس مخالفا لطريقة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شيئا من الأحكام الشرعية حتّى أنّ الاحتياط في مورده أيضا غير مطلوب ، فلا وجه للأخذ بالخبر الموافق </w:t>
      </w:r>
      <w:r>
        <w:rPr>
          <w:rStyle w:val="FootnoteAnchor"/>
          <w:rtl w:val="true"/>
        </w:rPr>
        <w:footnoteReference w:id="3517"/>
      </w:r>
      <w:r>
        <w:rPr>
          <w:rFonts w:ascii="Amiri" w:hAnsi="Amiri" w:eastAsia="Amiri" w:cs="Amiri"/>
          <w:color w:val="111111"/>
          <w:sz w:val="28"/>
          <w:sz w:val="28"/>
          <w:szCs w:val="28"/>
          <w:rtl w:val="true"/>
          <w:lang w:bidi="ar-SA"/>
        </w:rPr>
        <w:t xml:space="preserve">بواسطة قاعدة الاشتغال على تقدير تماميتها ، فإنّ العالم بواقعيات الأشياء قد منع من الاتّكال على الوجوه الظنّية ، كما رواه في العيون عن مولانا الرضا عليه‌السلام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الترجيح فيها بموافقة الكتاب والسنة ، ثمّ التخيير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لم تجدوه في شيء من ذلك الوجوه فردّوا إلينا علمه فنحن أولى بذلك ، ولا تقولوا فيه بآرائكم وعليكم بالكفّ والتثبّت والوقوف وأنتم طالبون باحثون حتّى يأتيكم البيان من عندنا </w:t>
      </w:r>
      <w:r>
        <w:rPr>
          <w:rFonts w:eastAsia="Amiri" w:cs="Amiri" w:ascii="Amiri" w:hAnsi="Amiri"/>
          <w:color w:val="111111"/>
          <w:sz w:val="28"/>
          <w:szCs w:val="28"/>
          <w:rtl w:val="true"/>
          <w:lang w:bidi="ar-SA"/>
        </w:rPr>
        <w:t xml:space="preserve">» </w:t>
      </w:r>
      <w:r>
        <w:rPr>
          <w:rStyle w:val="FootnoteAnchor"/>
          <w:rtl w:val="true"/>
        </w:rPr>
        <w:footnoteReference w:id="3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ويغنينا عن ذلك كلّه ما ورد في ذيل المرفوعة </w:t>
      </w:r>
      <w:r>
        <w:rPr>
          <w:rStyle w:val="FootnoteAnchor"/>
          <w:rtl w:val="true"/>
        </w:rPr>
        <w:footnoteReference w:id="351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الوقوف عند الشبهات خير من الاقتحام في الهلكات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ظاهر ؛ إذ ليس المقصود من الوقوف هو الوقوف عند عدم المرجّح في النفس ؛ إذ يستحيل صدور الفعل بدون المرجّح ، بل المراد به عدم الاعتناء بالمرجّحات التي لم ينصّ عليها بالخصوص أو بوجه من الوجوه التي عرفت سبيل الاستنباط فيها من الأدلّة الدالّة عليها كما تقدّم</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 التعدّي من المرجّحات المنصوصة إلى غيرها موقوف على حصول الاطمئنان بعمل الأصحاب فيه ونحوه ، فعليك بإمعان النظر في هذا المقام مراعيا أحسن الأوصاف مجانبا عن الاعتساف ، واللّه الموفّق وهو الهادي سواء السبيل</w:t>
      </w:r>
      <w:r>
        <w:rPr>
          <w:rFonts w:eastAsia="Amiri" w:cs="Amiri" w:ascii="Amiri" w:hAnsi="Amiri"/>
          <w:color w:val="111111"/>
          <w:sz w:val="28"/>
          <w:szCs w:val="28"/>
          <w:rtl w:val="true"/>
          <w:lang w:bidi="ar-SA"/>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6284_171625"/>
      <w:bookmarkStart w:id="360" w:name="pg16284_171625"/>
      <w:bookmarkEnd w:id="360"/>
    </w:p>
    <w:p>
      <w:pPr>
        <w:pStyle w:val="Heading3"/>
        <w:numPr>
          <w:ilvl w:val="2"/>
          <w:numId w:val="1"/>
        </w:numPr>
        <w:rPr/>
      </w:pPr>
      <w:bookmarkStart w:id="361" w:name="pg16284_171625"/>
      <w:bookmarkStart w:id="362" w:name="__RefHeading___Toc5012244_1280447820"/>
      <w:bookmarkStart w:id="363" w:name="_Toc111"/>
      <w:bookmarkEnd w:id="361"/>
      <w:bookmarkEnd w:id="362"/>
      <w:r>
        <w:rPr>
          <w:rtl w:val="true"/>
        </w:rPr>
        <w:t xml:space="preserve">هداية </w:t>
      </w:r>
      <w:r>
        <w:rPr>
          <w:rtl w:val="true"/>
        </w:rPr>
        <w:t xml:space="preserve">[ </w:t>
      </w:r>
      <w:r>
        <w:rPr>
          <w:rtl w:val="true"/>
        </w:rPr>
        <w:t xml:space="preserve">في بعض آخر من المرجّحات الدلالية </w:t>
      </w:r>
      <w:r>
        <w:rPr>
          <w:rtl w:val="true"/>
        </w:rPr>
        <w:t>]</w:t>
      </w:r>
      <w:bookmarkEnd w:id="363"/>
    </w:p>
    <w:p>
      <w:pPr>
        <w:pStyle w:val="BookText"/>
        <w:rPr/>
      </w:pPr>
      <w:r>
        <w:rPr>
          <w:rFonts w:ascii="Amiri" w:hAnsi="Amiri" w:eastAsia="Amiri" w:cs="Amiri"/>
          <w:color w:val="111111"/>
          <w:sz w:val="28"/>
          <w:sz w:val="28"/>
          <w:szCs w:val="28"/>
          <w:rtl w:val="true"/>
          <w:lang w:bidi="ar-SA"/>
        </w:rPr>
        <w:t xml:space="preserve">قد قدّمنا </w:t>
      </w:r>
      <w:r>
        <w:rPr>
          <w:rStyle w:val="FootnoteAnchor"/>
          <w:rtl w:val="true"/>
        </w:rPr>
        <w:footnoteReference w:id="3520"/>
      </w:r>
      <w:r>
        <w:rPr>
          <w:rFonts w:ascii="Amiri" w:hAnsi="Amiri" w:eastAsia="Amiri" w:cs="Amiri"/>
          <w:color w:val="111111"/>
          <w:sz w:val="28"/>
          <w:sz w:val="28"/>
          <w:szCs w:val="28"/>
          <w:rtl w:val="true"/>
          <w:lang w:bidi="ar-SA"/>
        </w:rPr>
        <w:t xml:space="preserve">بعض القول في المرجّحات </w:t>
      </w:r>
      <w:r>
        <w:rPr>
          <w:rStyle w:val="FootnoteAnchor"/>
          <w:rtl w:val="true"/>
        </w:rPr>
        <w:footnoteReference w:id="3521"/>
      </w:r>
      <w:r>
        <w:rPr>
          <w:rFonts w:ascii="Amiri" w:hAnsi="Amiri" w:eastAsia="Amiri" w:cs="Amiri"/>
          <w:color w:val="111111"/>
          <w:sz w:val="28"/>
          <w:sz w:val="28"/>
          <w:szCs w:val="28"/>
          <w:rtl w:val="true"/>
          <w:lang w:bidi="ar-SA"/>
        </w:rPr>
        <w:t xml:space="preserve">بحسب الدلالة ولنشر إلى بعض </w:t>
      </w:r>
      <w:r>
        <w:rPr>
          <w:rStyle w:val="FootnoteAnchor"/>
          <w:rtl w:val="true"/>
        </w:rPr>
        <w:footnoteReference w:id="3522"/>
      </w:r>
      <w:r>
        <w:rPr>
          <w:rFonts w:ascii="Amiri" w:hAnsi="Amiri" w:eastAsia="Amiri" w:cs="Amiri"/>
          <w:color w:val="111111"/>
          <w:sz w:val="28"/>
          <w:sz w:val="28"/>
          <w:szCs w:val="28"/>
          <w:rtl w:val="true"/>
          <w:lang w:bidi="ar-SA"/>
        </w:rPr>
        <w:t xml:space="preserve">آخر ممّا أمسكنا منه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المرجّحات الصدورية تنقسم إلى داخلية كالأعدلية والشهرة في الرواية ، وخارجية كالشهرة في الفتوى والقياس ونحوهما من الأمارات ومثل أن يكون مفاد الرواية حكما وضعيا من غير الأمارات ، كذلك المرجّحات المعمولة في الدلالة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الترجيح بأمور مرتبطة بالدلالة ، وتارة بأمور خارجة عنها غير منوطة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فيه ينبغي أن يعلم أنّ ملاحظة </w:t>
      </w:r>
      <w:r>
        <w:rPr>
          <w:rStyle w:val="FootnoteAnchor"/>
          <w:rtl w:val="true"/>
        </w:rPr>
        <w:footnoteReference w:id="3523"/>
      </w:r>
      <w:r>
        <w:rPr>
          <w:rFonts w:ascii="Amiri" w:hAnsi="Amiri" w:eastAsia="Amiri" w:cs="Amiri"/>
          <w:color w:val="111111"/>
          <w:sz w:val="28"/>
          <w:sz w:val="28"/>
          <w:szCs w:val="28"/>
          <w:rtl w:val="true"/>
          <w:lang w:bidi="ar-SA"/>
        </w:rPr>
        <w:t>الترجيح في الدلالة إنّما هو متأخّر عن ملاحظته في الصدور وجهته ، فلا يفيد التعرّض في الدلالة ، إلاّ بعد فرض المتعارضين معلومي الاعتبار من هاتين الجهتين ، كما في تعارض الكتابين أو المتواترين من الأخبار أو أحدهما بالآخر بعد عدم الأخذ باحتمال التقيّة في المتواترين ، وكما في أخبار الآحاد فيما لا سبيل إلى قدح في السند أو منع في جهة الصدور</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 أخبار التخيير أيضا ممّا لا مسرح لها في تعارض الدلالة ؛ إذ لا </w:t>
      </w:r>
    </w:p>
    <w:p>
      <w:pPr>
        <w:pStyle w:val="BookText"/>
        <w:rPr/>
      </w:pPr>
      <w:r>
        <w:rPr>
          <w:rFonts w:ascii="Amiri" w:hAnsi="Amiri" w:eastAsia="Amiri" w:cs="Amiri"/>
          <w:color w:val="111111"/>
          <w:sz w:val="28"/>
          <w:sz w:val="28"/>
          <w:szCs w:val="28"/>
          <w:rtl w:val="true"/>
          <w:lang w:bidi="ar-SA"/>
        </w:rPr>
        <w:t>وجه لملاحظة الدلالة إلاّ بعد فرض التكافؤ من سائر الجهات مع احتمال وجود الترجيح من هذه الجهة ، والمنساق من أخبار التخيير ليس إلاّ حال عدم ما يصلح للترجيح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هذا فاعلم أنّه لا ريب في اعتبار المرجّحات الداخلية المعمولة في الدلالة ممّا يعتبرها أهل اللسان في كشف المراد من الأمور المكتنفة بالألفاظ ، والأغلب رجوعها إلى الغلبة ، والمعتبرة منها ما كانت بحيث يصحّ التعويل عليها عرفا في التفهيم عند التخاطب ، فلا عبرة بالحادثة بعد الاستعمال ولا بما لا يعلم تعويل المتكلّم عليها ؛ لعدم العلم بتحقّقها حال الاستعمال</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بتحقّق الغلبة على وجه يصحّ الاتّكال عليها في مقام التفهيم والتفهّم ، كما في غلبة التخصيص على سائر أنواع المجاز فإنّها غلبة واقعية قابلة لأن يعتمد عليها المتكلّم بكلامين يحتمل أحدهما التخصيص ، والآخر مجازا آخر ، في تقديم التخصيص في أحدهما على المجاز في الآخر </w:t>
      </w:r>
      <w:r>
        <w:rPr>
          <w:rStyle w:val="FootnoteAnchor"/>
          <w:rtl w:val="true"/>
        </w:rPr>
        <w:footnoteReference w:id="3524"/>
      </w:r>
      <w:r>
        <w:rPr>
          <w:rFonts w:ascii="Amiri" w:hAnsi="Amiri" w:eastAsia="Amiri" w:cs="Amiri"/>
          <w:color w:val="111111"/>
          <w:sz w:val="28"/>
          <w:sz w:val="28"/>
          <w:szCs w:val="28"/>
          <w:rtl w:val="true"/>
          <w:lang w:bidi="ar-SA"/>
        </w:rPr>
        <w:t xml:space="preserve">،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w:t>
      </w:r>
      <w:r>
        <w:rPr>
          <w:rStyle w:val="FootnoteAnchor"/>
          <w:rtl w:val="true"/>
        </w:rPr>
        <w:footnoteReference w:id="3525"/>
      </w:r>
      <w:r>
        <w:rPr>
          <w:rFonts w:ascii="Amiri" w:hAnsi="Amiri" w:eastAsia="Amiri" w:cs="Amiri"/>
          <w:color w:val="111111"/>
          <w:sz w:val="28"/>
          <w:sz w:val="28"/>
          <w:szCs w:val="28"/>
          <w:rtl w:val="true"/>
          <w:lang w:bidi="ar-SA"/>
        </w:rPr>
        <w:t xml:space="preserve">الغلبة بعد الاستعمال على وجه يكون الاستعمال المقترنة </w:t>
      </w:r>
      <w:r>
        <w:rPr>
          <w:rStyle w:val="FootnoteAnchor"/>
          <w:rtl w:val="true"/>
        </w:rPr>
        <w:footnoteReference w:id="3526"/>
      </w:r>
      <w:r>
        <w:rPr>
          <w:rFonts w:ascii="Amiri" w:hAnsi="Amiri" w:eastAsia="Amiri" w:cs="Amiri"/>
          <w:color w:val="111111"/>
          <w:sz w:val="28"/>
          <w:sz w:val="28"/>
          <w:szCs w:val="28"/>
          <w:rtl w:val="true"/>
          <w:lang w:bidi="ar-SA"/>
        </w:rPr>
        <w:t xml:space="preserve">بالقرينة موجبة لحدوث الغلبة ، ففي تلك الاستعمالات لا وجه للتعويل على الغلبة ؛ إذ بها تحصل وإنّما تثمر بعد حصولها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تعويل المتكلّم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عرف الأئمّة عليهم‌السلام إنّما غلب </w:t>
      </w:r>
      <w:r>
        <w:rPr>
          <w:rStyle w:val="FootnoteAnchor"/>
          <w:rtl w:val="true"/>
        </w:rPr>
        <w:footnoteReference w:id="3527"/>
      </w:r>
      <w:r>
        <w:rPr>
          <w:rFonts w:ascii="Amiri" w:hAnsi="Amiri" w:eastAsia="Amiri" w:cs="Amiri"/>
          <w:color w:val="111111"/>
          <w:sz w:val="28"/>
          <w:sz w:val="28"/>
          <w:szCs w:val="28"/>
          <w:rtl w:val="true"/>
          <w:lang w:bidi="ar-SA"/>
        </w:rPr>
        <w:t xml:space="preserve">استعماله في الندب كما زعمه صاحب المعالم رحمه‌اللّه </w:t>
      </w:r>
      <w:r>
        <w:rPr>
          <w:rStyle w:val="FootnoteAnchor"/>
          <w:rtl w:val="true"/>
        </w:rPr>
        <w:footnoteReference w:id="3528"/>
      </w:r>
      <w:r>
        <w:rPr>
          <w:rFonts w:ascii="Amiri" w:hAnsi="Amiri" w:eastAsia="Amiri" w:cs="Amiri"/>
          <w:color w:val="111111"/>
          <w:sz w:val="28"/>
          <w:sz w:val="28"/>
          <w:szCs w:val="28"/>
          <w:rtl w:val="true"/>
          <w:lang w:bidi="ar-SA"/>
        </w:rPr>
        <w:t xml:space="preserve">، فهذه الغلبة على تقدير صحّتها إنّما يجدي فيما يعلم التعويل عليها ، وأمّا لو فرضنا أنّ أحدا سأل الإمام عليه‌السلام عن شيء فأمره فلا يصلح </w:t>
      </w:r>
      <w:r>
        <w:rPr>
          <w:rStyle w:val="FootnoteAnchor"/>
          <w:rtl w:val="true"/>
        </w:rPr>
        <w:footnoteReference w:id="3529"/>
      </w:r>
      <w:r>
        <w:rPr>
          <w:rFonts w:ascii="Amiri" w:hAnsi="Amiri" w:eastAsia="Amiri" w:cs="Amiri"/>
          <w:color w:val="111111"/>
          <w:sz w:val="28"/>
          <w:sz w:val="28"/>
          <w:szCs w:val="28"/>
          <w:rtl w:val="true"/>
          <w:lang w:bidi="ar-SA"/>
        </w:rPr>
        <w:t xml:space="preserve">لأن يكون هذه الغلبة معوّلا عليها في صرف الأمر عن ظاهره وحمله على المجاز ، فالغلبة المعتبرة هي الغلبة على الوجه الأوّل ، وأمّا الأخيران فلا </w:t>
      </w:r>
    </w:p>
    <w:p>
      <w:pPr>
        <w:pStyle w:val="BookText"/>
        <w:rPr/>
      </w:pPr>
      <w:r>
        <w:rPr>
          <w:rFonts w:ascii="Amiri" w:hAnsi="Amiri" w:eastAsia="Amiri" w:cs="Amiri"/>
          <w:color w:val="111111"/>
          <w:sz w:val="28"/>
          <w:sz w:val="28"/>
          <w:szCs w:val="28"/>
          <w:rtl w:val="true"/>
          <w:lang w:bidi="ar-SA"/>
        </w:rPr>
        <w:t>عبرة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المرجّحات الخارجية فكالشهرة والإجماع </w:t>
      </w:r>
      <w:r>
        <w:rPr>
          <w:rStyle w:val="FootnoteAnchor"/>
          <w:rtl w:val="true"/>
        </w:rPr>
        <w:footnoteReference w:id="3530"/>
      </w:r>
      <w:r>
        <w:rPr>
          <w:rFonts w:ascii="Amiri" w:hAnsi="Amiri" w:eastAsia="Amiri" w:cs="Amiri"/>
          <w:color w:val="111111"/>
          <w:sz w:val="28"/>
          <w:sz w:val="28"/>
          <w:szCs w:val="28"/>
          <w:rtl w:val="true"/>
          <w:lang w:bidi="ar-SA"/>
        </w:rPr>
        <w:t>المنقول ونحوهما ممّا لا مدخل لها في الدلالة ؛ إذ لا يعقل أن يصير اللفظ دالاّ بعد تقارنه بالشهرة ، لكونها أجنبية عن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باعتبار هذه الأمور الخارجية ، فالترجيح لمضمون الخبر الموافق لها لا لنفس الخبر ؛ لأنّ التعويل على أصالة الحقيقة إنّما يصحّ فيما لم تكن معارضة بمثلها ، ودفع المعارض فرع ما يصلح لأن تكون </w:t>
      </w:r>
      <w:r>
        <w:rPr>
          <w:rStyle w:val="FootnoteAnchor"/>
          <w:rtl w:val="true"/>
        </w:rPr>
        <w:footnoteReference w:id="3531"/>
      </w:r>
      <w:r>
        <w:rPr>
          <w:rFonts w:ascii="Amiri" w:hAnsi="Amiri" w:eastAsia="Amiri" w:cs="Amiri"/>
          <w:color w:val="111111"/>
          <w:sz w:val="28"/>
          <w:sz w:val="28"/>
          <w:szCs w:val="28"/>
          <w:rtl w:val="true"/>
          <w:lang w:bidi="ar-SA"/>
        </w:rPr>
        <w:t>قرينة صارفة والمفروض انتفاؤها ؛ إذ الأمر الخارجي ممّا لا يصلح للصرف في عرف أهل اللسان ، فيحكم بالإجمال والتساقط ، والمفروض حجّية المقارن المطابق لأحد المضمونين فيرجع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بعدم اعتبارها ، فالحقّ أنّها لا تأثير لها في شيء فلا يكون شيء منها مرجعا ، ولا مرجّحا ، أمّا الأوّل فظاهر ، وأمّا الثاني فلما عرفت من أنّ ترجيح أحد الظاهرين على الآخر فرع وجود ما يصلح لأن يكون مانعا عن الآخر ، والشهرة الحادثة بعد صدور الخبر أو </w:t>
      </w:r>
      <w:r>
        <w:rPr>
          <w:rStyle w:val="FootnoteAnchor"/>
          <w:rtl w:val="true"/>
        </w:rPr>
        <w:footnoteReference w:id="3532"/>
      </w:r>
      <w:r>
        <w:rPr>
          <w:rFonts w:ascii="IRNazanin" w:hAnsi="IRNazanin" w:eastAsia="IRNazanin"/>
          <w:color w:val="111111"/>
          <w:sz w:val="28"/>
          <w:sz w:val="28"/>
          <w:szCs w:val="28"/>
          <w:rtl w:val="true"/>
          <w:lang w:bidi="fa-IR"/>
        </w:rPr>
        <w:t xml:space="preserve">الإجماع </w:t>
      </w:r>
      <w:r>
        <w:rPr>
          <w:rStyle w:val="FootnoteAnchor"/>
          <w:rtl w:val="true"/>
        </w:rPr>
        <w:footnoteReference w:id="3533"/>
      </w:r>
      <w:r>
        <w:rPr>
          <w:rFonts w:ascii="Amiri" w:hAnsi="Amiri" w:eastAsia="Amiri" w:cs="Amiri"/>
          <w:color w:val="111111"/>
          <w:sz w:val="28"/>
          <w:sz w:val="28"/>
          <w:szCs w:val="28"/>
          <w:rtl w:val="true"/>
          <w:lang w:bidi="ar-SA"/>
        </w:rPr>
        <w:t>المنقول كيف يعقل أن يكون سببا لظهور اللفظ؟</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تكون </w:t>
      </w:r>
      <w:r>
        <w:rPr>
          <w:rStyle w:val="FootnoteAnchor"/>
          <w:rtl w:val="true"/>
        </w:rPr>
        <w:footnoteReference w:id="3534"/>
      </w:r>
      <w:r>
        <w:rPr>
          <w:rFonts w:ascii="Amiri" w:hAnsi="Amiri" w:eastAsia="Amiri" w:cs="Amiri"/>
          <w:color w:val="111111"/>
          <w:sz w:val="28"/>
          <w:sz w:val="28"/>
          <w:szCs w:val="28"/>
          <w:rtl w:val="true"/>
          <w:lang w:bidi="ar-SA"/>
        </w:rPr>
        <w:t xml:space="preserve">كاشفة عن القرينة فيدور الأمر مدارها </w:t>
      </w:r>
      <w:r>
        <w:rPr>
          <w:rStyle w:val="FootnoteAnchor"/>
          <w:rtl w:val="true"/>
        </w:rPr>
        <w:footnoteReference w:id="3535"/>
      </w:r>
      <w:r>
        <w:rPr>
          <w:rFonts w:ascii="Amiri" w:hAnsi="Amiri" w:eastAsia="Amiri" w:cs="Amiri"/>
          <w:color w:val="111111"/>
          <w:sz w:val="28"/>
          <w:sz w:val="28"/>
          <w:szCs w:val="28"/>
          <w:rtl w:val="true"/>
          <w:lang w:bidi="ar-SA"/>
        </w:rPr>
        <w:t xml:space="preserve">من حيث الاكتفاء بها ولو كانت مظنون الوجود أو لا ، نعم لو كشفت </w:t>
      </w:r>
      <w:r>
        <w:rPr>
          <w:rStyle w:val="FootnoteAnchor"/>
          <w:rtl w:val="true"/>
        </w:rPr>
        <w:footnoteReference w:id="3536"/>
      </w:r>
      <w:r>
        <w:rPr>
          <w:rFonts w:ascii="Amiri" w:hAnsi="Amiri" w:eastAsia="Amiri" w:cs="Amiri"/>
          <w:color w:val="111111"/>
          <w:sz w:val="28"/>
          <w:sz w:val="28"/>
          <w:szCs w:val="28"/>
          <w:rtl w:val="true"/>
          <w:lang w:bidi="ar-SA"/>
        </w:rPr>
        <w:t xml:space="preserve">على وجه اليقين عن وجود القرينة المعتبرة في صرف اللفظ عند العرف ولو كانت ظنّية في حيال ذاتها صحّ التعويل عليها ، وعلى تقديره فالعبرة بالقرينة لا بالشهرة ، مثلا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وَأُولاتُ الْأَحْمالِ </w:t>
      </w:r>
    </w:p>
    <w:p>
      <w:pPr>
        <w:pStyle w:val="BookText"/>
        <w:rPr/>
      </w:pPr>
      <w:r>
        <w:rPr>
          <w:rFonts w:ascii="Amiri" w:hAnsi="Amiri" w:eastAsia="Amiri" w:cs="Amiri"/>
          <w:color w:val="111111"/>
          <w:sz w:val="28"/>
          <w:sz w:val="28"/>
          <w:szCs w:val="28"/>
          <w:rtl w:val="true"/>
          <w:lang w:bidi="ar-SA"/>
        </w:rPr>
        <w:t xml:space="preserve">أَجَلُهُنَّ أَنْ يَضَعْنَ حَمْلَهُنَ </w:t>
      </w:r>
      <w:r>
        <w:rPr>
          <w:rFonts w:eastAsia="Amiri" w:cs="Amiri" w:ascii="Amiri" w:hAnsi="Amiri"/>
          <w:color w:val="111111"/>
          <w:sz w:val="28"/>
          <w:szCs w:val="28"/>
          <w:rtl w:val="true"/>
          <w:lang w:bidi="ar-SA"/>
        </w:rPr>
        <w:t xml:space="preserve">) </w:t>
      </w:r>
      <w:r>
        <w:rPr>
          <w:rStyle w:val="FootnoteAnchor"/>
          <w:rtl w:val="true"/>
        </w:rPr>
        <w:footnoteReference w:id="3537"/>
      </w:r>
      <w:r>
        <w:rPr>
          <w:rFonts w:ascii="Amiri" w:hAnsi="Amiri" w:eastAsia="Amiri" w:cs="Amiri"/>
          <w:color w:val="111111"/>
          <w:sz w:val="28"/>
          <w:sz w:val="28"/>
          <w:szCs w:val="28"/>
          <w:rtl w:val="true"/>
          <w:lang w:bidi="ar-SA"/>
        </w:rPr>
        <w:t xml:space="preserve">ظاهر يشمل الزوجة المتوفّى عنها زوجها وغيرها أيضا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 xml:space="preserve">) </w:t>
      </w:r>
      <w:r>
        <w:rPr>
          <w:rStyle w:val="FootnoteAnchor"/>
          <w:rtl w:val="true"/>
        </w:rPr>
        <w:footnoteReference w:id="3538"/>
      </w:r>
      <w:r>
        <w:rPr>
          <w:rFonts w:ascii="Amiri" w:hAnsi="Amiri" w:eastAsia="Amiri" w:cs="Amiri"/>
          <w:color w:val="111111"/>
          <w:sz w:val="28"/>
          <w:sz w:val="28"/>
          <w:szCs w:val="28"/>
          <w:rtl w:val="true"/>
          <w:lang w:bidi="ar-SA"/>
        </w:rPr>
        <w:t xml:space="preserve">أيضا يشمل القبيلتين فإبقاء الظاهر الأوّل والحكم باختصاص الثاني بغير المتوفّى عنها زوجها ، أو </w:t>
      </w:r>
      <w:r>
        <w:rPr>
          <w:rStyle w:val="FootnoteAnchor"/>
          <w:rtl w:val="true"/>
        </w:rPr>
        <w:footnoteReference w:id="3539"/>
      </w:r>
      <w:r>
        <w:rPr>
          <w:rFonts w:ascii="Amiri" w:hAnsi="Amiri" w:eastAsia="Amiri" w:cs="Amiri"/>
          <w:color w:val="111111"/>
          <w:sz w:val="28"/>
          <w:sz w:val="28"/>
          <w:szCs w:val="28"/>
          <w:rtl w:val="true"/>
          <w:lang w:bidi="ar-SA"/>
        </w:rPr>
        <w:t>الحكم باختصاص الأوّل وإبقاء الثاني بحاله من دون ما يصلح لذلك ، ترجيح بلا مرجّح ، فعلى المجتهد الأخذ بالأصول المعمولة عنده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أنّ المتعارضين يمكن رفع اليد عن أحدهما سندا كما في الأخبار الظنّية يمكن القول بترجيح المطابق للشهرة على بعض الوجوه المتقدّمة ، إلاّ أنّ ذلك رجوع عمّا نحن بصدده من انحصار وجه التعارض في الدلالة وقد عرفت صعوبة الخطب في </w:t>
      </w:r>
      <w:r>
        <w:rPr>
          <w:rStyle w:val="FootnoteAnchor"/>
          <w:rtl w:val="true"/>
        </w:rPr>
        <w:footnoteReference w:id="3540"/>
      </w:r>
      <w:r>
        <w:rPr>
          <w:rFonts w:ascii="Amiri" w:hAnsi="Amiri" w:eastAsia="Amiri" w:cs="Amiri"/>
          <w:color w:val="111111"/>
          <w:sz w:val="28"/>
          <w:sz w:val="28"/>
          <w:szCs w:val="28"/>
          <w:rtl w:val="true"/>
          <w:lang w:bidi="ar-SA"/>
        </w:rPr>
        <w:t xml:space="preserve">ذلك المقام ومن هنا أذعن سيّد المدارك </w:t>
      </w:r>
      <w:r>
        <w:rPr>
          <w:rStyle w:val="FootnoteAnchor"/>
          <w:rtl w:val="true"/>
        </w:rPr>
        <w:footnoteReference w:id="3541"/>
      </w:r>
      <w:r>
        <w:rPr>
          <w:rFonts w:ascii="Amiri" w:hAnsi="Amiri" w:eastAsia="Amiri" w:cs="Amiri"/>
          <w:color w:val="111111"/>
          <w:sz w:val="28"/>
          <w:sz w:val="28"/>
          <w:szCs w:val="28"/>
          <w:rtl w:val="true"/>
          <w:lang w:bidi="ar-SA"/>
        </w:rPr>
        <w:t>بأنّ مخالفة الأصحاب أشكل من طرح الخبر الصحيح</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ففيما لو فرض الكلام في الدلالة فقط لا نرى وجها للأخذ بالشهرة ، ومن هنا ترى أنّ السيّد المذكور ما تبع الشهرة في الحكم بنجاسة رجيع الطير الغير المأكول لحمه فقال </w:t>
      </w:r>
      <w:r>
        <w:rPr>
          <w:rStyle w:val="FootnoteAnchor"/>
          <w:rtl w:val="true"/>
        </w:rPr>
        <w:footnoteReference w:id="3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المتّجه القطع بطهارة الذرق تمسّكا بالأصل السالم من </w:t>
      </w:r>
      <w:r>
        <w:rPr>
          <w:rStyle w:val="FootnoteAnchor"/>
          <w:rtl w:val="true"/>
        </w:rPr>
        <w:footnoteReference w:id="3543"/>
      </w:r>
      <w:r>
        <w:rPr>
          <w:rFonts w:ascii="Amiri" w:hAnsi="Amiri" w:eastAsia="Amiri" w:cs="Amiri"/>
          <w:color w:val="111111"/>
          <w:sz w:val="28"/>
          <w:sz w:val="28"/>
          <w:szCs w:val="28"/>
          <w:rtl w:val="true"/>
          <w:lang w:bidi="ar-SA"/>
        </w:rPr>
        <w:t xml:space="preserve">المعارض ، مع تعارض رواية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Style w:val="FootnoteAnchor"/>
          <w:rtl w:val="true"/>
        </w:rPr>
        <w:footnoteReference w:id="3544"/>
      </w:r>
      <w:r>
        <w:rPr>
          <w:rFonts w:ascii="Amiri" w:hAnsi="Amiri" w:eastAsia="Amiri" w:cs="Amiri"/>
          <w:color w:val="111111"/>
          <w:sz w:val="28"/>
          <w:sz w:val="28"/>
          <w:szCs w:val="28"/>
          <w:rtl w:val="true"/>
          <w:lang w:bidi="ar-SA"/>
        </w:rPr>
        <w:t xml:space="preserve">ورواية الشيخ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يطير لا بأس بخرئه وبوله </w:t>
      </w:r>
      <w:r>
        <w:rPr>
          <w:rFonts w:eastAsia="Amiri" w:cs="Amiri" w:ascii="Amiri" w:hAnsi="Amiri"/>
          <w:color w:val="111111"/>
          <w:sz w:val="28"/>
          <w:szCs w:val="28"/>
          <w:rtl w:val="true"/>
          <w:lang w:bidi="ar-SA"/>
        </w:rPr>
        <w:t xml:space="preserve">» </w:t>
      </w:r>
      <w:r>
        <w:rPr>
          <w:rStyle w:val="FootnoteAnchor"/>
          <w:rtl w:val="true"/>
        </w:rPr>
        <w:footnoteReference w:id="3545"/>
      </w:r>
      <w:r>
        <w:rPr>
          <w:rFonts w:ascii="Amiri" w:hAnsi="Amiri" w:eastAsia="Amiri" w:cs="Amiri"/>
          <w:color w:val="111111"/>
          <w:sz w:val="28"/>
          <w:sz w:val="28"/>
          <w:szCs w:val="28"/>
          <w:rtl w:val="true"/>
          <w:lang w:bidi="ar-SA"/>
        </w:rPr>
        <w:t>في خصوص المسألة ، فظهر أنّ كلام السيّد وأمثاله إنّما هو فيما أمكن التصرّف السندي في الرواية دون ما كان الكلام متمحّضا في الدلالة على ما هو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فزعم سيّد الرياض عليه الرحمة </w:t>
      </w:r>
      <w:r>
        <w:rPr>
          <w:rStyle w:val="FootnoteAnchor"/>
          <w:rtl w:val="true"/>
        </w:rPr>
        <w:footnoteReference w:id="3546"/>
      </w:r>
      <w:r>
        <w:rPr>
          <w:rFonts w:ascii="Amiri" w:hAnsi="Amiri" w:eastAsia="Amiri" w:cs="Amiri"/>
          <w:color w:val="111111"/>
          <w:sz w:val="28"/>
          <w:sz w:val="28"/>
          <w:szCs w:val="28"/>
          <w:rtl w:val="true"/>
          <w:lang w:bidi="ar-SA"/>
        </w:rPr>
        <w:t xml:space="preserve">إلى جواز الترجيح بمثل هذه الشهرة كما يظهر منه في جملة من موارد الكتاب المذكور ، وفصّل بعض المشايخ المعاصرين في بعض كلماته فقال بأنّ الشهرة تنهض قرينة معيّنة لأحد احتمالي المشترك ولا تصلح </w:t>
      </w:r>
      <w:r>
        <w:rPr>
          <w:rStyle w:val="FootnoteAnchor"/>
          <w:rtl w:val="true"/>
        </w:rPr>
        <w:footnoteReference w:id="3547"/>
      </w:r>
      <w:r>
        <w:rPr>
          <w:rFonts w:ascii="Amiri" w:hAnsi="Amiri" w:eastAsia="Amiri" w:cs="Amiri"/>
          <w:color w:val="111111"/>
          <w:sz w:val="28"/>
          <w:sz w:val="28"/>
          <w:szCs w:val="28"/>
          <w:rtl w:val="true"/>
          <w:lang w:bidi="ar-SA"/>
        </w:rPr>
        <w:t xml:space="preserve">لأن تكون </w:t>
      </w:r>
      <w:r>
        <w:rPr>
          <w:rStyle w:val="FootnoteAnchor"/>
          <w:rtl w:val="true"/>
        </w:rPr>
        <w:footnoteReference w:id="3548"/>
      </w:r>
      <w:r>
        <w:rPr>
          <w:rFonts w:ascii="Amiri" w:hAnsi="Amiri" w:eastAsia="Amiri" w:cs="Amiri"/>
          <w:color w:val="111111"/>
          <w:sz w:val="28"/>
          <w:sz w:val="28"/>
          <w:szCs w:val="28"/>
          <w:rtl w:val="true"/>
          <w:lang w:bidi="ar-SA"/>
        </w:rPr>
        <w:t>قرينة صارفة للحقيقة ، ومن هنا حكم بأنّ المراد بالرطل في مسألة تحديد الكرّ هو الرطل العراقي ؛ لأنّ الشهرة تنهض قرينة معيّنة للفظ الرطل المشترك بين العراقي والمدني ، وليت شعري ما أبعد قول المفصّل عن الواقع فكأنّما اعتمد على مخاطرة وقعت في باله ، وإلاّ فليس بالحريّ ضبط أمثاله في الكتاب كما لا يخفى ذلك عند أولي الألباب</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وكلاهما فاسدان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الشهرة على تقدير عدم الحجّية ليست مختلفة الحال ، فكما لا يجوز الركون إليها في محلّ رواية لا يجوز التمسّك في مورد الروايتين إن أريد التمسّك بها في نفسها ، وإن أريد الترجيح فقد عرفت عدم معقولية الترجيح بحسب الدلالة بالشهرة إلاّ في صورة الكشف عن القرينة ، وعلى تقدير معقولية الترجيح بها فلا بدّ من أن يكون ممّا يعتمد عليها العرف في مقام استكشاف المراد ، اللّهمّ إلاّ أن يكون قرينة تعبّدية ، وفساد هذه الأمور من أجلى </w:t>
      </w:r>
      <w:r>
        <w:rPr>
          <w:rStyle w:val="FootnoteAnchor"/>
          <w:rtl w:val="true"/>
        </w:rPr>
        <w:footnoteReference w:id="3549"/>
      </w:r>
      <w:r>
        <w:rPr>
          <w:rFonts w:ascii="Amiri" w:hAnsi="Amiri" w:eastAsia="Amiri" w:cs="Amiri"/>
          <w:color w:val="111111"/>
          <w:sz w:val="28"/>
          <w:sz w:val="28"/>
          <w:szCs w:val="28"/>
          <w:rtl w:val="true"/>
          <w:lang w:bidi="ar-SA"/>
        </w:rPr>
        <w:t xml:space="preserve">الضروريات ، نعم لو كان حجّية أصالة الحقيقة مقيّدة بعدم قيام ظنّ على خلافها أو اعتبرناها من حيث إفادتها الظنّ بالمراد جاز التعويل على الخبر الموافق للشهرة ، ولكنّه غير خفيّ أنّها حينئذ لا تكون </w:t>
      </w:r>
      <w:r>
        <w:rPr>
          <w:rStyle w:val="FootnoteAnchor"/>
          <w:rtl w:val="true"/>
        </w:rPr>
        <w:footnoteReference w:id="3550"/>
      </w:r>
      <w:r>
        <w:rPr>
          <w:rFonts w:ascii="Amiri" w:hAnsi="Amiri" w:eastAsia="Amiri" w:cs="Amiri"/>
          <w:color w:val="111111"/>
          <w:sz w:val="28"/>
          <w:sz w:val="28"/>
          <w:szCs w:val="28"/>
          <w:rtl w:val="true"/>
          <w:lang w:bidi="ar-SA"/>
        </w:rPr>
        <w:t xml:space="preserve">من المرجّحات ؛ إذ بعد فرض إفادتها الظنّ يرتفع موضوع الحجّة في الآخر فهي بأن تكون موهنة </w:t>
      </w:r>
      <w:r>
        <w:rPr>
          <w:rStyle w:val="FootnoteAnchor"/>
          <w:rtl w:val="true"/>
        </w:rPr>
        <w:footnoteReference w:id="3551"/>
      </w:r>
      <w:r>
        <w:rPr>
          <w:rFonts w:ascii="IRNazanin" w:hAnsi="IRNazanin" w:eastAsia="IRNazanin"/>
          <w:color w:val="111111"/>
          <w:sz w:val="28"/>
          <w:sz w:val="28"/>
          <w:szCs w:val="28"/>
          <w:rtl w:val="true"/>
          <w:lang w:bidi="fa-IR"/>
        </w:rPr>
        <w:t xml:space="preserve">أولى </w:t>
      </w:r>
      <w:r>
        <w:rPr>
          <w:rStyle w:val="FootnoteAnchor"/>
          <w:rtl w:val="true"/>
        </w:rPr>
        <w:footnoteReference w:id="3552"/>
      </w:r>
      <w:r>
        <w:rPr>
          <w:rFonts w:ascii="IRNazanin" w:hAnsi="IRNazanin" w:eastAsia="IRNazanin"/>
          <w:color w:val="111111"/>
          <w:sz w:val="28"/>
          <w:sz w:val="28"/>
          <w:szCs w:val="28"/>
          <w:rtl w:val="true"/>
          <w:lang w:bidi="fa-IR"/>
        </w:rPr>
        <w:t xml:space="preserve">، وأمّا على القول بالتعبّد فلا مجال لطرح الظهور </w:t>
      </w:r>
    </w:p>
    <w:p>
      <w:pPr>
        <w:pStyle w:val="BookText"/>
        <w:rPr/>
      </w:pPr>
      <w:r>
        <w:rPr>
          <w:rFonts w:ascii="Amiri" w:hAnsi="Amiri" w:eastAsia="Amiri" w:cs="Amiri"/>
          <w:color w:val="111111"/>
          <w:sz w:val="28"/>
          <w:sz w:val="28"/>
          <w:szCs w:val="28"/>
          <w:rtl w:val="true"/>
          <w:lang w:bidi="ar-SA"/>
        </w:rPr>
        <w:t xml:space="preserve">إلاّ بدليل معتبر شرعا والمفروض عدم اعتبار الشهرة ، فلا تصلح </w:t>
      </w:r>
      <w:r>
        <w:rPr>
          <w:rStyle w:val="FootnoteAnchor"/>
          <w:rtl w:val="true"/>
        </w:rPr>
        <w:footnoteReference w:id="3553"/>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ينطبق على شيء من الأقوال والمذاهب ولا يساعده وجه من الوجوه الاعتبارية ؛ إذ لا فرق في نظر العقل والعرف في ذلك ، فالصالح لأحدهما ينبغي أن يكون صالحا للآخر والفرق تحكّم والإنكار تباهت وصرف العمر في تزييفه بطالة ، فإنّه إنّما نشأ منه بواسطة عدم استئناسه بالمطالب الأصولية وإلاّ فهو أجلّ شأنا من هذه الخيالات ، فتدبّر في المقام واللّه الموفّق وهو الهادي</w:t>
      </w:r>
      <w:r>
        <w:rPr>
          <w:rFonts w:eastAsia="Amiri" w:cs="Amiri" w:ascii="Amiri" w:hAnsi="Amiri"/>
          <w:color w:val="111111"/>
          <w:sz w:val="28"/>
          <w:szCs w:val="28"/>
          <w:rtl w:val="true"/>
          <w:lang w:bidi="ar-SA"/>
        </w:rPr>
        <w:t xml:space="preserve">. </w:t>
      </w:r>
      <w:bookmarkStart w:id="364" w:name="pg16284_171631"/>
    </w:p>
    <w:p>
      <w:pPr>
        <w:pStyle w:val="Heading3"/>
        <w:numPr>
          <w:ilvl w:val="2"/>
          <w:numId w:val="1"/>
        </w:numPr>
        <w:rPr/>
      </w:pPr>
      <w:bookmarkStart w:id="365" w:name="__RefHeading___Toc5012246_1280447820"/>
      <w:bookmarkStart w:id="366" w:name="_Toc112"/>
      <w:bookmarkEnd w:id="364"/>
      <w:bookmarkEnd w:id="365"/>
      <w:r>
        <w:rPr>
          <w:rtl w:val="true"/>
        </w:rPr>
        <w:t xml:space="preserve">هداية </w:t>
      </w:r>
      <w:r>
        <w:rPr>
          <w:rtl w:val="true"/>
        </w:rPr>
        <w:t xml:space="preserve">[ </w:t>
      </w:r>
      <w:r>
        <w:rPr>
          <w:rtl w:val="true"/>
        </w:rPr>
        <w:t xml:space="preserve">في حكم المتكافئين </w:t>
      </w:r>
      <w:r>
        <w:rPr>
          <w:rtl w:val="true"/>
        </w:rPr>
        <w:t xml:space="preserve">: </w:t>
      </w:r>
      <w:r>
        <w:rPr>
          <w:rtl w:val="true"/>
        </w:rPr>
        <w:t xml:space="preserve">التخيير أو التوقّف؟ </w:t>
      </w:r>
      <w:r>
        <w:rPr>
          <w:rtl w:val="true"/>
        </w:rPr>
        <w:t>]</w:t>
      </w:r>
      <w:bookmarkEnd w:id="366"/>
    </w:p>
    <w:p>
      <w:pPr>
        <w:pStyle w:val="BookText"/>
        <w:rPr/>
      </w:pPr>
      <w:r>
        <w:rPr>
          <w:rFonts w:ascii="Amiri" w:hAnsi="Amiri" w:eastAsia="Amiri" w:cs="Amiri"/>
          <w:color w:val="111111"/>
          <w:sz w:val="28"/>
          <w:sz w:val="28"/>
          <w:szCs w:val="28"/>
          <w:rtl w:val="true"/>
          <w:lang w:bidi="ar-SA"/>
        </w:rPr>
        <w:t>قد استوفينا أحكام التراجيح على حسب ما هو في وسعنا وقدّمنا الكلام في التعادل أيضا إلاّ أنّه لا بأس بإعادة الكلام فيه تنبيها على مطالب لم يسبق إليها الإشارة ، قد اختلفت كلمة أصحابنا المتمسّكين بالعروة الوثقى في أنّ الحكم بعد فقد الترجيح في الأخبار هل هو التوقّف ، أو التخيير؟ فالمنسوب إلى الأخباريين من أصحابنا رضوان اللّه عليهم هو الأوّل ، والمشهور من مذهب المجتهدين منهم شكر اللّه مساعيهم هو الثاني ومنشأ الخلاف بينهم اختلاف الأخبار ، وربّما يعاضد كلّ منهما بوجوه أخر على ما قدّمنا في بيان الأصل هل هو التساقط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فتدلّ على الأوّل طائفة من الأخبار وهي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العامّة الواردة في مقام حكم المشتبه وقد مرّ بجوابها في مباحث البراءة والاحتياط </w:t>
      </w:r>
      <w:r>
        <w:rPr>
          <w:rStyle w:val="FootnoteAnchor"/>
          <w:rtl w:val="true"/>
        </w:rPr>
        <w:footnoteReference w:id="3554"/>
      </w:r>
      <w:r>
        <w:rPr>
          <w:rFonts w:ascii="Amiri" w:hAnsi="Amiri" w:eastAsia="Amiri" w:cs="Amiri"/>
          <w:color w:val="111111"/>
          <w:sz w:val="28"/>
          <w:sz w:val="28"/>
          <w:szCs w:val="28"/>
          <w:rtl w:val="true"/>
          <w:lang w:bidi="ar-SA"/>
        </w:rPr>
        <w:t xml:space="preserve">،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الخاصّة بما إذا تعارض الخبران الآمرة بالتوقّف والإرجاء والاحتياط وهي كثيرة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منقول الوسائل عن محمّد بن إدريس نقلا من كتاب مسائل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ومكاتباتهم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عليه‌السلام مسائل </w:t>
      </w:r>
      <w:r>
        <w:rPr>
          <w:rFonts w:eastAsia="Amiri" w:cs="Amiri" w:ascii="Amiri" w:hAnsi="Amiri"/>
          <w:color w:val="111111"/>
          <w:sz w:val="28"/>
          <w:szCs w:val="28"/>
          <w:rtl w:val="true"/>
          <w:lang w:bidi="ar-SA"/>
        </w:rPr>
        <w:t>]</w:t>
      </w:r>
      <w:r>
        <w:rPr>
          <w:rStyle w:val="FootnoteAnchor"/>
          <w:rtl w:val="true"/>
        </w:rPr>
        <w:footnoteReference w:id="3555"/>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زياد وموسى بن محمّد بن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مسألة عن العلم المنقول إلينا عن آبائك وأجدادك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w:t>
      </w:r>
      <w:r>
        <w:rPr>
          <w:rStyle w:val="FootnoteAnchor"/>
          <w:rtl w:val="true"/>
        </w:rPr>
        <w:footnoteReference w:id="3556"/>
      </w:r>
      <w:r>
        <w:rPr>
          <w:rFonts w:ascii="Amiri" w:hAnsi="Amiri" w:eastAsia="Amiri" w:cs="Amiri"/>
          <w:color w:val="111111"/>
          <w:sz w:val="28"/>
          <w:sz w:val="28"/>
          <w:szCs w:val="28"/>
          <w:rtl w:val="true"/>
          <w:lang w:bidi="ar-SA"/>
        </w:rPr>
        <w:t xml:space="preserve">علينا فيه فكيف العمل به على اختلافه والردّ إليه فيما اختلف فيه؟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علمتم أنّه قولنا فالزموه ، وما لم تعلموه فردّوا </w:t>
      </w:r>
      <w:r>
        <w:rPr>
          <w:rStyle w:val="FootnoteAnchor"/>
          <w:rtl w:val="true"/>
        </w:rPr>
        <w:footnoteReference w:id="3557"/>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 xml:space="preserve">» </w:t>
      </w:r>
      <w:r>
        <w:rPr>
          <w:rStyle w:val="FootnoteAnchor"/>
          <w:rtl w:val="true"/>
        </w:rPr>
        <w:footnoteReference w:id="3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جابر عن أبي جعفر عليه‌السلام 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w:t>
      </w:r>
      <w:r>
        <w:rPr>
          <w:rStyle w:val="FootnoteAnchor"/>
          <w:rtl w:val="true"/>
        </w:rPr>
        <w:footnoteReference w:id="3559"/>
      </w:r>
      <w:r>
        <w:rPr>
          <w:rFonts w:ascii="Amiri" w:hAnsi="Amiri" w:eastAsia="Amiri" w:cs="Amiri"/>
          <w:color w:val="111111"/>
          <w:sz w:val="28"/>
          <w:sz w:val="28"/>
          <w:szCs w:val="28"/>
          <w:rtl w:val="true"/>
          <w:lang w:bidi="ar-SA"/>
        </w:rPr>
        <w:t xml:space="preserve">أمرنا وما جاءكم عنّا فما </w:t>
      </w:r>
      <w:r>
        <w:rPr>
          <w:rStyle w:val="FootnoteAnchor"/>
          <w:rtl w:val="true"/>
        </w:rPr>
        <w:footnoteReference w:id="3560"/>
      </w:r>
      <w:r>
        <w:rPr>
          <w:rFonts w:ascii="IRNazanin" w:hAnsi="IRNazanin" w:eastAsia="IRNazanin"/>
          <w:color w:val="111111"/>
          <w:sz w:val="28"/>
          <w:sz w:val="28"/>
          <w:szCs w:val="28"/>
          <w:rtl w:val="true"/>
          <w:lang w:bidi="fa-IR"/>
        </w:rPr>
        <w:t xml:space="preserve">وجدتموه للقرآن موافقا فخذوه </w:t>
      </w:r>
      <w:r>
        <w:rPr>
          <w:rStyle w:val="FootnoteAnchor"/>
          <w:rtl w:val="true"/>
        </w:rPr>
        <w:footnoteReference w:id="3561"/>
      </w:r>
      <w:r>
        <w:rPr>
          <w:rFonts w:ascii="Amiri" w:hAnsi="Amiri" w:eastAsia="Amiri" w:cs="Amiri"/>
          <w:color w:val="111111"/>
          <w:sz w:val="28"/>
          <w:sz w:val="28"/>
          <w:szCs w:val="28"/>
          <w:rtl w:val="true"/>
          <w:lang w:bidi="ar-SA"/>
        </w:rPr>
        <w:t xml:space="preserve">، وإن لم تجدوه موافقا فردّوه ، فإن اشتبه الأمر عليكم فقفوا عنده وردّوه إلينا حتّى نشرح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شرح لنا </w:t>
      </w:r>
      <w:r>
        <w:rPr>
          <w:rFonts w:eastAsia="Amiri" w:cs="Amiri" w:ascii="Amiri" w:hAnsi="Amiri"/>
          <w:color w:val="111111"/>
          <w:sz w:val="28"/>
          <w:szCs w:val="28"/>
          <w:rtl w:val="true"/>
          <w:lang w:bidi="ar-SA"/>
        </w:rPr>
        <w:t xml:space="preserve">» </w:t>
      </w:r>
      <w:r>
        <w:rPr>
          <w:rStyle w:val="FootnoteAnchor"/>
          <w:rtl w:val="true"/>
        </w:rPr>
        <w:footnoteReference w:id="3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اختلف عليه رجلان من أهل دينه في أمر كلاهما يرويه ، أحدهما يأمره بأخذه ، والآخر ينهاه عنه كيف يصنع؟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يرجئه حتّى يلقى من يخبره فهو في سعة حتّى يلقاه </w:t>
      </w:r>
      <w:r>
        <w:rPr>
          <w:rFonts w:eastAsia="Amiri" w:cs="Amiri" w:ascii="Amiri" w:hAnsi="Amiri"/>
          <w:color w:val="111111"/>
          <w:sz w:val="28"/>
          <w:szCs w:val="28"/>
          <w:rtl w:val="true"/>
          <w:lang w:bidi="ar-SA"/>
        </w:rPr>
        <w:t xml:space="preserve">» </w:t>
      </w:r>
      <w:r>
        <w:rPr>
          <w:rStyle w:val="FootnoteAnchor"/>
          <w:rtl w:val="true"/>
        </w:rPr>
        <w:footnoteReference w:id="3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المرسلة عن أبي جعفر عليه‌السلام 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منّا حديث فوجدتم عليه شاهدا أو شاهدين من كتاب اللّه فخذوه </w:t>
      </w:r>
      <w:r>
        <w:rPr>
          <w:rStyle w:val="FootnoteAnchor"/>
          <w:rtl w:val="true"/>
        </w:rPr>
        <w:footnoteReference w:id="3564"/>
      </w:r>
      <w:r>
        <w:rPr>
          <w:rFonts w:ascii="Amiri" w:hAnsi="Amiri" w:eastAsia="Amiri" w:cs="Amiri"/>
          <w:color w:val="111111"/>
          <w:sz w:val="28"/>
          <w:sz w:val="28"/>
          <w:szCs w:val="28"/>
          <w:rtl w:val="true"/>
          <w:lang w:bidi="ar-SA"/>
        </w:rPr>
        <w:t xml:space="preserve">، وإلاّ فقفوا عنده ، ثمّ ردّوه إلينا حتّى يستبين لكم </w:t>
      </w:r>
      <w:r>
        <w:rPr>
          <w:rFonts w:eastAsia="Amiri" w:cs="Amiri" w:ascii="Amiri" w:hAnsi="Amiri"/>
          <w:color w:val="111111"/>
          <w:sz w:val="28"/>
          <w:szCs w:val="28"/>
          <w:rtl w:val="true"/>
          <w:lang w:bidi="ar-SA"/>
        </w:rPr>
        <w:t xml:space="preserve">» </w:t>
      </w:r>
      <w:r>
        <w:rPr>
          <w:rStyle w:val="FootnoteAnchor"/>
          <w:rtl w:val="true"/>
        </w:rPr>
        <w:footnoteReference w:id="3565"/>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ذيل المقبولة 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كان ذلك فأرجه وقف حتّى تلقى إمامك فإنّ الوقوف عند الشبهات خير من الاقتحام في الهلكات </w:t>
      </w:r>
      <w:r>
        <w:rPr>
          <w:rFonts w:eastAsia="Amiri" w:cs="Amiri" w:ascii="Amiri" w:hAnsi="Amiri"/>
          <w:color w:val="111111"/>
          <w:sz w:val="28"/>
          <w:szCs w:val="28"/>
          <w:rtl w:val="true"/>
          <w:lang w:bidi="ar-SA"/>
        </w:rPr>
        <w:t xml:space="preserve">» </w:t>
      </w:r>
      <w:r>
        <w:rPr>
          <w:rStyle w:val="FootnoteAnchor"/>
          <w:rtl w:val="true"/>
        </w:rPr>
        <w:footnoteReference w:id="3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الثاني أيضا أخبار كثيرة قد أشير فيما مرّ إلى جملة منها فراجعها </w:t>
      </w:r>
      <w:r>
        <w:rPr>
          <w:rStyle w:val="FootnoteAnchor"/>
          <w:rtl w:val="true"/>
        </w:rPr>
        <w:footnoteReference w:id="3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الراجح في النظر هو ما ذهب إليه المجتهدون فإنّ الظاهر من هذه الأخبار الخاصّة اختصاص موردها بما إذا تيسّر تحصيل العلم بالواقع والمفروض في زماننا هذا تعذّره ، فليس المنساق منها بيان حكم المشتبه فيما إذا لم يكن مرجوّ الزوال كما يرشد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تلقى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نشرح لكم ما شرح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التنزّل فأخبار التخيير أخصّ من هذه الأخبار ، فلا بدّ من الأخذ بالأخصّ تحكيما له على العامّ ، فإنّ موارد التوقّف بناء على عدم اختصاصها بصورة التمكّن من العلم يعمّ حال التمكّن وعدمه ، وأخبار التخيير تختصّ بما إذا كان المكلّف متحيّرا من جميع الجهات وهي حالة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سلّمنا تواردهما في مورد واحد فالحقّ أنّ الترجيح لأخبار التخيير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كثرتها فإنّها تبلغ نيّفا وعشرا على ما حكي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اعتضادها بذهاب المشهور إليه ، بل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في ذلك مخالفا من الأصحاب وعليه أكثر أهل الخلاف </w:t>
      </w:r>
      <w:r>
        <w:rPr>
          <w:rStyle w:val="FootnoteAnchor"/>
          <w:rtl w:val="true"/>
        </w:rPr>
        <w:footnoteReference w:id="3568"/>
      </w:r>
      <w:r>
        <w:rPr>
          <w:rFonts w:ascii="Amiri" w:hAnsi="Amiri" w:eastAsia="Amiri" w:cs="Amiri"/>
          <w:color w:val="111111"/>
          <w:sz w:val="28"/>
          <w:sz w:val="28"/>
          <w:szCs w:val="28"/>
          <w:rtl w:val="true"/>
          <w:lang w:bidi="ar-SA"/>
        </w:rPr>
        <w:t xml:space="preserve">،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أسانيدها كما هو ظاهر بعد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بعد ملاحظة ما ذكر يحصل الاطمئنان بأنّ الحكم في الواقعة هو التخيير دون التوقّف</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ملاحظة حالات العقلاء في العمل بما في أيديهم من الطرق المعمولة عليها عندهم يعطي التوقّف ؛ إذ ربّما ينسبون القائل بالتخيير فيما تعارض عنده قول زيد بقول عمرو في واقعة إلى الهجر والهذيان </w:t>
      </w:r>
      <w:r>
        <w:rPr>
          <w:rStyle w:val="FootnoteAnchor"/>
          <w:rtl w:val="true"/>
        </w:rPr>
        <w:footnoteReference w:id="3569"/>
      </w:r>
      <w:r>
        <w:rPr>
          <w:rFonts w:ascii="Amiri" w:hAnsi="Amiri" w:eastAsia="Amiri" w:cs="Amiri"/>
          <w:color w:val="111111"/>
          <w:sz w:val="28"/>
          <w:sz w:val="28"/>
          <w:szCs w:val="28"/>
          <w:rtl w:val="true"/>
          <w:lang w:bidi="ar-SA"/>
        </w:rPr>
        <w:t xml:space="preserve">، وذلك من أقوى المرجّحات لأخبار </w:t>
      </w:r>
    </w:p>
    <w:p>
      <w:pPr>
        <w:pStyle w:val="BookText"/>
        <w:rPr/>
      </w:pP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مسلّم ومع ذلك لا يجدي فيما نحن </w:t>
      </w:r>
      <w:r>
        <w:rPr>
          <w:rStyle w:val="FootnoteAnchor"/>
          <w:rtl w:val="true"/>
        </w:rPr>
        <w:footnoteReference w:id="3570"/>
      </w:r>
      <w:r>
        <w:rPr>
          <w:rFonts w:ascii="Amiri" w:hAnsi="Amiri" w:eastAsia="Amiri" w:cs="Amiri"/>
          <w:color w:val="111111"/>
          <w:sz w:val="28"/>
          <w:sz w:val="28"/>
          <w:szCs w:val="28"/>
          <w:rtl w:val="true"/>
          <w:lang w:bidi="ar-SA"/>
        </w:rPr>
        <w:t xml:space="preserve">بصدده ؛ للفرق الظاهر بين العقلاء في الأمور المتعلّقة بمعاشهم وبينهم </w:t>
      </w:r>
      <w:r>
        <w:rPr>
          <w:rStyle w:val="FootnoteAnchor"/>
          <w:rtl w:val="true"/>
        </w:rPr>
        <w:footnoteReference w:id="3571"/>
      </w:r>
      <w:r>
        <w:rPr>
          <w:rFonts w:ascii="Amiri" w:hAnsi="Amiri" w:eastAsia="Amiri" w:cs="Amiri"/>
          <w:color w:val="111111"/>
          <w:sz w:val="28"/>
          <w:sz w:val="28"/>
          <w:szCs w:val="28"/>
          <w:rtl w:val="true"/>
          <w:lang w:bidi="ar-SA"/>
        </w:rPr>
        <w:t xml:space="preserve">في الأمور المتعلّقة بمعادهم ، لأنّ </w:t>
      </w:r>
      <w:r>
        <w:rPr>
          <w:rStyle w:val="FootnoteAnchor"/>
          <w:rtl w:val="true"/>
        </w:rPr>
        <w:footnoteReference w:id="3572"/>
      </w:r>
      <w:r>
        <w:rPr>
          <w:rFonts w:ascii="Amiri" w:hAnsi="Amiri" w:eastAsia="Amiri" w:cs="Amiri"/>
          <w:color w:val="111111"/>
          <w:sz w:val="28"/>
          <w:sz w:val="28"/>
          <w:szCs w:val="28"/>
          <w:rtl w:val="true"/>
          <w:lang w:bidi="ar-SA"/>
        </w:rPr>
        <w:t>المفروض عدم إمكان الوصول إلى واقع الواقعة عندهم في أمور المعاد ، بخلافه في أمور المعاش لإمكان الوصول إلى الواقع في ذلك ، وقد لوّحنا أنّ اللازم عند إمكان الوصول إلى الواقع هو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العرف في الأمور المستقبلة على الأخذ بالظنّ كما لا يخفى ، وعند عدم الظنّ لا يجترءون بالعمل ، وبعد فرض تعارض الأمارتين مع عدم المرجّح لا حامل لهم على الفعل ؛ لاستحالة الترجيح بلا مرجّح ، فلا مجال لعدم التوقّف عندهم ولا يجوز قياس حالهم بحالنا من حيث نحن متعبّدون بأحكام الشارع ، وإنّما الملحوظ عندنا رفع ما هو الواجب علينا والملحوظ عندهم التوصّل إلى الواقع ، ولو فرض استواء الحالين نلتزم بالتوقّف</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وتوضيح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الحكم بالتخيير كما عليه المشهور </w:t>
      </w:r>
      <w:r>
        <w:rPr>
          <w:rStyle w:val="FootnoteAnchor"/>
          <w:rtl w:val="true"/>
        </w:rPr>
        <w:footnoteReference w:id="3573"/>
      </w:r>
      <w:r>
        <w:rPr>
          <w:rFonts w:ascii="Amiri" w:hAnsi="Amiri" w:eastAsia="Amiri" w:cs="Amiri"/>
          <w:color w:val="111111"/>
          <w:sz w:val="28"/>
          <w:sz w:val="28"/>
          <w:szCs w:val="28"/>
          <w:rtl w:val="true"/>
          <w:lang w:bidi="ar-SA"/>
        </w:rPr>
        <w:t xml:space="preserve">،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بالتوقّف والاحتياط بين الدليلين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مقام التخيير ففيما إذا قلنا بحجّية خبر العادل تعبّدا صرفا من غير أن يلاحظ فيها </w:t>
      </w:r>
      <w:r>
        <w:rPr>
          <w:rStyle w:val="FootnoteAnchor"/>
          <w:rtl w:val="true"/>
        </w:rPr>
        <w:footnoteReference w:id="3574"/>
      </w:r>
      <w:r>
        <w:rPr>
          <w:rFonts w:ascii="Amiri" w:hAnsi="Amiri" w:eastAsia="Amiri" w:cs="Amiri"/>
          <w:color w:val="111111"/>
          <w:sz w:val="28"/>
          <w:sz w:val="28"/>
          <w:szCs w:val="28"/>
          <w:rtl w:val="true"/>
          <w:lang w:bidi="ar-SA"/>
        </w:rPr>
        <w:t xml:space="preserve">كونه طريقا إلى الواقع كما ربّما يظهر من بعضهم ، فإنّ قضيّة القاعدة التي قدّمناها في أوائل الباب هو التخيير بحسب حكم العقل بين الدليلين ، ونزيدك توضيحا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التوقّف على ذلك التقدير ممّا لا يقضي به دليل ، بل الدليل على خلافه ، كما في صورة تزاحم الحقّين </w:t>
      </w:r>
      <w:r>
        <w:rPr>
          <w:rStyle w:val="FootnoteAnchor"/>
          <w:rtl w:val="true"/>
        </w:rPr>
        <w:footnoteReference w:id="3575"/>
      </w:r>
      <w:r>
        <w:rPr>
          <w:rFonts w:ascii="Amiri" w:hAnsi="Amiri" w:eastAsia="Amiri" w:cs="Amiri"/>
          <w:color w:val="111111"/>
          <w:sz w:val="28"/>
          <w:sz w:val="28"/>
          <w:szCs w:val="28"/>
          <w:rtl w:val="true"/>
          <w:lang w:bidi="ar-SA"/>
        </w:rPr>
        <w:t xml:space="preserve">والواجبين فإنّ إطلاق الدليل الدالّ على لزوم </w:t>
      </w:r>
    </w:p>
    <w:p>
      <w:pPr>
        <w:pStyle w:val="BookText"/>
        <w:rPr/>
      </w:pPr>
      <w:r>
        <w:rPr>
          <w:rFonts w:ascii="Amiri" w:hAnsi="Amiri" w:eastAsia="Amiri" w:cs="Amiri"/>
          <w:color w:val="111111"/>
          <w:sz w:val="28"/>
          <w:sz w:val="28"/>
          <w:szCs w:val="28"/>
          <w:rtl w:val="true"/>
          <w:lang w:bidi="ar-SA"/>
        </w:rPr>
        <w:t>الأخذ بالدليل تعبّدا قاض بذلك مطلقا ولو حال التعارض ، وعند ذلك فيلاحظ نفس الحقّين فإن كان أحدهما أهمّ من الآخر يؤخذ به كما إذا دار الأمر بين حقوق اللّه وحقوق الناس على تقدير أهمّية أحدهما بالنسبة إلى الآخر كما عليه البعض ، وإن لم يكن أحدهما أهمّ من الآخر فمع وجود المرجّحات الخارجية يجب الأخذ بها ، وبدونه يحكم بالتخيير ، وليس ملاحظة الدليل الدالّ على الوجوب حينئذ وجيها ، بل يدور الأمر مدار تعيين الواجبين من غير حاجة إلى ملاحظة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القول بوجوب العمل بكلّ من الدليلين حال التعارض ؛ لأنّ مفاد الأدلّة الدالّة على ذلك هو الوجوب العيني ، ولا يعقل تعلّق الوجوب العيني بالمكلّف حال التعارض بالنسبة إلى كلّ منهما ، والوجوب التخييري غير مستفاد منها و </w:t>
      </w:r>
      <w:r>
        <w:rPr>
          <w:rStyle w:val="FootnoteAnchor"/>
          <w:rtl w:val="true"/>
        </w:rPr>
        <w:footnoteReference w:id="3576"/>
      </w:r>
      <w:r>
        <w:rPr>
          <w:rFonts w:ascii="Amiri" w:hAnsi="Amiri" w:eastAsia="Amiri" w:cs="Amiri"/>
          <w:color w:val="111111"/>
          <w:sz w:val="28"/>
          <w:sz w:val="28"/>
          <w:szCs w:val="28"/>
          <w:rtl w:val="true"/>
          <w:lang w:bidi="ar-SA"/>
        </w:rPr>
        <w:t xml:space="preserve">إلاّ على وجه </w:t>
      </w:r>
      <w:r>
        <w:rPr>
          <w:rStyle w:val="FootnoteAnchor"/>
          <w:rtl w:val="true"/>
        </w:rPr>
        <w:footnoteReference w:id="3577"/>
      </w:r>
      <w:r>
        <w:rPr>
          <w:rFonts w:ascii="IRNazanin" w:hAnsi="IRNazanin" w:eastAsia="IRNazanin"/>
          <w:color w:val="111111"/>
          <w:sz w:val="28"/>
          <w:sz w:val="28"/>
          <w:szCs w:val="28"/>
          <w:rtl w:val="true"/>
          <w:lang w:bidi="fa-IR"/>
        </w:rPr>
        <w:t xml:space="preserve">استعمال الألفاظ </w:t>
      </w:r>
      <w:r>
        <w:rPr>
          <w:rStyle w:val="FootnoteAnchor"/>
          <w:rtl w:val="true"/>
        </w:rPr>
        <w:footnoteReference w:id="3578"/>
      </w:r>
      <w:r>
        <w:rPr>
          <w:rFonts w:ascii="Amiri" w:hAnsi="Amiri" w:eastAsia="Amiri" w:cs="Amiri"/>
          <w:color w:val="111111"/>
          <w:sz w:val="28"/>
          <w:sz w:val="28"/>
          <w:szCs w:val="28"/>
          <w:rtl w:val="true"/>
          <w:lang w:bidi="ar-SA"/>
        </w:rPr>
        <w:t xml:space="preserve">الواردة في تلك الأدلّة في الوجوب العيني والوجوب التخييري ، وهو محظور عندهم </w:t>
      </w:r>
      <w:r>
        <w:rPr>
          <w:rStyle w:val="FootnoteAnchor"/>
          <w:rtl w:val="true"/>
        </w:rPr>
        <w:footnoteReference w:id="3579"/>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w:t>
      </w:r>
      <w:r>
        <w:rPr>
          <w:rStyle w:val="FootnoteAnchor"/>
          <w:rtl w:val="true"/>
        </w:rPr>
        <w:footnoteReference w:id="3580"/>
      </w:r>
      <w:r>
        <w:rPr>
          <w:rFonts w:ascii="Amiri" w:hAnsi="Amiri" w:eastAsia="Amiri" w:cs="Amiri"/>
          <w:color w:val="111111"/>
          <w:sz w:val="28"/>
          <w:sz w:val="28"/>
          <w:szCs w:val="28"/>
          <w:rtl w:val="true"/>
          <w:lang w:bidi="ar-SA"/>
        </w:rPr>
        <w:t xml:space="preserve">دفع هذه الشبهة بما لا مزيد عليه ونقول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الأوامر الصادرة في الشريعة مقيّدة بالإمكان العقلي ، وهذا التقييد يكفي في دفع هذه العويصة من غير حاجة إلى ملاحظة أمر آخر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العادل حينئذ بمنزلة قول الوالدين من وجوب العمل بقولهما ، فإذا أمر الوالدة بأمر يناقض ما أمر به الوالد لا ريب في أنّ الوجوب الفعلي الذي هو المناط في تحقّق الإطاعة والعصيان وعليه يدور الثواب والعقاب غير متحقّق بالنسبة إلى الأمرين ؛ لامتناع ذلك على قواعد العدلية ، إلاّ أنّ ذلك لا يقضي </w:t>
      </w:r>
      <w:r>
        <w:rPr>
          <w:rStyle w:val="FootnoteAnchor"/>
          <w:rtl w:val="true"/>
        </w:rPr>
        <w:footnoteReference w:id="3581"/>
      </w:r>
      <w:r>
        <w:rPr>
          <w:rFonts w:ascii="Amiri" w:hAnsi="Amiri" w:eastAsia="Amiri" w:cs="Amiri"/>
          <w:color w:val="111111"/>
          <w:sz w:val="28"/>
          <w:sz w:val="28"/>
          <w:szCs w:val="28"/>
          <w:rtl w:val="true"/>
          <w:lang w:bidi="ar-SA"/>
        </w:rPr>
        <w:t xml:space="preserve">بالتصرّف في الدليل الدالّ على وجوب امتثال </w:t>
      </w:r>
      <w:r>
        <w:rPr>
          <w:rStyle w:val="FootnoteAnchor"/>
          <w:rtl w:val="true"/>
        </w:rPr>
        <w:footnoteReference w:id="3582"/>
      </w:r>
      <w:r>
        <w:rPr>
          <w:rFonts w:ascii="Amiri" w:hAnsi="Amiri" w:eastAsia="Amiri" w:cs="Amiri"/>
          <w:color w:val="111111"/>
          <w:sz w:val="28"/>
          <w:sz w:val="28"/>
          <w:szCs w:val="28"/>
          <w:rtl w:val="true"/>
          <w:lang w:bidi="ar-SA"/>
        </w:rPr>
        <w:t xml:space="preserve">أوامر الوالدين ، كما أنّ عدم العلم بالتكليف لا يوجب التصرّف في دليل التكليف على </w:t>
      </w:r>
    </w:p>
    <w:p>
      <w:pPr>
        <w:pStyle w:val="BookText"/>
        <w:rPr/>
      </w:pPr>
      <w:r>
        <w:rPr>
          <w:rFonts w:ascii="Amiri" w:hAnsi="Amiri" w:eastAsia="Amiri" w:cs="Amiri"/>
          <w:color w:val="111111"/>
          <w:sz w:val="28"/>
          <w:sz w:val="28"/>
          <w:szCs w:val="28"/>
          <w:rtl w:val="true"/>
          <w:lang w:bidi="ar-SA"/>
        </w:rPr>
        <w:t xml:space="preserve">وجه يوجب </w:t>
      </w:r>
      <w:r>
        <w:rPr>
          <w:rStyle w:val="FootnoteAnchor"/>
          <w:rtl w:val="true"/>
        </w:rPr>
        <w:footnoteReference w:id="3583"/>
      </w:r>
      <w:r>
        <w:rPr>
          <w:rFonts w:ascii="Amiri" w:hAnsi="Amiri" w:eastAsia="Amiri" w:cs="Amiri"/>
          <w:color w:val="111111"/>
          <w:sz w:val="28"/>
          <w:sz w:val="28"/>
          <w:szCs w:val="28"/>
          <w:rtl w:val="true"/>
          <w:lang w:bidi="ar-SA"/>
        </w:rPr>
        <w:t>تخصيصا وإخراجا لفرد من عموم اللفظ مع أنّ العقاب على ترك الامتثال قبيح عند عدم العلم ، فكان التصرّف في أمر عقلي لا يوجب خروج اللفظ عن ظاهره ، بل اللفظ الدالّ على الوجوب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يمكن الجمع في الامتثال وهذا حكم عقلي يلتزم به على حسب ما هو المقدور وهو العمل بأحدهما ، ومنه جاء التخيير ، وإلاّ فكيف يعقل أن يكون الحكم الشرعي دائرا مدار خيرة المكلّف من دون استواء الأفراد في المصلحة؟</w:t>
      </w:r>
    </w:p>
    <w:p>
      <w:pPr>
        <w:pStyle w:val="BookText"/>
        <w:rPr/>
      </w:pPr>
      <w:r>
        <w:rPr>
          <w:rFonts w:ascii="Amiri" w:hAnsi="Amiri" w:eastAsia="Amiri" w:cs="Amiri"/>
          <w:color w:val="111111"/>
          <w:sz w:val="28"/>
          <w:sz w:val="28"/>
          <w:szCs w:val="28"/>
          <w:rtl w:val="true"/>
          <w:lang w:bidi="ar-SA"/>
        </w:rPr>
        <w:t xml:space="preserve">فالمختار من شقّي السؤال هو أنّ الدليل يدلّ على الوجوب العيني بالنسبة إليهما معا وذلك لا يوجب محذورا ؛ إذ الامتثال بغير الممكن ممّا لا يلتزم به العقل ولا يدلّ عليه دليل من الشرع ، فيقتصر في الامتثال بالممكن وهو أحدهما وهو المعنيّ من التخيير ، ويكشف عن ذلك أنّه لو تمكّن من العمل بهما بعد ما كان أحدهما غير ممكن العمل يكفي الخطاب الأوّل عن ذلك ، كما فيما إذا أفاق المكلّف من جهله ؛ إذ لا حاجة إلى خطاب جديد وإنشاء للتكليف ثانيا بعد العلم ، ولا غائلة في صدور مثل هذه الخطابات عن الحكيم بعد فرض اشتمالها على حكم غير </w:t>
      </w:r>
      <w:r>
        <w:rPr>
          <w:rStyle w:val="FootnoteAnchor"/>
          <w:rtl w:val="true"/>
        </w:rPr>
        <w:footnoteReference w:id="3584"/>
      </w:r>
      <w:r>
        <w:rPr>
          <w:rFonts w:ascii="Amiri" w:hAnsi="Amiri" w:eastAsia="Amiri" w:cs="Amiri"/>
          <w:color w:val="111111"/>
          <w:sz w:val="28"/>
          <w:sz w:val="28"/>
          <w:szCs w:val="28"/>
          <w:rtl w:val="true"/>
          <w:lang w:bidi="ar-SA"/>
        </w:rPr>
        <w:t>المتمكّن أيضا كما في جميع الواجبات المشروطة ، ولئن سلّمنا أنّ التصرّف حينئذ في أمر لفظي فلا شكّ أنّ اللازم أيضا هو الحكم بالتخيير ؛ لأنّ عنوان الفرد الخارج عن العموم قاض بذلك</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بأحدهما المعيّن ترجيح بلا مرجّح ، وأحدهما لا بعينه ليس فردا للعامّ حتّى يصحّ الحكم بخروجه ، فلا بدّ أن يكون الخارج هو عنوان الفرد الغير المقدور ، والداخل هو الفرد المقدور </w:t>
      </w:r>
      <w:r>
        <w:rPr>
          <w:rStyle w:val="FootnoteAnchor"/>
          <w:rtl w:val="true"/>
        </w:rPr>
        <w:footnoteReference w:id="3585"/>
      </w:r>
      <w:r>
        <w:rPr>
          <w:rFonts w:ascii="Amiri" w:hAnsi="Amiri" w:eastAsia="Amiri" w:cs="Amiri"/>
          <w:color w:val="111111"/>
          <w:sz w:val="28"/>
          <w:sz w:val="28"/>
          <w:szCs w:val="28"/>
          <w:rtl w:val="true"/>
          <w:lang w:bidi="ar-SA"/>
        </w:rPr>
        <w:t xml:space="preserve">، ولا ريب في أنّ هذين العنوانين ممّا تتبادل </w:t>
      </w:r>
      <w:r>
        <w:rPr>
          <w:rStyle w:val="FootnoteAnchor"/>
          <w:rtl w:val="true"/>
        </w:rPr>
        <w:footnoteReference w:id="3586"/>
      </w:r>
      <w:r>
        <w:rPr>
          <w:rFonts w:ascii="Amiri" w:hAnsi="Amiri" w:eastAsia="Amiri" w:cs="Amiri"/>
          <w:color w:val="111111"/>
          <w:sz w:val="28"/>
          <w:sz w:val="28"/>
          <w:szCs w:val="28"/>
          <w:rtl w:val="true"/>
          <w:lang w:bidi="ar-SA"/>
        </w:rPr>
        <w:t xml:space="preserve">أفرادهما ، كما إذا كان عنوان الخارج عن العامّ 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تبادل أفراد العالم ظاهر فقد يكون الرجل عالما فيصير عامّيا جاهلا ، ثمّ يصير عالما بعد ذلك ،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أيضا أنّ تبادل أفراد عنوان الخارج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باختيار المكلّف كما عرفت من صيرورة العالم جاهلا ؛ إذ لا يناط علمه وجهله إلى اختيار من توجّه إليه التكليف بذلك العامّ الخارج منه العالم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باختيار المكلّف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أجرته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تبادل عنوان المستأجر للدار في أفراده إنّما هو باختيار المكلّف ، فأيّ منهم اختار أن يؤجره الدار يكون خارجا عن العموم ، والآخر داخلا يجب الحكم بإكرامه مثلا ، وما نحن فيه من قبيل الثاني فإنّ الخارج هو عنوان المعجوز عنه وذلك العنوان يختلف أفراده باختيار المكلّف ، فكلّ ما اختاره </w:t>
      </w:r>
      <w:r>
        <w:rPr>
          <w:rStyle w:val="FootnoteAnchor"/>
          <w:rtl w:val="true"/>
        </w:rPr>
        <w:footnoteReference w:id="3587"/>
      </w:r>
      <w:r>
        <w:rPr>
          <w:rFonts w:ascii="Amiri" w:hAnsi="Amiri" w:eastAsia="Amiri" w:cs="Amiri"/>
          <w:color w:val="111111"/>
          <w:sz w:val="28"/>
          <w:sz w:val="28"/>
          <w:szCs w:val="28"/>
          <w:rtl w:val="true"/>
          <w:lang w:bidi="ar-SA"/>
        </w:rPr>
        <w:t>المكلّف في مقام العمل بوجوه مرجّحة منقدحة في نفس العامل يصير الآخر غير مقدور ، وذلك أمر شائع في الأوقاف والوصايا كما لا يخفى على من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القواعد في الأدلّة التعبّدية هو القول بالتخيير ، ولا ينافي ذلك عدم توجّه الخطاب الفعلي على المكلّف كما في تزاحم الحقوق وتعارض الواجبين ، ولذلك قلنا بأنّ الحكم هو ملاحظة نفس الحكمين من وجود المرجّحات الداخلية من الأهمّية ونحوها والخارجية وعدمها من غير ملاحظة حال دليلهما ، فتدبّر</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مقام التوقّف ففيما إذا قلنا باعتبار الخبر من حيث إنّه طريق معمول به عند العقلاء ، مرآة للواقع ، كاشف عنه ، فإذا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لا بدّ من التوقّف ؛ إذ يستحيل أن يكون طريق الواقع على طرفي الخلاف ، فيقطع بأنّ الواقع في أحدهما ، والآخر ليس ممّا يتوصّل به إلى الواقع ، وحيث إنّه لا مزيد لأحدهما على الآخر فالعقل يقضي بالتوقّف ؛ لاستحالة الترجيح بلا مرجّح ، ومن هنا قلنا بأنّ العمل المعهود من العقلاء هو التوقّف فيما يتعلّق بأنفسهم من أمور المعاش ؛ إذ ليس المعتبر عندهم إلاّ نفس الواقع ، فعند الترديد فيه لا يجوز الخروج عن أطراف الترديد فلا </w:t>
      </w:r>
    </w:p>
    <w:p>
      <w:pPr>
        <w:pStyle w:val="BookText"/>
        <w:rPr/>
      </w:pPr>
      <w:r>
        <w:rPr>
          <w:rFonts w:ascii="Amiri" w:hAnsi="Amiri" w:eastAsia="Amiri" w:cs="Amiri"/>
          <w:color w:val="111111"/>
          <w:sz w:val="28"/>
          <w:sz w:val="28"/>
          <w:szCs w:val="28"/>
          <w:rtl w:val="true"/>
          <w:lang w:bidi="ar-SA"/>
        </w:rPr>
        <w:t>وجه للرجوع إلى أصل ثالث مخالف لهما ؛ للقطع بارتفاع الأصل المخالف بواسطة العلم الإجمالي بأنّ الواقع في أحدهما فلا بدّ من الرجوع إلى الأصل الموافق لأحدهما حينئذ أو التخيير العقلي بين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مطلبان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القول بحجّية الأخبار من حيث الطريقية لا بدّ من التوقّف وعدم جواز التخيير بينهما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الرجوع إلى أصل ثالث مخالف لهما ، أمّا الأوّل فلما عرفت من دوران الأمر بين الطريق وما هو ليس بطريق من دون ترجيح لأحدهما على الآخر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فلاعتضادهما في نفي الثالث كما يومئ إليه عمل العقلاء فيما هو طريق إلى مطالبهم ، فالأصل فيما هو حجّة من حيث كونه طريقا هو التوقّف ، سواء كان طريقا للأحكام أو الموضوعات ، إلاّ ما خرج بالدليل كالأخبار فإنّها على ما هو التحقيق حجّيتها بالخصوص مع قطع النظر عن دليل الانسداد من حيث الطريقية ، ومع ذلك فنقول فيهما بالتخيير بواسطة إطلاق 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البعيد جدّا أن يكون أخبار التخيير واردة على خلاف القاعدة المعمولة عند العقلاء وقد مرّ </w:t>
      </w:r>
      <w:r>
        <w:rPr>
          <w:rStyle w:val="FootnoteAnchor"/>
          <w:rtl w:val="true"/>
        </w:rPr>
        <w:footnoteReference w:id="3588"/>
      </w:r>
      <w:r>
        <w:rPr>
          <w:rFonts w:ascii="Amiri" w:hAnsi="Amiri" w:eastAsia="Amiri" w:cs="Amiri"/>
          <w:color w:val="111111"/>
          <w:sz w:val="28"/>
          <w:sz w:val="28"/>
          <w:szCs w:val="28"/>
          <w:rtl w:val="true"/>
          <w:lang w:bidi="ar-SA"/>
        </w:rPr>
        <w:t>أنّ الحكم بالتخيير إنّما هو فيما إذا قلنا باعتبار أمارة تعبّدا من غير ملاحظة الطريقية ، ولازم ذلك إمّا القول باعتبار الأخبار تعبّدا ، وإمّا القول بعدم التخيير فيما هو حجّة من باب الطريقية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الإنصاف أنّ الأدلّة الدالّة على حجّية الأخبار ظهورها في كونها طرقا واقعية ممّا لا مجال لإنكاره فالعمل عليها لعلّه أقرب ، وأمّا الأخذ بأخبار التخيير في المقام فلا ضير في كونه تعبّديا عند عدم إمكان الوصول إلى الواقع ، كأن يكون التخيير أيضا من الأصول العملية التي حكم به الشارع فيما لا دليل على التعيين مع عدم إمكان إحراز الواقع كما أنّه لا بعد في جعل الشارع الأخذ بالحالة السابقة </w:t>
      </w:r>
    </w:p>
    <w:p>
      <w:pPr>
        <w:pStyle w:val="BookText"/>
        <w:rPr/>
      </w:pPr>
      <w:r>
        <w:rPr>
          <w:rFonts w:ascii="Amiri" w:hAnsi="Amiri" w:eastAsia="Amiri" w:cs="Amiri"/>
          <w:color w:val="111111"/>
          <w:sz w:val="28"/>
          <w:sz w:val="28"/>
          <w:szCs w:val="28"/>
          <w:rtl w:val="true"/>
          <w:lang w:bidi="ar-SA"/>
        </w:rPr>
        <w:t>علاجا للشاكّ والمتحيّر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مقام التساقط ففيما إذا تعارض أصلان من الأصول العملية إذا لم يكن أحدهما مزيلا للآخر كأصالتي البراءة والاستصحابين كما في الشبهة المحصورة واستصحاب طهارة الماء المتمّم ونجاسته المتمّم بعد الإجماع على أنّ الماء الواحد في السطح الواحد لا يختلف </w:t>
      </w:r>
      <w:r>
        <w:rPr>
          <w:rStyle w:val="FootnoteAnchor"/>
          <w:rtl w:val="true"/>
        </w:rPr>
        <w:footnoteReference w:id="3589"/>
      </w:r>
      <w:r>
        <w:rPr>
          <w:rFonts w:ascii="Amiri" w:hAnsi="Amiri" w:eastAsia="Amiri" w:cs="Amiri"/>
          <w:color w:val="111111"/>
          <w:sz w:val="28"/>
          <w:sz w:val="28"/>
          <w:szCs w:val="28"/>
          <w:rtl w:val="true"/>
          <w:lang w:bidi="ar-SA"/>
        </w:rPr>
        <w:t xml:space="preserve">حكمه بالطهارة والنجاسة ، 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عبارة عن حكم ظاهري جعله الشارع للواقعة المشكوكة في مقام علاج الشكّ ، وذلك يمتنع أن يكون مجعولا في مقام التعارض بالنسبة إلى المتعارضين جميعا ، وبالنسبة إلى </w:t>
      </w:r>
      <w:r>
        <w:rPr>
          <w:rStyle w:val="FootnoteAnchor"/>
          <w:rtl w:val="true"/>
        </w:rPr>
        <w:footnoteReference w:id="3590"/>
      </w:r>
      <w:r>
        <w:rPr>
          <w:rFonts w:ascii="Amiri" w:hAnsi="Amiri" w:eastAsia="Amiri" w:cs="Amiri"/>
          <w:color w:val="111111"/>
          <w:sz w:val="28"/>
          <w:sz w:val="28"/>
          <w:szCs w:val="28"/>
          <w:rtl w:val="true"/>
          <w:lang w:bidi="ar-SA"/>
        </w:rPr>
        <w:t>أحدهما أيضا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من لا يعلم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أدلّة الأصول مرجعها </w:t>
      </w:r>
      <w:r>
        <w:rPr>
          <w:rStyle w:val="FootnoteAnchor"/>
          <w:rtl w:val="true"/>
        </w:rPr>
        <w:footnoteReference w:id="3591"/>
      </w:r>
      <w:r>
        <w:rPr>
          <w:rFonts w:ascii="Amiri" w:hAnsi="Amiri" w:eastAsia="Amiri" w:cs="Amiri"/>
          <w:color w:val="111111"/>
          <w:sz w:val="28"/>
          <w:sz w:val="28"/>
          <w:szCs w:val="28"/>
          <w:rtl w:val="true"/>
          <w:lang w:bidi="ar-SA"/>
        </w:rPr>
        <w:t xml:space="preserve">إلى طلب الشارع ترتيب الآثار الشرعية على المشكوك على حسب اختلاف الموارد ، فترتيب آثار الطهارة على الماء المتمّم وآثار النجاسة على المتمّم يناقض القطع الحاصل من الإجماع على أنّ حكم الماء في السطح الواحد واحد ، وكذا القطع بنجاسة أحد الإناءين يناقض جعل الشارع حكم الطهارة لكلّ واحد من الإناءين ، فلا بدّ إمّا من القول بعدم شمول أدلّة الأصول لموارد التعارض بالنسبة إلى جميع المتعارضين أخذا بالإجماع الدالّ على اتّحاد الحكم وبالأدلّة الواقعية التي تدلّ على وجوب الاجتناب عن النجس الواقعي الموجود بين الإناءين ، وإمّا من القول بعدم وجوب امتثال الأوامر الواقعية وعدم لزوم اتّباع الإجماع الموجود في محلّ التعارض دفعا للتناقض ، ولا ريب أنّ بعد وجود الإجماع كما هو المفروض وكذا بعد فرض وجود الدليل الواقعي الدالّ على لزوم الاجتناب يمتنع عقلا تجويز عدم وجوب الامتثال ؛ لعدم لزوم اتّباع الإجماع ، لأنّه يؤول إلى إيجاب شيء على الغير مع عدم إرادة امتثاله ، وذلك محال عندنا فلا بدّ من القول بعدم شمول </w:t>
      </w:r>
    </w:p>
    <w:p>
      <w:pPr>
        <w:pStyle w:val="BookText"/>
        <w:rPr/>
      </w:pPr>
      <w:r>
        <w:rPr>
          <w:rFonts w:ascii="Amiri" w:hAnsi="Amiri" w:eastAsia="Amiri" w:cs="Amiri"/>
          <w:color w:val="111111"/>
          <w:sz w:val="28"/>
          <w:sz w:val="28"/>
          <w:szCs w:val="28"/>
          <w:rtl w:val="true"/>
          <w:lang w:bidi="ar-SA"/>
        </w:rPr>
        <w:t>أدلّة الأصول لموارد التعارض بالنسبة إلى المتعارضين معا</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أحدهما المعيّن دخوله تحت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بعدم ما يوجب ذلك بعد اشتراك الآخر له في ذلك ، وأحدهما المعيّن في الواقع لا يجوز أن يكون الدليل الدالّ على الأصل شاملا له ؛ إذ الواقع أنّ أحدهما طاهر والآخر نجس ، ولا وجه لإنشاء حكم ظاهري لذلك الواقع ، وأحدهما الغير المعيّن ليس فردا ثالثا للعامّ حتّى يقال بأنّ الخارج هو أحدهما والداخل هو أحدهما الآخر ؛ إذ المفروض أنّ ذلك أمر انتزاعي من ذوات الأفراد وقد عرفت أنّ ذوات الأفراد لا تصلح </w:t>
      </w:r>
      <w:r>
        <w:rPr>
          <w:rStyle w:val="FootnoteAnchor"/>
          <w:rtl w:val="true"/>
        </w:rPr>
        <w:footnoteReference w:id="3592"/>
      </w:r>
      <w:r>
        <w:rPr>
          <w:rFonts w:ascii="Amiri" w:hAnsi="Amiri" w:eastAsia="Amiri" w:cs="Amiri"/>
          <w:color w:val="111111"/>
          <w:sz w:val="28"/>
          <w:sz w:val="28"/>
          <w:szCs w:val="28"/>
          <w:rtl w:val="true"/>
          <w:lang w:bidi="ar-SA"/>
        </w:rPr>
        <w:t xml:space="preserve">لأن تكون خارجة ، فذلك الأمر الانتزاعي يلحق بمنشإ انتزاعه في ذلك ، فلا يعقل أن يكون المراد من الشكّ </w:t>
      </w:r>
      <w:r>
        <w:rPr>
          <w:rStyle w:val="FootnoteAnchor"/>
          <w:rtl w:val="true"/>
        </w:rPr>
        <w:footnoteReference w:id="3593"/>
      </w:r>
      <w:r>
        <w:rPr>
          <w:rFonts w:ascii="Amiri" w:hAnsi="Amiri" w:eastAsia="Amiri" w:cs="Amiri"/>
          <w:color w:val="111111"/>
          <w:sz w:val="28"/>
          <w:sz w:val="28"/>
          <w:szCs w:val="28"/>
          <w:rtl w:val="true"/>
          <w:lang w:bidi="ar-SA"/>
        </w:rPr>
        <w:t xml:space="preserve">المأخوذ في أدلّة الأصول هو الشكّ الموجود في أطراف العلم الإجمالي كما في الشبهة المحصورة ، فلا بدّ في مورد التعارض من الحكم بتساقطهما والرجوع إلى أصل ثالث مؤخّر عنهما ، وهل ذلك من باب التخصيص أو التخصّص؟ التحقيق </w:t>
      </w:r>
      <w:r>
        <w:rPr>
          <w:rStyle w:val="FootnoteAnchor"/>
          <w:rtl w:val="true"/>
        </w:rPr>
        <w:footnoteReference w:id="3594"/>
      </w:r>
      <w:r>
        <w:rPr>
          <w:rFonts w:ascii="IRNazanin" w:hAnsi="IRNazanin" w:eastAsia="IRNazanin"/>
          <w:color w:val="111111"/>
          <w:sz w:val="28"/>
          <w:sz w:val="28"/>
          <w:szCs w:val="28"/>
          <w:rtl w:val="true"/>
          <w:lang w:bidi="fa-IR"/>
        </w:rPr>
        <w:t xml:space="preserve">أنّه من واد آخر ؛ إذ قد عرفت </w:t>
      </w:r>
      <w:r>
        <w:rPr>
          <w:rStyle w:val="FootnoteAnchor"/>
          <w:rtl w:val="true"/>
        </w:rPr>
        <w:footnoteReference w:id="3595"/>
      </w:r>
      <w:r>
        <w:rPr>
          <w:rFonts w:ascii="Amiri" w:hAnsi="Amiri" w:eastAsia="Amiri" w:cs="Amiri"/>
          <w:color w:val="111111"/>
          <w:sz w:val="28"/>
          <w:sz w:val="28"/>
          <w:szCs w:val="28"/>
          <w:rtl w:val="true"/>
          <w:lang w:bidi="ar-SA"/>
        </w:rPr>
        <w:t xml:space="preserve">أنّ الأصل عبارة عن علاج شرعي مجعول في مقام الشكّ ومرجعه إلى طلب الشارع وإنشائه وخطابه ولا يتوجّه خطاب الشارع إلى مثل هذا المورد ، ومنه يظهر الفرق بين المقام وبين ما مرّ من مورد التخيير فإنّ عدم توجّه الخطاب في مورد التخيير بواسطة عذر من قبل المكلّف من عدم قدرته ، وفي المقام حيث إنّ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3596"/>
      </w:r>
      <w:r>
        <w:rPr>
          <w:rFonts w:ascii="IRNazanin" w:hAnsi="IRNazanin" w:eastAsia="IRNazanin"/>
          <w:color w:val="111111"/>
          <w:sz w:val="28"/>
          <w:sz w:val="28"/>
          <w:szCs w:val="28"/>
          <w:rtl w:val="true"/>
          <w:lang w:bidi="fa-IR"/>
        </w:rPr>
        <w:t xml:space="preserve">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Style w:val="FootnoteAnchor"/>
          <w:rtl w:val="true"/>
        </w:rPr>
        <w:footnoteReference w:id="3597"/>
      </w:r>
      <w:r>
        <w:rPr>
          <w:rFonts w:ascii="Amiri" w:hAnsi="Amiri" w:eastAsia="Amiri" w:cs="Amiri"/>
          <w:color w:val="111111"/>
          <w:sz w:val="28"/>
          <w:sz w:val="28"/>
          <w:szCs w:val="28"/>
          <w:rtl w:val="true"/>
          <w:lang w:bidi="ar-SA"/>
        </w:rPr>
        <w:t xml:space="preserve">إنشاء حكم ظاهري ترخيصا أو غير ذلك لا يجوز من المكلّف صدوره ؛ لاستلزامه نقض الغرض على تقدير الجعل فيهما معا ، والترجيح بلا مرجّح على تقدير الجعل في أحدهما في وجه </w:t>
      </w:r>
    </w:p>
    <w:p>
      <w:pPr>
        <w:pStyle w:val="BookText"/>
        <w:rPr/>
      </w:pPr>
      <w:r>
        <w:rPr>
          <w:rFonts w:ascii="Amiri" w:hAnsi="Amiri" w:eastAsia="Amiri" w:cs="Amiri"/>
          <w:color w:val="111111"/>
          <w:sz w:val="28"/>
          <w:sz w:val="28"/>
          <w:szCs w:val="28"/>
          <w:rtl w:val="true"/>
          <w:lang w:bidi="ar-SA"/>
        </w:rPr>
        <w:t xml:space="preserve">وعدم معقوليته في وجه آخر كما عرفت ذلك مفصّلا </w:t>
      </w:r>
      <w:r>
        <w:rPr>
          <w:rStyle w:val="FootnoteAnchor"/>
          <w:rtl w:val="true"/>
        </w:rPr>
        <w:footnoteReference w:id="3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 في مقامه أنّ الشارع إذا طلب شيئا فيمتنع أن يرخّص في ترك الامتثال ؛ لأنّ ارتفاع الأمر منحصر في النسخ أو البداء أو الامتثال ، والأخير مفروض الانتفاء ، والأوّلان فاسدان أيضا كما هو ظاهر ، وأمّا إذا جعل بدلا عمّا هو المطلوب فيصحّ الاقتناع بالبدل وترك الامتثال بما يوجب اليقين بوقوع المطلوب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إجمالا بوجوب شيء مردّد بين أمور فلو جوّز الشارع ترك الامتثال عن ذلك الواجب المردّد يلزم ما ذكرت من اللوازم الفاسدة ، ولم لا يجوز أن يجعل الشارع بدلا عمّا هو المطلوب الواقعي في تلك الأمور بأن يقتنع بترك بعض المحتملات ويجوّز ارتكاب البعض فيحكم بأنّ ارتكاب أحد الإناءين غير جائز بدلا عمّا هو النجس في الواقع ، وارتكاب الآخر ممّا لا ضير فيه كما أذن بذلك فيما إذا اشتبهت القبلة بين جهات عديدة؟</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وذلك أمر معقول ولكنّ الكلام فيما يدلّ على ذلك ولا يمكن أن يكون دليل ذلك دليل الأصل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النهي عن عدم ترتيب الآثار المترتّبة على المعلوم سابقا ، وكذا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3599"/>
      </w:r>
      <w:r>
        <w:rPr>
          <w:rFonts w:ascii="Amiri" w:hAnsi="Amiri" w:eastAsia="Amiri" w:cs="Amiri"/>
          <w:color w:val="111111"/>
          <w:sz w:val="28"/>
          <w:sz w:val="28"/>
          <w:szCs w:val="28"/>
          <w:rtl w:val="true"/>
          <w:lang w:bidi="ar-SA"/>
        </w:rPr>
        <w:t xml:space="preserve">مثلا هو ترخيص عدم ترتيب آثار التكليف على المشكوك ، 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الحرام منه </w:t>
      </w:r>
      <w:r>
        <w:rPr>
          <w:rFonts w:eastAsia="Amiri" w:cs="Amiri" w:ascii="Amiri" w:hAnsi="Amiri"/>
          <w:color w:val="111111"/>
          <w:sz w:val="28"/>
          <w:szCs w:val="28"/>
          <w:rtl w:val="true"/>
          <w:lang w:bidi="ar-SA"/>
        </w:rPr>
        <w:t xml:space="preserve">» </w:t>
      </w:r>
      <w:r>
        <w:rPr>
          <w:rStyle w:val="FootnoteAnchor"/>
          <w:rtl w:val="true"/>
        </w:rPr>
        <w:footnoteReference w:id="3600"/>
      </w:r>
      <w:r>
        <w:rPr>
          <w:rFonts w:ascii="Amiri" w:hAnsi="Amiri" w:eastAsia="Amiri" w:cs="Amiri"/>
          <w:color w:val="111111"/>
          <w:sz w:val="28"/>
          <w:sz w:val="28"/>
          <w:szCs w:val="28"/>
          <w:rtl w:val="true"/>
          <w:lang w:bidi="ar-SA"/>
        </w:rPr>
        <w:t xml:space="preserve">مثلا يستفاد منه الإباحة الظاهرية للمشكوك ، والدليل </w:t>
      </w:r>
      <w:r>
        <w:rPr>
          <w:rStyle w:val="FootnoteAnchor"/>
          <w:rtl w:val="true"/>
        </w:rPr>
        <w:footnoteReference w:id="3601"/>
      </w:r>
      <w:r>
        <w:rPr>
          <w:rFonts w:ascii="Amiri" w:hAnsi="Amiri" w:eastAsia="Amiri" w:cs="Amiri"/>
          <w:color w:val="111111"/>
          <w:sz w:val="28"/>
          <w:sz w:val="28"/>
          <w:szCs w:val="28"/>
          <w:rtl w:val="true"/>
          <w:lang w:bidi="ar-SA"/>
        </w:rPr>
        <w:t xml:space="preserve">الدالّ على البدلية لا بدّ من أن يكون مفاده بدلية أحد الأطراف عن الواقع بحيث لو فرض ترك الواقع في خلال العمل بالبدل لم يكن المكلّف معاقبا ، كما في الأدلّة </w:t>
      </w:r>
      <w:r>
        <w:rPr>
          <w:rStyle w:val="FootnoteAnchor"/>
          <w:rtl w:val="true"/>
        </w:rPr>
        <w:footnoteReference w:id="3602"/>
      </w:r>
      <w:r>
        <w:rPr>
          <w:rFonts w:ascii="Amiri" w:hAnsi="Amiri" w:eastAsia="Amiri" w:cs="Amiri"/>
          <w:color w:val="111111"/>
          <w:sz w:val="28"/>
          <w:sz w:val="28"/>
          <w:szCs w:val="28"/>
          <w:rtl w:val="true"/>
          <w:lang w:bidi="ar-SA"/>
        </w:rPr>
        <w:t>الدالّة على ترخيص الترك فيما إذا اشتبهت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ظاهر بين أن يقنع الأمر عن الواقع ببدله كما إذا قامت البيّنة على أنّ النجس هو هذا الإناء المعيّن فيجب الاجتناب عنه ولا يجب الاجتناب </w:t>
      </w:r>
      <w:r>
        <w:rPr>
          <w:rStyle w:val="FootnoteAnchor"/>
          <w:rtl w:val="true"/>
        </w:rPr>
        <w:footnoteReference w:id="3603"/>
      </w:r>
      <w:r>
        <w:rPr>
          <w:rFonts w:ascii="Amiri" w:hAnsi="Amiri" w:eastAsia="Amiri" w:cs="Amiri"/>
          <w:color w:val="111111"/>
          <w:sz w:val="28"/>
          <w:sz w:val="28"/>
          <w:szCs w:val="28"/>
          <w:rtl w:val="true"/>
          <w:lang w:bidi="ar-SA"/>
        </w:rPr>
        <w:t xml:space="preserve">عن الآخر ، وبين أن يجعل للمشكوك حكما ظاهريا في مقام الشكّ علاجا ، ومفاد الأصل هو الثاني ، ومفاد الدليل الدالّ على البدلية لا بدّ وأن يكون على الوجه الأوّل ، ولا يجوز أن يكون الكلام المنساق لأحدهما منساقا للآخر ، نعم بعد ما بنى المكلّف على الأخذ بالعلم الإجمالي بالامتثال بجميع أطراف الشبهة يجوز جعل الطريق إلى الواقع والبدل ، وأمّا الاستناد بدليل الأصل في هذا المقام فليس بسديد كما عرفت ، فلا بدّ إمّا من القول بوجوب الاجتناب في الشبهة المحصورة وأمثالها كما هو التحقيق ، وإمّا القول بجواز الارتكاب بالنسبة إلى الجميع على وجه غير مرضيّ من حكومة أدلّة الأصول بالنسبة إلى الأدلّة الواقعية بتخصيص التكاليف إلى صورة العلم التفصيلي على ما فرغنا </w:t>
      </w:r>
      <w:r>
        <w:rPr>
          <w:rStyle w:val="FootnoteAnchor"/>
          <w:rtl w:val="true"/>
        </w:rPr>
        <w:footnoteReference w:id="3604"/>
      </w:r>
      <w:r>
        <w:rPr>
          <w:rFonts w:ascii="Amiri" w:hAnsi="Amiri" w:eastAsia="Amiri" w:cs="Amiri"/>
          <w:color w:val="111111"/>
          <w:sz w:val="28"/>
          <w:sz w:val="28"/>
          <w:szCs w:val="28"/>
          <w:rtl w:val="true"/>
          <w:lang w:bidi="ar-SA"/>
        </w:rPr>
        <w:t xml:space="preserve">عن إبطاله في مباحث البراءة والاحتياط من دون تفصيل بين إبقاء </w:t>
      </w:r>
      <w:r>
        <w:rPr>
          <w:rStyle w:val="FootnoteAnchor"/>
          <w:rtl w:val="true"/>
        </w:rPr>
        <w:footnoteReference w:id="3605"/>
      </w:r>
      <w:r>
        <w:rPr>
          <w:rFonts w:ascii="Amiri" w:hAnsi="Amiri" w:eastAsia="Amiri" w:cs="Amiri"/>
          <w:color w:val="111111"/>
          <w:sz w:val="28"/>
          <w:sz w:val="28"/>
          <w:szCs w:val="28"/>
          <w:rtl w:val="true"/>
          <w:lang w:bidi="ar-SA"/>
        </w:rPr>
        <w:t>ما يساوي الحرام وبين ارتكاب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الأصلين المتعارضين هو التساقط والرجوع إلى أصل ثالث ، أمّا الأوّل فلما عرفت من امتناع ترخيص الشارع بعد العلم الإجمالي عدم الامتثال ، وأمّا الثاني فلأنّ الأصلين وجودهما كعدمهما حقيقة في نفي الثالث فلا بدّ من الرجوع إليه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ما ذكرنا من أنّ حكم الأصلين المتعارضين هو التساقط إنّما هو فيما إذا قلنا باعتبار الأصول تعبّدا ، وأمّا على القول باعتبارها من باب إفادة الظنّ فالظاهر أنّ حكم الأصل لا يخالف حكم الطرق الواقعية ، فتدبّر في المقام فلعلّك تطّلع على ما ربّما أسقطناه مخافة الإطالة ، واللّه الموفّق وهو وليّ الهداية</w:t>
      </w:r>
      <w:r>
        <w:rPr>
          <w:rFonts w:eastAsia="Amiri" w:cs="Amiri" w:ascii="Amiri" w:hAnsi="Amiri"/>
          <w:color w:val="111111"/>
          <w:sz w:val="28"/>
          <w:szCs w:val="28"/>
          <w:rtl w:val="true"/>
          <w:lang w:bidi="ar-SA"/>
        </w:rPr>
        <w:t xml:space="preserve">. </w:t>
      </w:r>
      <w:bookmarkStart w:id="367" w:name="pg16284_171643"/>
    </w:p>
    <w:p>
      <w:pPr>
        <w:pStyle w:val="Heading3"/>
        <w:numPr>
          <w:ilvl w:val="2"/>
          <w:numId w:val="1"/>
        </w:numPr>
        <w:rPr/>
      </w:pPr>
      <w:bookmarkStart w:id="368" w:name="__RefHeading___Toc5012248_1280447820"/>
      <w:bookmarkStart w:id="369" w:name="_Toc113"/>
      <w:bookmarkEnd w:id="367"/>
      <w:bookmarkEnd w:id="368"/>
      <w:r>
        <w:rPr>
          <w:rtl w:val="true"/>
        </w:rPr>
        <w:t xml:space="preserve">هداية </w:t>
      </w:r>
      <w:r>
        <w:rPr>
          <w:rtl w:val="true"/>
        </w:rPr>
        <w:t xml:space="preserve">[ </w:t>
      </w:r>
      <w:r>
        <w:rPr>
          <w:rtl w:val="true"/>
        </w:rPr>
        <w:t xml:space="preserve">في لزوم الفحص عن المرجّح </w:t>
      </w:r>
      <w:r>
        <w:rPr>
          <w:rtl w:val="true"/>
        </w:rPr>
        <w:t>]</w:t>
      </w:r>
      <w:bookmarkEnd w:id="369"/>
    </w:p>
    <w:p>
      <w:pPr>
        <w:pStyle w:val="BookText"/>
        <w:rPr/>
      </w:pPr>
      <w:r>
        <w:rPr>
          <w:rFonts w:ascii="Amiri" w:hAnsi="Amiri" w:eastAsia="Amiri" w:cs="Amiri"/>
          <w:color w:val="111111"/>
          <w:sz w:val="28"/>
          <w:sz w:val="28"/>
          <w:szCs w:val="28"/>
          <w:rtl w:val="true"/>
          <w:lang w:bidi="ar-SA"/>
        </w:rPr>
        <w:t xml:space="preserve">قد عرفت فيما تقدّم وجوه التراجيح المعمولة في الأدلّة على وجه لا مزيد عليه كما عرفت </w:t>
      </w:r>
      <w:r>
        <w:rPr>
          <w:rStyle w:val="FootnoteAnchor"/>
          <w:rtl w:val="true"/>
        </w:rPr>
        <w:footnoteReference w:id="3606"/>
      </w:r>
      <w:r>
        <w:rPr>
          <w:rFonts w:ascii="Amiri" w:hAnsi="Amiri" w:eastAsia="Amiri" w:cs="Amiri"/>
          <w:color w:val="111111"/>
          <w:sz w:val="28"/>
          <w:sz w:val="28"/>
          <w:szCs w:val="28"/>
          <w:rtl w:val="true"/>
          <w:lang w:bidi="ar-SA"/>
        </w:rPr>
        <w:t xml:space="preserve">موارد التساقط والتخيير والتوقّف ، فهل يجوز الأخذ بمقتضى المذكورات قبل الفحص ، أو لا بدّ في إعمالها من الفحص؟ الحقّ هو الثاني فلا يجوز التعويل على ما يصل من وجوه التراجيح إلى نظر المجتهد ، نعم لو علم بأنّ بعد الفحص أيضا لا يزيد على ما وصل </w:t>
      </w:r>
      <w:r>
        <w:rPr>
          <w:rStyle w:val="FootnoteAnchor"/>
          <w:rtl w:val="true"/>
        </w:rPr>
        <w:footnoteReference w:id="3607"/>
      </w:r>
      <w:r>
        <w:rPr>
          <w:rFonts w:ascii="Amiri" w:hAnsi="Amiri" w:eastAsia="Amiri" w:cs="Amiri"/>
          <w:color w:val="111111"/>
          <w:sz w:val="28"/>
          <w:sz w:val="28"/>
          <w:szCs w:val="28"/>
          <w:rtl w:val="true"/>
          <w:lang w:bidi="ar-SA"/>
        </w:rPr>
        <w:t>إليه نظره أوّلا جاز له التعويل عليه ، والدليل على ذلك هو بعينه ما دلّ على عدم جواز العمل بالعامّ قبل الفحص عن المخصّص ، والعمل بالأصل قبل الفحص عن الدليل</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الجهل في الأحكام إنّما يصلح لأن يكون عذرا شرعا أو عقلا إذا لم يكن جهلا ابتدائيا ؛ إذ مع احتمال تحصيل العلم لا دلالة في العقل على قبح المؤاخذة عن الجاهل ، وأمّا ما يرى من عدم وجوب الفحص في الشبهات الموضوعية فهو إنّما تفضّل من الشارع الحكيم ، وذلك هو الوجه في عدم معذورية الجاهل المقصّر في الأحكام ؛ إذ المراد بالتقصير هو أن لا يطلب العلم ولا يتفحّص مع إمكانه في حقّه ، وبالجملة فذلك من الأمور الواضحة الجليّة</w:t>
      </w:r>
      <w:r>
        <w:rPr>
          <w:rFonts w:eastAsia="Amiri" w:cs="Amiri" w:ascii="Amiri" w:hAnsi="Amiri"/>
          <w:color w:val="111111"/>
          <w:sz w:val="28"/>
          <w:szCs w:val="28"/>
          <w:rtl w:val="true"/>
          <w:lang w:bidi="ar-SA"/>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يشكل في المقام من أنّ معيار وجوب الفحص هو العجز عن الوصول إلى الأحكام فهل العجز المعتبر هو العجز النوعي أو العجز الشخصي؟ فلو فرض أنّ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عجز عن الوصول إلى الواقع في واقعة لعارض خارجي لظلمة أو حبس ونحوه فهل يسقط بذلك عنه الفحص ويجوز له العمل بما يراه راجحا ، أو يجب عليه التقليد؟ الظاهر هو الثاني واعتبار العجز لنوع المجتهد من أمثاله وأقرانه ؛ إذ لا دليل على </w:t>
      </w:r>
      <w:r>
        <w:rPr>
          <w:rStyle w:val="FootnoteAnchor"/>
          <w:rtl w:val="true"/>
        </w:rPr>
        <w:footnoteReference w:id="3608"/>
      </w:r>
      <w:r>
        <w:rPr>
          <w:rFonts w:ascii="Amiri" w:hAnsi="Amiri" w:eastAsia="Amiri" w:cs="Amiri"/>
          <w:color w:val="111111"/>
          <w:sz w:val="28"/>
          <w:sz w:val="28"/>
          <w:szCs w:val="28"/>
          <w:rtl w:val="true"/>
          <w:lang w:bidi="ar-SA"/>
        </w:rPr>
        <w:t>جواز العمل بما يظنّه حينئذ فيكون ملحقا بالعامّي فيجب عليه التقليد أو يحتاط ، وذلك أمر ظاهر في الغاية لا حاجة إلى إطالة الكلام فيه أطال اللّه أعمارنا ووفّقنا لصرفها فيما يرضيه ونجتنب عمّا يسخطه بحقّ محمّد وآله الأطهار الأمجاد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أفاده الأستاد المحقّق نوّر اللّه شمس سماء تحقيقه وأكمل بدر فلك تدقيقه </w:t>
      </w:r>
      <w:r>
        <w:rPr>
          <w:rStyle w:val="FootnoteAnchor"/>
          <w:rtl w:val="true"/>
        </w:rPr>
        <w:footnoteReference w:id="3609"/>
      </w:r>
      <w:r>
        <w:rPr>
          <w:rFonts w:ascii="Amiri" w:hAnsi="Amiri" w:eastAsia="Amiri" w:cs="Amiri"/>
          <w:color w:val="111111"/>
          <w:sz w:val="28"/>
          <w:sz w:val="28"/>
          <w:szCs w:val="28"/>
          <w:rtl w:val="true"/>
          <w:lang w:bidi="ar-SA"/>
        </w:rPr>
        <w:t xml:space="preserve">على يد أقلّ الطلبة الحاجّ أبي القاسم بن المرحوم الحاجّ محمّد عليّ الطهراني عاملهما اللّه بلطفه الخفي بالنبيّ وآله ، قد فرغت عن تسويد هذه النسخة الشريفة يوم الخميس أحد عشر من شهر جمادى الثاني </w:t>
      </w:r>
      <w:r>
        <w:rPr>
          <w:rStyle w:val="FootnoteAnchor"/>
          <w:rtl w:val="true"/>
        </w:rPr>
        <w:footnoteReference w:id="3610"/>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Style w:val="FootnoteAnchor"/>
          <w:rtl w:val="true"/>
        </w:rPr>
        <w:footnoteReference w:id="3611"/>
      </w:r>
      <w:r>
        <w:rPr>
          <w:rFonts w:eastAsia="Times New Roman" w:cs="Times New Roman" w:ascii="Times New Roman" w:hAnsi="Times New Roman"/>
          <w:color w:val="111111"/>
          <w:sz w:val="28"/>
          <w:szCs w:val="28"/>
          <w:rtl w:val="true"/>
          <w:lang w:val="en-US" w:bidi="en-US"/>
        </w:rPr>
        <w:t xml:space="preserve">. </w:t>
      </w:r>
      <w:bookmarkStart w:id="370" w:name="pg16284_171645"/>
    </w:p>
    <w:p>
      <w:pPr>
        <w:pStyle w:val="Heading2"/>
        <w:numPr>
          <w:ilvl w:val="1"/>
          <w:numId w:val="1"/>
        </w:numPr>
        <w:rPr/>
      </w:pPr>
      <w:bookmarkStart w:id="371" w:name="__RefHeading___Toc5012250_1280447820"/>
      <w:bookmarkStart w:id="372" w:name="_Toc114"/>
      <w:bookmarkEnd w:id="370"/>
      <w:bookmarkEnd w:id="371"/>
      <w:r>
        <w:rPr>
          <w:rtl w:val="true"/>
        </w:rPr>
        <w:t>الفهارس العامّة</w:t>
      </w:r>
      <w:bookmarkEnd w:id="372"/>
    </w:p>
    <w:p>
      <w:pPr>
        <w:pStyle w:val="Heading3"/>
        <w:numPr>
          <w:ilvl w:val="2"/>
          <w:numId w:val="1"/>
        </w:numPr>
        <w:rPr/>
      </w:pPr>
      <w:bookmarkStart w:id="373" w:name="__RefHeading___Toc5012252_1280447820"/>
      <w:bookmarkStart w:id="374" w:name="_Toc115"/>
      <w:bookmarkEnd w:id="373"/>
      <w:r>
        <w:rPr>
          <w:rtl w:val="true"/>
        </w:rPr>
        <w:t>اشارة</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الأشعار والأمثال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الفرق والجماعات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الأماكن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الأشياء والحيوانات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مصادر التحقيق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6284_171647"/>
      <w:bookmarkStart w:id="376" w:name="pg16284_171647"/>
      <w:bookmarkEnd w:id="376"/>
    </w:p>
    <w:p>
      <w:pPr>
        <w:pStyle w:val="Heading3"/>
        <w:numPr>
          <w:ilvl w:val="2"/>
          <w:numId w:val="1"/>
        </w:numPr>
        <w:rPr/>
      </w:pPr>
      <w:bookmarkStart w:id="377" w:name="pg16284_171647"/>
      <w:bookmarkStart w:id="378" w:name="__RefHeading___Toc5012254_1280447820"/>
      <w:bookmarkStart w:id="379" w:name="_Toc116"/>
      <w:bookmarkEnd w:id="377"/>
      <w:bookmarkEnd w:id="378"/>
      <w:r>
        <w:rPr>
          <w:rtl w:val="true"/>
        </w:rPr>
        <w:t>فهرس الآيات</w:t>
      </w:r>
      <w:bookmarkEnd w:id="379"/>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نَسْتَعِينُ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كُنْتُمْ فَوَلُّوا وُجُوهَكُمْ شَطْرَهُ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حَتَّى يَتَبَيَّنَ لَكُمُ الْخَيْطُ الْأَبْيَضُ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بِالْمَنِّ وَالْأَذى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تُرْجَعُونَ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وَحَصُوراً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يُلْقُونَ أَقْلامَهُمْ أَيُّهُمْ يَكْفُلُ مَرْيَمَ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وَاعْبُدُوا اللّهَ وَلا تُشْرِكُوا بِهِ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الْمُسْتَضْعَفِينَ مِنَ الرِّجالِ وَالنِّساءِ وَالْوِلْدانِ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أَكَلَ السَّبُعُ إِلاَّ ما ذَكَّيْتُمْ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نَبِّئُونِي بِعِلْمٍ إِنْ كُنْتُمْ صادِقِينَ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آلذَّكَرَيْنِ حَرَّمَ أَمِ الْأُنْثَيَيْنِ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وَما بَطَنَ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فِتْنَةً لا تُصِيبَنَّ الَّذِينَ ظَلَمُوا مِنْكُمْ خَاصَّةً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وَآخَرَ سَيِّئاً عَسَى اللّهُ أَنْ يَتُوبَ عَلَيْهِمْ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لَكُمْ أَمْ عَلَى اللّهِ تَفْتَرُونَ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وَأَنَا بِهِ زَعِيمٌ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الَّذِينَ مَكَرُوا السَّيِّئاتِ أَنْ يَخْسِفَ اللّهُ بِهِمُ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نَقَضَتْ غَزْلَها مِنْ بَعْدِ قُوَّةٍ أَنْكاثاً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مَسْؤُلاً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وَحَزَناً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أُنْكِحَكَ إِحْدَى ابْنَتَيَّ هاتَيْنِ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عَنْكُمُ الرِّجْسَ أَهْلَ الْبَيْتِ وَيُطَهِّرَكُمْ تَطْهِيراً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ظَنُّ الَّذِينَ كَفَرُوا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فَاضْرِبْ بِهِ وَلا تَحْنَثْ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يُعْرَضُونَ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لِأَعْدِلَ بَيْنَكُمُ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يُعْرَضُونَ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وَسَيُحْبِطُ أَعْمالَهُمْ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وَلا تُبْطِلُوا أَعْمالَكُمْ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أَنْ تُصِيبُوا قَوْماً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إِنَّ بَعْضَ الظَّنِّ إِثْمٌ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عِيسَى ابْنُ مَرْيَمَ يا بَنِي إِسْرائِيلَ إِنِّي رَسُولُ اللّهِ إِلَيْكُمْ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فَمِنْكُمْ كافِرٌ وَمِنْكُمْ مُؤْمِنٌ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دِينُ الْقَيِّمَةِ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380" w:name="pg16284_171655"/>
    </w:p>
    <w:p>
      <w:pPr>
        <w:pStyle w:val="Heading3"/>
        <w:numPr>
          <w:ilvl w:val="2"/>
          <w:numId w:val="1"/>
        </w:numPr>
        <w:rPr/>
      </w:pPr>
      <w:bookmarkStart w:id="381" w:name="__RefHeading___Toc5012256_1280447820"/>
      <w:bookmarkStart w:id="382" w:name="_Toc117"/>
      <w:bookmarkEnd w:id="380"/>
      <w:bookmarkEnd w:id="381"/>
      <w:r>
        <w:rPr>
          <w:rtl w:val="true"/>
        </w:rPr>
        <w:t>فهرس أحاديث المعصومين عليهم‌السلام</w:t>
      </w:r>
      <w:bookmarkEnd w:id="382"/>
    </w:p>
    <w:p>
      <w:pPr>
        <w:pStyle w:val="BookText"/>
        <w:rPr/>
      </w:pPr>
      <w:r>
        <w:rPr>
          <w:rFonts w:ascii="Amiri" w:hAnsi="Amiri" w:eastAsia="Amiri" w:cs="Amiri"/>
          <w:color w:val="111111"/>
          <w:sz w:val="28"/>
          <w:sz w:val="28"/>
          <w:szCs w:val="28"/>
          <w:rtl w:val="true"/>
          <w:lang w:bidi="ar-SA"/>
        </w:rPr>
        <w:t>طرف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لم أمرتكم بالأخذ بخلاف ما يقوله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ما لا بأس به حذرا ممّا به البأس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لك السهو في كلمتين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استيقنت أنّك قد توضّأت فإيّاك أن تحدث 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 فأتوا منه ما استطعتم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عنّا حديث فوجدتم عليه شاهدا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شيء ثم دخلت في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وهو في صلاته انصرف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من أصحابك الحديث وكلّهم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فليمض في صلاته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شيء من الوضوء وقد دخلت في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عندك المسلمون فصدّقهم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فأرجه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يكذب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تعلم فموسّع 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يدر في ثلاث هو أو 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حديثان مختلفان فاعرضوهما على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حديثان مختلفان فخذوا ما خالف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خبران مختلفان فانظروا إلى ما يخالف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لو حدّثتك بحديث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 لم يهلك على اللّه بعدهنّ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أن تنتظر حتّى تذهب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وتأخذ بالحائطة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ممّا سكت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ولو بالصين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 الناس بالبيّنات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آت بها بيضاء نقيّة؟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علمت أنّه قد خلطه الحرام فلا تأكل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مشكل يردّ علمه إلى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أجل أنّه مكان واحد يجعل فيه 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حلّل حلالا ، وحرّم حراما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عالما من علماء بني إسرائيل قد ناجى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حديثين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يكذّبه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يتّهمه فلو اتّهمه انماث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حقّ حقيقة ولكلّ صواب نورا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حجّتين حجّة في الظاهر وهي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والماء قد طهّراه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ما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لا يدفع بالشك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أمرنا وما جاءكم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أخذتني بالقياس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خلّد أهل النار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فقيه البلد فاستفته في أمرك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امرئ ركب بجهالة أمرا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وأشباهه يعرف من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على الملّة السمحة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يثاب ويعاقب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فيكم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 وتصلّي وتتّقي اللّه لا تدري ما أمركم؟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الصلاة وتغسله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من ثوبك الناحية التي ترى أنّها قد أصابها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تمعّكت كما تتمعّك الدابّة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أنّه كم آية يقرأ في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الحرام منه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علمت أنّه مذكّى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فيه أمر أو 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يأخذه صادق عن صادق خير من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حلاله حلال وحرامه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اشتهر بين أصحابك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بما رووا وذروا ما رأوا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حتّى يبلغكم عن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لا يصاب بالعقول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وأشباهه يعرف من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بفعل قوم كالداخل فيه 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الماء ربّ التراب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ستّة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سأخبرك عن الجبن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ولا تغسله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 المحمل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أمر أخيك على أحسنه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من لم ترفع إليه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ما عبد به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ثقتي ، فما أدّيا إليك عنّي فعنّي يؤدّي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وابنه ثقتان ، فما أدّيا إليك عنّي ، فعنّي يؤدّيان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هذا فاشهد أو دع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بزكريا بن آدم المأمون على الدين والدنيا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على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قمت من الوضوء وقد فرغت عنه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الرشد في خلافهم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إلى ما وافق أخبارهم فدعوه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كنت على يقين من وضوئك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 يتوضّأ أذكر منه حين يشكّ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يقين من وضوئه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فتخيّر أحدهما فتأخذ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علمت أنّه مذكّى فهو 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وافق أخبارهم فذروه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على يقينه فإنّ اليقين لا يدفع بالشكّ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والقياس؟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عن محمّد بن مسلم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قاتلهم اللّه ألاّ سألوا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تنام العين ولا ينام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يا أبا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مجهول ففيه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شكّ فيه ممّا قد جاوزه ودخل في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وحرام فهو لك حلال حتى تعرف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قد جاوزه ودخل في غيره فليمض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الحرام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أنّه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يجيئك شاهدان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مباح حتّى تعلم أنّه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يطير لا بأس بخرئه وبوله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يكون فيه حرام وحلال فهو لك 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ماء طاهر حتّى تعلم أنّه قذر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شككت فيه ممّا قد مضى فامضه كما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غلب اللّه فيه فهو أولى بالعذر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اجتمع الحلال والحرام غلب الحرام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هل على من لم يعرف شيئا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أمّا إذا كان بجهالة ، فليتزوجها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 لا تصلّي نافلة في وقت 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بخرء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عليهما جميعا ويجزي كلّ واحد منهما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أعمالكم بالشرك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تثق بأخيك كلّ الثقة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بواحد منهما حتّى تأتي صاحبك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في المكتوبة بشيء من العزائم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لمن لم يبت الصيام من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يسعكم إلاّ التسليم 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يسعكم فيما ينزل بكم ممّا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عن طعام يعجبني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العباد إذا جهلوا وقفوا ولم يجحدوا لم يكفروا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بناكب عن الصراط من سلك سبيل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ديني من استعمل 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الحلال والحرام إلاّ وقد غلب الحرام على الحلال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635</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أجهلك بلسان قومك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الخفقة والخفقتان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أسوأ حالك لو كنت تموت على مثل هذه الحالة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 عنّا فقسه على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منّي يشبه قول الناس ففيه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علمتم أنّه قولنا فالزموه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غلب اللّه شيئا على العباد إلاّ وهو أولى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والقياس إنّما هلك من 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أبعد في دين اللّه من عقول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مال امرئ إلاّ بطيب من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على صلاته ولا يعيد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اتّهم أخاه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همّ بها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اتّهم أخاه فلا حرمة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الناس بغير علم فليتبوأ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إليهم في حقّ أو باطل فإنّما تحاكم إلى 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بغير سماع من صادق ألزمه اللّه التيه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صلواته شيئا ، فعليه الإعادة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اللّه وفي رسول اللّه صلى‌اللّه‌عليه‌وآله‌وسلم فهو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الاختلاف فليس بمستضعف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أنّا لا نقول إلاّ حقّا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فوّض أمره إلى اللّه هداه اللّه إلى ما هو الأصلح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قاس شيئا من الدين قرنه اللّه مع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غرس له في الجنّة 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جميع ليله وصام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وليّ اللّه فيواليه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على اللّه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بالحقّ وهو لا 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فشكّ فليمض على يقينه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عليك بأيّة عملت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وحده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نحكم بينكم بالظاهر ، واللّه أعلم بالسرائر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أفيونس بن عبد الرحمن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صلى‌اللّه‌عليه‌وآله‌وسلم عن الغرر أو عن بيعه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 الركوع بعد ما سجد فليمض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ينقضه بيقين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خير من الاقتحام في الهلكة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يختلط أحدهما بالآخر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يعتدّ بالشكّ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اللّه من مؤمن وهو مضمر من أخيه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ينقض الشكّ باليقين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فيه شيء من السدر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تجدوه في شيء من ذلك الوجوه فردّوا إلينا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سألت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سألوا ، هلاّ يمّموه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حيث لا يعلم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يهدي حيلة إلى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إنّك قد أخذتني بالقياس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هذا خير لنا وأبقى لنا ولكم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خذ بما اشتهر بين أصحابك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قد تنام العين ولا ينام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كذّب سمعك وبصرك عن أخيك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يرجئه حتّى يلقى من يخبره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يركع ركعتين وأربع سجدات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يريقهما جميعا ويتمّم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يدخل فيه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فيه حلال وحرام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 عنّا في ذلك الذي حكما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383" w:name="pg16284_171665"/>
    </w:p>
    <w:p>
      <w:pPr>
        <w:pStyle w:val="Heading3"/>
        <w:numPr>
          <w:ilvl w:val="2"/>
          <w:numId w:val="1"/>
        </w:numPr>
        <w:rPr/>
      </w:pPr>
      <w:bookmarkStart w:id="384" w:name="__RefHeading___Toc5012258_1280447820"/>
      <w:bookmarkStart w:id="385" w:name="_Toc118"/>
      <w:bookmarkEnd w:id="383"/>
      <w:bookmarkEnd w:id="384"/>
      <w:r>
        <w:rPr>
          <w:rtl w:val="true"/>
        </w:rPr>
        <w:t>فهرس الأشعار والأمثال</w:t>
      </w:r>
      <w:bookmarkEnd w:id="385"/>
    </w:p>
    <w:p>
      <w:pPr>
        <w:pStyle w:val="BookText"/>
        <w:rPr/>
      </w:pPr>
      <w:r>
        <w:rPr>
          <w:rFonts w:ascii="IRNazanin" w:hAnsi="IRNazanin" w:eastAsia="IRNazanin"/>
          <w:color w:val="111111"/>
          <w:sz w:val="28"/>
          <w:sz w:val="28"/>
          <w:szCs w:val="28"/>
          <w:rtl w:val="true"/>
          <w:lang w:bidi="fa-IR"/>
        </w:rPr>
        <w:t>وإن تفق الأنام وأنت منهم</w:t>
      </w:r>
    </w:p>
    <w:p>
      <w:pPr>
        <w:pStyle w:val="BookText"/>
        <w:rPr/>
      </w:pPr>
      <w:r>
        <w:rPr>
          <w:rFonts w:ascii="Amiri" w:hAnsi="Amiri" w:eastAsia="Amiri" w:cs="Amiri"/>
          <w:color w:val="111111"/>
          <w:sz w:val="28"/>
          <w:sz w:val="28"/>
          <w:szCs w:val="28"/>
          <w:rtl w:val="true"/>
          <w:lang w:bidi="ar-SA"/>
        </w:rPr>
        <w:t>فإنّ المسك بعض دم الغزال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چگونه شكر اين نعمت گذارم</w:t>
      </w:r>
    </w:p>
    <w:p>
      <w:pPr>
        <w:pStyle w:val="BookText"/>
        <w:rPr/>
      </w:pPr>
      <w:r>
        <w:rPr>
          <w:rFonts w:ascii="Amiri" w:hAnsi="Amiri" w:eastAsia="Amiri" w:cs="Amiri"/>
          <w:color w:val="111111"/>
          <w:sz w:val="28"/>
          <w:sz w:val="28"/>
          <w:szCs w:val="28"/>
          <w:rtl w:val="true"/>
          <w:lang w:bidi="ar-SA"/>
        </w:rPr>
        <w:t>كه دست مردم آزارى ندارم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الغريق يتشبّث بكلّ حشيش</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ليس وراء عبّادان قرية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من لا يعرف الفقه صنّف فيه</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386" w:name="pg16284_171666"/>
    </w:p>
    <w:p>
      <w:pPr>
        <w:pStyle w:val="Heading3"/>
        <w:numPr>
          <w:ilvl w:val="2"/>
          <w:numId w:val="1"/>
        </w:numPr>
        <w:rPr/>
      </w:pPr>
      <w:bookmarkStart w:id="387" w:name="__RefHeading___Toc5012260_1280447820"/>
      <w:bookmarkStart w:id="388" w:name="_Toc119"/>
      <w:bookmarkEnd w:id="386"/>
      <w:bookmarkEnd w:id="387"/>
      <w:r>
        <w:rPr>
          <w:rtl w:val="true"/>
        </w:rPr>
        <w:t>فهرس الأعلام</w:t>
      </w:r>
      <w:bookmarkEnd w:id="388"/>
    </w:p>
    <w:p>
      <w:pPr>
        <w:pStyle w:val="BookText"/>
        <w:rPr/>
      </w:pPr>
      <w:r>
        <w:rPr>
          <w:rFonts w:ascii="Amiri" w:hAnsi="Amiri" w:eastAsia="Amiri" w:cs="Amiri"/>
          <w:color w:val="111111"/>
          <w:sz w:val="28"/>
          <w:sz w:val="28"/>
          <w:szCs w:val="28"/>
          <w:rtl w:val="true"/>
          <w:lang w:bidi="ar-SA"/>
        </w:rPr>
        <w:t xml:space="preserve">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الزبعرى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طاوس ، علي رضي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جمهور الإحسائي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إسحاق الأرجاني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عيسى بن عبد اللّه بن محمّد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الأردبيلي ، المقدّس ،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الجارود ، زياد بن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من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الأسترآبادي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السامري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الأصفهاني الشيخ محمّد تقي صاحب 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الأعاظم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المأمون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الأصفهاني الشيخ محمّد حسين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أمين الأخبارية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أبي عبد 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الأنصارى مرتضى ،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إسحاق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عيسى بن عبد اللّه بن محمّد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الأردبيلي ، المقدّس ،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لبزنطى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الفصول ، الشيخ محمّد</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الأصفهاني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أيوب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 العلوم السيّد مهدي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أفاضل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شبّر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البحراني الشيخ يوسف 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التوني الملا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الجزائري السيّد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الحسن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الخوانساري آقا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جواد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الحلّي ، ابن إدريس صاحب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الحسن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الحلّي ، المحقّق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حريز بن عبد اللّه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الرضي صاحب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الرقيب العتيد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خلف من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الخوانساري آغا جمال الدين ، جمال المحققين ، المحقق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الخوانساري آغا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بن علي بن 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السامري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السبزواري صاحب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الدزفولي الشيخ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الراوندي قطب الدين سعيد بن هبة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عبد 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السيّد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شبر السيّد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الأواخر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المعالم ، حسن بن الشهيد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الشهيد الثاني ، زين الدين بن علي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الرئيس أبو علي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الطباطبائي ، السيّد علي صاحب الرياض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 ملاّ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الطباطبائي ، السيّد المجاهد صاحب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سادات مشايخ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صدر الدين القمي شارح الوافية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الطباطبائي ، السيّد مهدي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أفاضل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الطبرسي ، أحمد بن علي صاحب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الطبرسي ، صاحب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 محمّد بن الحسن ، شيخ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 محمّد بن علي ابن بابويه القمي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الصفّار ،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 خواجه نصير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الطهراني ،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السلام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العاملي ، الشيخ حسين والد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 حسين بن شهاب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العسكري ، أبو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 زين الدين بن علي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الأعلى مولى آل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الأعلى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الحلّي ، الحسن بن يوسف بن المطهّر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أحمد بن محمّد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ابن بابويه القمي أبو الحسن 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العميدي ،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السعدآبادي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مريم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الجواد شارح 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بن محمّد بن زين الدين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الهندي ، كاشف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شيرة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الفخر الرازي ، الفخري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المحقّقين صاحب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الكاظمي ، صاحب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الميرزا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الكركي ،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من تأخّر عن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الأعيان من المعاصرين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الكليني ، محمّد بن يعقوب ثقة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كاشف الغطاء ، الشيخ جعفر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المازندراني ملاّ صالح ، صالح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المتنبي ،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اليقطيني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المحقّق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مسلم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الخوانساري آغا 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إسماعيل البندقي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المرتضى ، علي بن الحسين الموسوي ، الشريف المرتضى ،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مريم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النجفي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النراقي ، ملاّ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أفاضل متأخري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أفاضل متأخّري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الوحيد البهبهاني ، محمّد باقر الأستاذ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الهادي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عمران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محمّد بن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جدّ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مهدي صاحب الزمان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روى عنه محمّد بن عيسى اليقطيني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من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bookmarkStart w:id="389" w:name="pg16284_171679"/>
    </w:p>
    <w:p>
      <w:pPr>
        <w:pStyle w:val="Heading3"/>
        <w:numPr>
          <w:ilvl w:val="2"/>
          <w:numId w:val="1"/>
        </w:numPr>
        <w:rPr/>
      </w:pPr>
      <w:bookmarkStart w:id="390" w:name="__RefHeading___Toc5012262_1280447820"/>
      <w:bookmarkStart w:id="391" w:name="_Toc120"/>
      <w:bookmarkEnd w:id="389"/>
      <w:bookmarkEnd w:id="390"/>
      <w:r>
        <w:rPr>
          <w:rtl w:val="true"/>
        </w:rPr>
        <w:t>فهرس الكتب</w:t>
      </w:r>
      <w:bookmarkEnd w:id="391"/>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تعليقة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تعليقة المعالم للوحيد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p>
    <w:p>
      <w:pPr>
        <w:pStyle w:val="BookText"/>
        <w:rPr/>
      </w:pPr>
      <w:r>
        <w:rPr>
          <w:rFonts w:ascii="IRNazanin" w:hAnsi="IRNazanin" w:eastAsia="IRNazanin"/>
          <w:color w:val="111111"/>
          <w:sz w:val="28"/>
          <w:sz w:val="28"/>
          <w:szCs w:val="28"/>
          <w:rtl w:val="true"/>
          <w:lang w:bidi="fa-IR"/>
        </w:rPr>
        <w:t xml:space="preserve">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إشارات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تعليقة منهج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الأصول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الاعتقادات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التنقيح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التوحيد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الأصول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الوصول إلى علم الأصول للعلاّمة الحلّي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تعليقة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الروضة البهية</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حاشية الخلاصة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الروضة البهية لآغا جمال الدين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الروضة البهية للشيخ علي حفيد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الشرائع للمحقّق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العضدي لآغا جمال الخوانساري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الاستصحابية للوحيد البهبهاني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كتاب ابن الغضائري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البراءة والاحتياط ، للوحيد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المعالم للسلطان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الجمع بين الدليلين للوحيد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المعالم للوحيد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مقدّمة الواجب لآغا حسين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شرائع علي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المأمول في شرح 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العلية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المأمول في شرح زبدة الأصول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الحائرية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الوافية للسيد صدر الدين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الفوائد الطوسية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الوافية للكاظمي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القواعد والفوائد للشهيد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محمّد بن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مشارق الشموس في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مشرق الشمسين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المصابيح للسيّد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معارج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مبادئ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مفاتيح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المقاصد العلية في شرح رسالة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الرجال ومكاتباتهم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نهاية الوصول 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مناهج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المناهج 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منتقى الجمان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المنهاج للإسنوي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الإحكام 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bookmarkStart w:id="392" w:name="pg16284_171684"/>
    </w:p>
    <w:p>
      <w:pPr>
        <w:pStyle w:val="Heading3"/>
        <w:numPr>
          <w:ilvl w:val="2"/>
          <w:numId w:val="1"/>
        </w:numPr>
        <w:rPr/>
      </w:pPr>
      <w:bookmarkStart w:id="393" w:name="__RefHeading___Toc5012264_1280447820"/>
      <w:bookmarkStart w:id="394" w:name="_Toc121"/>
      <w:bookmarkEnd w:id="392"/>
      <w:bookmarkEnd w:id="393"/>
      <w:r>
        <w:rPr>
          <w:rtl w:val="true"/>
        </w:rPr>
        <w:t>فهرس الفرق والجماعات</w:t>
      </w:r>
      <w:bookmarkEnd w:id="394"/>
    </w:p>
    <w:p>
      <w:pPr>
        <w:pStyle w:val="BookText"/>
        <w:rPr/>
      </w:pPr>
      <w:r>
        <w:rPr>
          <w:rFonts w:ascii="Amiri" w:hAnsi="Amiri" w:eastAsia="Amiri" w:cs="Amiri"/>
          <w:color w:val="111111"/>
          <w:sz w:val="28"/>
          <w:sz w:val="28"/>
          <w:szCs w:val="28"/>
          <w:rtl w:val="true"/>
          <w:lang w:bidi="ar-SA"/>
        </w:rPr>
        <w:t xml:space="preserve">الأخبارية ، الأخباريون ، 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الأصوليون ، الأصولية ،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أرباب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الأشاعرة ، الأشعرية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الإشراقيون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التخطئة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السوداء والجنون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جمهور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العبيد ،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رومي ،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الزنج ، زنجية ، الزنجي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سلاطين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عوام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المخدّرات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مشايخ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فقهاء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القرّاء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مشايخ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مشايخ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القضاة ، 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المشّاءون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 ،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النسوان ،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المترجمون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المجتهدون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395" w:name="pg16284_171687"/>
    </w:p>
    <w:p>
      <w:pPr>
        <w:pStyle w:val="Heading3"/>
        <w:numPr>
          <w:ilvl w:val="2"/>
          <w:numId w:val="1"/>
        </w:numPr>
        <w:rPr/>
      </w:pPr>
      <w:bookmarkStart w:id="396" w:name="__RefHeading___Toc5012266_1280447820"/>
      <w:bookmarkStart w:id="397" w:name="_Toc122"/>
      <w:bookmarkEnd w:id="395"/>
      <w:bookmarkEnd w:id="396"/>
      <w:r>
        <w:rPr>
          <w:rtl w:val="true"/>
        </w:rPr>
        <w:t>فهرس الأماكن</w:t>
      </w:r>
      <w:bookmarkEnd w:id="397"/>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الأشياء والحيوانات</w:t>
      </w:r>
    </w:p>
    <w:p>
      <w:pPr>
        <w:pStyle w:val="BookText"/>
        <w:rPr/>
      </w:pPr>
      <w:r>
        <w:rPr>
          <w:rFonts w:ascii="IRNazanin" w:hAnsi="IRNazanin" w:eastAsia="IRNazanin"/>
          <w:color w:val="111111"/>
          <w:sz w:val="28"/>
          <w:sz w:val="28"/>
          <w:szCs w:val="28"/>
          <w:rtl w:val="true"/>
          <w:lang w:bidi="fa-IR"/>
        </w:rPr>
        <w:t xml:space="preserve">ابن آوى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أواني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أثاث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الإيارج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الأرنب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الأسد ،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الإناء ، الإناءان ، الإناءات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بلدة ، البلدة ، بلد ،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التراب ،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حشيش ،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حصاة ، الحصاة ،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ثوب ، ثوبان ، الثياب ،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الحيوان الصاهل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الحيوان المتولّد من الحيوانين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الكلب والغنم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الجلد المطروح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الحيوانات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الحيوانات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الحيوانات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 أحجار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الحيوانات المختلف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خرء الطيور ، خرء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 ، دراهم ، 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خزانة ، خزائن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 ،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الدواء ،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الديدان ، 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الخمر ،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دينار ، 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رجيع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الرطل العراقي والمدني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الدابّة ، 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رغيف ، أرغف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الدار ،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الرمّان </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الزبيب ، 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ساحل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شواهق الجبال والبرايا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السمّ ، السموم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السمسم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طين ،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العصير العنبي ،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عظام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الشماريخ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قرية ،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غذاء ، الغداء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غسالة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الغنم السائمة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كواكب المقمرة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كوز ، كوزين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 ،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الماء ،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الورد ، الماء المطلق ، ماء</w:t>
      </w:r>
    </w:p>
    <w:p>
      <w:pPr>
        <w:pStyle w:val="BookText"/>
        <w:rPr/>
      </w:pPr>
      <w:r>
        <w:rPr>
          <w:rFonts w:ascii="Amiri" w:hAnsi="Amiri" w:eastAsia="Amiri" w:cs="Amiri"/>
          <w:color w:val="111111"/>
          <w:sz w:val="28"/>
          <w:sz w:val="28"/>
          <w:szCs w:val="28"/>
          <w:rtl w:val="true"/>
          <w:lang w:bidi="ar-SA"/>
        </w:rPr>
        <w:t xml:space="preserve">الفلك الدوّار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السدر ، ماء 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السدر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قباء ، القباء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الملح ، 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المملحة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المسجد ،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النواة ، 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النهر ،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الودجين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معجون ، المعجون ، المعاجين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p>
    <w:p>
      <w:pPr>
        <w:pStyle w:val="BookText"/>
        <w:rPr/>
      </w:pPr>
      <w:r>
        <w:rPr>
          <w:rFonts w:ascii="IRNazanin" w:hAnsi="IRNazanin" w:eastAsia="IRNazanin"/>
          <w:color w:val="111111"/>
          <w:sz w:val="28"/>
          <w:sz w:val="28"/>
          <w:szCs w:val="28"/>
          <w:rtl w:val="true"/>
          <w:lang w:bidi="fa-IR"/>
        </w:rPr>
        <w:t xml:space="preserve">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398" w:name="pg16284_171694"/>
    </w:p>
    <w:p>
      <w:pPr>
        <w:pStyle w:val="Heading3"/>
        <w:numPr>
          <w:ilvl w:val="2"/>
          <w:numId w:val="1"/>
        </w:numPr>
        <w:rPr/>
      </w:pPr>
      <w:bookmarkStart w:id="399" w:name="__RefHeading___Toc5012268_1280447820"/>
      <w:bookmarkStart w:id="400" w:name="_Toc123"/>
      <w:bookmarkEnd w:id="398"/>
      <w:bookmarkEnd w:id="399"/>
      <w:r>
        <w:rPr>
          <w:rtl w:val="true"/>
        </w:rPr>
        <w:t>فهرس مصادر التحقيق</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أجود التقريرات تقرير بحث محمّد حسين النائيني ، السيد أبو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قم ، مؤسسة مطبوعاتي 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 أحمد بن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ومحمّد هادي به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انتشارات اسوه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الوديعة في تراجم أشهر مشاهير مجتهدي الشيعة أو تتميم روضات الجنّات ، السيّد محمّد مهدي الأصفهاني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بغداد ، مطبعة النجاح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 علي بن محمّد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عفيفى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الطوسي ،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المصطفوي ، مشهد المقدّسة ، جامعة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 محمّد باقر بن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التفرشي الدرودي ، قم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دار الكتب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الأذهان إلى أحكام الإيمان ، الحسن بن يوسف بن المطهّر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الحسّون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إرشاد القلوب ، حسن بن أبي الحسن الديلمي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الشريف الرضي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 محمّد بن الحسن الطوسي ،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 طهران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إشارات الأصول ، محمّد إبراهيم بن محمّد حسن الكلباسي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طبع قسم مباحث الألفاظ منه بالمطبعة المعتمدية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خان معتمد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وقسم الأدلّة الشرعية منه مخطوط استفدنا من مخطوطة مكتبة آية اللّه المرعشي برقم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قوبل مع نسخة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الإشارات والتنبيهات ، حسين بن عبد اللّه 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قم ، ط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نشر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 محمّد بن علي ابن بابويه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 ، المطبوع في سلسلة مصنّفات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 السيّد محسن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السيّد حسن الأمين ، دار التعارف للمطبوعات ، بيروت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الألفيّة والنفليّة ، محمّد بن مكي العاملي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الفاضل القائني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 محمّد بن الحسن الطوسي ،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 محمّد بن محمّد بن النعمان ،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وحسين استاد ولي ، قم ،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 علي بن الحسين الموسوي ،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الأنوار النعمانية ، السيّد عبد اللّه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مطبعة شركت چاپ ، تبريز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أوثق الوسائل في شرح الرسائل ، ميرزا موسى بن جعفر التبريزي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الفوائد في شرح إشكالات القواعد ، محمّد بن الحسن بن يوسف الحلّي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والاشتهاردي والبروجردي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بيروت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مؤسسة 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 الفوائد في شرح الفرائد ، ميرزا محمّد حسن الآشتياني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الأفكار ، ميرزا حبيب اللّه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بشرى الوصول إلى أسرار علم الأصول ، محمّد حسن بن عبد اللّه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مخطوطة مكتبة مجلس الشورى الإسلامي 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 محمّد بن الحسن الصفّار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محسن كوچه باغي ، طهران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مؤسسة الأعلمي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 محمّد بن جمال الدين محمّد مكي العاملي ، الشهيد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قم ، مجمع الذخائر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طبعة بنياد فرهنگى إمام مهدي عليه‌السلام ، بتحقيق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تفسير القرآن ، السيّد أبو القاسم الخوئي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طهران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 السيّد محمّد مرتضى الحسيني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بيروت ، منشورات 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 محمّد بن الحسن الطوسي ،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الإعلام الإسلامي بالأفست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الأحكام الشرعية على مذهب الإمامية ، الحسن بن يوسف بن المطهّر ، </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الإمام الصادق عليه‌السلام ، وعن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وسائل الشيعة وتحبير مسائل الشريعة ، محمّد بن الحسن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القائني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نصائح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 الحسن بن علي 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بأصول الفقه ، محمّد بن محمّد النعمان ،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المطبوع في سلسلة مؤلّفات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 الحسن بن يوسف بن المطهّر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مؤسسة آل البيت عليهم‌السلام لإحياء التراث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يصدر حاليا كلّ الأجزاء منه ، وعن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تذكره مدينة الأدب ، محمّد علي مصاحبي النائيني المتخلّص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مجلس الشورى الإسلامي ، طهران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شريف العلماء ، المولى حسين بن محمّد إسماعيل الأردكاني الحائري ، الفاضل الأردكاني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مخطوطة مكتبة السيّد النجومي ، ومنها مصوّرة في مركز 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نجوم السماء ، الميرزا محمّد مهدي اللكهنوي الكشميري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منشورات مكتبة بصيرتي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القواعد ، زين الدين بن علي العاملي ،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التنقيح في شرح العروة الوثقى ، تقرير بحث السيّد أبي القاسم الخوئي ، الشهيد الميرزا علي الغروي التبريزى ، قم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الهادي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التوحيد ، محمّد بن علي ابن بابويه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 ، قم ، منشورات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 محمّد بن الحسن الطوسي ،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 طهران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الأصول ، السيّد روح اللّه الموسوي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قم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الوصول إلى علم الأصول ، الحسن بن يوسف بن المطهّر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الرضوي الكشميري ، لندن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مؤسّسة الإمام علي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للشرائع ، يحيى بن سعيد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بإشراف الشيخ جعفر السبحاني ، قم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سيّد الشهداء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المدارك في شرح مختصر النافع ، السيّد أحمد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في شرح القواعد ، علي بن الحسين ، المحقّق الكركي ،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جنّة النعيم والعيش السليم في أحوال السيّد عبد العظيم الحسني ، محمّد باقر واعظ كجوري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كتابه في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صادق الحسيني ، طبع مؤتمر السيّد عبد العظيم الحسني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ومن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أهل 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محمّد بن النعمان ،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نجف ، المطبوع في مصنّفات الشيخ المفيد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جوامع الجامع ،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الفقه ، القاضي عبد العزيز بن البرّاج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في شرح شرائع الإسلام ، محمّد حسن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القوچاني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دار الكتب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الخلاصة ، المطبوع في رسائل الشهيد الثاني ، زين الدين بن علي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شرائع الإسلام ، علي بن الحسين بن عبد العالي ،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في حياة المحقّق الكركي وآثاره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 قم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الروضة البهية في شرح اللمعة الدمشقية ، جمال الدين محمّد بن الحسين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قم ، منشورات مدرسة الرضوية بالأوفست 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مجمع الفائدة والبرهان ، محمّد باقر بن محمّد أكمل ،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مؤسّسة العلاّمة المجدّد الوحيد البهبهاني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المعالم ، محمّد باقر بن محمّد أكمل ،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مخطوطة مكتبة آية اللّه المرعشي برقم </w:t>
      </w:r>
      <w:r>
        <w:rPr>
          <w:rFonts w:eastAsia="Amiri" w:cs="Amiri" w:ascii="Amiri" w:hAnsi="Amiri"/>
          <w:color w:val="111111"/>
          <w:sz w:val="28"/>
          <w:szCs w:val="28"/>
          <w:lang w:bidi="ar-SA"/>
        </w:rPr>
        <w:t>9644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الحبل المتين في أحكام الدين ، محمّد بن الحسين العاملي ،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بلاسم الموسوي الحسيني ، مشهد المقدّسة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مجمع البحوث الإسلامية ، ومن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الحدائق الناضرة في أحكام العترة الطاهرة ،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الحديقة الهلالية ، محمّد بن الحسين العاملي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الموسوي الخرسان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آل البيت عليهم‌السلام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 محمّد بن علي ابن بابويه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 قم ، منشورات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في معرفة الرجال ، الحسن بن يوسف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 قم ، منشورات الرضي بالأوفست من منشورات الطبعة الحيدرية ، النجف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 محمّد بن الحسن الطوسي ،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النجفية ،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في فقه الإمامية ، محمّد بن مكي العاملي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وذكر الحلال والحرام والقضايا والأحكام ، النعمان بن محمّد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 القاهرة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أبي الطيب المتنبي ، أحمد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عزّام ، بيروت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أصول الشريعة ، علي بن الحسين الموسوي ، السيّد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القاسم گرجى ، طهران ، جامعة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 آقا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قم ، دار الكتب العلمية ،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ذخيرة المعاد في شرح الإرشاد ، محمّد باقر بن محمّد المؤمن السبزواري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في أحكام الشريعة ، محمّد بن جمال الدين مكّي العاملي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 أحمد بن علي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 قم ،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 محمّد بن الحسن الطوسي ،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قم ، منشورات الرضي بالأوفست عن طبع النجف منشورات الحيدرية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الأصولية ، محمّد باقر بن محمّد أكمل الوحيد البهبهاني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المجدّد الوحيد البهبهاني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التسع ، جعفر بن الحسن ،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الأستادي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مكتبة آية اللّه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 علي بن الحسين ،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قم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الشهيد الثاني ، زين الدين بن علي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قم ، مكتبة 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المحقّق الكركي ، علي بن الحسين ، المحقّق الكركي ،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النشر الإسلامي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في شرح إرشاد الأذهان ، زين الدين بن علي العاملي ،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ومن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الروضة البهية في شرح اللمعة الدمشقية ، زين الدين بن علي العاملي ،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الكلانتر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داوري ، </w:t>
      </w:r>
    </w:p>
    <w:p>
      <w:pPr>
        <w:pStyle w:val="BookText"/>
        <w:rPr/>
      </w:pPr>
      <w:r>
        <w:rPr>
          <w:rFonts w:ascii="Amiri" w:hAnsi="Amiri" w:eastAsia="Amiri" w:cs="Amiri"/>
          <w:color w:val="111111"/>
          <w:sz w:val="28"/>
          <w:sz w:val="28"/>
          <w:szCs w:val="28"/>
          <w:rtl w:val="true"/>
          <w:lang w:bidi="ar-SA"/>
        </w:rPr>
        <w:t>بالاوفست عن طبعة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في بيان أحكام الشرع بالدلائل ، السيد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الأصول ، محمّد بن حسين العاملي ،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 قم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مدرسة ولي عصر عليه‌السلام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 محمّد بن منصور بن أحمد 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النجاة ، المطبوع مع الأصول العملية ، 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الإحياء ، قم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 جعفر بن الحسن ،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الشيرازي ، طهران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الاستقلال ، ومن طبع مؤسّسة المعارف الإسلامي ، قم ،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البقّال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 عبد الحميد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 قم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منشورات مكتبة آية اللّه المرعشي ، بالاوفست من طبع 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الوافية ، السيّد صدر الدين محمّد بن مير محمّد باقر الرضوي القمي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مخطوطة مكتبة آية اللّه المرعشي برقم </w:t>
      </w:r>
      <w:r>
        <w:rPr>
          <w:rFonts w:eastAsia="Amiri" w:cs="Amiri" w:ascii="Amiri" w:hAnsi="Amiri"/>
          <w:color w:val="111111"/>
          <w:sz w:val="28"/>
          <w:szCs w:val="28"/>
          <w:lang w:bidi="ar-SA"/>
        </w:rPr>
        <w:t>12086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 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 بيروت ، دار العلم للملايين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المستقيم إلى مستحقّي التقديم ، علي بن يونس العاملي النباطي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المرتضوية لإحياء الآثار </w:t>
      </w:r>
    </w:p>
    <w:p>
      <w:pPr>
        <w:pStyle w:val="BookText"/>
        <w:rPr/>
      </w:pP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ضوابط الأصول ، السيّد إبراهيم بن محمّد باقر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الحجرية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ونقباء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محسن 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 مشهد ، دار المرتضى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أصول الفقه ،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الأنصاري القمي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المطبعة ستاره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الطهماسبي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بن عبد الصمد العاملي ، والد الشيخ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جواد المدرّسي ، ط گلبهار ، 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 محمّد بن علي ابن بابويه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النجف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المكتبة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اللآلي العزيزية في الأحاديث الدينية ، محمّد بن علي بن إبراهيم الإحسائي ، ابن أبي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مطبعة سيّد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عوائد الأيّام ، المولى أحمد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ومن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العويص ، محمّد بن محمّد بن النعمان ،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أحمدي ، قم ، 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عليه‌السلام ، محمّد بن علي ابن بابويه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بيروت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المأمول في شرح زبدة الأصول ، جواد بن سعد بن جواد الكاظمي ، الفاضل </w:t>
      </w:r>
    </w:p>
    <w:p>
      <w:p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مخطوطة مكتبة آية اللّه المرعشي ، بخطّ المؤلّف برقم </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أخرى برقم </w:t>
      </w:r>
      <w:r>
        <w:rPr>
          <w:rFonts w:eastAsia="Amiri" w:cs="Amiri" w:ascii="Amiri" w:hAnsi="Amiri"/>
          <w:color w:val="111111"/>
          <w:sz w:val="28"/>
          <w:szCs w:val="28"/>
          <w:lang w:bidi="ar-SA"/>
        </w:rPr>
        <w:t>10495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كتابتها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في شرح تهذيب الأحكام ، السيّد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مخطوطة مكتبة آية اللّه المرعشي بخطّ المؤلّف برقم </w:t>
      </w: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المسئول ونهاية المأمول في علم الأصول ، السيّد محمّد حسين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غنائم الأيّام في مسائل الحلال والحرام ، الميرزا أبو القاسم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غنية النزوع إلى علمي الأصول والفروع ، حمزة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 قم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الإمام الصادق ، طبع منه قسم الفروع وراجعت قسم الأصول منه إلى الطبعة الحجرية المطبوع في الجوامع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 الشيخ مرتضى الأنصاري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 قم ،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المهموم في تاريخ علماء النجوم ، السيّد علي بن موسى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الذخائر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الغروية في الأصول الفقهية ، محمّد حسين بن عبد الرحيم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 محمّد بن محمّد بن النعمان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مير شريفي ، قم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أصول الأئمّة ،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القائني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معارف إسلامي إمام رضا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الحائرية ، محمّد باقر بن محمّد أكمل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الفكر الإسلامي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الطوسية ، محمّد بن الحسن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اللاجوردي الحسيني والشيخ محمّد الدرودي ، قم ، المطبعة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المدنية ، محمّد أمين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كتب الشيعة وأصولهم ، محمّد بن الحسن الطوسي ،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 إعداد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المحقّق الطباطبائي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 محمّد بن يعقوب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بيروت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 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 حسن بن يوسف بن المطهّر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والفوائد ، محمّد بن مكّي العاملي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الدكتور السيّد عبد الهادي الحكيم ، قم ، 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القوانين المحكمة ، الميرزا أبو القاسم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الحجرية بخطّ عبد الرحيم في مجلّدين ، ومن طبعة حجرية أخرى في مجلّد طبعت في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كلب علي القزويني ، أشرت إليها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الخمس ، الشيخ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w:t>
      </w:r>
    </w:p>
    <w:p>
      <w:pPr>
        <w:pStyle w:val="BookText"/>
        <w:rPr/>
      </w:pPr>
      <w:r>
        <w:rPr>
          <w:rFonts w:ascii="Amiri" w:hAnsi="Amiri" w:eastAsia="Amiri" w:cs="Amiri"/>
          <w:color w:val="111111"/>
          <w:sz w:val="28"/>
          <w:sz w:val="28"/>
          <w:szCs w:val="28"/>
          <w:rtl w:val="true"/>
          <w:lang w:bidi="ar-SA"/>
        </w:rPr>
        <w:t xml:space="preserve">الأعظم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المؤتمر العالمي بمناسبة الذكرى المئوية الثانية لميلاد الشيخ الأنصاري قدس‌سره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الخمس ، مرتضى بن عبد الكريم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أمراللّهي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الزكاة من مستند العروة الوثقى ، تقرير بحث السيّد أبي القاسم الخوئي ، الشهيد مرتضى البروجردي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مدرسة دار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 الشيخ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المؤتمر العالمي بمناسبة الذكرى المئوية لميلاد الشيخ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 تقرير بحث الميرزا حسين النائيني ، محمّد علي الكاظمي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من التنقيح ، تقرير بحث السيّد أبي القاسم الخوئي ، الشهيد الميرزا علي الغروي التبريزي ، قم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الطهارة ، الشيخ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المؤتمر العالمي بمناسبة الذكرى المئوية لميلاد الشيخ الأنصاري ، ومن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الطهارة من التنقيح ، تقرير بحث السيّد أبي القاسم الخوئي ، الشهيد الميرزا علي الغروي التبريزي ، قم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القضاء ، الميرزا حسن الآشتياني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الخفاء ومزيل الإلباس عمّا اشتهر من الأحاديث على ألسنة الناس ، إسماعيل بن</w:t>
      </w:r>
    </w:p>
    <w:p>
      <w:pPr>
        <w:pStyle w:val="BookText"/>
        <w:rPr/>
      </w:pPr>
      <w:r>
        <w:rPr>
          <w:rFonts w:ascii="Amiri" w:hAnsi="Amiri" w:eastAsia="Amiri" w:cs="Amiri"/>
          <w:color w:val="111111"/>
          <w:sz w:val="28"/>
          <w:sz w:val="28"/>
          <w:szCs w:val="28"/>
          <w:rtl w:val="true"/>
          <w:lang w:bidi="ar-SA"/>
        </w:rPr>
        <w:t xml:space="preserve">محمّد العجلوني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بيروت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عن مبهمات الشريعة الغرّاء ، جعفر بن خضر ،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قم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ومن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القناع عن وجوه حجّية الإجماع ، أسد اللّه بن إسماعيل التستري ، المحقّق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عن قواعد الأحكام ، محمّد بن الحسن الأصفهاني ، الفاضل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الأحكام ،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 الآخوند محمّد كاظم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 سعدي 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تصحيح محمّد علي فروغي ،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انتشارات جاويدان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الألقاب في ألقاب الأطياب ، حبيب اللّه الشريف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مكتبة بوذرجمهرى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المآثر والآثار ، محمّد حسن خان اعتماد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إيرج أفشار ، انتشارات أساطير ، طهران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طبع مكتبة سنائي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مبادئ الأصول إلى علم الأصول ، الحسن بن يوسف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البقال ، قم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 محمّد بن الحسن الطوسي ،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الكشفي ، طهران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ومطلع النيرين ، 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w:t>
      </w:r>
    </w:p>
    <w:p>
      <w:pPr>
        <w:pStyle w:val="BookText"/>
        <w:rPr/>
      </w:pPr>
      <w:r>
        <w:rPr>
          <w:rFonts w:ascii="Amiri" w:hAnsi="Amiri" w:eastAsia="Amiri" w:cs="Amiri"/>
          <w:color w:val="111111"/>
          <w:sz w:val="28"/>
          <w:sz w:val="28"/>
          <w:szCs w:val="28"/>
          <w:rtl w:val="true"/>
          <w:lang w:bidi="ar-SA"/>
        </w:rPr>
        <w:t xml:space="preserve">الحسيني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 نشر الثقافة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لعلوم القرآن ،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طهران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انتشارات ناصر خسرو بالاوفست من طبع بيروت ،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طبع بيروت ، مؤسّسة الأعلمي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الفائدة والبرهان في شرح إرشاد الأذهان ، المولى أحمد الأردبيلي ،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والاشتهاردي واليزدي ، قم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في شرح المهذّب ، محيي الدين بن شرف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 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 المحدّث الأرموي ، قم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المحصول في علم الأصول ، محمّد بن عمر ،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جابر فياض العلواني ، بيروت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 الحسن بن يوسف بن المطهّر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الأحكام في شرح شرائع الإسلام ، السيّد محمّد بن علي الموسوي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الشرق ، محمّد أمين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مخطوط ، وسينشر بتحقيق صديقنا الشيخ علي الصدرائي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مسالك الأفهام إلى تنقيح شرائع الإسلام ، زين الدين بن علي العاملي ،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الطبعة الحجرية قليلا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 ميرزا حسين 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المستصفى ، محمّد بن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قم ، دار الذخائر بالأوفست عن الطبعة الأميرية ببولاق مصر ،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في أحكام الشريعة ، المولى أحمد بن محمّد مهدي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الشموس في شرح الدروس ، حسين بن جمال الدين محمّد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مشرق الشمسين وإكسير السعادتين ، محمّد بن الحسين العاملي ،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مشهد المقدّسة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مؤسّسة الطبع والنشر التابعة للآستانة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المصابيح في التعادل والتراجيح ، السيّد محمّد بن علي الحسيني التبريزي الخسروشاهي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الأصول ، تقرير بحث السيّد أبي القاسم الخوئي ، السيّد محمّد سرور الواعظ البهسودي ، قم ،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 آغا رضا بن هادي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النوري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الأصول ، جعفر بن الحسن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الرضوي الكشميري ، لندن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مؤسّسة الإمام علي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الدين وملاذ المجتهدين ، الحسن ابن الشهيد الثاني زين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وقسم الفقه منه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منذر الحكيم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الفقه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 جعفر بن الحسن ،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بإشراف آية اللّه مكارم الشيرازي ، قم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منشورات مؤسّسة سيّد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 إبراهيم مصطفى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استانبول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الدعوة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الأصول ، السيّد محمّد الطباطبائي ، السيّد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الشرائع ، 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قم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مجمع الذخائر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في شرح قواعد العلاّمة ، السيّد محمّد جواد الحسيني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الخالصي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الأصول ، ضياء الدين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العراقي والسيّد منذر الحكيم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المقاصد العلية في شرح رسالة الألفية ، زين الدين علي العاملي ،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 محمّد بن علي ابن بابويه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عليه‌السلام ، قم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 محمّد بن محمّد بن النعمان ،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المكاسب ، الشيخ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لا يحضره الفقيه ، محمّد بن علي ابن بابويه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أكبر الغفّاري ، قم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 محمّد بن علي 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النجف الأشرف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المطبعة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الأحكام والأصول ، المولى أحمد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المناهل ، السيّد محمّد الطباطبائي ، السيّد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في الأحاديث الصحاح والحسان ، الحسن بن زين الدين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في تحقيق المذهب ، الحسن بن يوسف بن المطهّر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 مشهد المقدّسة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المقال في أحوال الرجال ، محمّد بن إسماعيل المازندراني ، أبو علي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 القاضي عبد العزيز بن البرّاج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البارع في شرح المختصر النافع ، أحمد بن محمّد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 ، قم ،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ميراث حديث شيعة ، باهتمام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وعلي الصدرائي الخوئي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نضد القواعد الفقهية ، مقداد بن عبد اللّه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 قم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آية اللّه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البراهين أو أنيس الوحيد في شرح التوحيد ، السيّد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 محمّد بن الحسن الطوسي ،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قم ، منشورات قدس ، بالأوفست عن طبعة بيروت ، دار الأندلس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الإحكام في معرفة الأحكام ، الحسن بن يوسف بن المطهّر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قم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 محمّد بن الحسين الموسوي ،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وكشف الصدق ، الحسن بن يوسف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المسترشدين في أصول الدين ، الحسن بن يوسف بن المطهّر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والشيخ هادي اليوسفي ، قم ، مجمع الذخائر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الوافية في أصول الفقه ، المولى عبد اللّه بن محمّد البشروي الخراساني ،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الرضوي الكشميري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 محمّد بن الحسن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 قم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الوسيلة إلى نيل الفضيلة ، محمّد بن علي الطوسي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 قم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آية اللّه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الوسائل في شرح الرسائل ، السيّد محمّد باقر بن مرتضى اليزدي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الحجرية ،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الأبرار إلى طريق الأئمّة الأطهار ، حسين بن شهاب الدين الكركي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رءوف جمال الدين الحسيني ، النجف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المسترشدين ، محمّد تقي بن عبد الرحيم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 xml:space="preserve">. </w:t>
      </w:r>
      <w:bookmarkStart w:id="401" w:name="pg16284_171713"/>
    </w:p>
    <w:p>
      <w:pPr>
        <w:pStyle w:val="Heading3"/>
        <w:numPr>
          <w:ilvl w:val="2"/>
          <w:numId w:val="1"/>
        </w:numPr>
        <w:rPr/>
      </w:pPr>
      <w:bookmarkStart w:id="402" w:name="__RefHeading___Toc5012270_1280447820"/>
      <w:bookmarkStart w:id="403" w:name="_Toc124"/>
      <w:bookmarkEnd w:id="401"/>
      <w:bookmarkEnd w:id="402"/>
      <w:r>
        <w:rPr>
          <w:rtl w:val="true"/>
        </w:rPr>
        <w:t>فهرس المطالب</w:t>
      </w:r>
      <w:bookmarkEnd w:id="403"/>
    </w:p>
    <w:p>
      <w:pPr>
        <w:pStyle w:val="BookText"/>
        <w:rPr/>
      </w:pPr>
      <w:r>
        <w:rPr>
          <w:rFonts w:ascii="Amiri" w:hAnsi="Amiri" w:eastAsia="Amiri" w:cs="Amiri"/>
          <w:color w:val="111111"/>
          <w:sz w:val="28"/>
          <w:sz w:val="28"/>
          <w:szCs w:val="28"/>
          <w:rtl w:val="true"/>
          <w:lang w:bidi="ar-SA"/>
        </w:rPr>
        <w:t>القول في الاستصحاب</w:t>
      </w:r>
    </w:p>
    <w:p>
      <w:pPr>
        <w:pStyle w:val="BookText"/>
        <w:rPr/>
      </w:pPr>
      <w:r>
        <w:rPr>
          <w:rFonts w:ascii="Amiri" w:hAnsi="Amiri" w:eastAsia="Amiri" w:cs="Amiri"/>
          <w:color w:val="111111"/>
          <w:sz w:val="28"/>
          <w:sz w:val="28"/>
          <w:szCs w:val="28"/>
          <w:rtl w:val="true"/>
          <w:lang w:bidi="ar-SA"/>
        </w:rPr>
        <w:t>تعريف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الاستصحاب القهقرى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تشابه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أنّ الاستصحاب من الأدلّة أو من 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لنا مقامان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 الأوّل في أنّه على إفادته الظن فهو حينئذ من الأدلّة ، وعلى الأخبار فإنّه حينئذ كإحدى القواعد الشرعية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المقام الثاني في أنّه هل البحث في الاستصحاب بحث عن المسألة الأصولية أو بحث عن المسألة الفرعية؟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تحقيق البحث موقوف على تمهيد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المعيار في تميّز مسائل العلوم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ملاحظة رجوع البحث إلى البحث عن عوارض الموضوع في ذلك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الثاني حدّ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الثالث تدوين أهل العلم لها فيه ، أو تنصيص أهل الفنّ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بعد تمهيد المقدّمة تحقيق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في تشخيص أصناف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المقام الثاني في أنّ الاستصحاب على أيّ وجه من أيّ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تقسيمات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ينقسم الاستصحاب باعتبارات مختلفة إلى أقسام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تقسيمه من حيث المستصحب إلى حال العقل وحال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منها تقسيمه باعتبار الدليل إلى استصحاب حال النصّ إلى أن يثبت الناسخ وإلى استصحاب حال الإجماع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منها تقسيمه باعتبار المشكوك فيه إلى استصحاب الحكم الشرعي ، وإلى استصحاب الموضوع الخارجي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منها تقسيمه باعتبار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أقسام الشك في المقتضي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أقسام الشك في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تعميم النزاع لأقسام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الكلام فيها في المقامات 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في أنّه هل النزاع في حجّية الاستصحاب وعدمها يعمّ البراءة الأصلية ، أو يخصّ بغيرها؟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المقام الثاني في أنّه هل يعمّ ما إذا كان المدرك إجماعا ،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المقام الثالث في أنّه هل يختصّ النزاع بالأحكام الشرعية ، أو يجري في الموضوعات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المقام الرابع في أنّه هل يجري النزاع في أقسام الشك في المقتضي ، أو يختصّ بأقسام الشك في المانع؟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تذنيب في أنّه هل النزاع في حجيّة الاستصحاب من جهة الظنّ أو من حيث إنّها قاعدة تعبّدية ، فعلى الأوّل يكون كسائر الأدلّة الاجتهادية ، وعلى الثاني يكون كالبيّنة واليد من التعبّديات؟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ذكر الأقوال في اعتبار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ذكر حجج المطلقين في الحجّية من حيث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احتجّ به في 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الثاني ما ذكره شيخنا البهائي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الثالث في أنّ الاستصحاب يفيد الظنّ ، والظنّ الحاصل منه حجّة ، فالاستصحاب حجة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أمّا الصغرى فلوجهين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السيرة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أمّا الكبرى فلوجهين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العلم في الأحكام منسدّ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وجوه النظر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فبمنع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أمّا ثانيا فبمنع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كلام السيّد الصدر شارح الوافية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حاوية للنهاية والبداية في ذكر أدلّة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الاستدلال بالأخبار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زرارة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تقريب المرام يحتاج إلى رسم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 في بيان سند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الأمر الثاني في توجيه فقرات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زرارة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سندها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الكلام في دلالتها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زرارة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الكلام في سندها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الكلام في دلالتها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بموثّقة إسحاق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مكاتبة علي بن محمّد القاساني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تمامية دلالتها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المناقشة في سندها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الكلام في سندها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الكلام في دلالتها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قد يتمسّك لإثبات حجّية الاستصحاب بالإجماعات القائمة في موارد مخصوصة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 xml:space="preserve">الاستدلال بأخبار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عبد اللّه بن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ضريس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الاستدلال بأخبار أخر لا دلالة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يكون فيه حلال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ماء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التونية في حجّية الاستصحاب في الوضعيات دون الطلبيات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كلام الفاضل التوني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اعتراض المحقّق القمي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ذبّ إيرادات المحقّق القمي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التحقيق في دفع ما أفاده الفاضل التوني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تأييد كلام الفاضل التوني بوجه وجيه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تنبيه في أنّ عدّ الفاضل التوني في عداد المفصّلين ليس على ما ينبغي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الخوانسارية في اختصاص الأخبار بالشك في الرافع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نقل بعض كلام المحقّق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نقل بعض كلام المحقّق الخوانساري وتوضيح ما أفاده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نقل بعض كلام الخوانساري وتوضيح ما أفاده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نقل بعض كلامه أيضا وتوضيح ما أفاده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نقل بعض آخر من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كلام آخر للخوانساري في حاشية المشارق على ما حكاه شارح الوافية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توضيح ما أفاده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حاصل مذهب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ايرادات المقرّر الطهراني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ايرادات شارح الوافية على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المناقشة في الإيراد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المناقشة في الإيراد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المناقشة في كلام الخوانساري في حاشية المشارق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 في ذكر كلام صاحب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استطرادية في 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كلام المحقّق الخوانساري في رجوع الأحكام الوضعية إلى الأحكام التكليفية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إيراد الكلباسي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ذكر القائلين من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تحرير محلّ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لنا على ما صرنا إليه من النفي وجهان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المناقشة في كلام الكلباسي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تنبيه في ثمرة الخلاف بين القولين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ذكر بعض الثمرات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السبزوارية في اعتبار الاستصحاب عند الشك في عروض القادح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كلام المحقّق 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اعتراض جماعة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التحقيق في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قد ينسب إلى المحقّق السبزواري التفصيل بين الأحكام والموضوعات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الأخبارية في التفصيل بين الأحكام الكلّية والأحكام الجزئية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ينسب هذا التفصيل إلى الأخباريين وتعرّضوا للجواب عن أخبار الاستصحاب تارة بالمعارضة لأخبار الاحتياط ، وأخرى بعدم شمولها للأحكام الكلّية الشرعية ولهم في بيان </w:t>
      </w:r>
    </w:p>
    <w:p>
      <w:pPr>
        <w:pStyle w:val="BookText"/>
        <w:rPr/>
      </w:pPr>
      <w:r>
        <w:rPr>
          <w:rFonts w:ascii="Amiri" w:hAnsi="Amiri" w:eastAsia="Amiri" w:cs="Amiri"/>
          <w:color w:val="111111"/>
          <w:sz w:val="28"/>
          <w:sz w:val="28"/>
          <w:szCs w:val="28"/>
          <w:rtl w:val="true"/>
          <w:lang w:bidi="ar-SA"/>
        </w:rPr>
        <w:t xml:space="preserve">الثاني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 ما أفاده الشيخ الحرّ في الفوائد الطوسية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الجواب عمّا أفاده الشيخ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الطريق الثاني ما زعمه أمين الأسترآبادي في الفوائد المكّية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توضيح ما أفاده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الجواب عنه تارة بالنقض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وأخرى بالحلّ في 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الغزالية في التفصيل بين كون دليل المستصحب الإجماع أو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جواب المحقّق القمي عن استصحاب الكتابي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نقل كلام المحقّق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الأولى في الجواب عن التمسّك بالاستصحاب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استصحاب الأحكام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لو كان دليل الحكم هو العقل فتحقيق القول في جريان الاستصحاب فيه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فيما إذا كان الشك في موضوع 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المقام الثاني فيما إذا كان الشك في نفس الحكم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الحنفية في التفصيل بين كون المستصحب وجوديا فليس بمعتبر وبين كونه عدميا فهو عتبر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فيما كان المستصحب عدميا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الكلام فيما كان المستصحب وجوديا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كلام النراقي في معارضة الاستصحاب الوجودي والعدمي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نقل كلام النراقي في أنّ استصحاب حال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الاستصحاب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معتبرا ، واستصحاب حال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الاستصحاب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وجوه النظر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أمّا ثالثا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أمّا رابعا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الاستصحاب في الاعتقاديات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تحقيق الكلام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في عدم ترتّب الأمر المقارن الاتّفاقي على المستصحب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المقام الثاني في عدم ترتيب الملزوم على اللازم عند استصحابه ، وعدم ترتيب أحد المتشاركين في اللزوم على استصحاب الآخر ، سواء كانا عقليين أو عاديّين أو شرعيين بناء على اعتبار الاستصحاب من حيث التعبّد بالأخبار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الكلام بناء على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المقام الثالث في عدم ثبوت اللازم العقلي أو العاديّ على المستصحب بناء على الأخبار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موارد الأصول المثبتة في غاية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أمثلة من عدم اعتناء الفقهاء بالأصول المثبتة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فروع تمسّكوا فيها بالأصول المثبتة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توجيه كلمات 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الاعتماد عليها من باب إفادتها الظنّ كما عليه بناء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الإشكال فيه بعدم الاطّراد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خفاء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 الواسطة والمستصحب وجودا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انطباق بعض الموارد لخفاء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انطباق بعض الموارد للاتّحاد في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الإشكال في خفاء الواسطة والاتّحاد في الوجود بعدم الاطّراد وعدم الانعكاس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مواضع التداعي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الإنصاف عدم وجود وجه جامع لتوجيه كلمات القوم ولعلّ العمدة البناء عليها من جهة الظنّ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أصالة تأخّر الحادث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المراد من الأصالة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مقامان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 في إثبات تأخّر شيء حادث عن بعض أجزاء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المقام الثاني في إثبات تأخّر حادث عن حادث آخر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تذنيب في الاستصحاب القهقرى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استصحاب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الكلام في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إذا كان الشك في الأجزاء المادّية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الاستصحاب في هذا المقام بوجوه إلاّ أنّه لا يجدي في الكلّ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استصحاب القابلية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الثاني استصحاب وجوب الإتمام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الثالث استصحاب حرمة القطع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تحقيق آية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جماعة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تقريب الاستدلال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الإنصاف عدم دلالة الآية على ذلك ؛ إذ الوجوه المحتملة فيها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إحداث صفة البطلان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إحداث الموصوف بالبطلان متّصفا بهذه 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بها ما هو مناط الاستدلال المذكور من وجوب المضيّ على العمل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جملة الكلام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القسم الثاني إذا كان الشك في الجزء الصوري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التحقيق جريان الاستصحاب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استصحاب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فيما إذا كان الشك في البراءة والاشتغال بواسطة الشك في حصول المبرئ المعلوم المبرئية ، أو بواسطة الشك في مبرئية الفعل 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التحقيق عدم الاحتياج إلى الاستصحاب فيهما ، أمّا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اللّهم إلاّ أن يقال في المقام بأنّ الاستصحاب مجد من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فيما إذا كان الشك في البراءة والاشتغال بواسطة الشك 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استصحاب الفرد المردّد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تحقيق المقام على ما يقتضيه جليّ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تحقيق المقام على ما يقتضيه دقيق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الاستصحاب في الأجزاء بعد تعذّر الكلّ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إجراء حكم الكلّ في الأجزاء الباقية بطرق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الأخذ بالعمومات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ثانيها الاستقراء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ثالثها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تقريره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الثاني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جريان الاستصحاب على مشرب القوم من المسامحة في أمره موضوعا ومحمولا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تحقيق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في بيان حكم الأعمال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المقام الثاني في بيان تلك الواقعة بالنسبة إلى الوقائع المستقبلة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تنبيه في عدم شمول أخبار الاستصحاب للشكوك السارية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تذنيب في عدم جواز التمسّك باستصحاب الحكم الظاهري في موارد سريان الشك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بيان استصحاب الحكم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كلام المحقّق والشهيد الثانيين في الأخذ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تحقيق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ذكر ما أفاده السيّد بحر العلوم على ما لخّص كلامه صاحب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اعتراض صاحب الفصول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الجواب عن بعض ما أورده صاحب الفصول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الاستصحاب في الأمور التدريجية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ذكر صور ثلاث لاستصحاب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جريان الاستصحاب في الصورة الأولى على المسامحة العرفية في ضبط الموضوع بل وعلى التدقيق أيضا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جريان الاستصحاب في الصورة الثانية بعد البناء على المسامحة 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جريان الاستصحاب في الصورة الثالثة بعد البناء على المسامحة 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إشكال المقرّر الطهراني على الشيخ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كلام الفاضل التوني يقرب ممّا ذكرنا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بعض المناقشات فيما فرّع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تفصيل الأستاد في سالف الزمان بين الكلّيات الذاتية للأفراد وبين العرضية لها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استصحاب أحكام الشرائع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الكلام فيما إذا كان الحكم ثابتا في شريعة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الكلام فيما إذا تعدّدت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تفصيل صاحب القوانين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الذي يقتضيه جليّ النظر القول بجريان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قصارى ما يتوهّم في الفرق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الفرق في جريان الاستصحاب بين القول بذاتية الصفات المستتبعة للأحكام من الحسن والقبح وبين القول باختلافها بالوجوه والاعتبار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نقل كلام صاحب القوانين في الفرق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وجوه النظر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إيراد صاحب الفصول على الاستصحاب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في المقام شيئان آخران في دفع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الاستصحاب ممّا لا مجرى له بعد العلم الإجمالي بورود النسخ في الشرائع السابقة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قد يجاب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التحقيق في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الثاني وهو المختار في عدم جريان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تذنيب في ذكر الثمرات المذكورة وليس شيء منها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على القول بجريان الاستصحاب فالأصل في كلّ أمر مجرّد عن قرائن التعبّدية أو التوصّلية أن يكون محمولا على التعبّد ووجوه النظر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الثانية صحّة الجعالة مع جهالة الجعل وجواز الضمان فيما لم يجب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الثالثة المستفادة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بِيَدِكَ ضِغْثاً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الرابعة أرجحية العبادة على التزويج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الخامسة صحّة الإجارة على تقدير الترديد في زمان الإجارة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تقوّم الاستصحاب ببقاء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الكلام في أنّ بقاء الموضوع من المقوّمات لا من الشروط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ببقاء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الدليل على هذه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يعتبر في الاستصحاب أيضا بقاء المحمول لا بوصف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الكلام في جريان الاستصحاب عند الشك في بقاء الموضوع وارتفاعه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إذا كان الشك في الموضوع من جهة الاشتباه في الدليل الشرعي فيمكن تمييز الموضوع بوجوه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المراد بالموضوع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المعيار في التمييز التدقيق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المعيار في التمييز العرف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المرجع إلى ظواهر الخطابات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أوضح الوجوه المذكورة أوسطها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الميزان العرفي لا ضبط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وجه اختلاف الفقهاء في موارد الاستحالة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الدليل على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الأخذ بهذا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اتّحاد القضية المتيقّنة والقضيّة المشكوكة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الثاني لو لم يكن المرجع العرف لزم أن يكون أمر الاستصحاب موكولا إلى مسألة عقلية من تجدّد الأمثال وثبوت الحركة الجوهرية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وممّا يكشف عن ذلك تتبّع كلمات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تنافي الرجوع إلى العرف مع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تتبع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يمكن القول بعدم التنافي بينهما بوجهين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الإنصاف عدم استقامة الوجهين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كلام المقرّر في أنّ أوضح الوجوه في تمييز الموضوع الرجوع إلى عناوين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عدم جريان الاستصحاب مع وجود المعارض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حكومة الأمارات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تعريف الوحيد البهبهاني الدليل الاجتهادي والدليل الفقاهتي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المناقشة فيما أفاده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الأنسب في تعريف الدليل الاجتهادي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ملخّص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لا شكّ في تقديم الأدلّة الاجتهادية على الاستصحاب بناء على الظنّ النوعي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كلام المحقّق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وجوه النظر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الكلام فيه بناء على الظنّ الشخصي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الكلام فيه بناء على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ورود الدليل الاجتهادي على الاستصحاب فيما لو كان مفيدا للقطع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أمّا فيما لو كان الدليل ظنّيا فقد يقال بالورود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التحقيق أنّه ليس من الورود بل هو من جهة التحكيم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توضيحه يحتاج إلى تمهيد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في أنحاء التصرّفات الواقعة في الأدلّة من الورود والتخصّص والتخصيص والحكومة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الثانية في معنى جعل الشيء طريقا فيما يحتاج إلى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بيان حكومة الأدلّة الاجتهادية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ردّ كلام بعض الأعيان حيث زعم أنّه من 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انقداح فساد مقالة من زعم أنّ بين الدليل الدالّ على البيّنة وبين الاستصحاب عموم وخصوص من وجه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ظهور وجه تقديم الأدلّة الاجتهادية على سائر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 في الكلام مع بعض متأخّري المتأخّرين في المراد من اليقين الناقض في الأخبار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نوع آخر من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ما ذكرنا من الحكومة والورود تنبّهنا به من كلام الصدوق في اعتقاداته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تعارض الاستصحاب مع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بيان تقديم الاستصحاب على البراءة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تقديم الاستصحاب على البراءة الشرعية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منسوب إلى صاحبا الذخيرة والرياض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الثاني بعين ما ذكر في البراءة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الاستصحاب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حكومة الاستصحاب على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بيان تقديم الاستصحاب على أصالة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بيان تقديم الاستصحاب على أصالة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تعارض الاستصحاب مع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الكلام في أصل مشروعيتها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وهن دلالتها في الموارد التي لم يظهر من الأصحاب التعويل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تخيّل في تقديم الدليل والأصول العملية على القرعة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تخيّل في أنّ النسبة بين أخبار القرعة وأخبار الاستصحاب عموم من وجه فلا وجه لتقديم الاستصحاب والمناقشة فيه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تخيّل أيضا في تقديم الأصول على القرعة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تخيّل وجه آخر في تقديم الأصول على القرعة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تنبيه في أنّ موارد القرعة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تعارض الاستصحاب مع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بيان كيفية تعارض اليد مع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حكومة اليد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تعارض الاستصحاب مع قاعدة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تحقيق الكلام فيه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في أصل مشروعيتها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المقام الثاني في حكومة هذه القاعدة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 هل المستفاد من هذه الأخبار هو الحكم بوجود المشكوك فيه ليترتّب عليه جميع الآثار الشرعية ، أو وقوعه من الحيثية التي وقع الشك باعتبارها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التنبيه الثاني هل تجري القاعدة فيما إذا شك في العمل بغير النسيان كالعصيان؟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التنبيه الثالث في بيان المراد من الحلّ الذي اعتبر التجاوز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التنبيه الرابع هل القاعدة المذكورة محكّمة فيما إذا شكّ في صحّة الاعتقاد السابق مطلقا ، أو فيما إذا لم يكن متذكرا لموجب الاعتقاد ، أو ليست محكّمة فيها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تعارض الاستصحاب مع أصالة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تحقيق الكلام في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 في بيان أصل مشروعيتها وأقسامها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تنقيح البحث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أنّ الأصل في الأعيان الموجودة في الخارج هل هو الصحّة أو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الثاني هل قضيّة الأصل في الأفعال هو حملها على الصحيح ،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الثالث في تحقيق القول في أنّ الأصل في الأقوال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الرابع هل يحمل الاعتقاد على الصحّة ،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المطلب الثاني في تعارضها مع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لا شك في تقدّم أصالة الصحّة على استصحاب حكمي عدمي لا ينفك عنه دائما وهو استصحاب الفساد </w:t>
      </w:r>
      <w:r>
        <w:rPr>
          <w:rFonts w:eastAsia="Amiri" w:cs="Amiri" w:ascii="Amiri" w:hAnsi="Amiri"/>
          <w:color w:val="111111"/>
          <w:sz w:val="28"/>
          <w:szCs w:val="28"/>
          <w:lang w:bidi="ar-SA"/>
        </w:rPr>
        <w:t>483</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تقدّم أصالة الصحّة على استصحاب موضوعي لا ينفك عنه دائما وهو </w:t>
      </w:r>
    </w:p>
    <w:p>
      <w:pPr>
        <w:pStyle w:val="BookText"/>
        <w:rPr/>
      </w:pPr>
      <w:r>
        <w:rPr>
          <w:rFonts w:ascii="Amiri" w:hAnsi="Amiri" w:eastAsia="Amiri" w:cs="Amiri"/>
          <w:color w:val="111111"/>
          <w:sz w:val="28"/>
          <w:sz w:val="28"/>
          <w:szCs w:val="28"/>
          <w:rtl w:val="true"/>
          <w:lang w:bidi="ar-SA"/>
        </w:rPr>
        <w:t>أصالة عدم وقوع هذا الفعل المخصوص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الإشكال في تقديم أصالة الصحّة على استصحاب موضوعي ينفك عنه في بعض الأحيان وهو أصالة عدم وقوع الموضوع الذي يشكّ من جهته في صحّة العقد وفساده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تعارض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أقسام التعارض في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عدم الجدوى في التقسيمات المذكورة إلاّ التقسيم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هنا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تقديم الاستصحاب السّببي المزيل على المسبّبي المزال بناء على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الثانية تقديم الاستصحاب السّببي المزيل على المسبّبي المزال بناء على التعبّد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الدليل على تقديم المزيل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الإجماع القطعي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الثاني السيرة المستمرّة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الثالث أنّه لو لا ذلك لاختلّ النظام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الرابع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الدعوى الثانية فيما إذا لم يكن الشك في أحدهما مسبّبا عن الآخر أمّا بناء على الظنّ فظاهرهم الاختلاف على ذلك ، فحكموا بالتساقط في الأغلب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أمّا بناء على التعبّد فالحكم هو التساقط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نافعة في جميع ما تقدّم في الفحص عن المعارض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القول في التعادل والترجيح</w:t>
      </w:r>
    </w:p>
    <w:p>
      <w:pPr>
        <w:pStyle w:val="BookText"/>
        <w:rPr/>
      </w:pPr>
      <w:r>
        <w:rPr>
          <w:rFonts w:ascii="Amiri" w:hAnsi="Amiri" w:eastAsia="Amiri" w:cs="Amiri"/>
          <w:color w:val="111111"/>
          <w:sz w:val="28"/>
          <w:sz w:val="28"/>
          <w:szCs w:val="28"/>
          <w:rtl w:val="true"/>
          <w:lang w:bidi="ar-SA"/>
        </w:rPr>
        <w:t>الكلام في دخول المبحث في مباحث الفن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تعريف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تعريف التعادل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القاعدة في المتعارض هي إعمالهما في الجملة ، أو تساقطهما؟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المراد بالإعمال</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المراد بالتساقط</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كلام السيّد المجاهد في أنّ الأصل في المتعارضين هو التساقط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الإنصاف أنّ الأصل هو الإعمال</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وجوه النظر في كلام السيّد المجاهد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القول بعدم التساقط هو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قاعدة الجمع مهما أمكن أولى من الطرح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الكلام في المراد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تتّجه تلك المقالة في بعض المقامات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إنّ للجمع مراتب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شاهد لاكتفاء نفس الدليلين عنه ، فالواجب فيها الجمع بين الدليلين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الكلام في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الكلام في المطلق والمقيّد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الجمع فيها إلى شاهدين كالمتباينين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التحقيق عدم وجوب الجمع بل لا بدّ من الأخذ بالمرجّح عند وجوده ، والحكم بالتخيير عند عدمه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بناء العرف في أوامرهم في أمثال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الثاني الجمع بين الدليلين على الوجه المذكور ينافي أخبار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المرتبة الثانية يحتاج الجمع فيها إلى شاهد كالعامّين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إجمال الكلام في الجمع بين الأمارات القائمة على الموضوعات الخارجية كما إذا تعارضت </w:t>
      </w:r>
    </w:p>
    <w:p>
      <w:pPr>
        <w:pStyle w:val="BookText"/>
        <w:rPr/>
      </w:pPr>
      <w:r>
        <w:rPr>
          <w:rFonts w:ascii="Amiri" w:hAnsi="Amiri" w:eastAsia="Amiri" w:cs="Amiri"/>
          <w:color w:val="111111"/>
          <w:sz w:val="28"/>
          <w:sz w:val="28"/>
          <w:szCs w:val="28"/>
          <w:rtl w:val="true"/>
          <w:lang w:bidi="ar-SA"/>
        </w:rPr>
        <w:t>البيّنتان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المرجّحات الدلالية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التصرّف في أحد الظاهرين على وجه يندفع به التعارض بينهما هي أمور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أحكام التعارض الثنائي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التعارض بين النسخ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الكلام في التعارض بين المجاز والتخصيص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الكلام في التعارض بين التخصيص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تعارض التقييد مع المجاز أو الإضمار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تعارض الإضمار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الكلام فيما إذا كان التعارض بين فردين من نوع واحد كالتخصيصين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الكلام في تقديم المنطوق على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الكلام في تقديم الحقيقة على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التعارض بين الأدلّة الزائدة على اثنين يقع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 أن يكون التعارض بين واحد منها وبين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الصور المفروضة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يكونا نصّين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المعارضان للثالث ظاهرين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أحد المعارضين للثالث نصّا والآخر ظاهرا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الوجه الثاني إذا كان التعارض بين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الصور المفروضة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المعارضان نصّين بالنسبة إلى الثالث مع ظهورهما في نفسهما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بحالها مع نصوصية أحد المتعارضين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المعارضان ظاهرين بالنسبة إلى الثالث مع ظهورهما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الثالثة بحالها مع نصوصية أحدهما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أحد المتعارضين نصّا والآخر ظاهرا بالنسبة إلى الثالث مع ظهورهما في نفسهما أو نصوصية أحدهما بالنسبة إلى الآخر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المرجّحات الصدورية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ذكر الأخبار الواردة في هذا المضمار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الكلام في سندها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الكلام في دلالتها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مرفوعة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المناقشة في سندها ودلالتها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تعارض المرفوعة والمقبولة في ترتيب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التعدّي عن المرجّحات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إثبات أقوائية أحد الدليلين مطلقا يوجب ترجيح الأقوى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المراد من الأقوائية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الكلام فيما يستفاد من الروايات وجوب الأخذ بما هو أقرب من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اختلاف الأخبار العلاجية دليل على أنّ المناط في الترجيح على مطلق الأقوائية والأقربية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إشعارات على مطلق الأقوائية منها الأخبار المشتملة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منها ما في المقبولة من الأمر بأخذ ما قاله أصدق المخبرين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منها ما يظهر من المقبولة أيضا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 ريب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منها ما ورد في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لكلّ حقّ حقيقة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الأخبار الآمرة بالأخذ بما خالف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في ترجيح ما خالف العامّة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ما علّله شيخ الطائفة من أنّ المخالف للعامّة أبعد عن التقية وأقرب إلى الواقع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الثاني هو أقربية مضمون المخالف للواقع من الموافق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الثالث هو مطلوبية مخالفتهم على أن يكون المخالفة معتبرة من حيث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تضعيف الوجه الأوّل والثالث وتقوية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وقد يستدلّ على ذلك بوجهين 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ظهور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ثانيهما قاعدة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الكلام فيما هو قضية المذاهب على اختلافها في حجّية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قد يدعى جريان دليل الانسداد في مسألة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عدم استقامة الوجه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الكلام في سائر الأدلّة الدالّة على حجّية أخبار الآحاد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مرجّحات أخر لا دخل لها في تقوية الجهات الراجعة إلى الدليلية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بيان المرجّحات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تقديم الترجيح في الدلالة على العلاج في السند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تقديم المرجّح الخارجي على الداخلي غالبا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الكلام في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الترجيح بكلّ واحد من الصفات لا اجتماعها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الكلام في اشتهار أحد الخبرين دون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الكلام في موافقة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أنحاء المخالفة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الكلام في موافقة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مخالفة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الشيخ 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اعتراض المحقّق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تضعيف صاحب المعالم الاعتراض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مآل المخالفة القولية ومخالفة أخبارهم إلى أمر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ما هو المقصود من المخالفة؟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هل يلزم في التقية وجود قول من العامّة على طبق ما يحتمل التقية ،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ذهب صاحب الحدائق إلى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اعتراض الوحيد البهبهاني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التحقيق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ظاهر المقبولة تقديم الترجيح بمخالفة الكتاب على موافقة العامّة وهو 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الكلام في الترجيح بميل حكّامهم وقضاتهم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الكلام في تقديم ترجيح جهة الصدور على الترجيح الصدوري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ما اشتمل عليه سائر الأخبار أمران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الأخذ بالأحدث</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الأخذ بالأحدث يحتمل وجوها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الحاصل عدم مرجحيّة تأخّر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 على ما نطق به المرفوعة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المرجّحات غير المنصوصة المضمونية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المرجّحات المضمونية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يكون من الأمارات على الأحكام كالشهرة والاستقراء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ذكر موارد القسم الثاني </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الترجيح بموافقة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القائلين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المراد بالأصل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ذكر احتجاج القائل بتقديم الناقل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ذكر احتجاج آخر للقائل بتقديم الناقل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ذكر احتجاج القائل بتقديم المقرّر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التحقيق في المسألة هو التفصيل بين التعويل عليها من باب الظنّ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التحقيق في المقام هو الأخذ بإطلاق أخبار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بموافقة الحظر والإباحة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مفاد أحد الخبرين حكما وضعيا فيرجّح على ما هو مفاده حكم تكليفي والمناقشة فيه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الكلام في القسم الأوّل من المرجّحات المضمونية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تارة يعلم اعتبار تلك الأمارات فلا إشكال في حصول الترجيح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يشك في ذلك فالقول بالترجيح بها موكول إلى اعتبار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يعلم عدم اعتبارها كالقياس وأضرابه فهل يصحّ الترجيح بها ،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بالترجيح بالقياس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المناقشة فيه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إجماع الفرقة على ترك التعويل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الثاني الأخبار المستفيضة بل المتواترة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الثالث عدم تعرّض الأصحاب لمباحثه</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الإنصاف أنّ التعدّي من المرجّحات المنصوصة إلى غيرها موقوف على حصول الاطمئنان بعمل الأصحاب فيه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بعض آخر من المرجّحات الدلالية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تأخّر الترجيح في الدلالة عن الترجيح في الصدور وجهته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تقسيم المرجّحات الدلالية بقسمين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بأمور مرتبطة بالدلالة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بأمور خارجة عنها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اعتبار مرجّحات الداخلية والأغلب رجوعها إلى الغلبة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عدم اعتبار المرجّحات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في حكم 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أو التوقّف؟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المنسوب إلى الأخباريين التوقّف والمشهور من المجتهدين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تدلّ على الأوّل طائفة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تدلّ على الثاني أيضا طائفة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الراجح مذهب المجتهدين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تحقيق المقام أنّ المقامات 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أمّا مقام التخيير ففيما إذا قلنا بحجّية الخبر تعبّدا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أمّا مقام التوقّف ففيما إذا قلنا بحجّية الخبر من حيث إنّه طريق معمول به عند العقلاء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أمّا مقام التساقط ففيما إذا تعارض أصلان من الأصول العملية بناء على اعتبارها تعبّدا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أمّا على القول باعتبارها بناء على الظنّ فحكم الأصل حكم الطرق 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في لزوم الفحص عن المرجّح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الأشعار والأمثال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Amiri" w:hAnsi="Amiri" w:eastAsia="Amiri" w:cs="Amiri"/>
          <w:color w:val="111111"/>
          <w:sz w:val="28"/>
          <w:sz w:val="28"/>
          <w:szCs w:val="28"/>
          <w:rtl w:val="true"/>
          <w:lang w:bidi="ar-SA"/>
        </w:rPr>
        <w:t>فهرس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IRNazanin" w:hAnsi="IRNazanin" w:eastAsia="IRNazanin"/>
          <w:color w:val="111111"/>
          <w:sz w:val="28"/>
          <w:sz w:val="28"/>
          <w:szCs w:val="28"/>
          <w:rtl w:val="true"/>
          <w:lang w:bidi="fa-IR"/>
        </w:rPr>
        <w:t>فهرس الفرق والجماعات</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فهرس الأماكن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فهرس الأشياء والحيوانات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bookmarkStart w:id="404" w:name="pg16284_171739"/>
    </w:p>
    <w:p>
      <w:pPr>
        <w:pStyle w:val="Heading2"/>
        <w:numPr>
          <w:ilvl w:val="1"/>
          <w:numId w:val="1"/>
        </w:numPr>
        <w:rPr/>
      </w:pPr>
      <w:bookmarkStart w:id="405" w:name="__RefHeading___Toc5012272_1280447820"/>
      <w:bookmarkStart w:id="406" w:name="_Toc125"/>
      <w:bookmarkEnd w:id="404"/>
      <w:bookmarkEnd w:id="405"/>
      <w:r>
        <w:rPr>
          <w:rtl w:val="true"/>
        </w:rPr>
        <w:t>رسالة في المشتقّ</w:t>
      </w:r>
      <w:bookmarkEnd w:id="406"/>
    </w:p>
    <w:p>
      <w:pPr>
        <w:pStyle w:val="Heading3"/>
        <w:numPr>
          <w:ilvl w:val="2"/>
          <w:numId w:val="1"/>
        </w:numPr>
        <w:rPr/>
      </w:pPr>
      <w:bookmarkStart w:id="407" w:name="__RefHeading___Toc5012274_1280447820"/>
      <w:bookmarkStart w:id="408" w:name="_Toc126"/>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تقرير أبحاث الشيخ الأعظم الأنصاري</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الميرزا أبي القاسم النوري الطهراني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علي الفاضلي</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بنشره معهد الامام الخمينى والثورة الاسلامية للتحقيق والدراسات العليا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16284_171741"/>
      <w:bookmarkStart w:id="410" w:name="pg16284_171741"/>
      <w:bookmarkEnd w:id="410"/>
    </w:p>
    <w:p>
      <w:pPr>
        <w:pStyle w:val="BookText"/>
        <w:rPr/>
      </w:pPr>
      <w:bookmarkStart w:id="411" w:name="pg16284_171741"/>
      <w:bookmarkEnd w:id="41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فهذه رسالة في بحث المشتقّ من مباحث ألفاظ أصول الفقه وكانت من تقريرات بحث الشيخ الأعظم الأنصاري للميرزا أبي القاسم النوري الطهراني وجفّ قلمه الشريف ولم يف عمره بإتمامها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الطهراني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بمضمونها مندرجة في مطارح الأنظار </w:t>
      </w:r>
      <w:r>
        <w:rPr>
          <w:rStyle w:val="FootnoteAnchor"/>
          <w:rtl w:val="true"/>
        </w:rPr>
        <w:footnoteReference w:id="3612"/>
      </w:r>
      <w:r>
        <w:rPr>
          <w:rFonts w:ascii="Amiri" w:hAnsi="Amiri" w:eastAsia="Amiri" w:cs="Amiri"/>
          <w:color w:val="111111"/>
          <w:sz w:val="28"/>
          <w:sz w:val="28"/>
          <w:szCs w:val="28"/>
          <w:rtl w:val="true"/>
          <w:lang w:bidi="ar-SA"/>
        </w:rPr>
        <w:t>، لكن لم تندرج في المطبوع منه ، فينبغي أن تطبع في مباحث الألفاظ من المطارح ؛ لتكميل مباحثه</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5012276_1280447820"/>
      <w:bookmarkStart w:id="413" w:name="_Toc127"/>
      <w:bookmarkEnd w:id="412"/>
      <w:r>
        <w:rPr>
          <w:rtl w:val="true"/>
        </w:rPr>
        <w:t>النسخ المعتمدة</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المطبوعة على الحجر 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رسائل أخر </w:t>
      </w:r>
      <w:r>
        <w:rPr>
          <w:rStyle w:val="FootnoteAnchor"/>
          <w:rtl w:val="true"/>
        </w:rPr>
        <w:footnoteReference w:id="3613"/>
      </w:r>
      <w:r>
        <w:rPr>
          <w:rFonts w:ascii="IRNazanin" w:hAnsi="IRNazanin" w:eastAsia="IRNazanin"/>
          <w:color w:val="111111"/>
          <w:sz w:val="28"/>
          <w:sz w:val="28"/>
          <w:szCs w:val="28"/>
          <w:rtl w:val="true"/>
          <w:lang w:bidi="fa-IR"/>
        </w:rPr>
        <w:t xml:space="preserve">للشيخ الأعظم الأنصاري والشيخ الشهيد فضل اللّه النوري وجاء في آخر الرسالة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سعى واهتمام عالى جناب قدسى انتساب آقا شيخ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وعالى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ميرزا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الكجورى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عزّه سنه يك هزار وسيصد وپنج در دار الخلافه طهران منطبع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المكتبة الرضوية برقم </w:t>
      </w:r>
      <w:r>
        <w:rPr>
          <w:rFonts w:eastAsia="Amiri" w:cs="Amiri" w:ascii="Amiri" w:hAnsi="Amiri"/>
          <w:color w:val="111111"/>
          <w:sz w:val="28"/>
          <w:szCs w:val="28"/>
          <w:lang w:bidi="ar-SA"/>
        </w:rPr>
        <w:t>24236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وكتب في الصفحة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قرّره الفاضل الحاج ميرزا أبو القاسم الطهراني عن شيخه المحقّق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بيد الواقف الجاني محمّد بن داود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استغفر للواقفين وذكرهما بالخير وبالفاتحة بعد موتهما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بخطّ آخر غير كاتب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وجعلنا رمزها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أنبّه أنّ نسخة من المطارح التي تشتمل على مبحث المشتقّ أيضا عرّفت في فهرست مكتبة مجلس الشورى الإسلامي برقم </w:t>
      </w:r>
      <w:r>
        <w:rPr>
          <w:rFonts w:eastAsia="Amiri" w:cs="Amiri" w:ascii="Amiri" w:hAnsi="Amiri"/>
          <w:color w:val="111111"/>
          <w:sz w:val="28"/>
          <w:szCs w:val="28"/>
          <w:lang w:bidi="ar-SA"/>
        </w:rPr>
        <w:t>7445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أن حصلنا على مصوّرتها تبيّن أنّها لم تكن مطارح الأنظار</w:t>
      </w:r>
      <w:r>
        <w:rPr>
          <w:rFonts w:eastAsia="Amiri" w:cs="Amiri" w:ascii="Amiri" w:hAnsi="Amiri"/>
          <w:color w:val="111111"/>
          <w:sz w:val="28"/>
          <w:szCs w:val="28"/>
          <w:rtl w:val="true"/>
          <w:lang w:bidi="ar-SA"/>
        </w:rPr>
        <w:t xml:space="preserve">. </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القول في المشتقّ وهو اسم مفعول من الاشتقاق ، وهو افتعال من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 الشيء كما صرّح به في الصحاح </w:t>
      </w:r>
      <w:r>
        <w:rPr>
          <w:rStyle w:val="FootnoteAnchor"/>
          <w:rtl w:val="true"/>
        </w:rPr>
        <w:footnoteReference w:id="3614"/>
      </w:r>
      <w:r>
        <w:rPr>
          <w:rFonts w:ascii="Amiri" w:hAnsi="Amiri" w:eastAsia="Amiri" w:cs="Amiri"/>
          <w:color w:val="111111"/>
          <w:sz w:val="28"/>
          <w:sz w:val="28"/>
          <w:szCs w:val="28"/>
          <w:rtl w:val="true"/>
          <w:lang w:bidi="ar-SA"/>
        </w:rPr>
        <w:t>، فالاشتقاق أخذ شقّ الشيء وهو نصفه ، وحينئذ فالمشتقّ هو المأخوذ من الشيء نصفا مثلا ، ومن هنا يجري اعتبار الأصل والفرع بجعل المأخوذ منه أصلا ، والمأخوذ فرعا</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جرى اصطلاح القوم على تسمية اللفظ المأخوذ من لفظ آخر مشتقّا ، فكأنّ الواضع لاحظ في وضعه مادّة قابلة لأن يرد عليها صور مختلفة وإن كانت لتلك المادّة في نفسها أيضا صورة فعلية كالمصدر ؛ فإنّ القابل لورود الصور عليها هو مادّة المصدر لا صورتها ، فكلّ واحدة من تلك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المصوّرة المأخوذة في المشتقّات غير الصورة المصدرية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على مادّة المصدر بناء على أنّه الأصل وغيره فرع عليه كما يقضي به الذوق السليم ، فإنّ مداليل المشتقّات من مراتب مدلول المصدر وموارد ظهوره ، فيكون أولى بأن تعتبر أصلا لغيره ، وكأنّ من جعله فرعا إنّما لاحظ كون مدلوله جزءا من مداليل غيره من المشتقّات ، فيكون اللائق بالمعنى اللغوي جعله فرعا ؛ لأنّ الكلّ هو الشيء ، وجزءه شقّ منه ، فاللفظ الدالّ على ذلك الجزء مشتقّ من اللفظ الدالّ على الكلّ إلاّ أنّ الأوّل أولى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 فقد ذكر جماعة أنّ أقسام الاشتقاق ثلاثة ؛ لأنّ الفرع إمّا أن يشتمل على اصول حروف الأصل وترتيبه ، أو يشتمل على الأوّل دون الثاني ، أو لا يشتمل على شيء منهما بعد وجود مناسبة في الجملة في اللفظ والمعنى على وجه يصحّ معه اعتبار أحدهما أصلا ، والآخر 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المشتقّ بالاشتقاق الصغير ، وقد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الأصغر أيضا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الضرب المشتمل على حروف الأصل وترتيبه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المشتقّ بالاشتقاق الكبير ، وقد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المشتقّ بالاشتقاق الأكبر ، وقد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أيضا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المشتقّ بالاشتقاق الأصغر بأنّه لفظ وافق أصلا باصول حروفه ولو حكما ، مع مناسبة المعنى ، وموافقة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واشكل على الحدّ بلزوم الدور ؛ فإنّ معرفة الأصل موقوفة على معرفة الاشتقاق مع توقّف معرفة المشتقّ عليه </w:t>
      </w:r>
      <w:r>
        <w:rPr>
          <w:rStyle w:val="FootnoteAnchor"/>
          <w:rtl w:val="true"/>
        </w:rPr>
        <w:footnoteReference w:id="3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واجيب عنه بوجوه </w:t>
      </w:r>
      <w:r>
        <w:rPr>
          <w:rStyle w:val="FootnoteAnchor"/>
          <w:rtl w:val="true"/>
        </w:rPr>
        <w:footnoteReference w:id="3616"/>
      </w:r>
      <w:r>
        <w:rPr>
          <w:rFonts w:ascii="Amiri" w:hAnsi="Amiri" w:eastAsia="Amiri" w:cs="Amiri"/>
          <w:color w:val="111111"/>
          <w:sz w:val="28"/>
          <w:sz w:val="28"/>
          <w:szCs w:val="28"/>
          <w:rtl w:val="true"/>
          <w:lang w:bidi="ar-SA"/>
        </w:rPr>
        <w:t xml:space="preserve">جلّها بل كلّها لا يخلو عن نظر </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في الدافع أنّه يكفي في معرفة الأصل ما عرفت في معناه اللغوي ؛ فإنّ المراد به ما يجعل أمرا آخر شقّا منه سواء كانا لفظيين أو غيرهما ، وهو بهذا المعنى لا يتوقّف على معرفة الاشتقاق الذي هو أخذ اللفظ من مادّة لفظ آخر كما هو المراد في المقام ؛ فإنّه من موارده ، ولا يتوقّف تصوّر العامّ على تصوّر الخاصّ وإن أمكن جعل </w:t>
      </w:r>
      <w:bookmarkStart w:id="414" w:name="pg16284_171749"/>
    </w:p>
    <w:p>
      <w:pPr>
        <w:pStyle w:val="BookText"/>
        <w:rPr/>
      </w:pPr>
      <w:bookmarkEnd w:id="414"/>
      <w:r>
        <w:rPr>
          <w:rFonts w:ascii="Amiri" w:hAnsi="Amiri" w:eastAsia="Amiri" w:cs="Amiri"/>
          <w:color w:val="111111"/>
          <w:sz w:val="28"/>
          <w:sz w:val="28"/>
          <w:szCs w:val="28"/>
          <w:rtl w:val="true"/>
          <w:lang w:bidi="ar-SA"/>
        </w:rPr>
        <w:t>العامّ مرآة لتصوّر الخاصّ بإضافة الامور المخصّصة اللاحقة 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الوجه في اعتبار القيود المأخوذة في التعريف ظاهر كما أنّ المغايرة الاعتبارية لازمة وكافية في صدق الاشتقاق بالزيادة والنقصان ، حركة وحرفا ، مفردا ومركّبا ، ثنائيا ، أو ثلاثيا ، أو رباعيا ، وقد قالوا </w:t>
      </w:r>
      <w:r>
        <w:rPr>
          <w:rStyle w:val="FootnoteAnchor"/>
          <w:rtl w:val="true"/>
        </w:rPr>
        <w:footnoteReference w:id="3617"/>
      </w:r>
      <w:r>
        <w:rPr>
          <w:rFonts w:ascii="Amiri" w:hAnsi="Amiri" w:eastAsia="Amiri" w:cs="Amiri"/>
          <w:color w:val="111111"/>
          <w:sz w:val="28"/>
          <w:sz w:val="28"/>
          <w:szCs w:val="28"/>
          <w:rtl w:val="true"/>
          <w:lang w:bidi="ar-SA"/>
        </w:rPr>
        <w:t>بارتقاء الأقسام إلى خمسة عشر ، وذكروا أمثلة كلّ واحد من الأقسام ، وطوينا عن ذكرها روما للاختصار ، واشتغالا بما هو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تنقيح البحث في المشتقّ في طيّ هدايات</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5012278_1280447820"/>
      <w:bookmarkStart w:id="416" w:name="_Toc128"/>
      <w:bookmarkEnd w:id="415"/>
      <w:r>
        <w:rPr>
          <w:rtl w:val="true"/>
        </w:rPr>
        <w:t>هداية</w:t>
      </w:r>
      <w:bookmarkEnd w:id="416"/>
    </w:p>
    <w:p>
      <w:pPr>
        <w:pStyle w:val="BookText"/>
        <w:rPr/>
      </w:pPr>
      <w:r>
        <w:rPr>
          <w:rFonts w:ascii="Amiri" w:hAnsi="Amiri" w:eastAsia="Amiri" w:cs="Amiri"/>
          <w:color w:val="111111"/>
          <w:sz w:val="28"/>
          <w:sz w:val="28"/>
          <w:szCs w:val="28"/>
          <w:rtl w:val="true"/>
          <w:lang w:bidi="ar-SA"/>
        </w:rPr>
        <w:t>لا خلاف ظاهرا في صدق المشتقّ مع اتّصاف المورد فعلا بمبدإ الاشتقاق ، والوجه فيه ظاهر ، فإنّه القدر المتيقّن في موارد الاستعمال ، كما لا خلاف أيضا في عدم الصدق إلاّ على وجه المسامحة والمجاز كما ستعرف وجه ذلك إن شاء اللّه بالنسبة إلى مورد لم يتّصف بعد ، وإنّما يتّصف في الزمان المستقبل ، وقد يحكى من بعضهم صدقه في المستقبل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صدقه على المورد بعد انقضاء المبدأ وارتفاعه عن المورد خلاف ، فالمنسوب إلى أصحابنا الإمامية رضوان اللّه تعالى عليهم أنّه صادق مع عدم اتّصاف المورد بالمبدإ فعلا ، وأنّه يكفي فيه الاتّصاف قبل زمان الإطلاق ، واختاره بعض العامّة أيضا</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والمحكيّ عن جماعة من العامّة أنّه لا يكفي فيه ، وإنّما الشرط في الصدق بقاء المبدأ فعلا ، واختاره جماعة من أصحابنا المتأخّرين ، وهو الذي يساعد عليه النظر ، وفي </w:t>
      </w:r>
    </w:p>
    <w:p>
      <w:pPr>
        <w:pStyle w:val="BookText"/>
        <w:rPr/>
      </w:pPr>
      <w:r>
        <w:rPr>
          <w:rFonts w:ascii="Amiri" w:hAnsi="Amiri" w:eastAsia="Amiri" w:cs="Amiri"/>
          <w:color w:val="111111"/>
          <w:sz w:val="28"/>
          <w:sz w:val="28"/>
          <w:szCs w:val="28"/>
          <w:rtl w:val="true"/>
          <w:lang w:bidi="ar-SA"/>
        </w:rPr>
        <w:t>المقام أقوال مستحدثة ، ومفصّلة بين الموارد ، ستقف عليه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الاستدلال لا بدّ من رسم امور يتّضح معها </w:t>
      </w:r>
      <w:r>
        <w:rPr>
          <w:rStyle w:val="FootnoteAnchor"/>
          <w:rtl w:val="true"/>
        </w:rPr>
        <w:footnoteReference w:id="3618"/>
      </w:r>
      <w:r>
        <w:rPr>
          <w:rFonts w:ascii="IRNazanin" w:hAnsi="IRNazanin" w:eastAsia="IRNazanin"/>
          <w:color w:val="111111"/>
          <w:sz w:val="28"/>
          <w:sz w:val="28"/>
          <w:szCs w:val="28"/>
          <w:rtl w:val="true"/>
          <w:lang w:bidi="fa-IR"/>
        </w:rPr>
        <w:t xml:space="preserve">المقصود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الخلاف وهو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تقسيم المشتقّ إلى الأصغر والصغير والكبير ، والظاهر عدم الفرق في جريان النزاع في الأقسام الثلاثة ؛ إذ لا نجد ما يوجب ذلك وإن كان ظاهر العنوان والأمثلة اختصاصه بالأصغر ؛ فإنّه </w:t>
      </w:r>
      <w:r>
        <w:rPr>
          <w:rStyle w:val="FootnoteAnchor"/>
          <w:rtl w:val="true"/>
        </w:rPr>
        <w:footnoteReference w:id="3619"/>
      </w:r>
      <w:r>
        <w:rPr>
          <w:rFonts w:ascii="Amiri" w:hAnsi="Amiri" w:eastAsia="Amiri" w:cs="Amiri"/>
          <w:color w:val="111111"/>
          <w:sz w:val="28"/>
          <w:sz w:val="28"/>
          <w:szCs w:val="28"/>
          <w:rtl w:val="true"/>
          <w:lang w:bidi="ar-SA"/>
        </w:rPr>
        <w:t>المتبادر من العنوان إلاّ أنّ التأمّل في المقام يوجب القطع بوجود المناط في الخلاف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يطلق المشتقّ هنا ، 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الأوّل </w:t>
      </w:r>
      <w:r>
        <w:rPr>
          <w:rFonts w:eastAsia="Amiri" w:cs="Amiri" w:ascii="Amiri" w:hAnsi="Amiri"/>
          <w:color w:val="111111"/>
          <w:sz w:val="28"/>
          <w:szCs w:val="28"/>
          <w:rtl w:val="true"/>
          <w:lang w:bidi="ar-SA"/>
        </w:rPr>
        <w:t xml:space="preserve">» </w:t>
      </w:r>
      <w:r>
        <w:rPr>
          <w:rStyle w:val="FootnoteAnchor"/>
          <w:rtl w:val="true"/>
        </w:rPr>
        <w:footnoteReference w:id="3620"/>
      </w:r>
      <w:r>
        <w:rPr>
          <w:rFonts w:ascii="Amiri" w:hAnsi="Amiri" w:eastAsia="Amiri" w:cs="Amiri"/>
          <w:color w:val="111111"/>
          <w:sz w:val="28"/>
          <w:sz w:val="28"/>
          <w:szCs w:val="28"/>
          <w:rtl w:val="true"/>
          <w:lang w:bidi="ar-SA"/>
        </w:rPr>
        <w:t>فإن أراد أنّ أغلب موارد الإطلاق هو ذلك ، فله وجه إلاّ أنّه لا وجه لاختصاصه بالمقام ، وإن أراد اختصاص محلّ الخلاف بذلك ، فلا نعرف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خروج الأفعال في المصادر المزيدة ، على القول بأنّها مشتقّة من المصادر المجرّدة عن مورد الخلاف ، أمّا الأخير ، فلأنّ مجرّد الاشتقاق من المصدر لا يوجب جريان النزاع المذكور ؛ فإنّ تلك المصادر بمنزلة نفس المصادر المجرّدة في الدلالة على الحدث ، ولا يتوهّم صدقها إلاّ في موارد وجود المعنى الحدثي ، وذلك بخلاف الأوصاف ؛ فإنّ ارتفاع الصفة لا يوجب ارتفاع الموصوف ، فيمكن توهّم صدق الصفة ولو بعد ارتفاعها حيث كانت عنوانا للذات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خروج أسماء المعاني عن محلّ النزاع أولى عن خروج الجوامد التي يمكن ورود الصور المختلفة عليها من انقلاب الماء هواء ، ثمّ انقلابه نارا مثلا</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الباقي في الحالتين الواردتين إنّما يمكن جعله بمنزلة مورد </w:t>
      </w:r>
    </w:p>
    <w:p>
      <w:pPr>
        <w:pStyle w:val="BookText"/>
        <w:rPr/>
      </w:pPr>
      <w:r>
        <w:rPr>
          <w:rFonts w:ascii="Amiri" w:hAnsi="Amiri" w:eastAsia="Amiri" w:cs="Amiri"/>
          <w:color w:val="111111"/>
          <w:sz w:val="28"/>
          <w:sz w:val="28"/>
          <w:szCs w:val="28"/>
          <w:rtl w:val="true"/>
          <w:lang w:bidi="ar-SA"/>
        </w:rPr>
        <w:t>الاتّصاف في المشتقّ وجعل الصورتين بمنزلة الأوصاف الواردة على ذلك المورد ، فيتوهّم فيه جريان النزاع المذكور وذلك بخلاف أسماء المعاني ؛ فإنّ هذا التفكيك فيها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 فلأنّ المطلوب بالنزاع هو بيان أنّ العنوان المفروض اتّحاده مع شيء آخر في زمان الاتّصاف هل يوجب زوال ذلك العنوان عدم اتّصاف المورد وعدم صدقه عليه ، أو لا؟ وهذا لا يجري في الفعل ؛ لعدم اتّحاده مع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الكلام في صدق المشتقّ على ذلك المورد المفروض زوال الوصف عنه بعد فرض الاتّصاف وهو بعينه معنى الاتّحاد الذي يوجب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اعتبار الحمل في النزاع ؛ فإنّ الكلام في تعيين مدلول المشتقّ مع قطع النظر عن وقوعه في تركيب فضلا عن كونه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الارتياب في أنّ النزاع في الصدق الموصوف على اعتبار الحمل كما نشاهد في عنوان جماعة من أهل الفنّ حيث عنونوا هل يشترط في صدق المشتقّ بقاء المبدأ ، أم لا؟ ولا ينافي ذلك اعتبار كون النزاع في تعيين مدلول المشتقّ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الفعل في مرتبة كونه فعلا لا يعقل اتّحاده مع شيء ؛ لأنّ مدلول الفعل مركّب من الحدث والنسبة إلى فاعل ما الواقعة في زمان خاصّ وهو المدلول المركّب يمتنع اتّحاده مع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انتزاع معنى آخر بسيط من ذلك المركّب وجعله محمولا على الفاعل وهو عين مدلول المشتق مثلا كما لا يخفى</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الفعل إنّما يقع مسندا وهو مع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أو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 في القضايا ، والجمل الخبرية في الماضي والمضارع مثلا وهو في معنى </w:t>
      </w:r>
    </w:p>
    <w:p>
      <w:pPr>
        <w:pStyle w:val="BookText"/>
        <w:rPr/>
      </w:pP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الإسناد مغاير للحمل ؛ فإنّ الأوّل عبارة عن تعيين الفاعل المبهم المأخوذ من مدلول الفعل الذي نسب إليه صدور الفعل إمّا بالمخاطبة كما في الأمر ، وإمّا بذكر الفاعل ظاهرا أو مضمرا في الماضي والمضارع وهو الوجه في الجمل الخبرية ، ومناط الحمل هو بيان أنّ أحد الأمرين عين الآخر في الوجود الخارجي ، وهذا المعنى </w:t>
      </w:r>
      <w:r>
        <w:rPr>
          <w:rStyle w:val="FootnoteAnchor"/>
          <w:rtl w:val="true"/>
        </w:rPr>
        <w:footnoteReference w:id="3621"/>
      </w:r>
      <w:r>
        <w:rPr>
          <w:rFonts w:ascii="Amiri" w:hAnsi="Amiri" w:eastAsia="Amiri" w:cs="Amiri"/>
          <w:color w:val="111111"/>
          <w:sz w:val="28"/>
          <w:sz w:val="28"/>
          <w:szCs w:val="28"/>
          <w:rtl w:val="true"/>
          <w:lang w:bidi="ar-SA"/>
        </w:rPr>
        <w:t>ملازم لجعل كلّ واحد من المتّحدين في الوجود موضوعا ، والآخر محمولا في الجملة ، ولا شكّ في انتفاء ذلك في الفعل ، وإلاّ لصحّ جعله مبتدأ أيضا مع أنّه باطل إجماعا من القوم فضلا عن عدم مساعدة الوجدان على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يشعر بمغايرة الإسناد والحمل هو وجود الإسناد في الجمل الإنشائية دون الحمل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الخاصّ مأخوذ في مفهوم الفعل وحينئذ ، فإن كان ذلك زمان الماضي ، فلا بدّ من انقضائه حتّى يصحّ إسناد الفعل إلى الفاعل في ذلك الزمان ، وإن كان زمان الحال ، فلا بدّ من صدور الفعل في ذلك الزمان حتّى يسند إليه الفعل ، وإن كان زمان المستقبل ، فلا بدّ من عدم صدوره حتّى يسند إليه الفعل في ذلك الزمان ، فلا يعقل فيه النزاع المذكور كما هو ظاهر ، ولا ينبغي قياس سائر المشتقّات بالفعل ؛ لما ستعرف من عدم اعتبار الزمان في مدلولها لا قيدا ولا جزءا ، وعلى تقدير التنزّل فالفرق بين اعتبار الزمان في الفعل وفيها في غاية الوضوح</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جريان الخلاف في غير اسم الفاعل من المشتقّات كاسم المفعول والصفة المشبهة وصيغة المبالغة وأسماء المكان والزمان والآلة ؛ لعموم الأدلّة </w:t>
      </w:r>
    </w:p>
    <w:p>
      <w:pPr>
        <w:pStyle w:val="BookText"/>
        <w:rPr/>
      </w:pPr>
      <w:r>
        <w:rPr>
          <w:rFonts w:ascii="Amiri" w:hAnsi="Amiri" w:eastAsia="Amiri" w:cs="Amiri"/>
          <w:color w:val="111111"/>
          <w:sz w:val="28"/>
          <w:sz w:val="28"/>
          <w:szCs w:val="28"/>
          <w:rtl w:val="true"/>
          <w:lang w:bidi="ar-SA"/>
        </w:rPr>
        <w:t>والعناوين ، مع عدم ظهور فرق بين الموارد وهو المصرّح به في كلام جماعة من أرباب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لما قد يحكى عن بعضهم </w:t>
      </w:r>
      <w:r>
        <w:rPr>
          <w:rStyle w:val="FootnoteAnchor"/>
          <w:rtl w:val="true"/>
        </w:rPr>
        <w:footnoteReference w:id="3622"/>
      </w:r>
      <w:r>
        <w:rPr>
          <w:rFonts w:ascii="Amiri" w:hAnsi="Amiri" w:eastAsia="Amiri" w:cs="Amiri"/>
          <w:color w:val="111111"/>
          <w:sz w:val="28"/>
          <w:sz w:val="28"/>
          <w:szCs w:val="28"/>
          <w:rtl w:val="true"/>
          <w:lang w:bidi="ar-SA"/>
        </w:rPr>
        <w:t>من اختصاصه باسم الفاعل ؛ لأنّ الأمثلة الواردة في كلام القوم لا تتجاوز منه ، لقوّة احتمال أن يكون ذلك في كلامهم من حيث إنّه مثال للمطلوب ، فلا يفيد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فرضنا ظهورها في الاختصاص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له بعد صحّة جريان النزاع في غيره أيضا ؛ لوجود المناط بعينه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بأنّ الغالب في اسم المفعول هو الصدق بعد الانقضاء ، وفي الصفة المشبهة هو عدم الصدق بخلاف اسم الفاعل فإنّ موارده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بمنع الفرق المذكور ، وإنّما الوجه في ذلك هو ملاحظة الصدق باعتبار زمان التلبّس في الجميع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النظر فيما صنعه بعض الأجلّة </w:t>
      </w:r>
      <w:r>
        <w:rPr>
          <w:rStyle w:val="FootnoteAnchor"/>
          <w:rtl w:val="true"/>
        </w:rPr>
        <w:footnoteReference w:id="3623"/>
      </w:r>
      <w:r>
        <w:rPr>
          <w:rFonts w:ascii="Amiri" w:hAnsi="Amiri" w:eastAsia="Amiri" w:cs="Amiri"/>
          <w:color w:val="111111"/>
          <w:sz w:val="28"/>
          <w:sz w:val="28"/>
          <w:szCs w:val="28"/>
          <w:rtl w:val="true"/>
          <w:lang w:bidi="ar-SA"/>
        </w:rPr>
        <w:t>من ذكر مداليل سائر المشتقّات قبل الدخول في المسألة مع اعتقاد اختلاف المداليل فيها أيضا ، فإنّ الظاهر عدم الفرق في الجميع</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عموم النزاع لاسم المفعول ما ذكره جماعة </w:t>
      </w:r>
      <w:r>
        <w:rPr>
          <w:rStyle w:val="FootnoteAnchor"/>
          <w:rtl w:val="true"/>
        </w:rPr>
        <w:footnoteReference w:id="3624"/>
      </w:r>
      <w:r>
        <w:rPr>
          <w:rFonts w:ascii="Amiri" w:hAnsi="Amiri" w:eastAsia="Amiri" w:cs="Amiri"/>
          <w:color w:val="111111"/>
          <w:sz w:val="28"/>
          <w:sz w:val="28"/>
          <w:szCs w:val="28"/>
          <w:rtl w:val="true"/>
          <w:lang w:bidi="ar-SA"/>
        </w:rPr>
        <w:t>في ثمرات المسألة من بناء الكراهة في استعمال الماء المشمّس والمسخّن ، فإنّهما من اسم المفعول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وأبعد من ذلك ما يحكى عن التفتازاني </w:t>
      </w:r>
      <w:r>
        <w:rPr>
          <w:rStyle w:val="FootnoteAnchor"/>
          <w:rtl w:val="true"/>
        </w:rPr>
        <w:footnoteReference w:id="3625"/>
      </w:r>
      <w:r>
        <w:rPr>
          <w:rFonts w:ascii="Amiri" w:hAnsi="Amiri" w:eastAsia="Amiri" w:cs="Amiri"/>
          <w:color w:val="111111"/>
          <w:sz w:val="28"/>
          <w:sz w:val="28"/>
          <w:szCs w:val="28"/>
          <w:rtl w:val="true"/>
          <w:lang w:bidi="ar-SA"/>
        </w:rPr>
        <w:t>من تخصيص النزاع باسم الفاعل بمعنى الحدوث دون مثل المؤمن والكافر والأبيض والحرّ والعبد ، فإنّه لا وجه 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دعوى الإجماع </w:t>
      </w:r>
      <w:r>
        <w:rPr>
          <w:rStyle w:val="FootnoteAnchor"/>
          <w:rtl w:val="true"/>
        </w:rPr>
        <w:footnoteReference w:id="3626"/>
      </w:r>
      <w:r>
        <w:rPr>
          <w:rFonts w:ascii="Amiri" w:hAnsi="Amiri" w:eastAsia="Amiri" w:cs="Amiri"/>
          <w:color w:val="111111"/>
          <w:sz w:val="28"/>
          <w:sz w:val="28"/>
          <w:szCs w:val="28"/>
          <w:rtl w:val="true"/>
          <w:lang w:bidi="ar-SA"/>
        </w:rPr>
        <w:t>على عدم تسمية المؤمن اللاحق كافرا ، فإن أراد الإجماع على عدم ترتيب الآثار ، فهو مسلّم ، ولا يجدي في نفي الموضوع ، وإن أراد الإجماع على عدم التسمية ، فهو ممنوع ؛ لوجود الخلاف قطعا في التسمية وإن لم يترتّب عليه الأحكام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دعوى اتّفاق العرف على السلب وهو صحيح ، ودليل على اشتراط التلبّس في الصدق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يحكى عن جماعة منهم الشهيد الثاني قدس‌سره </w:t>
      </w:r>
      <w:r>
        <w:rPr>
          <w:rStyle w:val="FootnoteAnchor"/>
          <w:rtl w:val="true"/>
        </w:rPr>
        <w:footnoteReference w:id="3627"/>
      </w:r>
      <w:r>
        <w:rPr>
          <w:rFonts w:ascii="Amiri" w:hAnsi="Amiri" w:eastAsia="Amiri" w:cs="Amiri"/>
          <w:color w:val="111111"/>
          <w:sz w:val="28"/>
          <w:sz w:val="28"/>
          <w:szCs w:val="28"/>
          <w:rtl w:val="true"/>
          <w:lang w:bidi="ar-SA"/>
        </w:rPr>
        <w:t>باختصاص النزاع بما إذا لم يطرأ على المحلّ ضدّ وجودي ، فإنّه معه لا يصدق اتّفاقا</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فيه أنّه مع طريان الضدّ أو صدق الآخر يلزم اجتماع الضدّين ، ولو صحّ ذلك ، فارتفاع نفس الوصف وإن لم يطرأ عليه الضدّ أولى بأن لا يكون محلاّ للخلاف ؛ لأنّ التنافي بين الوجود والعدم أشدّ من التنافي بين الوجوديين وإن استند نفي منع التنافي على تقدير الصدق ، لاختصاص التنافي بما </w:t>
      </w:r>
      <w:r>
        <w:rPr>
          <w:rStyle w:val="FootnoteAnchor"/>
          <w:rtl w:val="true"/>
        </w:rPr>
        <w:footnoteReference w:id="3628"/>
      </w:r>
      <w:r>
        <w:rPr>
          <w:rFonts w:ascii="Amiri" w:hAnsi="Amiri" w:eastAsia="Amiri" w:cs="Amiri"/>
          <w:color w:val="111111"/>
          <w:sz w:val="28"/>
          <w:sz w:val="28"/>
          <w:szCs w:val="28"/>
          <w:rtl w:val="true"/>
          <w:lang w:bidi="ar-SA"/>
        </w:rPr>
        <w:t>إذا لم يتّصف المورد بالمرّة بذلك الوصف بناء على شمول المشتقّ لما انقضى عنه المبدأ ، فيلتزم به في المتضادّين أيضا إلاّ أنّ ذلك فيهما على خلاف التحقيق ؛ لأنّ بناء الفرق والاستعمال على الفعلية كما ستعرف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يحكى عن بعضهم </w:t>
      </w:r>
      <w:r>
        <w:rPr>
          <w:rStyle w:val="FootnoteAnchor"/>
          <w:rtl w:val="true"/>
        </w:rPr>
        <w:footnoteReference w:id="3629"/>
      </w:r>
      <w:r>
        <w:rPr>
          <w:rFonts w:ascii="Amiri" w:hAnsi="Amiri" w:eastAsia="Amiri" w:cs="Amiri"/>
          <w:color w:val="111111"/>
          <w:sz w:val="28"/>
          <w:sz w:val="28"/>
          <w:szCs w:val="28"/>
          <w:rtl w:val="true"/>
          <w:lang w:bidi="ar-SA"/>
        </w:rPr>
        <w:t xml:space="preserve">اختصاص النزاع بما إذا كان المشتقّ محكوما به وأمّا إذا كان محكوما عليه ، فلا خلاف في عدم اشتراط بقاء المبدأ ؛ لعدم الخلاف في أنّ الزاني والسارق في آية الجلد والقطع </w:t>
      </w:r>
      <w:r>
        <w:rPr>
          <w:rStyle w:val="FootnoteAnchor"/>
          <w:rtl w:val="true"/>
        </w:rPr>
        <w:footnoteReference w:id="3630"/>
      </w:r>
      <w:r>
        <w:rPr>
          <w:rFonts w:ascii="Amiri" w:hAnsi="Amiri" w:eastAsia="Amiri" w:cs="Amiri"/>
          <w:color w:val="111111"/>
          <w:sz w:val="28"/>
          <w:sz w:val="28"/>
          <w:szCs w:val="28"/>
          <w:rtl w:val="true"/>
          <w:lang w:bidi="ar-SA"/>
        </w:rPr>
        <w:t>لا يعتبر فيهما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كفاية وجود العنوان في الزمان الماضي في وجوب إجراء الحدّ عليهما هو لا يدلّ على صدق العنوان لغة عليهما بعد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لم يعهد اختلاف مدلول اللفظ بجعله موضوعا أو محمولا بحسب الأوضاع اللغوية كما هو ظاهر ، وقد تبيّن وجه الخروج بأنّه اتّفق المسلمون على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6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6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xml:space="preserve">) </w:t>
      </w:r>
      <w:r>
        <w:rPr>
          <w:rStyle w:val="FootnoteAnchor"/>
          <w:rtl w:val="true"/>
        </w:rPr>
        <w:footnoteReference w:id="3633"/>
      </w:r>
      <w:r>
        <w:rPr>
          <w:rFonts w:ascii="Amiri" w:hAnsi="Amiri" w:eastAsia="Amiri" w:cs="Amiri"/>
          <w:color w:val="111111"/>
          <w:sz w:val="28"/>
          <w:sz w:val="28"/>
          <w:szCs w:val="28"/>
          <w:rtl w:val="true"/>
          <w:lang w:bidi="ar-SA"/>
        </w:rPr>
        <w:t>ونحو ذلك يتناول من لم يتّصف بهذه المبادئ حال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القتل لا ربط لها بالمقام ؛ لأنّ المشركين في الآية لا يكون محكوما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الاتّصاف حال النزول ممّا لا ربط له بالمقام ؛ لأنّ الكلام في الصدق بالنسبة إلى ما انقضى عنه المبدأ لا بالنسبة إلى من لم يتّصف بعد كما هو ظاهر ، وكيف كان ، فالوجه في الاستعمال المذكور في الآيات هو ملاحظة حال المتلبّس كما لا يخفى ، فلا ينبغي جعل ذلك منشأ للخروج عن الخلاف</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3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جماعة من أهل التحقيق أنّ الزمان خارج عن مدلول المشتقّ المقصود بالبحث عنه في المقام وهو الذي يقتضيه التأمّل في مدلوله في موارد </w:t>
      </w:r>
    </w:p>
    <w:p>
      <w:pPr>
        <w:pStyle w:val="BookText"/>
        <w:rPr/>
      </w:pPr>
      <w:r>
        <w:rPr>
          <w:rFonts w:ascii="Amiri" w:hAnsi="Amiri" w:eastAsia="Amiri" w:cs="Amiri"/>
          <w:color w:val="111111"/>
          <w:sz w:val="28"/>
          <w:sz w:val="28"/>
          <w:szCs w:val="28"/>
          <w:rtl w:val="true"/>
          <w:lang w:bidi="ar-SA"/>
        </w:rPr>
        <w:t>الاستعمالات العرفية سيّما بناء على ما ستعرفه من بساطة مداليل المشتقّات ؛ فإنّها عنوانات حينئذ للذوات التي يفرض اتّحادها معها في الخارج ، فيكون تلك الأسماء تعبيرات عن بعض مراتب وجود الذوات الخارجية ، فكما أنّ زيدا لا دلالة فيه على الزمان ، فكذا العالم ، وافتقار وجود هذا المفهوم الواقع في الزمان ليس إلاّ كافتقار وجود الحوادث الزمانية إلى الزمان ، وذلك لا يدلّ على أخذ الزمان في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ذلك ملاحظة افتقار الجسم إلى الحيّز ، فإنّه لم يذهب وهم إلى أخذ المكان في مدلول الجسم كما هو ظاهر ، وليس افتقار العنوان المذكور إلى استلزام ذلك الزمان بأشدّ من افتقار نفس المعنى الحدثي إليه ، مع أنّه لا كلام في عدم دلالة المصدر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يرشد على ذلك اتّفاق علماء العربية ظاهرا كما حكاه جماعة أيضا على عدم أخذ الزمان في مداليل الأسماء التي منها المشتقّ المبحوث عنه هنا كما يدلّ عليه الحدود الواردة عنهم للأسماء كما هو ظاهر ، ومع ذلك كلّه فقد يتراءى من بعضهم </w:t>
      </w:r>
      <w:r>
        <w:rPr>
          <w:rStyle w:val="FootnoteAnchor"/>
          <w:rtl w:val="true"/>
        </w:rPr>
        <w:footnoteReference w:id="3635"/>
      </w:r>
      <w:r>
        <w:rPr>
          <w:rFonts w:ascii="Amiri" w:hAnsi="Amiri" w:eastAsia="Amiri" w:cs="Amiri"/>
          <w:color w:val="111111"/>
          <w:sz w:val="28"/>
          <w:sz w:val="28"/>
          <w:szCs w:val="28"/>
          <w:rtl w:val="true"/>
          <w:lang w:bidi="ar-SA"/>
        </w:rPr>
        <w:t>أنّ الزمان معتبر في مدلول المشتقّ بل ولم يرض بذلك حتّى ادّعى اتّفاق الاصوليين على ذلك ؛ حيث إنّهم حكموا بكونه حقيقة في الحال ، وإنّما اختلفوا في كونه حقيقة في الماضي إمّا على وجه الاشتراك اللفظي ، أو القدر المشترك بين الزمانين مثلا ، ثمّ حاول الجمع بين الإجماعين بحمل إجماع أهل العربية على عدم الدلالة مطابقة ، وحمل إجماع الاصوليين على الدلالة التزاما</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مفهوم الزمان خارج عن مدلول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وقيد لحدثه باعتبار الصدق والإطلاق ، فالفاعل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 ليطلق على الذات المتّصفة </w:t>
      </w:r>
    </w:p>
    <w:p>
      <w:pPr>
        <w:pStyle w:val="BookText"/>
        <w:rPr/>
      </w:pPr>
      <w:r>
        <w:rPr>
          <w:rFonts w:ascii="Amiri" w:hAnsi="Amiri" w:eastAsia="Amiri" w:cs="Amiri"/>
          <w:color w:val="111111"/>
          <w:sz w:val="28"/>
          <w:sz w:val="28"/>
          <w:szCs w:val="28"/>
          <w:rtl w:val="true"/>
          <w:lang w:bidi="ar-SA"/>
        </w:rPr>
        <w:t xml:space="preserve">بمبدئه الخاصّ ، أعني المبدأ المأخوذ باعتبار زمن الاتّصاف ، أو الأعمّ منه وممّا بعده </w:t>
      </w:r>
      <w:r>
        <w:rPr>
          <w:rFonts w:eastAsia="Amiri" w:cs="Amiri" w:ascii="Amiri" w:hAnsi="Amiri"/>
          <w:color w:val="111111"/>
          <w:sz w:val="28"/>
          <w:szCs w:val="28"/>
          <w:rtl w:val="true"/>
          <w:lang w:bidi="ar-SA"/>
        </w:rPr>
        <w:t xml:space="preserve">» </w:t>
      </w:r>
      <w:r>
        <w:rPr>
          <w:rStyle w:val="FootnoteAnchor"/>
          <w:rtl w:val="true"/>
        </w:rPr>
        <w:footnoteReference w:id="3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سقوط كلّ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فلأنّ معنى اتّفاق الاصوليين على كونه حقيقة في الحال هو الاتّفاق على صدقه على تقدير وجود المبدأ في المورد واتّحاده معه ، والخلاف في كونه حقيقة في الماضي هو أنّ الاتّصاف الفعلي هل هو شرط في الصدق ، أو يكفي فيه الاتّصاف قبل زمان الصدق أيضا في الجملة؟ وهذا المعنى ممّا لا يتوهّم معه دخول الزمان في مدلول المشتقّ كما يرشد إلى ذلك ملاحظة حال الجوامد وإمكان جريان هذا النزاع فيها </w:t>
      </w:r>
      <w:r>
        <w:rPr>
          <w:rStyle w:val="FootnoteAnchor"/>
          <w:rtl w:val="true"/>
        </w:rPr>
        <w:footnoteReference w:id="3637"/>
      </w:r>
      <w:r>
        <w:rPr>
          <w:rFonts w:ascii="Amiri" w:hAnsi="Amiri" w:eastAsia="Amiri" w:cs="Amiri"/>
          <w:color w:val="111111"/>
          <w:sz w:val="28"/>
          <w:sz w:val="28"/>
          <w:szCs w:val="28"/>
          <w:rtl w:val="true"/>
          <w:lang w:bidi="ar-SA"/>
        </w:rPr>
        <w:t>وإن كان التحقيق عدم وقوعه فيها للاتّفاق على توقّف الصدق على الفعلية ، فلا وجه لحمل الماء على الهواء المنقلب منه كما هو ظاهر ، فكما أنّ الاتّفاق على ذلك لا يوجب توهّم دخول زمان الحال في الجوامد ،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الظاهر من كلامه حيث فرض خروج الزمان وضعا عن مدلول المشتقّ ، واعتبره قيدا للحدث أنّه معتبر في وضع المبدأ والمعنى الحدثي وهو في غاية السقوط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نفي كونه جزءا وإنّما هو شرط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التقييد داخلا والقيد خارجا كما هو أبعد الاحتمالين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ممّا لا وجه له ، فإنّه ممّا لا يقضي </w:t>
      </w:r>
      <w:r>
        <w:rPr>
          <w:rStyle w:val="FootnoteAnchor"/>
          <w:rtl w:val="true"/>
        </w:rPr>
        <w:footnoteReference w:id="3638"/>
      </w:r>
      <w:r>
        <w:rPr>
          <w:rFonts w:ascii="Amiri" w:hAnsi="Amiri" w:eastAsia="Amiri" w:cs="Amiri"/>
          <w:color w:val="111111"/>
          <w:sz w:val="28"/>
          <w:sz w:val="28"/>
          <w:szCs w:val="28"/>
          <w:rtl w:val="true"/>
          <w:lang w:bidi="ar-SA"/>
        </w:rPr>
        <w:t>به شيء ، ومناف لكلمات جلّ القوم بل كلّهم بعد ما عرفت من معنى الخلاف والوفاق المذكورين</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فاسد قطعا ؛ لأنّه لو كان داخلا على وجه </w:t>
      </w:r>
    </w:p>
    <w:p>
      <w:pPr>
        <w:pStyle w:val="BookText"/>
        <w:rPr/>
      </w:pPr>
      <w:r>
        <w:rPr>
          <w:rFonts w:ascii="Amiri" w:hAnsi="Amiri" w:eastAsia="Amiri" w:cs="Amiri"/>
          <w:color w:val="111111"/>
          <w:sz w:val="28"/>
          <w:sz w:val="28"/>
          <w:szCs w:val="28"/>
          <w:rtl w:val="true"/>
          <w:lang w:bidi="ar-SA"/>
        </w:rPr>
        <w:t>الشرطية ، أو الشطرية ، فليس ذلك الداخل هو مفهوم الزمان ، وإلاّ كان قولك الضرب الواقع في الزمان تفسيرا للضارب وهو ظاهر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اعتبار الزمان لا جزءا ولا قيدا في مدلول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ذلك بين أن يكون الأزمنة المذكورة مقيسة إلى حال النطق ، أو حال التلبّس ؛ لأنّ ما تقدّم من الوجوه التي يستكشف منها خروج الزمان عنه لا فرق فيها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بحال التلبّس المذكور في جملة من عبارات أصحاب التحقيق ليس الحال المقابل للماضي والمستقبل ليكون قسما من أقسام الزمان حتّى يقاس تارة بالنسبة إلى حال النطق ، واخرى بالنسبة إلى حال التلبّس ، بل المراد به هو تحقّق اتّصاف المورد واقعا بالعنوان ومفهوم المشتقّ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بالماضي هو عدم اتّصاف المورد به بعد الاتّصاف واقعا ، ولمّا كان تصوّر هذا المعنى موقوفا على تصوّر </w:t>
      </w:r>
      <w:r>
        <w:rPr>
          <w:rStyle w:val="FootnoteAnchor"/>
          <w:rtl w:val="true"/>
        </w:rPr>
        <w:footnoteReference w:id="3639"/>
      </w:r>
      <w:r>
        <w:rPr>
          <w:rFonts w:ascii="Amiri" w:hAnsi="Amiri" w:eastAsia="Amiri" w:cs="Amiri"/>
          <w:color w:val="111111"/>
          <w:sz w:val="28"/>
          <w:sz w:val="28"/>
          <w:szCs w:val="28"/>
          <w:rtl w:val="true"/>
          <w:lang w:bidi="ar-SA"/>
        </w:rPr>
        <w:t>قبليته وبعديته ، فقد يوهم ذلك اعتبار الزمان المقيس إلى زمان التلبّس معتبرا فيه ، وليس كذلك بل المقصود واقعا بيان الاتّصاف الفعلي وعدم الاتّصاف الفعلي بعد أن كان متّصفا من دون أن يكون للزمان المذكور مدخلا ، ولعلّ ذلك أمر واضح بعد ملاحظة الأطراف</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فكلمات جماعة في المقام غير خالية عن شوب الإبهام إلى خلاف المقصود ، حيث إنّهم </w:t>
      </w:r>
      <w:r>
        <w:rPr>
          <w:rStyle w:val="FootnoteAnchor"/>
          <w:rtl w:val="true"/>
        </w:rPr>
        <w:footnoteReference w:id="3640"/>
      </w:r>
      <w:r>
        <w:rPr>
          <w:rFonts w:ascii="Amiri" w:hAnsi="Amiri" w:eastAsia="Amiri" w:cs="Amiri"/>
          <w:color w:val="111111"/>
          <w:sz w:val="28"/>
          <w:sz w:val="28"/>
          <w:szCs w:val="28"/>
          <w:rtl w:val="true"/>
          <w:lang w:bidi="ar-SA"/>
        </w:rPr>
        <w:t xml:space="preserve">في مقام بيان أنّ المراد بالحال هو حال التلبّس دون حال النطق ، يذكرون أنّ المراد بالحال في المقام هو حال التلبّس يعني الحال الذي يطلق عليه اللفظ بحسبه سواء كان ماضيا بالنسبة إلى حال النطق ، أو حالا ، أو مستقبلا ، فلو قلت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كان 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حقيقة لإطلاقه على الذات المتّصفة بالمبدإ بالنظر إلى حال اتّصافه وتلبّسه به وإن كان ذلك التلبّس في الماضي أو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اريد به الاتّصاف في حال النطق ، فهو أيضا حقيقة إلاّ أنّه لا قائل باعتبارها بالخصوص في صدق المشتقّات حتّى يكون إطلاقها على من تلبّس في ماضي النطق ، أو مستقبله مجازا مطلقا </w:t>
      </w:r>
      <w:r>
        <w:rPr>
          <w:rStyle w:val="FootnoteAnchor"/>
          <w:rtl w:val="true"/>
        </w:rPr>
        <w:footnoteReference w:id="3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الحال الذي يطلق عليه اللفظ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قسم من أقسام الزمان ، غاية الأمر أنّ المضيّ والاستقبال فيه إنّما يلاحظ بالنسبة إلى زمان التلبّس لا بالنسبة إلى زمان النطق مع أنّه خلاف المقصود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فليس حال المشتقّات في ذلك بأخفى من حال الجوامد ، فكما أنّه لا ينبغي أن يتوهّم ذلك فيها ، فكذلك في المقام لكن ذلك لا ينبغي أن يجعل منهم خلافا في المقام ؛ فإنّ الإنصاف أنّهم في مقام بيان أنّ الحال ليس حال النطق والتكلّم وإن أوهم أنّه من أقسام الزمان كما يشعر بذلك تصريحهم بأنّ الزمان خارج عن مدلول المشتق في مقام آخر</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يظهر من بعضهم </w:t>
      </w:r>
      <w:r>
        <w:rPr>
          <w:rStyle w:val="FootnoteAnchor"/>
          <w:rtl w:val="true"/>
        </w:rPr>
        <w:footnoteReference w:id="3642"/>
      </w:r>
      <w:r>
        <w:rPr>
          <w:rFonts w:ascii="Amiri" w:hAnsi="Amiri" w:eastAsia="Amiri" w:cs="Amiri"/>
          <w:color w:val="111111"/>
          <w:sz w:val="28"/>
          <w:sz w:val="28"/>
          <w:szCs w:val="28"/>
          <w:rtl w:val="true"/>
          <w:lang w:bidi="ar-SA"/>
        </w:rPr>
        <w:t xml:space="preserve">أنّ المراد بالحال هو حال النطق ، ويومئ إليه احتجاجهم بقول بعض النحاة على صحّة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ضارب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حقيقة في الماضي ، فإنّه لو كان المراد به حال التلبّس ، فهو غير محتاج إلى الاحتجاج ، فالمراد به ماضي التكلّم كما ربّما يرشد إليه ما ذكره جماعة من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ضارب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بل عن العضدي </w:t>
      </w:r>
      <w:r>
        <w:rPr>
          <w:rStyle w:val="FootnoteAnchor"/>
          <w:rtl w:val="true"/>
        </w:rPr>
        <w:footnoteReference w:id="3643"/>
      </w:r>
      <w:r>
        <w:rPr>
          <w:rFonts w:ascii="Amiri" w:hAnsi="Amiri" w:eastAsia="Amiri" w:cs="Amiri"/>
          <w:color w:val="111111"/>
          <w:sz w:val="28"/>
          <w:sz w:val="28"/>
          <w:szCs w:val="28"/>
          <w:rtl w:val="true"/>
          <w:lang w:bidi="ar-SA"/>
        </w:rPr>
        <w:t>دعوى الاتّفاق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لا يتمّ إلاّ على تقدير إرادة حال النطق ، فإنّه لو اريد به حال التلبّس ، فيصير ذلك بمنزلة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ينبغي القول بكونه مجازا ، فكيف بالاتّفاق على ذلك كما 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خروج الزمان عن مدلول المشتقّ أوّلا ، فلا وجه لإرادة حال التكلّم ، أو غيره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مناف لما ذكره المحقّقون من أنّ المراد به حال التلبّس ، وما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المراد من حال التلبّس ، والاحتجاج بقول بعض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اتّفاق العضدي على مجازية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ضارب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أنّه مخالف لصريح الوجدان من انتفاء وجه المجاز في ذلك ، فإنّا لا نجد فرقا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حيث تعيين الزمان في الثاني دون الأوّل ، فكما أنّه لا ينبغي أن يذهب الوهم إلى مجازية الأوّل ، فكذا الثاني كما هو واضح ، فلا بدّ من توجيهه بما لا ينافي ما تقدّم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بالمجازية في التركيب المذكور هو إرادة خصوص الزمان المستقبل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ذلك كما زعمه جماعة في مدلول المطلق والمقيّد حيث إنّهم لا يرون أنّ الإطلاق والتقييد من باب تعدّد الدوالّ والمداليل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المؤمنة 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عليه ؛ لأنّ التركيب أفاد ذلك ، وهذا التوهّم بعيد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القول بالمجازية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بخلافه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ضاربا </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النزاع من الأبحاث اللفظية المتعلّقة بتعيين مدلول المشتقّ لفظا كما يظهر من ملاحظة كلماتهم وأمثلتهم واستدلالات الطرفين بالتبادر وصحّة السلب ونحوها ، فلا تنافي بين الذهاب على أنّ المشتقّ ظاهر في الفعلية بالمعنى المتقدّم </w:t>
      </w:r>
    </w:p>
    <w:p>
      <w:pPr>
        <w:pStyle w:val="BookText"/>
        <w:rPr/>
      </w:pPr>
      <w:r>
        <w:rPr>
          <w:rFonts w:ascii="Amiri" w:hAnsi="Amiri" w:eastAsia="Amiri" w:cs="Amiri"/>
          <w:color w:val="111111"/>
          <w:sz w:val="28"/>
          <w:sz w:val="28"/>
          <w:szCs w:val="28"/>
          <w:rtl w:val="true"/>
          <w:lang w:bidi="ar-SA"/>
        </w:rPr>
        <w:t xml:space="preserve">وبين ما هو المعروف من علماء الميزان من أنّ الوصف </w:t>
      </w:r>
      <w:r>
        <w:rPr>
          <w:rStyle w:val="FootnoteAnchor"/>
          <w:rtl w:val="true"/>
        </w:rPr>
        <w:footnoteReference w:id="3644"/>
      </w:r>
      <w:r>
        <w:rPr>
          <w:rFonts w:ascii="Amiri" w:hAnsi="Amiri" w:eastAsia="Amiri" w:cs="Amiri"/>
          <w:color w:val="111111"/>
          <w:sz w:val="28"/>
          <w:sz w:val="28"/>
          <w:szCs w:val="28"/>
          <w:rtl w:val="true"/>
          <w:lang w:bidi="ar-SA"/>
        </w:rPr>
        <w:t xml:space="preserve">العنواني في الموضوع في القضايا المتعارفة في المحاورات هل يكفي فيه مجرّد إمكان اتّصاف ذات الموضوع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المنسوب إلى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يجب فيه تحقّق النسبة في أحد الأزمنة الثلاثة التي يعبّر عنه بالفعلية التي يؤخذ جهة في قبال الإمكان والضرورة والدوام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المنسوب إلى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القول بالإمكان في تلك المسألة ينافي اعتبار الفعلية بالمعنى المذكور هناك ، فكيف بالمعنى المردّد في المقام؟</w:t>
      </w:r>
    </w:p>
    <w:p>
      <w:pPr>
        <w:pStyle w:val="BookText"/>
        <w:rPr/>
      </w:pPr>
      <w:r>
        <w:rPr>
          <w:rFonts w:ascii="Amiri" w:hAnsi="Amiri" w:eastAsia="Amiri" w:cs="Amiri"/>
          <w:color w:val="111111"/>
          <w:sz w:val="28"/>
          <w:sz w:val="28"/>
          <w:szCs w:val="28"/>
          <w:rtl w:val="true"/>
          <w:lang w:bidi="ar-SA"/>
        </w:rPr>
        <w:t xml:space="preserve">ووجه عدم التنافي أنّ الظاهر أنّ ذلك النزاع في صحّة الحكم والقضية بحسب المعنى والعقل ؛ إذ لا يعقل الحكم على ما لا يمكن اتّصافه بعنوان الإنسانية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المحاورة على شيء يمتنع اتّصافه بوصف الإنسانية مثلا ، فالإمكان هو القدر المتيقّن ، فلا حاجة إلى فرض تحقّق النسبة في زمان في صحّة الحكم والقضية كما أفاده الشيخ ، وذلك لا ينافي أن يكون العبارة الدالّة على ثبوت عنوان الموضوع أو المحمول ظاهرا في الفعلية أو في غيرها كما هو المطلوب بالنزاع في المقام كما هو ظاهر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المقام أنّ النزاع المذكور أيضا من الأبحاث اللفظية المتعلّقة بتعيين مدلول اللفظ </w:t>
      </w:r>
      <w:r>
        <w:rPr>
          <w:rStyle w:val="FootnoteAnchor"/>
          <w:rtl w:val="true"/>
        </w:rPr>
        <w:footnoteReference w:id="3645"/>
      </w:r>
      <w:r>
        <w:rPr>
          <w:rFonts w:ascii="Amiri" w:hAnsi="Amiri" w:eastAsia="Amiri" w:cs="Amiri"/>
          <w:color w:val="111111"/>
          <w:sz w:val="28"/>
          <w:sz w:val="28"/>
          <w:szCs w:val="28"/>
          <w:rtl w:val="true"/>
          <w:lang w:bidi="ar-SA"/>
        </w:rPr>
        <w:t xml:space="preserve">الواقع موضوعا في القضية كما يظهر ممّا أورده شارح المطالع في بيان الخلاف الواقع بين الشيخ والفارابي ، وما اختاره الشيخ في تلك المسألة هو بعينه ما اختاره المحقّقون في المقام من توقّف الصدق على التلبّس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ذلك قبل زمان التلبّس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الإطلاق باعتبار زمان التلبّس</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بعد ما بيّن المراد من الإمكان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الفارابي اقتصر على هذا الإمكان ، </w:t>
      </w:r>
    </w:p>
    <w:p>
      <w:pPr>
        <w:pStyle w:val="BookText"/>
        <w:rPr/>
      </w:pPr>
      <w:r>
        <w:rPr>
          <w:rFonts w:ascii="Amiri" w:hAnsi="Amiri" w:eastAsia="Amiri" w:cs="Amiri"/>
          <w:color w:val="111111"/>
          <w:sz w:val="28"/>
          <w:sz w:val="28"/>
          <w:szCs w:val="28"/>
          <w:rtl w:val="true"/>
          <w:lang w:bidi="ar-SA"/>
        </w:rPr>
        <w:t xml:space="preserve">وحيث وجده </w:t>
      </w:r>
      <w:r>
        <w:rPr>
          <w:rStyle w:val="FootnoteAnchor"/>
          <w:rtl w:val="true"/>
        </w:rPr>
        <w:footnoteReference w:id="3646"/>
      </w:r>
      <w:r>
        <w:rPr>
          <w:rFonts w:ascii="Amiri" w:hAnsi="Amiri" w:eastAsia="Amiri" w:cs="Amiri"/>
          <w:color w:val="111111"/>
          <w:sz w:val="28"/>
          <w:sz w:val="28"/>
          <w:szCs w:val="28"/>
          <w:rtl w:val="true"/>
          <w:lang w:bidi="ar-SA"/>
        </w:rPr>
        <w:t xml:space="preserve">الشيخ مخالفا للعرف ،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 الوجود في الأعيان بل ما يعمّ الفرض الذهني والوجود الخارجي ، فالذات الخالية عن العنوان يدخل في الموضوع إذا فرضه العقل موصوفا به بالفعل ، مثلا إذا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أسود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 الأسود ما هو أسود في الخارج ، أو </w:t>
      </w:r>
      <w:r>
        <w:rPr>
          <w:rStyle w:val="FootnoteAnchor"/>
          <w:rtl w:val="true"/>
        </w:rPr>
        <w:footnoteReference w:id="3647"/>
      </w:r>
      <w:r>
        <w:rPr>
          <w:rFonts w:ascii="Amiri" w:hAnsi="Amiri" w:eastAsia="Amiri" w:cs="Amiri"/>
          <w:color w:val="111111"/>
          <w:sz w:val="28"/>
          <w:sz w:val="28"/>
          <w:szCs w:val="28"/>
          <w:rtl w:val="true"/>
          <w:lang w:bidi="ar-SA"/>
        </w:rPr>
        <w:t xml:space="preserve">ما لم يكن أسود ، ويمكن أن يكون أسود إذا فرضه العقل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xml:space="preserve">] » </w:t>
      </w:r>
      <w:r>
        <w:rPr>
          <w:rStyle w:val="FootnoteAnchor"/>
          <w:rtl w:val="true"/>
        </w:rPr>
        <w:footnoteReference w:id="3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بعينه هذا النزاع اللفظي ، وإلاّ فلا وجه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وجده الشيخ مخالفا للعرف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الاستدلال بالعرف دليل على ذلك ، ولا يراد بالفعلية تحقّق النسبة في أحد الأزمنة الثلاثة وإن لم يفرض معه التلبّس في زمان الحكم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فقول الفارابي مخالف للعرف جدّا حيث إنّه اكتفى في الصدق بمجرّد الإمكان وهو بعيد جدّا ، ولم يحك في المسألة قولا لأحد من أصحاب النظر ، فلعلّ نظره إلى ما تقدّم من صحّة الحكم ولو في القضية المعقولة ، وقد عرفت على تقديره أنّ المتّجه ما أفاده ، ولا يحتاج إلى الفعلية إلاّ أنّه لا تنافي </w:t>
      </w:r>
      <w:r>
        <w:rPr>
          <w:rStyle w:val="FootnoteAnchor"/>
          <w:rtl w:val="true"/>
        </w:rPr>
        <w:footnoteReference w:id="3649"/>
      </w:r>
      <w:r>
        <w:rPr>
          <w:rFonts w:ascii="Amiri" w:hAnsi="Amiri" w:eastAsia="Amiri" w:cs="Amiri"/>
          <w:color w:val="111111"/>
          <w:sz w:val="28"/>
          <w:sz w:val="28"/>
          <w:szCs w:val="28"/>
          <w:rtl w:val="true"/>
          <w:lang w:bidi="ar-SA"/>
        </w:rPr>
        <w:t>قول الشيخ بتوقّف الصحّة في القضية الملفوظة على الفعلية بالمعنى المتقدّم ، فمورد النفي والإثبات في كلامهما غير متّحد</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تمهّد هذه الامور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المستفاد من موارد استعمال المشتقّات بأسرها هو كونها موضوعات للمفاهيم التي تتّحد مع الذوات الصادقة عليها باعتبارات مختلفة ؛ من صدور الفعل منها ، ووقوعها عليها ، وكونها محلاّ لها ، وكونها آلة </w:t>
      </w:r>
    </w:p>
    <w:p>
      <w:pPr>
        <w:pStyle w:val="BookText"/>
        <w:rPr/>
      </w:pPr>
      <w:r>
        <w:rPr>
          <w:rFonts w:ascii="Amiri" w:hAnsi="Amiri" w:eastAsia="Amiri" w:cs="Amiri"/>
          <w:color w:val="111111"/>
          <w:sz w:val="28"/>
          <w:sz w:val="28"/>
          <w:szCs w:val="28"/>
          <w:rtl w:val="true"/>
          <w:lang w:bidi="ar-SA"/>
        </w:rPr>
        <w:t xml:space="preserve">لإيجادها ، أو مكانا ، أو زمانا لذلك ، وهذه العلقة أوجبت </w:t>
      </w:r>
      <w:r>
        <w:rPr>
          <w:rStyle w:val="FootnoteAnchor"/>
          <w:rtl w:val="true"/>
        </w:rPr>
        <w:footnoteReference w:id="3650"/>
      </w:r>
      <w:r>
        <w:rPr>
          <w:rFonts w:ascii="Amiri" w:hAnsi="Amiri" w:eastAsia="Amiri" w:cs="Amiri"/>
          <w:color w:val="111111"/>
          <w:sz w:val="28"/>
          <w:sz w:val="28"/>
          <w:szCs w:val="28"/>
          <w:rtl w:val="true"/>
          <w:lang w:bidi="ar-SA"/>
        </w:rPr>
        <w:t xml:space="preserve">صدق تلك المفاهيم وحملها عليها ، فيدور ذلك مدار الاتّحاد واقعا ، وعند الانقضاء والتبدّل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بمجرّد الارتفاع ، أو ورود ضدّ آخر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تلك المفاهيم عليها ، فلا وجه لدعوى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مجرّد الاتّصاف في زمان قبل فرض الحمل والاتحاد يوجب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يتمسّك في ذلك ببعض الموارد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بعدم مساعدة العرف على ذلك من دون قرينة ، وأغلب مواضع الاشتباه إنّما يكون الإطلاق باعتبار حال التلبّس على الوجه المتقدّم ، فيكون ذلك على خلاف مطلوبهم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التحقيق يكون ما ذكر استنادا إلى التبادر وصحّة السلب عن مورد لا يكون الذات متّحدة مع المفاهيم المذكورة ولو بحسب الفرض والاعتبار ، والوجدان الصحيح الخالي عن شوائب الأوهام الحاصل لنا في أربعين سنة بعد تتبّع موارد الاستعمالات في جميع اللغات أعدل شاهد على ذلك من غير فرق بين المبادئ على اختلافها من الأفعال والكيفيات الراشحة وغيرها</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جفّ قلمه الشريف طيّب اللّه نفسه ، وروّح اللّه رمسه بمحمّد وآله صلوات اللّه عليهم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خير معين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الطيّبين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الخطبة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ناسبا منه للأصوليين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تأسّيا منه للأصوليين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حكم شرعي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إثبات الحكم في الزمن الثاني تعويلا على ثبوته في الأوّل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الموارد الآتية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التمسّك بثبوت ما ثبت في وقت أو حال على بقائه فيما بعد ذلك الوقت في غير تلك الحال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رسالة الاستصحاب المطبوعة في الرسائل الأصولية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أمر كان يقيني الحصول في وقت أو حال ، ومشكوك البقاء بعد ذلك الوقت أو الحال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الأواخر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الأصول ، قسم الأدلّة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 ، وأورد فيه أكثر التعاريف التي ذكرها المؤلّف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الثالثة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البناء على الأصل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الحكم على وجود الشيء أو عدمه في الحال للعلم بوجوده أو عدمه في الماضي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بقاء ما كان على ما كان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واستقراره على ذلك</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السابقة عليه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استعمالاته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يختلف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للإبقاء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ل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لاتّصاف البقاء بهذه الأمور بخلاف الإبقاء ، فإنّه صالح للاتّصاف المذكور ، ضرورة أنّ المراد بدليلية الإبقاء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 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فينتقل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 بأمور ضعيفة ، فالإعراض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ل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ما حكي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كما عرفت أنّ الاستصحاب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منتهى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 الاستصحاب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يوضحه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تحديد الاستصحاب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مستصحبة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مشكوكا فيه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بصدد التحديد ، بل هو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بيان محلّ الاستصحاب ومورده ، ويدفعه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من كتابه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بانصراف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كالاستصحاب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سيوافيك الكلام عنه في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العزيز ، فتأمّل في المقام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الأدلّة العقلية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كأحد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سهوت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المشكوكة فيها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بحث عن المسألة الأصولية أو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أنّه على الثاني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به يحصل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تقرّر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 أنّها منها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عارض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المجتهد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للمقلّد أن يقلّده فيه ويعمل به بلا حاجة إلى حصول حالة منتظرة إليها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بالخبر الواحد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العملية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ل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والقرينة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والجزئية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نحوهما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الأوضاع والألفاظ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ينبغي أن يستثنى من ذلك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الانقلابات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لخرجت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 لا يخفى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والتحقيق في ذلك خلاف ذلك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وذلك ظاهر في الغاية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للتميّز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ريب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كافيا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يخفى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 لا يخفى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بين القواعد الفرعية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بين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بعد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يجب اطرادها كما لا يخفى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تصرّف وتلخيص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أوثق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فذلك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الضروري العقلي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 وكتب فوقها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وعكس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لا يكون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شكّ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عنه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تفصيله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الوجود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مستصحب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المتأخّرة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الأجزاء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يبقى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يشكّ ، وكذا في المورد الآتي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بحث الإجزاء من القوانين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للوجود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يتصوّر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الصادع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بغيره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مقامه توضيحا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جملة عبائر القوم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فى شرح زبدة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بخطّ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أوفي نسخة أخرى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 وعنه في اشارات الأصول ، قسم الأدلّة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 ولا بأس بنقل عبارته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أفاده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النظر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أصالة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بالأقلّ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طارئ أو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فكذا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يترتّب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النافين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القائلين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اتّحاد المناط في الاستصحاب الوجودي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الاستصحاب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سواء ، ألا ترى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يعلم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نظفر به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لظفر 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يجب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فى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 وما بين المعاقيف منه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أشرنا نحن إليه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التقرير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الحالين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لاستصحاب الوجود والعدم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الكلّ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دعوى إطباق إسناد إطباقهم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تقريراته 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في تقريراته للفاضل الأردكاني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ضوابط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 دخول الاستصحاب الوجودي في محلّ النزاع ، ويظهر من بعض المتأخّرين كون الاستصحاب العدمي أيضا محلّ النزاع ، فالحقّ خلافه لوجوه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ببقاء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 وفي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الاستصحاب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للإسنوي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الشرعية الثابتة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فاستثناء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بوضع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للتخيّل لانعقاد الإجماع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التخيّل انعقاد الإجماع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 نقله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إليه أيضا المحقّق السبزواري في ذخيرة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عنهم في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يلازم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ملازم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ضدّ أو أضداد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يباينها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إتيانه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يتّحد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يترتّب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الحادث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الحادثات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الأكثر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ينفي الردّ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اعتبار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يكشف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عبرة 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فراجعه فتدبّر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غيّرت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فيها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ولأنّ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الأحكام الشرعية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فالذاهب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بنسخه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في حكمه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من في حكمه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خارجا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وظاهر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لتحقّق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لتحقيق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تنتهي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دخولها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لإفادته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البقاء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أيضا نصّ عبارته في تعليقة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ووجه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الحالة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بدّ من الدليل في دوامه غير دليل الثبوت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عنه في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أيضا ووجه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استظهر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أفاد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بالذي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فالذي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ألفاظ الطلاق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يثبت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 فالحكم ليس بثابت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بعض نسخ المصدر ،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فلزوم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فى شرح زبدة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بخطّ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 اختيار المرتضى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لموضع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اختار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فيحتمل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نقله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مقول قوله في النسخ وموضعه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قدر ثلاث أسطر ، واستدركناه ما بين المعقوفين من العقد الطهماسبى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تتقرّر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الظنّ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وشطب عليها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بعض المعاصرين في وسيلة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المذكور منها في الكتب المعروفة في مقام تعداد الأقوال لا يزيد عمّا ذكره شيخنا المصنّف رحمه‌اللّه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إنّما جعله بعضهم نيّفا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ثالث الأقوال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رابعها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غيره فلا يعتبر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خامسها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للعضدي والمتن للحاجبي ، قال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الأكثر كالمزني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صحّته وأكثر الحنفية على بطلانه ، كان نفيا أصليا أو حكما شرعيا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الفاضل التوني كما سيأتي 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ثامنها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أيضا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تاسع الأقوال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كلامه بتمامه نقلا من شارح الوافية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أيضا 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 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والكلباسي في اشارات الأصول ، قسم الأدلّة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 قال الغزالي في المستصفى من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حجّة في استصحاب الإجماع في محلّ الخلاف خلافا لبعض الفقهاء ، ومثاله المتيمّم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فيه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نسب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المحقّق القمي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من الشيخ الحرّ في كتاب الفصول المهمّة وسيأتي الكلام فيه أيضا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الأخبارية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يقابلها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دموية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طريقته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يوجب له بصفة الاقتضاء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لتحقّق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اجتماعهما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لا يصير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أفاده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دلالتها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بعد الغضّ </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لتركّبهما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ستعرف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أيضا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الخفايا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الخارجة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الحمّام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المرسل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التحيّة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المقلّدين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نعثر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بحث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شيئا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كلام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شيء واجب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وقس حال التخيير عليهما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الأوّل منهما 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فتكذّبه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الظنّ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الظنّ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يلازم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الموروثة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لك حلال </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نظيف </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جنونه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يقضي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النزاع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حجّيته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 وكذا كتب فوقها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مرّ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مباحث</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تقديم الأصل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نقله عنه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بما تلونا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المقام لطيفا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 الموجود الذي من شأنه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زوال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جزء زوال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تساوي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لعادة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يقينيا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رفع مقامه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المقدّمات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فبأنّه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 التقدير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لتبعية النتيجة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مقدّماتهما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أفرادا للجنس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النباتات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 وكذا في المورد الآتي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بلد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عليه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بحقّ محمّد وآله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متعارضة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مهّدناه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في المرحلة الثانية لا بدّ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أومأ إليه 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الثالث</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تنفع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الأحكام الفرعية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بإلحاقه بالأحكام الشرعية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عروض 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مبنيّ عنهم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مبنيّ منهم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 الاستصحاب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ستعرف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إيرادها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فلاحظها واللّه الهادي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ما 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إلى ما حكاه البعض عن بعض مشايخ الكشفية من التمسّك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لا يُغَيِّرُ ما بِقَوْمٍ حَتَّى يُغَيِّرُوا ما بِأَنْفُسِهِمْ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أنس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نوقش</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 تكون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 يكون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السفر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غائلة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السؤال عن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 وموضعه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ظاهرا القزويني 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قوّة الكبرى الكلّية ، أي كلّ من كان على يقين من شيء حرم عليه نقضه إلاّ بيقين آخر ، مضافا إلى أنّ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على يقين من وضوئه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 في إثبات المطلوب أعني حجّية مطلق الاستصحاب نظرا إلى حجّية منصوص العلّة ، والعجب من صاحب الذخيرة حيث نفى حجّية الاستصحاب فيما إذا شكّ في مانعية شيء كالمذي للوضوء ، أو شكّ في كون شيء فردا من المانع المعلوم المانعية كالخفقة والخفقتان إذا شككنا في صدق النوم عليهما مع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الرواية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مدح سيف الدولة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المتعقّب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أفادوا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ذلك ناقش في سندها العلاّمة الحلّي في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 من سائر النسخ</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الشغل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 الكلام في شيء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إشكال فيه ، ومن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 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وجدان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فتدبّر جيّدا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الأستاد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سلّمه اللّه تعالى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 من سائر النسخ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وأضاف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فيقع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الفائدة الثانية عشرة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دام مجده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وتاريخها نور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فالأبعد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يضرّ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يقضي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المستلزم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والشكّ ؛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فممنوع ، ومن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الكاشاني ، وكذا في الموارد الآتية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أنّه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وآخره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هامش منتهى المقال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ضعيفا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صحيحا بزعم المتأخّرين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تتيقّنه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يفيد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بعينه هو</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ستقف عليه في الهداية الخوانسارية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حجّيته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بإجماعات قائمة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فيحكمون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تعويل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بحث البراءة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روايتها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طاهر إلاّ ما علمت أنّه قذر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الماء كلّه طاهر </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صحّ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يسمّى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الاختصاص بالموضوعية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يفيد الانطباق إلاّ بحسب الموارد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ظاهر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ظهورها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المعصوم كما هو</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الموارد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طبيعته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فتطبق</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تنحصر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زعمه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أفرادا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فيشتمل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فتشمل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محلّه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احتمله الأستاد فيها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ظهورها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التكرار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مخفيّ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هذا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يفيد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سببية السبب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مكلّفا ومأمورا بالصلاة بتيمّمه قبله فكذا بعده ، فإنّ مرجعه إلى أنّه كان متطهّرا قبل وجدان الماء فكذا بعده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الشرط أو المانع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 ، فكيف يكون الحكم المعلّق عليه ثابتا في غير ذلك الوقت؟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 بثبوت الحكم الثابت أوّلا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يحكم به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يبيح له الفطر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تنحصر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تفصيل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انتصرنا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يحتمل اختلاف الزمان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تنطبق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بتبعية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حسبك</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 ليس</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يثخن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لو كان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الوجوب اليقيني فأدلّة البراءة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لأنّها لعدم المطلوبية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أصالة عدم المطلوبية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يقتضيه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رائحة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الدلالة للأخبار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مطهّر شرعا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 شرعا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شرعي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 للمتأمّل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الأستاد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أظهر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إمساك</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العمل؟</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في الإباحة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الأحكام الوضعية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المصدر الذي طبع في المجلّدين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فيثبت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إلى البراءة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البراءة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الإباحة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بالشكّ</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شك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ما يوجب حصوله في زمان آخر لو لا عروض شكّ</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متّصلة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التقرير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بعيد ذلك</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الأخذ</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النقض معنى</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فيحقّق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فينتقض</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اللفظ تحقّق</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يؤثّر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علمنا حصولها عند حصول شيء وشككنا في حصولها عند حصول شيء آخر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هذه الصورة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 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المنافيات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جارية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ندّعونه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يحصل مطهّر شرعي إجماعا وهاهنا لم يحصل الظنّ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شرعية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حكم النجاسة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الواقع منهم في نظره عليه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به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مردّد في نظرنا بين أمور ويعلم أنّ ذلك التكليف غير مشروط بشيء من العلم بذلك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ثبوت حكم إلى غاية معيّنة في الواقع مردّدة عندنا بين أشياء</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وسواء</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ورد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كلّيا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بالكلّية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للمحقّق المذكور كلاما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يتّضح</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وتوضيحه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هذا الحكم وعدم منعها بناء على أنّ هذا الحكم الظاهر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والمصدر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يزول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يعلم بدليل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فلأنّ التمسّك</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الظهور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مشكوك</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يرتفع به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كثيرة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كغيره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في مثل المقام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الدليل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غيّر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الخفقتان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يسهب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فالحكم على ما ذكرنا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الراجع ، وسقطت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محرّمة أو موجبة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وجه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فالأمر دائر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القوم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البراءة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لضعفه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الفقرات الآتية جزء منها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 وسقطت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تصرّفها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لصرفها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البناء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 انتفاء وجود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بخلوّ</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تحتها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كلّية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متساوية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بغاية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الأخذ</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بدعوى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صاحب الفصول فإنّه حقيق بأن يكون جليلا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معنى المعلول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ووجود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تصلح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قوله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وجود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تقتضي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الوجود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ينفتح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ينقّح</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وجوها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ستعرف في بعض الهدايات الآتية تصريح الأستاد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انطباق الروايات على هذا المذهب كما جنح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المحقّق الحلّي أيضا ، ويصرّح أيضا بأنّ الاستصحابات العدمية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كانت معمولة في الألفاظ لتشخيص الأوضاع وتعيين المرادات أو في غير الألفاظ كأصالة عدم التذكية أو عدم انقضاء الشهر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منطبقة عليه ؛ لبقاء المقتضي والشكّ في الرافع ، فلعلّه رجع عمّا أفاد أوّلا في المقام ، وإلاّ فهو بريء عن الغفلة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الوجه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الكلباسي في اشارات الأصول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سيّما الأخيرين فإنّ المقصد الأهمّ في الفقه ، ولا سيّما في المعاملات إنّما هو البحث عنهما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لإرجاعها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لاختلافها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متباين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الأدلّة العقلية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فى شرح زبدة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بخطّ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 وفي نسخة أخرى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الوضعي ممّا اختلف في كونه حكما ، فالمشهور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بحكم وإنّما هو مستلزم له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اشارات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والسيوري وغيرهما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اشارات الأصول نسبه من دون ذكر العزيمة إلى الحاجبي والعضدي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ويؤذّن كلامهما بكون الصحّة والبطلان في المعاملات منها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زاد عليها الصحّة والبطلان والعزيمة والرخصة كالآمدي ، ونقل في الإشارات أقوال أخر فلاحظ</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برجوع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الشرعية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فبأنّه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دعوى</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الثاني منهما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بشيء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إنشائية الزوال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مغيّا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سببية لوجوبها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يعقل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يعقل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يبيت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الصيام من الليل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عوالى اللآلى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أيضا في مصادر العامّة وسيأتي أيضا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الجعل ، وكتب تحتها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الحمل نسخة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منتهى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الشرح للعضدي والمتن لابن الحاجب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وجههما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كبيع</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لحصول الملك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نبّهنا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ينتزع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الأوّل منهما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للجعل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تغايره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واحد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كما هو ظاهر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ما 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 ما في المقام من الطفرة ،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الكلباسي في اشارات الأصول كما تقدّم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محالة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تنجّز</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ببقائه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فتدبّر يظهر لك الحال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ذهب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الشكّ</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فيحصل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شكّ في الناقضية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هذا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يكون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مشتبهة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كالخمر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زوجتها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للجهل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تنافي القول القائل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تنافي لقول القائل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المشروطة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لغو والنزاع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ستعرف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العدمي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ستعرف في هداية تقوّم الاستصحاب ببقاء الموضوع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كانت موافقة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مخالفة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الثاني منهما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البارع</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جهابذة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في مقام ردّ قول بعض معاصريه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التصريح به في أواخر كلامه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الأصالة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تكليف ما لا يطاق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برفع</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الدينية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تيمّم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بيقين آخر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أبدا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بالحديث</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الأحكام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توضيحا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وإمّا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نذكر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ما أودعه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أمين الأسترآبادي وبعض متابعيه كما تقدّم عنه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الشخصية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فهم أجلّ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الأوّل منهما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أخبار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حلّها ، وكتب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جوابها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بالحقيقة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ذاتا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أنّه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عليها الناقضية منتجة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يختلف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ينبغي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تقديره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يدانيه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تختلف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لكونها قابلة الاختلاف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لوجود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لتغيّر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عدمه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المستصحب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تغيير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هداية تقوّم الاستصحاب ببقاء الموضوع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مأخوذا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يطمئن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النفس</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بكون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هداية تقوّم الاستصحاب ببقاء الموضوع في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 ستعرف</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شكّ و</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 وسقطت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القيد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استصحاب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الآخرين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دلالته على في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المضيّ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الاستصحابات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خروج الحدث من غير السبيلين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صيام لمن لا يبيت الصيام من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فبيّنة ، وفي 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ينكرون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ينكروا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لسبب</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وتلخيص</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وكيف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كان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المحتمل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وبنى</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بجاثليق</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آلاف اللعون بأنّا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 بأمّته نبوّة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المنيرات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نبوّته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كلّي قابل للنبوّة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تصرّف وتلخيص</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فأمره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اعترفت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إحراز</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فيما تقدّم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يحرز</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يقتصر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 لا شكّ أنّ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الأخيرين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يتحصّل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التقييد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النبوّة إمّا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المختلفة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الاستصحاب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يردّ الاستصحاب فيها بمثل ذلك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الأحكام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تكن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مقيّدا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يحكمان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ثبت في الشرع</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يكتفي فيها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نبيّنا صلى‌اللّه‌عليه‌وآله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نحتاج</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مردّدة أيضا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الدوام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نبّهنا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الاستباح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الاستناج</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فلحق</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وأجابه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اليهودي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لتشخيص</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قبول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نبوّته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معها قياساتها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فاختباره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غيرهما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البخت النصر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يعزل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أمرا مشتركا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عيسى مثلا أو موسى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بقائها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انحصار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برسوله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فكذلك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في الصفحة السابقة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صادعها آلاف التحيّة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أصولنا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حدّها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هداية استصحاب أحكام الشرائع السابقة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 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الحلال والحرام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حلال محمّد حلال أبدا إلى يوم القيامة وحرامه حرام أبدا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نحكم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فيحكم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تقسيمات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للمحكوم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الذاتي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تشخيصه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منفيّة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لموضوع</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المنفية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بنسبته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والشكّ</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هدية تقدّم الاستصحاب ببقاء الموضوع في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يجري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يستفاد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يستقلّ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 عليها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عنه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تعليقة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معتبرا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يترتّب ، وكذا في المورد الآتي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المحقّق الخوانساري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فبقي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وكيف كان فلا شبهة في فساد هذا التوهّم كما يظهر من المراجعة إلى بعض الهدايات السابقة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يفرق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 المانع</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فيمنع</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لنفس</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نتعلّقه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مانعة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العدمية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مقتضاياتها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لنقض</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حقيقية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فأصالة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الإزهاق المقتضي للنجاسة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نعلم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الإعادة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بالتقيّد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الحدوث على ما مرّ تفصيله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كما نصّ به في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بالاعتماد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الاعتماد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الاستصحاب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يكذّبه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العادل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عرفت وجهه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أفاد الأستاد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الجملة الدعائية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المفروض</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المحقّق النراقي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كتب تحتها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النراقي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نصّ كلامه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إفادته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وينقض</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 الجمعة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 السبت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ارتفاع</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بالجلوس قبل يوم الجمعة وفيه إلى موضع</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إبقاء حكم الآخر بها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مرجّح</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الشرعية مطلقا لأجل تعارضه مع استصحاب حال العقل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اليقين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لذلك 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بل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العلم بعدمه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لشيء</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بجعل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بجعل الشارع</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جعل هذا الشيء مزيلا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الحجّية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الفائدة الأولى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الرافعية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كالاستصحاب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أحكام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مجال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فالتمسّك</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مقيّدا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يكون مقيدا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يضرّ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الظرف</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التوهّم هذا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استناد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ووجوده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تقتضي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ويتساقطان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فيعارضان فيساقطان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الوجدان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يوضحه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ولأنّه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لطرفي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مرّ منّا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لتجديد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الهداية الأخبارية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المعلّق</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الاستصحاب فيها من حيث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تارة ، ومن حيث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العقلاء أخرى</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انظر أيضا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فرتّب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فلك</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عوالى اللآلى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ترتيب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موافقا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معلومان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فتساقطان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فساقطان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نائية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واسمها ضمير عائد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المشارك معطوف على الملزوم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الملزوم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الملازم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والملازم الشرعي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اللزوم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حكما وهذا ظاهر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يوجب</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بدّ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لا يكفي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المتلازمين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المتلازمين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بالملزوم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أيضا هي الطهارة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وبتبعيته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هو</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هذا فنقول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بالأخبار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أحكام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تعاملوا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المجاز والحذف</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بقابلين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تنهى</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الأثر المترتّب</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إثباته لها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التنافي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العزيز</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المفروض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ببياض</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يزيد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مدلول له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واحتاجت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شكّ</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إمكان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العاشر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يفتنون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لإبقاء</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الجوراب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مترتّبة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يترتّبون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الفرعية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يرتّبون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الأصل الحياة حتّى يعلم زوالها ؛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القول قول من ادّعى التأخير إذا لم تكن بيّنة على التقديم ؛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الأصل بقاء الحياة ؛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 مدّعي تأخّر الموت ؛ المسالك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استمرار حياة الأب إلى بعد الوقت الذي اتّفقا على إسلام المسلم فيه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 حكي عنه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ابنيين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الموردين الآتيين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الشيرازي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البقّال ، وليس فيه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وذلك إذا ادّعى عليه العلم و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قدّس اللّه نفسه الزكية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بالعكس</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ضابطة لعلّها تجمع بين الموارد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تلك الأحكام والآثار الشرعية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 شيء يابس</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يحسبون ترتّب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 الواسطة منتزعا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يعوّلون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أدام اللّه إفاداته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التعويل على أصالة عدم حدوث الحائل على البشرة في الحكم</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التعبّد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مركّبا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لتسليم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يقضي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تقتضي</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نصّ عبارته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الصيغة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يجدي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لذاك</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أوّلا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غيّر بما في المتن وعكس ذلك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جليل النظر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دقيقه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كوارثه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يظهر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يظهر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لأحد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نصّ عبارته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ذهبيا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تومانا ذهبيا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ادّعاءها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لكلي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فإنّه من المزالق</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موارده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مقامين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لعنوان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المستمرّ مثل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وجودها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ترتيب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خارج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خارج</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نحوهما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مترتّبة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طرفين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عليها وكتب تحتها بما في المتن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لوازمها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انفعالها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نصّ عبارته في الهداية السابقة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بتأخّر تاريخ الإسلام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 العدم فصلا له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لوارثه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لعين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بجهل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وكيف فالموارد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وكيف كان فالموارد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بالتأخير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رفع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وفيه نظر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الهداية السابقة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السعيد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 مسألة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المصدر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متكافئان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أفاده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نبّهناه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الموفّق</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يقتضى</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أيضا للوجوب أو لا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يقتضى</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لوجوده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الموفّق</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يراد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الأجزاء الصورية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الماهية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زيادة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القسم الثاني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ترتيب</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الماهيّة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انقطاعه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الآية الشريفة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السرائر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فيما شكّ في بطلانه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تقسيم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بعمومه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لمصادر الرواية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فتحرقها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فيحرقها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والأنسب تعلّم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للفتى</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بموافقته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محضا لبعض</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المعنى الواحد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إلاّ أن يتمسّك بأنّ وجوب الإتمام إنّما يلازم عدم الجزئية شرعا ؛ لعدم القول بالفصل ، إذ لا يعقل القول بوجوب الإتمام مع لزوم الإعادة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القسم الأوّل 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بالآخر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بعض</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أجزائه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بوجوده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إلقاء</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جريان استصحاب بقاء الربط مخصوص بما إذا حصل الشكّ في الأثناء على ما قيّدنا بذلك عنوان الهداية ، وإلاّ فلو فرض حصول الشكّ في انقطاع الصلاة بالأمر الفلاني قبل الدخول فيها فلو فرض صحّة الدخول في الصلاة بعدم إمكان قصد القربة على تقدير الشكّ ، فلا وجه للاستصحاب ؛ لعدم اليقين السابق كما لا يخفى على المتأمّل ، اللّهمّ إلاّ أن يتمسّك بالاستصحاب العدمي بالنسبة إلى وجود القاطع أو قاطعية الموجود ، فتأمّل فإنّه خارج عن المفروض على تقدير حدوره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التحقيق هو</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هو</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العلم بذلك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يترتّب</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ينزع</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لاحظنا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والإنشاء</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الأستاد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المستفاد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دلالة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لإدلاله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عليه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هو</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 كتاب الطهارة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الخوئي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للحائري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العلمية؟</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محالّها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التفصيل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الرافع</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 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يجدي</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يحتمل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وقوعه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تجدي وكذا في المورد الآتي</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مثبتة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يشتبه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يترك الميسور </w:t>
      </w:r>
      <w:r>
        <w:rPr>
          <w:rFonts w:eastAsia="IRNazanin" w:cs="IRNazanin"/>
          <w:b w:val="false"/>
          <w:bCs w:val="false"/>
          <w:i w:val="false"/>
          <w:iCs w:val="false"/>
          <w:color w:val="333333"/>
          <w:sz w:val="20"/>
          <w:szCs w:val="20"/>
          <w:rtl w:val="true"/>
        </w:rPr>
        <w:t>...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وورد في كتب العامّة مسندا كصحيح البخاري ومسلم وسنن ابن ماجة والنسائي والبيهقي ومصنّف عبد الرزاق ومسند ابن راهويه وأحمد وأبي يعلى وصحيح ابن خزيمة وابن حبّان ومعجم الأوسط للطبراني</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البراءة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بسطنا الكلام هناك فلاحظ</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يسمن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سقوط التكليف وعدمه فيجب</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أنّ الترديد في المستصحب وإبطال كلّ شقّ من طرفي الترديد ليس كلاما خارجا عن طور المناظرة وقانون التوجيه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فهاهنا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والصحيح والعاجز والقادر شيء</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بواسطة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 أحد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يستقيم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منشأ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فإنّها مبنيّ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فيها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عليها وكتب بما في المتن مع علامة الظاهر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الاستصحاب</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أفاده بها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القوانين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دام شرفه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تقريرات درسه للفاضل الأردكاني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مورده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القواعد الشرعية الكلّية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 موضع مقول القول قدر سطر بياض</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الخارج</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ستعرف في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محلّه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يوضحه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البحث الثاني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البحث السادس والثلاثون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يفيده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بالواقع</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دراية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يتمّ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عجيب</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علمناه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يقارن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الفرض والتقدير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بحكم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رواية الخصال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وموجود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لبعدها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بمعتبر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نشكّ</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فيستصحب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بعضهم أيضا ، كما تقدّم عنه في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المجاهد في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في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مثل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الماهيّة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الماهيّة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علم الناس ما في زيارة الحسين عليه‌السلام في نصف شعبان لقامت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رحالهم على الخشب</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للملازمة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وحدوثه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شرطا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للعلّة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جامع المقاصد</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عدّة مواضع من المسالك</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بما ذهب في خيار الغبن والرؤية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يقال إنّ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تكون عامّة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لأفراده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الفور ، كتب تحتها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ضرر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ينفع</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الآمر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يختصّ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صعب الأمر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ما بين السطور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أوردناه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العلاّمة الطباطبائي السيّد مهديّ بحر العلوم في الفوائد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كتب تحتها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بصواب</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نقض اليقين بغيره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لانتهاء حجّية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به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ونقل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الأدلّة عليه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نرى</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ونقل فرائد الأصول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استثنائهم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استنادهم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استثناؤهم إلى استنادهم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ونقل 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التحديد به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تقريبيا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صيرورته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الفصول ، انتهى وسيصرّح بذلك أيضا كما سيأتي</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المتلخّص</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الملخّص</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بتغيّر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يتحقّق</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مقيّدة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فرد المغاير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تقدّم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مرّ هو الهادي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مرّ واللّه الهادي</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 أنّ ما ذكرنا من الرطوبة يصحّ باعتبار المحلّ وحينئذ فيصحّ في الجميع ، 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جزئي</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خارجيا</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لمقدارها</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فيكون مرجع الاستصحاب</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التدريجية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دائرة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منطقها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المسافات</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والزمان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استصحاب القدر المشترك بعد ارتفاع فرد خاصّ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والأنسب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الموصل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لارتفع</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نشكّ</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البديهيات وأعلى</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يتفاوت</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 الوجه في استصحاب بقاء السلسلة والنوع أو نسل بني فلان عدم العلم بانعدام الموجودين منهم فيخرج عن مفروض الصورة ، فتدبّر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تكامل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التغيير ، وكذا في المورد الآتي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 كان ليس</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الأوّل إذ ثبوت الحكم في الوقت الثاني فرع لثبوت الحكم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أجاد في أصل المدّعى</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والجلود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منه جائز إذا علمت أنّه ذكّي </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إحرازها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النجاسة والحلية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إزهاق</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أدام اللّه إفاداته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عرضيتها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عرضيها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 ارتفع</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متساوية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يشمل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فلألزمك</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بإجماع</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جليّ</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سيوافيك على ما يقتضيه دقيق النظر عدم جريان الاستصحاب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يحصى</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تغييره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الآخرين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تقدير الاتّحاد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بجماعة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الشفاهة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الثاني منهما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لورودها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الإحراز</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النسخ</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بمنسوخية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الإحراز</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الواقعية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يوجب</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النوعي</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إجمالا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ليكون</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يجدي</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تجدي</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الأمر في الموارد وتدبّر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الأوّل منهما في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بموافقة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عليهم 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بحث عن هذه الآية في مقدّمة الواجب في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المأمور بها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لنعبد اللّه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ونظير ذلك أن 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بفرما تا آب بياورند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الدِّينُ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وإن وردت في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 وآية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يوسف ، وآية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 ، إلاّ أنّ الكلام في آية سورة البيّنة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يقضي</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ثابت</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نبيّنا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أوحى اللّه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ملاعب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ملاعبة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نافعة في جميع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بحث الاستصحاب</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والموضوع</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أنّه في</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وإمّا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شريف العلماء ، كما 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تقريرات درسه للفاضل الأردكاني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استضعفه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حاجة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اختلافها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ومقوّم صورته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أصالة بقاء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يجدي</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بواسطة وظاهر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بواسطته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تقسيمه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لجريانه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زوجيته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الموردين الآتيين</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المتفرّعة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 ويبقى</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توسيط</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متقوّما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واستصحابه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ترتيب</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يشوبها</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صباح صلاته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بجريان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في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المفهوم والمنطوق</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فتعدّد</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يمكن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ينقسم</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التقيدية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هو ظاهر في اعتبار الوصف</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التقيدية</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ينزعه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دام علاه</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فيشيرون</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الصورية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المحقّق في الحكم</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بتغيير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الشيرازي</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إسناد القول بعدم الطهارة إلى أكثر أهل العلم ، بل قاله في المنتهى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كلامهم</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المطلب الرابع في أنواع المطهّرات</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مطهرية النار لما يستحيل بها رمادا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حذى حذوه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حذوه أحذوه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 بل</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الفلسفة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الملاّ صدرا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يحصى</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كلماتهم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في الاستصحابات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 الاستصحاب</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فيراهم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لعموم</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نأخذ</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فى شرح اللمعة الدمشقية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المفروضة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وضعها</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للأسماء يعني المسمّيات</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آلة</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 من المفهوم منه في غير المفروض</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بتبعية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الخروج عن ظاهر ما هو الدليل</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إبقاء</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ذلك</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عرفته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استحالة</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المتنجّس</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وشطب عليها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الإيهام</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هو الموفّق والمعين والهادي</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وممّا</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عدم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باعتبارها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سيقف</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حدّتها</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المرام</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لئلاّ يقع الخطل بينها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بالدليل الفقاهي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بدليل الفقاهة</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أموال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يحصل</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الفقاهية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كأدلّة</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أقيم</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مندرجة</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الفقاهية</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الاجتهادية</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مندرجة</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مبيّنا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فليس مبنيا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مبيّنة</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 إلى الواقع وحاكي عنه وكاشف منه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ينهى</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كأخذ</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القوم</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الأمارات</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العاملين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النطقي</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اعتباره من جهة</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مردّد</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العاملين</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الشيرازي</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استدرك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السطور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الاستصحاب </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للأزواج</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بينها</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ارتفاعهما؟</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يقتضي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المبيّنة</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عنه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المعتدّ</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كان مبناه الأخبار</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به بعض الأعيان كما سيأتي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التخصيص </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التخصيص </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التخصيص </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بالتخصيص</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أسدا يرمي</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ناظرا</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فَاسْتَبِقُوا الْخَيْراتِ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وَسارِعُوا إِلى مَغْفِرَةٍ مِنْ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دلالتهما</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 وكذا غيّرت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صحّته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الاعتداد</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الأحكام المترتّبة على الشكّ</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يجوز</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طريقتها</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من </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فبالجملة</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البيّنة أو الخبر</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الظاهر</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لعدم تعرّض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قطعا حقيقة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حقيقة قطعا</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ما</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في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باعتباره</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وَسارِعُوا إِلى مَغْفِرَةٍ مِنْ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فَاسْتَبِقُوا الْخَيْراتِ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فإنّهما</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يكون </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محضا</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يؤخذ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يوجد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تمام حروفها مهملا</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بالحالة</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مبطلا</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والوجه في كونه أقرب أنّ الأمارة الظنّية التي تحكي بمدلولها عن الواقع جهة الواقع منها غير قابلة لأن تصير متعلّقة للجعل ، وإنّما القابلة له هو احتمال خلاف الواقع ، فمقتضى الترتيب الطبيعي هو رفع احتمال المخالفة ، ويلزمه اعتبار الاحتمال المطابق ، 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وتدبّر</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المعلّق</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المباحث الآتية في التعادل</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اعتقادنا في الحديث المفسّر أنّه يحكم على المجمل ، كما قال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وارد</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الإشارة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الكلام فيه مفصّلا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تعارض الاستصحاب مع قاعدة البراءة العقلية</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 حكم العقل</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يكفي في هذه الجهة الحكم</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تعارض الاستصحاب مع قاعدة البراءة الشرعية</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 أنّ المتراءى من السيّد إنّما هو القول بذلك في قاعدة الطهارة لا في أصالة البراءة وإن كان مناط الأمر وملاكه فيهما متّحدا ، 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الزكية</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أو نهي ، 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الحديث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المستفاد</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يخلو</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توجيه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إسنادها</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أفاد</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سمائه</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فمع</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فكذا ما</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وسقطت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يزيد</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يقضي ، وسقطت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بطريقتها</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حاكما</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النسخ</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الشكّ المأخوذ</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مأخوذا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لكون الأخذ بها مرجّحا</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السيّد ما أفاد الوجه إلاّ في المقام ، 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تفطّن</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متأخّر وسقطت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ويمكن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عليه‌السلام ، ولم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يكتفي</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فلعلّك</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 يسهل</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الوجه هذا</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يجري </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الطرق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الطرق</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مساق</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الفرعية؟</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 ، وكذا في المورد الآتي</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وتزييف هذا الاحتمال</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الخفية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نبّهنا</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اللطيف</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انّ</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متضافرة</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تعيين موجود</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وجودها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 ، وسقطت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فهل هي</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تعتبر موضوعا يحكم</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ونظيره</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يكاد يقاوم</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النافية</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المنافي</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انّ الوجه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شكر اللّه مساعيهم</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أساس ومتاع وفراش</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ممالك</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يشعر</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كتاب الخمس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الموفّق وهو</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المعبّرة</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المستفيضة</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سيكرّره في الحديث السابع فلاحظ تخريجه هناك</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سيكرّره في الحديث الثامن فلاحظ تخريجه هناك</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يمضي </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يتوضّأ</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قد يناقش في وثاقة بكير</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المذكورة</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الهداية الآتية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مثبتة</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فتارة</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الشكّ</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مختلفين</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فالحيثية</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البحث السادس والثلاثين</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أنار اللّه برهانه</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تقييد</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ورثه</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أمثال التكليفات</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حكمه منه</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يقتضي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يفضي</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مخصّص</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يقتضي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يفضي</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ذيها</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ذيها</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إفادة</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ينحصر</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ألفاظ</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بكيفية</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في مدح سيف الدولة كما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أيضا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عموم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العموم</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الأذكر</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بحالة</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انصرف وتوضّأ وأعادها ، وإن ذكر وقد فرغ من صلاته أجزأه ذلك </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المقاصد العلية في شرح رسالة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البحث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وذو العادة يقوّى في النظر عدم الالتفات إلى شكّه مع ضبط العادة ؛ لأنّه في ذلك الحال أذكر </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الإسناد</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الطهور</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معمول</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دام ظلّه العالي</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العادية</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الاستعمال</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يقضي بشيء</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السهو</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شطب عليها</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بقسيميه</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ورد في القسم غير المطبوع منه</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لم يبق علمه باليقين السابق مع علمه بأنّه كان عالما فلا يخلو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ينسى طريق علمه السابق ، أو يذكره ويتردّد في قابليته لإفادة العلم ، أو يعلم عدم قابليّته ، والأقوى جري الاستصحاب في القسمين الأوّلين خاصّة</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كرارا</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الدرايات</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يزيد</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شكّ</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لبيانها</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دلالتهما وكذا في المورد الآتي</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فعند</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الفسق</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الهادي</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المطلب الثاني في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العلم البارع</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عقودات</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غلبة وقوع</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حجّيتها</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يقضي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يقتضي</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نصيحة المسلمين وحسن القول فيهم حتّى يتبيّن غيره ، من أبواب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هذه الروايات سردا النراقي في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عائدة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قاعدة أفعال المسلمين وأقوالهم على الصحّة</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قسامة وقال لك قولا فصدّقه</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لا يتّهمه</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 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قلبه</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أحسنه </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فصدق</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فصدق</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كما في المتن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ورد في بعض المصادر وفي بعضها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وورد الحديث في كثير من الكتب الخاصّة والعامّة</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ولاحظه</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يتحقّق لي موضعه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لادّائه إلى سوء الحال والمنايا ، فيجب لتقرأه</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معاش البلدان</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وقاعدة الطهارة</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بجريان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تعييرا</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 لأنّ نسخ المطارح كانت ناقصة في ذلك المبحث</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الهادي</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والأنسب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والحكم</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اعتقاد ، ثمّ غيّر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اعتقاد </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تحصيلها للاعتقاد</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تصورها</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إنكاره</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ينهض</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بالمجمل</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يصادقها</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مقام</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ذمّتها </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التفاصيل</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القراض </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بمعصية</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تبانت</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لأنّ الحمل</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الإجماع والعقل</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الأحكام فلا يحلّ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قرّبناه</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بترتّب</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يخصّ </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فيترتّبون</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لزموا</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يحلّ</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تقتضي</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يناط</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كانت أوّلا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غيّرها بما في المتن</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يقضي</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دراية</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أفردنا</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لتكليف</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فعلهم</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يقتضي</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إحرازه</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الأوّل منهما في أوّل الهداية</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الأصل الموضوعي على الأوّل متعارضان ، كما إذا شكّ في وقوع العقد على الخلّ أو الخمر أو وقوعه في الإحلال والإحرام ونحو ذلك ، فكيف كان فهذا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هذه الزيادة في سائر النسخ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يتعارضان بخلاف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بعد سطور</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تقديم الاستصحاب الموضوعي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للضمان</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المصدر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احتمل</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حواشيه في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قدمها</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بترتّب</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احتياجها</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يظهر</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يقضي</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الاعتضال</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فقسمتها</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كاستصحاب</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الغلبة؟</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النسيان</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عدمهما</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التقسيم المذكور</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باختلافهما</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فالمرجّح؟</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تعارضهما</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الكلام عنها في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التعبّد ، وأمّا بناء على الظنّ فظاهرهم الاختلاف في ذلك ، فحكموا بالتساقط في الأغلب ، كما سيأتي في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يقل</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كالمسبّب</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سبيل</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بالمعلول</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فينعكس</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العلّة بعينه موجود</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فيمنع</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لوجودها</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أمارة قائمة</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بتعارض الطهارة باشتغال الذمّة</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أيضا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الحجري</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منها مسألة اللحم والجلد المطروحين</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بنجاسة القليل بالملاقاة</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يختصّ</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كما تترتّب على ذلك تترتّب</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الصورة المزبورة</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عروض النجاسة</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بلّغه اللّه مراده</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كون الاستصحاب حكما تعبّديا ، وتقدّم الكلام بناء على الظنّ في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عنه أيضا</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ممكن تصوّر</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فرضه</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 تقديم المزيل</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طهارة</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الشحم</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والإجماع الذي نقله وإن لم يكن دليلا في المسألة الأصولية لكن يكفي مرجّحا لأحد المتعارضين</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زعم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يوهم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الزعم ، وجعل 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استدراك ولكن لم يكتبه</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لكفايته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لكفاية استصحابه </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ترتيبها</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يشهد بشناعة</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فهل يتحقّق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تحقّق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لعدم </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استصحبا</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الموارد</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يجديه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وعدمه </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فذاهل</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والشكّ بعد الفراغ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فبهذا</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يندفع</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درية</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يجدي</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بترتّب</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تطهير</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المزيل</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تخصيص</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وفساده على أوائل العقول غير 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يكاد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بطهارة</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بتقديم</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قطعي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قطعي</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بقيام</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 أي خروج المانع</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باستصحاب</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باستصحاب</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يقتضي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إذ أراد بين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دار الأمر بين</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المقام فإنّه حقيق به</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يوافق</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بترتيب الأحكام الأحكام</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يخالفها</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بجمع</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الدعوى الثانية ، وتقدّمت الأولى منهما في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الكلام</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فيعيّن</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يصحّ</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مناط</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مزيلا</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إذا</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يرجع إلى الترجيح</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يزيد</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يطرح</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تنهض</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ويجب</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ستعرف</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فأحد</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تقوّم الاستصحاب ببقاء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العارض لهما</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قبل الفحص</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عليه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بدليل مبين</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تعارضهما</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 </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الاحتمال</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يزيد</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الأستاد سلّمه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انتهت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تمّت كتابة هذه الأجزاء في شهر محرّم الحرام في السامرّاء المنوّرة على مشرّفها آلاف من السلام والتحيّة ،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نهاية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نهاية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فرغت من تسويده يوم الأربعاء ثامن وعشرين من شهر محرّم الحرام سنة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التعارض والتعادل</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ستعلم</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المتيقّن</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دخولهما</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البعض أيضا من دون تعيينه السيّد باقر اليزدي في وسيلة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وعليها علامة صحّ ، وفي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إنكارها</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فيتحقّق</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 يعرضون عليها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ويوم يعرض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التنزيل العزيز في 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وَيَوْمَ يُعْرَضُ الَّذِينَ كَفَرُوا عَلَى النَّارِ </w:t>
      </w:r>
      <w:r>
        <w:rPr>
          <w:rFonts w:eastAsia="IRNazanin" w:cs="IRNazanin"/>
          <w:b w:val="false"/>
          <w:bCs w:val="false"/>
          <w:i w:val="false"/>
          <w:iCs w:val="false"/>
          <w:color w:val="333333"/>
          <w:sz w:val="20"/>
          <w:szCs w:val="20"/>
          <w:rtl w:val="true"/>
        </w:rPr>
        <w:t>) .</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جلّ ذكره</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تقريرات شريف العلماء للفاضل الأردكاني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وارد منعني</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وحدّني</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متبوعة</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لو كان؟</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أدلّة؟</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التهذيب والمبادئ</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مبادئ الوصول الى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شريف العلماء</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تقريرات شريف العلماء للأردكاني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دليله</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لإمكان </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تنافي</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القطعين</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لوقوعه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بوقوعه</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متفاوتة</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كالحديثين</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عرّفه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 أن</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المدّعى لدعوى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شطب فيها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المدعى </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المتواترة</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التعارض بين الدليلين</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المراد</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أمرين</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فالفرق</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المجاهد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وسيكرّره مع جوابه في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فيتعيّن</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فخارج</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الأصلية</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للتصادق</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الإجمال</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التعارض</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المتحقّق</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محالة</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كطيران السماء ، وكذا في المورد الآتي</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ما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الامتناع إنّما نشأ من نفس التكليف ، فالممتنع إنّما تحقّق موضوعه بعد التكليف لا قبله ، وذلك لا يوجب إلاّ سقوط الممتنع عن كونه مكلّفا به دون الممكن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يقضي بامتناع التساقط واستحالته ، ووجهه هو أنّ من المحال عقلا أن يكون وجود الشيء مقتضيا لعدمه ، والقول بالتساقط لازمه ذلك ؛ لأنّ المفروض أنّ استحالة الجميع إنّما هو بعد الوجوب ، فلو فرض أنّ ذلك يوجب عدم وجوبه يلزم من وجوبه عدم وجوبه وهو محال عقلا ، 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 ما يقتضي</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بإطلاقهما أو عمومهما؟</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العمل به</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فبقي</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إطلاقهما </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للامتناع لتعلّق</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بالأفراد ذلك</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يجدي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ملخّص القول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إطلاق الأمر بالأخذ بالدليل قاض باعتبار كلّ واحد من الدليلين حتّى عند التعارض ، وتوهّم عدم الانصراف إلى الصورة المفروضة واه جدّا ، والعمل بكلّ واحد ممكن ، نعم الجمع بينهما اللازم من الأمرين وهو العمل بأحدهما عند العمل بالآخر ممتنر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بينهما ليس من الأمور التي يتعلّق به التكليف بالأصالة ، بل إنّما وجب بملاحظة الأمر بكلّ واحد منهما ، واستحالته يوجب رفع التكليف الذي فرضنا إجزاءه من الأمرين بالفردين عنه ولا يجدي ذلك في رفع التكليف عنهما ، فكلّ واحد منهما مأمور به ، ولهذا صار الخيرة بيد المكلّف في الإتيان بأيّهما شاء ، مع أنّ كون الاختيار بيد المكلّف غير معقول في الأحكام الشرعية إلاّ فيما لا يختلف فيه الفعل عند اختلاف اختياراته كما في الواجب المخيّر ، غاية ما في الباب أنّ الطلب التخييري لكلّ واحد منهما منتف ؛ لمكان استحالة الجمع اللازم على تقدير الطلب الفعلي بهما ، فالمختار من شقوق الترديدات هو أنّ كلّ واحد منهما واجب شأنا ، والعقل حاكم بالوجوب التخييري بعد تقيّد كلّ واجب بصورة الإمكان ، وليس لفظ الأمر مستعملا إلاّ في معنى واحد ليلزم استعمال اللفظ في أكثر من معنى ، ولا ضير في مثل هذا الطلب كما في تكليف الغافل والجاهل ممّا لا يختلف الطلب باختلافه ، غاية الأمر كونه معذورا عن الجهل والغفلة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يقضي بانتفاء أصل الطلب رأسا ، ولذلك لا حاجة إلى طلب جديد بعد الإفاقة من الجهل والغفلة ، 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رحمه‌اللّه ، نقل عنه أيضا الشيخ حسين القمي في حاشيته على القوانين المسمّى بالتوضيح انظر هامش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الضدّ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فسيحة</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نوقش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وضعّف بالمناقشة فيه</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السطور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والتحقيق في المقام استحالة التساقط رأسا</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بالتعارض</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 المتعارضين</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المرفوعة</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فاحرض</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يتمكّن</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الوحيد البهبهاني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أيضا الرسائل الأصولية للوحيد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شاهد اكتفاء بنفس الدليل</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وكيف</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بالإجماع</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الحجّية</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المطلقة</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إسناد</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بتقدّم</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التقدّم</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ويتحقّق</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وظهر بما ذكرنا أنّ ما ذكره صاحب الحدائق واحتمله صاحب الكفاية أخيرا من أنّه يعامل مع العامّ والخاصّ معاملة المتعارضين من الرجوع إلى المرجّحات ، وإلى التخيير مع فقدها ، ليس في محلّه ؛ إذ مع وجود الخاصّ يرتفع موضوع حجّية العامّ ، وبعد عدم كون العامّ حجّة لا معنى للتعارض بينه وبين الخاصّ ؛ لأنّ التعارض هو تنافي الحجّتين من حيث المدلول</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وسقط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انّهما</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يبيّن</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استفدناها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استفيدها</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الرسائل الأصولية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حكاه</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المستقيم في الذهن</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سيوافيك الكلام عن المرتبة الثانية في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وكما</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وجدوا التخيير؟</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في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بالمعنى ثالثا</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تصريحين</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بصدورها</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التصديق</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العملية</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الدليلين</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وترتّب</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للإرادة</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لمعان</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المرتبة الثالثة في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العامّان</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وجه به</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ينجس الثوب ،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عليها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مغنيا</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أخذها</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تقضي</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كمورد</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تعيّنا</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تساويهما</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للحكم</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الاستثناء</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مخفية</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عسير</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عامّين</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الحقّ</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النراقي في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عائدة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تعارض العامّان من وجه يرجع إلى الترجيح إن كان ، وإلاّ فيحكم بالتخيير إن أمكن ، وإلاّ فيرجع إلى الأصل السابق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دليل الإجماع</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سيستدرك هذه الهداية بهداية أخرى في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المقاربة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المتقاربة</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التعيينات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التشخيصات</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خصوصيات أفراد</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التزامهما</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أيضا إلى بعض الأواخر في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بحث المطلق والمقيّد من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نسبه إلى صاحب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قولنا يفرق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يفترق عن قولنا</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مستعملة</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بالنسبة إلى </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المقابلة</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القيد</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إشكال</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الماهيّة</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تمايز</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والقسم هي الماهيّة</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المعتبرة</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إنّما تلحق الماهيّة</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المتضادّة</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التغيّر</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اللفظ</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للانتزاع ، وكذا في المورد الآتي</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التعبّد</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لقصر</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عاقلا</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يكون</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مشهورا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يكون مشهورا</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يستند</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بالتقدّم</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فالثاني</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لا يجوز</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مستندة</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يفاد من</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عائدة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الكلام فيه في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اعتبر بالتخصيص</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لتعارضهما</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التقدّم</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الظاهران متباينين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ثلاث صفحات تقريبا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نسخة الأصل لها سقطت منها ورقة</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توقّفها</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الماهية</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المتعارضان</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لمطلق</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ما 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الثاني ، وتقدّم الأوّل منهما في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وقع هنا سقط ، لأنّه ما جاء حكم الأوّل وجاء تعليله</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وإنّه الموفّق والمعين</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تنيف على ثلاثين وتقرب أربعين</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 الشرك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الاتّفاق على عدلين في الحكومة ، 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أسوة</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 ، وفي باب كراهية الارتفاع إلى قضاة الجور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تحاكم إلى الطاغوت فحكم له فإنّما يأخذ سحتا</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الرسائل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 وفي المصدر في باب كراهية الارتفاع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ثابتا ؛ لأنّه أخذ</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حديثنا</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في باب كراهية الارتفاع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فارضوا</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يقبل</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الرادّ</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الناظرين</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عنكما</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يؤخذ</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إليه أميل</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أحد الراويين مسندا والآخر مرسلا نظر في حال المرسل فإن كان ممّن يعلم أنّه لا يرسل إلاّ عن ثقة موثوق به فلا ترجيح لخبر غيره على خبره ، ولأجل ذلك سوّت الطائفة بين ما يرويه محمّد بن أبي عمير وصفوان بن يحيى وأحمد بن محمّد بن أبي نصر وغيرهم من الثقات الذين عرفوا بأنّهم لا يروون ولا يرسلون إلاّ عمّن يوثق به وبين ما أسنده غيرهم ، ولذلك عملوا بمراسيلهم إذا انفردوا عن رواية غيرهم</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حاشية الخلاصة ونقل عن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وغيره في المنتقى كما سيأتي</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ناقش في سند الحديث لا في دلالته</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فيمتنع</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الكلام عن الشهرة أيضا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راوينا</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أربع صفحات تقريبا</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القوانين والعوالى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فتأخذ</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منهما</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يا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أرشدك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يسع أحد تمييز شيء ممّا اختلف الرواية فيه عن العلماء عليهم‌السلام برأيه إلاّ ما أطلقه العالم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اعرضوها على كتاب اللّه فما وافق كتاب اللّه عزّ وجلّ فذخذوه ، وما خالف كتاب اللّه فذروه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 ما وافق القوم فإنّ الرشد في خلافهم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خذوا بالمجمع عليه فإنّ المجمع عليه لا ريب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ونحن لا نعرف من جميع ذلك إلاّ أقلّه ، ولا نجد شيئا أحوط ولا أوسع من ردّ علم ذلك كلّه إلى العالم عليه‌السلام وقبول ما وسّع من الأمر فيه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بأيّما أخذتم من باب التسليم وسعكم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انتهى موضع الحاجة من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 إنّه قد أفصح عمّا نحن بصدده غايته ، فتدبّر</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ج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يكاد</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بالطعن</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يستفاد</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أقوائية</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مقام</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تجيئنا الأحاديث عنكم مختلفة</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نعلم ،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نعلم</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تعلم</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عنه في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بما يقول أعدلهما عندك وأوثقهما في نفسك</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بتقدّم</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نفي الريب</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بفساده</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فمع</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ما 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المتأخّرين تقدّم عنه أيضا في بحث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المصادر ،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بتمامه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رواتهما متساويين في العدد والعدالة عمل بأبعدهما من قول العامّة ويترك العمل بما يوافقهم</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أعمّ من</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لفتواهم</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يصلّي</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المشابهة</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ترجيح</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مقدّمة الكافى</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الأرجائي</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بشيء </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المورّثة</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هامش الرسائل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جهتين</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كما 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لنا الإجماع على العمل بالترجيح والمصير إلى الراجح من الدليلين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الوحيد في الفوائد الحائرية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 الأخباريين أنّ بناء المرجّحات على التعبّد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المجتهدون فلمّا كان بناؤهم على التحرّي وتحصيل ما هو أقرب إلى ظنّهم في السند والدلالة والتوجيه فلا يستشكلون في هذه الأخبار أيضا ، وكلّ يبني الأمر فيها على ما هو الأقرب عنده</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أفاده الأستاد</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بالعرض</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بالنتيجة</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المضمونة</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محرّمة</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التراجيح</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الأخذ بالظنّ</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المعارضة</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 بالأمارة</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 بالأمارة</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أصحاب المقالة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الظنّيين كما في القطعيين</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يعلّق</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كالمفرغ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فالمفروغ</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الظنيين</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كموافقة الأمارات</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المضمونة</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قد عرفت</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يتداولون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يتداولوه</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لأحد</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للآخر</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عدم جواز قراءة المأموم خلف من يقتدي به في الجهرية ووجوب الإنصات لقراءته</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تحمّل المشقّة الشديدة في الغسل لمن تعمّد الجنابة دون من احتلم</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ترجيح</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بالكتاب</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المخالف ، وشطب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عامّين</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بمعارضة الكتاب</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لموافقتهم</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رواية؟</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الاحتجاج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في جوابات أهل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المعنى في قولهم عليهم‌السلام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خذوا بأبعدهما من قول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يختصّ ما روي عنهم في مدائح أعداء اللّه والترحّم على خصماء الدين ومخالفي الإيمان فقالوا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أتاكم عنّا حديثان مختلفان أحدهما في قول المتقدّمين على أمير المؤمنين عليه‌السلام والآخر في التبرّي منهم ، فخذوا بأبعدهما من قول العامّة ؛ لأنّ التقيّة تدعوهم بالضرورة إلى مظاهرة العامّة بما يذهبون إليه من أئمّتهم</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ولأنّه</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ربّما </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بما تقدّم في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صاحب المعالم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هذا الخبر الذي أشار إليه لم يثبت صحّته فلا ينهض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في المتن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 التواتر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منه على صاحب المعالم</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المستحقّة</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قطعة من الرواية الآتية بعد سطور</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رسالة القطب الراوندي المطبوع في ميراث حديث 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وعنها في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يوافق</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رسالة قطب الراوندي المطبوع في ميراث حديث 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وعنها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الأغلب</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منع هنا</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مفترقين</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يشعر</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بلي به هذا الدين</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وصيّ سيّد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أمير المؤمنين</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والإغضاء</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كواكبه</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تخطّأ العمل بالترجيحات المرويّة</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الواحدة بأجوبة</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وتحدّى</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بسيرهم</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يريبنا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يحملنا الناظر على</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الحديث</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للمصادر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جاءه</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في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بمعونة</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الجديدة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فلأنّ اختصاص</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الترافع</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النهي </w:t>
      </w:r>
      <w:r>
        <w:rPr>
          <w:rFonts w:eastAsia="IRNazanin" w:cs="IRNazanin"/>
          <w:b w:val="false"/>
          <w:bCs w:val="false"/>
          <w:i w:val="false"/>
          <w:iCs w:val="false"/>
          <w:color w:val="333333"/>
          <w:sz w:val="20"/>
          <w:szCs w:val="20"/>
          <w:rtl w:val="true"/>
        </w:rPr>
        <w:t>... ».</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عن الصادق عليه‌السلام</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فسّره عليه‌السلام من دون سؤال</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منقول بالمعنى</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متباينا</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فذروه</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عرفت فيه</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احتمالين</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ملائم</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ما هو</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الأعدل</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التدبّر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التدبّر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يأمرنا بالأخذ به</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تلقى</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نعمل</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رسالة الراوندي</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رسالة الراوندي</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 المورد الآتي</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وأبى</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رواة بعض</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الحدائق كما تقدّم في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العلاّمة وأكثر العامّة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ذهب إلى التوقّف أو التخيير ، ونسب أيضا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اختيار المقرّر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الشيخ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ستطّلع عليه في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والضرار</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الإباحة</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يجدي</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مدلول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تكثره</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مبتنية</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ستعرفه في الصفحة الآتية</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إفادة </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لا يستقلّ</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واحد</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يتفاوت</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عنه في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أومأ في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 فلاحظ</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يلتصق</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عنه في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صلّهما</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المصادر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كيف أصنع وأعلمني </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يسألني بعض الفقهاء</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لموافقة</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يستشكل</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تخريجه مع تفصيل في بحث 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يمكن</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رافعا</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بداهته</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ينزّلون</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ويرد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ويرد </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ويظهر من رواية الحسن بن الجهم المتقدّمة ترجيح المعتضد بالقياس على الحكم الثابت بالكتاب أو الحديث المأثور عنهم عليهم‌السلام على غيره ، وله وجه ، ولا ينافيه الأخبار الدالّة على عدم حجّية القياس ؛ لأنّ الحجّية غير المعاضدة</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الوحيد البهبهاني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والفقهاء رحمهم‌اللّه ربّما يجعلون القياس المفيد للظنّ مؤيّدا مطلقا وإن اتّفقوا على عدم حجّيته وحرمة العمل به لا بأن يكون دليل الحكم ومستنده</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الرضا عليه‌السلام من الأخبار ،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المقبولة ، وقد تقدّمت بتمامها في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في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بالمرجّحات</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ولنشرع ببعض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المقرونة</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يصحّ</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مداره</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لو كشفت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اليقين </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يصحّ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موهونة</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أولى من الترجيح</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يصلح</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أخبارها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وجوابها في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والسرائر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لم تعلموا فردّوه</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مسائل الرجال لعليّ بن محمّد عليه‌السلام أنّ محمّد بن عليّ بن عيسى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فخذوا به</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فخذوا به</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عنه في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الهليان</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فيه</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أوّلا فلأنّ</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نفى الخلاف عنه في المعالم كما تقدّم في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والصفحة السابقة</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الاستعمال للألفاظ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استعمال للألفاظ</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محظور عنهم</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الامتثال</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يوجب</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والداخل هو الفرد المقدور</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تتناول</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الواحد قد يختلف</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ومرجعها</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بالشكّ</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والتحقيق</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في الصفحة السابقة</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الاجتناب</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إلغاء</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الهداية السابقة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نهاية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أيضا نهايتها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بمنّه وجوده تمّت بعون اللّه تعالى عزّ شأنه</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ظاهرا حيث رجع المؤلّف إلى موطنه طهران سنة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عنها مكتبة المفيد في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بترصيف آخر مع أغلاط مطبعية والخلط في نسبة الرسائل إلى مؤلّفيها</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وإنّه</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الرشتي في 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فزعم بعض من أدركنا عصره من الأفاضل اختصاص النزاع المعروف باسم الفاعل وما بمعناه ؛ بدلالة تمثيلهم به</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جمع من المحقّقين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غير واحد من الفقهاء الأصفهاني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والرشتي في 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أيضا الرشتي في 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المناهج للنراقي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الشهيد الثاني في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الأمر الثاني مرّ الأوّل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يقتضي </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تصوير </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كلمات صاحب هداية المسترشدين</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 </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المصدر وفي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وجدوا </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فى شرح 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البحث الثاني </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أوجب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image" Target="media/image2.jpeg"/><Relationship Id="rId788" Type="http://schemas.openxmlformats.org/officeDocument/2006/relationships/image" Target="media/image2.jpeg"/><Relationship Id="rId789" Type="http://schemas.openxmlformats.org/officeDocument/2006/relationships/footer" Target="footer782.xml"/><Relationship Id="rId790" Type="http://schemas.openxmlformats.org/officeDocument/2006/relationships/footnotes" Target="footnotes.xml"/><Relationship Id="rId791" Type="http://schemas.openxmlformats.org/officeDocument/2006/relationships/numbering" Target="numbering.xml"/><Relationship Id="rId792" Type="http://schemas.openxmlformats.org/officeDocument/2006/relationships/fontTable" Target="fontTable.xml"/><Relationship Id="rId793" Type="http://schemas.openxmlformats.org/officeDocument/2006/relationships/settings" Target="settings.xml"/><Relationship Id="rId7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802</Pages>
  <Words>175983</Words>
  <Characters>719739</Characters>
  <CharactersWithSpaces>891587</CharactersWithSpaces>
  <Paragraphs>4861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2026-08-25T11:32:31Z</dcterms:created>
  <dc:creator>ghaemiyeh.com</dc:creator>
  <dc:description/>
  <dc:language>en-US</dc:language>
  <cp:lastModifiedBy/>
  <dcterms:modified xsi:type="dcterms:W3CDTF">2026-08-25T15:03:12Z</dcterms:modified>
  <cp:revision>1</cp:revision>
  <dc:subject/>
  <dc:title>مطارح الأنظار جلد 4</dc:title>
</cp:coreProperties>
</file>

<file path=docProps/custom.xml><?xml version="1.0" encoding="utf-8"?>
<Properties xmlns="http://schemas.openxmlformats.org/officeDocument/2006/custom-properties" xmlns:vt="http://schemas.openxmlformats.org/officeDocument/2006/docPropsVTypes"/>
</file>