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55.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46.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الأحکام فی معرفة الحلال و الحرام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4340_1280447820">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1804342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804344_1280447820">
            <w:r>
              <w:rPr>
                <w:webHidden/>
                <w:rStyle w:val="IndexLink"/>
                <w:rtl w:val="true"/>
              </w:rPr>
              <w:t>مقدمة الناشر</w:t>
            </w:r>
            <w:r>
              <w:rPr>
                <w:rStyle w:val="IndexLink"/>
                <w:rtl w:val="true"/>
              </w:rPr>
              <w:tab/>
            </w:r>
            <w:r>
              <w:rPr>
                <w:rStyle w:val="IndexLink"/>
              </w:rPr>
              <w:t>17</w:t>
            </w:r>
          </w:hyperlink>
        </w:p>
        <w:p>
          <w:pPr>
            <w:pStyle w:val="Contents2"/>
            <w:tabs>
              <w:tab w:val="clear" w:pos="8743"/>
              <w:tab w:val="right" w:pos="9026" w:leader="dot"/>
            </w:tabs>
            <w:rPr/>
          </w:pPr>
          <w:hyperlink w:anchor="__RefHeading___Toc1804346_1280447820">
            <w:r>
              <w:rPr>
                <w:webHidden/>
                <w:rStyle w:val="IndexLink"/>
                <w:rtl w:val="true"/>
              </w:rPr>
              <w:t>نبذة من حياة المؤلّف</w:t>
            </w:r>
            <w:r>
              <w:rPr>
                <w:rStyle w:val="IndexLink"/>
                <w:rtl w:val="true"/>
              </w:rPr>
              <w:t>:</w:t>
              <w:tab/>
            </w:r>
            <w:r>
              <w:rPr>
                <w:rStyle w:val="IndexLink"/>
              </w:rPr>
              <w:t>18</w:t>
            </w:r>
          </w:hyperlink>
        </w:p>
        <w:p>
          <w:pPr>
            <w:pStyle w:val="Contents3"/>
            <w:tabs>
              <w:tab w:val="clear" w:pos="8459"/>
              <w:tab w:val="right" w:pos="9026" w:leader="dot"/>
            </w:tabs>
            <w:rPr/>
          </w:pPr>
          <w:hyperlink w:anchor="__RefHeading___Toc1804348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804350_1280447820">
            <w:r>
              <w:rPr>
                <w:webHidden/>
                <w:rStyle w:val="IndexLink"/>
                <w:rtl w:val="true"/>
              </w:rPr>
              <w:t>مولده و اسرته و هجرته</w:t>
            </w:r>
            <w:r>
              <w:rPr>
                <w:rStyle w:val="IndexLink"/>
                <w:rtl w:val="true"/>
              </w:rPr>
              <w:t>:</w:t>
              <w:tab/>
            </w:r>
            <w:r>
              <w:rPr>
                <w:rStyle w:val="IndexLink"/>
              </w:rPr>
              <w:t>18</w:t>
            </w:r>
          </w:hyperlink>
        </w:p>
        <w:p>
          <w:pPr>
            <w:pStyle w:val="Contents3"/>
            <w:tabs>
              <w:tab w:val="clear" w:pos="8459"/>
              <w:tab w:val="right" w:pos="9026" w:leader="dot"/>
            </w:tabs>
            <w:rPr/>
          </w:pPr>
          <w:hyperlink w:anchor="__RefHeading___Toc1804352_1280447820">
            <w:r>
              <w:rPr>
                <w:webHidden/>
                <w:rStyle w:val="IndexLink"/>
                <w:rtl w:val="true"/>
              </w:rPr>
              <w:t>بعض مشايخه</w:t>
            </w:r>
            <w:r>
              <w:rPr>
                <w:rStyle w:val="IndexLink"/>
                <w:rtl w:val="true"/>
              </w:rPr>
              <w:t>:</w:t>
              <w:tab/>
            </w:r>
            <w:r>
              <w:rPr>
                <w:rStyle w:val="IndexLink"/>
              </w:rPr>
              <w:t>21</w:t>
            </w:r>
          </w:hyperlink>
        </w:p>
        <w:p>
          <w:pPr>
            <w:pStyle w:val="Contents3"/>
            <w:tabs>
              <w:tab w:val="clear" w:pos="8459"/>
              <w:tab w:val="right" w:pos="9026" w:leader="dot"/>
            </w:tabs>
            <w:rPr/>
          </w:pPr>
          <w:hyperlink w:anchor="__RefHeading___Toc1804354_1280447820">
            <w:r>
              <w:rPr>
                <w:webHidden/>
                <w:rStyle w:val="IndexLink"/>
                <w:rtl w:val="true"/>
              </w:rPr>
              <w:t>بعض تلامذته</w:t>
            </w:r>
            <w:r>
              <w:rPr>
                <w:rStyle w:val="IndexLink"/>
                <w:rtl w:val="true"/>
              </w:rPr>
              <w:t>:</w:t>
              <w:tab/>
            </w:r>
            <w:r>
              <w:rPr>
                <w:rStyle w:val="IndexLink"/>
              </w:rPr>
              <w:t>23</w:t>
            </w:r>
          </w:hyperlink>
        </w:p>
        <w:p>
          <w:pPr>
            <w:pStyle w:val="Contents3"/>
            <w:tabs>
              <w:tab w:val="clear" w:pos="8459"/>
              <w:tab w:val="right" w:pos="9026" w:leader="dot"/>
            </w:tabs>
            <w:rPr/>
          </w:pPr>
          <w:hyperlink w:anchor="__RefHeading___Toc1804356_1280447820">
            <w:r>
              <w:rPr>
                <w:webHidden/>
                <w:rStyle w:val="IndexLink"/>
                <w:rtl w:val="true"/>
              </w:rPr>
              <w:t>تأليفاته</w:t>
            </w:r>
            <w:r>
              <w:rPr>
                <w:rStyle w:val="IndexLink"/>
                <w:rtl w:val="true"/>
              </w:rPr>
              <w:t>:</w:t>
              <w:tab/>
            </w:r>
            <w:r>
              <w:rPr>
                <w:rStyle w:val="IndexLink"/>
              </w:rPr>
              <w:t>24</w:t>
            </w:r>
          </w:hyperlink>
        </w:p>
        <w:p>
          <w:pPr>
            <w:pStyle w:val="Contents3"/>
            <w:tabs>
              <w:tab w:val="clear" w:pos="8459"/>
              <w:tab w:val="right" w:pos="9026" w:leader="dot"/>
            </w:tabs>
            <w:rPr/>
          </w:pPr>
          <w:hyperlink w:anchor="__RefHeading___Toc1804358_1280447820">
            <w:r>
              <w:rPr>
                <w:webHidden/>
                <w:rStyle w:val="IndexLink"/>
                <w:rtl w:val="true"/>
              </w:rPr>
              <w:t>منزلته العلميّة و زهده و مرجعيّته</w:t>
            </w:r>
            <w:r>
              <w:rPr>
                <w:rStyle w:val="IndexLink"/>
                <w:rtl w:val="true"/>
              </w:rPr>
              <w:t>:</w:t>
              <w:tab/>
            </w:r>
            <w:r>
              <w:rPr>
                <w:rStyle w:val="IndexLink"/>
              </w:rPr>
              <w:t>27</w:t>
            </w:r>
          </w:hyperlink>
        </w:p>
        <w:p>
          <w:pPr>
            <w:pStyle w:val="Contents3"/>
            <w:tabs>
              <w:tab w:val="clear" w:pos="8459"/>
              <w:tab w:val="right" w:pos="9026" w:leader="dot"/>
            </w:tabs>
            <w:rPr/>
          </w:pPr>
          <w:hyperlink w:anchor="__RefHeading___Toc1804360_1280447820">
            <w:r>
              <w:rPr>
                <w:webHidden/>
                <w:rStyle w:val="IndexLink"/>
                <w:rtl w:val="true"/>
              </w:rPr>
              <w:t>أولاده</w:t>
            </w:r>
            <w:r>
              <w:rPr>
                <w:rStyle w:val="IndexLink"/>
                <w:rtl w:val="true"/>
              </w:rPr>
              <w:t>:</w:t>
              <w:tab/>
            </w:r>
            <w:r>
              <w:rPr>
                <w:rStyle w:val="IndexLink"/>
              </w:rPr>
              <w:t>28</w:t>
            </w:r>
          </w:hyperlink>
        </w:p>
        <w:p>
          <w:pPr>
            <w:pStyle w:val="Contents3"/>
            <w:tabs>
              <w:tab w:val="clear" w:pos="8459"/>
              <w:tab w:val="right" w:pos="9026" w:leader="dot"/>
            </w:tabs>
            <w:rPr/>
          </w:pPr>
          <w:hyperlink w:anchor="__RefHeading___Toc1804362_1280447820">
            <w:r>
              <w:rPr>
                <w:webHidden/>
                <w:rStyle w:val="IndexLink"/>
                <w:rtl w:val="true"/>
              </w:rPr>
              <w:t>الثناء عليه</w:t>
            </w:r>
            <w:r>
              <w:rPr>
                <w:rStyle w:val="IndexLink"/>
                <w:rtl w:val="true"/>
              </w:rPr>
              <w:t>:</w:t>
              <w:tab/>
            </w:r>
            <w:r>
              <w:rPr>
                <w:rStyle w:val="IndexLink"/>
              </w:rPr>
              <w:t>29</w:t>
            </w:r>
          </w:hyperlink>
        </w:p>
        <w:p>
          <w:pPr>
            <w:pStyle w:val="Contents3"/>
            <w:tabs>
              <w:tab w:val="clear" w:pos="8459"/>
              <w:tab w:val="right" w:pos="9026" w:leader="dot"/>
            </w:tabs>
            <w:rPr/>
          </w:pPr>
          <w:hyperlink w:anchor="__RefHeading___Toc1804364_1280447820">
            <w:r>
              <w:rPr>
                <w:webHidden/>
                <w:rStyle w:val="IndexLink"/>
                <w:rtl w:val="true"/>
              </w:rPr>
              <w:t>وفاته و مدفنه</w:t>
            </w:r>
            <w:r>
              <w:rPr>
                <w:rStyle w:val="IndexLink"/>
                <w:rtl w:val="true"/>
              </w:rPr>
              <w:t>:</w:t>
              <w:tab/>
            </w:r>
            <w:r>
              <w:rPr>
                <w:rStyle w:val="IndexLink"/>
              </w:rPr>
              <w:t>31</w:t>
            </w:r>
          </w:hyperlink>
        </w:p>
        <w:p>
          <w:pPr>
            <w:pStyle w:val="Contents3"/>
            <w:tabs>
              <w:tab w:val="clear" w:pos="8459"/>
              <w:tab w:val="right" w:pos="9026" w:leader="dot"/>
            </w:tabs>
            <w:rPr/>
          </w:pPr>
          <w:hyperlink w:anchor="__RefHeading___Toc1804366_1280447820">
            <w:r>
              <w:rPr>
                <w:webHidden/>
                <w:rStyle w:val="IndexLink"/>
                <w:rtl w:val="true"/>
              </w:rPr>
              <w:t>منهجيّة التحقيق</w:t>
            </w:r>
            <w:r>
              <w:rPr>
                <w:rStyle w:val="IndexLink"/>
                <w:rtl w:val="true"/>
              </w:rPr>
              <w:t>:</w:t>
              <w:tab/>
            </w:r>
            <w:r>
              <w:rPr>
                <w:rStyle w:val="IndexLink"/>
              </w:rPr>
              <w:t>31</w:t>
            </w:r>
          </w:hyperlink>
        </w:p>
        <w:p>
          <w:pPr>
            <w:pStyle w:val="Contents3"/>
            <w:tabs>
              <w:tab w:val="clear" w:pos="8459"/>
              <w:tab w:val="right" w:pos="9026" w:leader="dot"/>
            </w:tabs>
            <w:rPr/>
          </w:pPr>
          <w:hyperlink w:anchor="__RefHeading___Toc1804368_1280447820">
            <w:r>
              <w:rPr>
                <w:webHidden/>
                <w:rStyle w:val="IndexLink"/>
                <w:rtl w:val="true"/>
              </w:rPr>
              <w:t>مصادر الترجمة</w:t>
            </w:r>
            <w:r>
              <w:rPr>
                <w:rStyle w:val="IndexLink"/>
                <w:rtl w:val="true"/>
              </w:rPr>
              <w:tab/>
            </w:r>
            <w:r>
              <w:rPr>
                <w:rStyle w:val="IndexLink"/>
              </w:rPr>
              <w:t>33</w:t>
            </w:r>
          </w:hyperlink>
        </w:p>
        <w:p>
          <w:pPr>
            <w:pStyle w:val="Contents2"/>
            <w:tabs>
              <w:tab w:val="clear" w:pos="8743"/>
              <w:tab w:val="right" w:pos="9026" w:leader="dot"/>
            </w:tabs>
            <w:rPr/>
          </w:pPr>
          <w:hyperlink w:anchor="__RefHeading___Toc1804370_1280447820">
            <w:r>
              <w:rPr>
                <w:webHidden/>
                <w:rStyle w:val="IndexLink"/>
                <w:rtl w:val="true"/>
              </w:rPr>
              <w:t>كتاب الطهارة قسم المياه</w:t>
            </w:r>
            <w:r>
              <w:rPr>
                <w:rStyle w:val="IndexLink"/>
                <w:rtl w:val="true"/>
              </w:rPr>
              <w:tab/>
            </w:r>
            <w:r>
              <w:rPr>
                <w:rStyle w:val="IndexLink"/>
              </w:rPr>
              <w:t>35</w:t>
            </w:r>
          </w:hyperlink>
        </w:p>
        <w:p>
          <w:pPr>
            <w:pStyle w:val="Contents3"/>
            <w:tabs>
              <w:tab w:val="clear" w:pos="8459"/>
              <w:tab w:val="right" w:pos="9026" w:leader="dot"/>
            </w:tabs>
            <w:rPr/>
          </w:pPr>
          <w:hyperlink w:anchor="__RefHeading___Toc1804372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804374_1280447820">
            <w:r>
              <w:rPr>
                <w:webHidden/>
                <w:rStyle w:val="IndexLink"/>
                <w:rtl w:val="true"/>
              </w:rPr>
              <w:t xml:space="preserve">ينبوع </w:t>
            </w:r>
            <w:r>
              <w:rPr>
                <w:rStyle w:val="IndexLink"/>
                <w:rtl w:val="true"/>
              </w:rPr>
              <w:t>[</w:t>
            </w:r>
            <w:r>
              <w:rPr>
                <w:rStyle w:val="IndexLink"/>
                <w:rtl w:val="true"/>
              </w:rPr>
              <w:t>في أقسام الماء</w:t>
            </w:r>
            <w:r>
              <w:rPr>
                <w:rStyle w:val="IndexLink"/>
                <w:rtl w:val="true"/>
              </w:rPr>
              <w:t>]</w:t>
              <w:tab/>
            </w:r>
            <w:r>
              <w:rPr>
                <w:rStyle w:val="IndexLink"/>
              </w:rPr>
              <w:t>36</w:t>
            </w:r>
          </w:hyperlink>
        </w:p>
        <w:p>
          <w:pPr>
            <w:pStyle w:val="Contents3"/>
            <w:tabs>
              <w:tab w:val="clear" w:pos="8459"/>
              <w:tab w:val="right" w:pos="9026" w:leader="dot"/>
            </w:tabs>
            <w:rPr/>
          </w:pPr>
          <w:hyperlink w:anchor="__RefHeading___Toc1804376_1280447820">
            <w:r>
              <w:rPr>
                <w:webHidden/>
                <w:rStyle w:val="IndexLink"/>
                <w:rtl w:val="true"/>
              </w:rPr>
              <w:t xml:space="preserve">ينبوع </w:t>
            </w:r>
            <w:r>
              <w:rPr>
                <w:rStyle w:val="IndexLink"/>
                <w:rtl w:val="true"/>
              </w:rPr>
              <w:t>[</w:t>
            </w:r>
            <w:r>
              <w:rPr>
                <w:rStyle w:val="IndexLink"/>
                <w:rtl w:val="true"/>
              </w:rPr>
              <w:t>تعريف الماء المطلق</w:t>
            </w:r>
            <w:r>
              <w:rPr>
                <w:rStyle w:val="IndexLink"/>
                <w:rtl w:val="true"/>
              </w:rPr>
              <w:t>]</w:t>
              <w:tab/>
            </w:r>
            <w:r>
              <w:rPr>
                <w:rStyle w:val="IndexLink"/>
              </w:rPr>
              <w:t>38</w:t>
            </w:r>
          </w:hyperlink>
        </w:p>
        <w:p>
          <w:pPr>
            <w:pStyle w:val="Contents3"/>
            <w:tabs>
              <w:tab w:val="clear" w:pos="8459"/>
              <w:tab w:val="right" w:pos="9026" w:leader="dot"/>
            </w:tabs>
            <w:rPr/>
          </w:pPr>
          <w:hyperlink w:anchor="__RefHeading___Toc1804378_1280447820">
            <w:r>
              <w:rPr>
                <w:webHidden/>
                <w:rStyle w:val="IndexLink"/>
                <w:rtl w:val="true"/>
              </w:rPr>
              <w:t xml:space="preserve">ينبوع </w:t>
            </w:r>
            <w:r>
              <w:rPr>
                <w:rStyle w:val="IndexLink"/>
                <w:rtl w:val="true"/>
              </w:rPr>
              <w:t>[</w:t>
            </w:r>
            <w:r>
              <w:rPr>
                <w:rStyle w:val="IndexLink"/>
                <w:rtl w:val="true"/>
              </w:rPr>
              <w:t>طهارة الماء المطلق في نفسه و مطهريته لغيره</w:t>
            </w:r>
            <w:r>
              <w:rPr>
                <w:rStyle w:val="IndexLink"/>
                <w:rtl w:val="true"/>
              </w:rPr>
              <w:t>]</w:t>
              <w:tab/>
            </w:r>
            <w:r>
              <w:rPr>
                <w:rStyle w:val="IndexLink"/>
              </w:rPr>
              <w:t>41</w:t>
            </w:r>
          </w:hyperlink>
        </w:p>
        <w:p>
          <w:pPr>
            <w:pStyle w:val="Contents3"/>
            <w:tabs>
              <w:tab w:val="clear" w:pos="8459"/>
              <w:tab w:val="right" w:pos="9026" w:leader="dot"/>
            </w:tabs>
            <w:rPr/>
          </w:pPr>
          <w:hyperlink w:anchor="__RefHeading___Toc1804380_1280447820">
            <w:r>
              <w:rPr>
                <w:webHidden/>
                <w:rStyle w:val="IndexLink"/>
                <w:rtl w:val="true"/>
              </w:rPr>
              <w:t xml:space="preserve">ينبوع </w:t>
            </w:r>
            <w:r>
              <w:rPr>
                <w:rStyle w:val="IndexLink"/>
                <w:rtl w:val="true"/>
              </w:rPr>
              <w:t>[</w:t>
            </w:r>
            <w:r>
              <w:rPr>
                <w:rStyle w:val="IndexLink"/>
                <w:rtl w:val="true"/>
              </w:rPr>
              <w:t>في التغير</w:t>
            </w:r>
            <w:r>
              <w:rPr>
                <w:rStyle w:val="IndexLink"/>
                <w:rtl w:val="true"/>
              </w:rPr>
              <w:t>]</w:t>
              <w:tab/>
            </w:r>
            <w:r>
              <w:rPr>
                <w:rStyle w:val="IndexLink"/>
              </w:rPr>
              <w:t>70</w:t>
            </w:r>
          </w:hyperlink>
        </w:p>
        <w:p>
          <w:pPr>
            <w:pStyle w:val="Contents4"/>
            <w:tabs>
              <w:tab w:val="clear" w:pos="8176"/>
              <w:tab w:val="right" w:pos="9026" w:leader="dot"/>
            </w:tabs>
            <w:rPr/>
          </w:pPr>
          <w:hyperlink w:anchor="__RefHeading___Toc1804382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804384_1280447820">
            <w:r>
              <w:rPr>
                <w:webHidden/>
                <w:rStyle w:val="IndexLink"/>
                <w:rtl w:val="true"/>
              </w:rPr>
              <w:t>المطلب الأوّل</w:t>
            </w:r>
            <w:r>
              <w:rPr>
                <w:rStyle w:val="IndexLink"/>
                <w:rtl w:val="true"/>
              </w:rPr>
              <w:t xml:space="preserve">: </w:t>
            </w:r>
            <w:r>
              <w:rPr>
                <w:rStyle w:val="IndexLink"/>
                <w:rtl w:val="true"/>
              </w:rPr>
              <w:t>إذا تغيّر الماء مطلقا بسبب النجاسة في أحد أوصافه الثلاثة، أعني اللون و الطعم و الرائحة،</w:t>
            </w:r>
            <w:r>
              <w:rPr>
                <w:rStyle w:val="IndexLink"/>
                <w:rtl w:val="true"/>
              </w:rPr>
              <w:tab/>
            </w:r>
            <w:r>
              <w:rPr>
                <w:rStyle w:val="IndexLink"/>
              </w:rPr>
              <w:t>70</w:t>
            </w:r>
          </w:hyperlink>
        </w:p>
        <w:p>
          <w:pPr>
            <w:pStyle w:val="Contents4"/>
            <w:tabs>
              <w:tab w:val="clear" w:pos="8176"/>
              <w:tab w:val="right" w:pos="9026" w:leader="dot"/>
            </w:tabs>
            <w:rPr/>
          </w:pPr>
          <w:hyperlink w:anchor="__RefHeading___Toc1804386_1280447820">
            <w:r>
              <w:rPr>
                <w:webHidden/>
                <w:rStyle w:val="IndexLink"/>
                <w:rtl w:val="true"/>
              </w:rPr>
              <w:t>المطلب الثاني</w:t>
            </w:r>
            <w:r>
              <w:rPr>
                <w:rStyle w:val="IndexLink"/>
                <w:rtl w:val="true"/>
              </w:rPr>
              <w:t xml:space="preserve">: </w:t>
            </w:r>
            <w:r>
              <w:rPr>
                <w:rStyle w:val="IndexLink"/>
                <w:rtl w:val="true"/>
              </w:rPr>
              <w:t>في نبذة من الفروع المتعلّقة بالباب</w:t>
            </w:r>
            <w:r>
              <w:rPr>
                <w:rStyle w:val="IndexLink"/>
                <w:rtl w:val="true"/>
              </w:rPr>
              <w:tab/>
            </w:r>
            <w:r>
              <w:rPr>
                <w:rStyle w:val="IndexLink"/>
              </w:rPr>
              <w:t>83</w:t>
            </w:r>
          </w:hyperlink>
        </w:p>
        <w:p>
          <w:pPr>
            <w:pStyle w:val="Contents5"/>
            <w:tabs>
              <w:tab w:val="clear" w:pos="7892"/>
              <w:tab w:val="right" w:pos="9026" w:leader="dot"/>
            </w:tabs>
            <w:rPr/>
          </w:pPr>
          <w:hyperlink w:anchor="__RefHeading___Toc1804388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804390_1280447820">
            <w:r>
              <w:rPr>
                <w:webHidden/>
                <w:rStyle w:val="IndexLink"/>
                <w:rtl w:val="true"/>
              </w:rPr>
              <w:t>أحدها</w:t>
            </w:r>
            <w:r>
              <w:rPr>
                <w:rStyle w:val="IndexLink"/>
                <w:rtl w:val="true"/>
              </w:rPr>
              <w:t xml:space="preserve">: </w:t>
            </w:r>
            <w:r>
              <w:rPr>
                <w:rStyle w:val="IndexLink"/>
                <w:rtl w:val="true"/>
              </w:rPr>
              <w:t>كلّ واحد من الصفات الثلاث القائمة بالنجاسة قد يكون في اقتضاء تغيّر صفة الماء علّة تامّة، و قد يكون جزء للعلّة</w:t>
            </w:r>
            <w:r>
              <w:rPr>
                <w:rStyle w:val="IndexLink"/>
                <w:rtl w:val="true"/>
              </w:rPr>
              <w:tab/>
            </w:r>
            <w:r>
              <w:rPr>
                <w:rStyle w:val="IndexLink"/>
              </w:rPr>
              <w:t>83</w:t>
            </w:r>
          </w:hyperlink>
        </w:p>
        <w:p>
          <w:pPr>
            <w:pStyle w:val="Contents5"/>
            <w:tabs>
              <w:tab w:val="clear" w:pos="7892"/>
              <w:tab w:val="right" w:pos="9026" w:leader="dot"/>
            </w:tabs>
            <w:rPr/>
          </w:pPr>
          <w:hyperlink w:anchor="__RefHeading___Toc1804392_1280447820">
            <w:r>
              <w:rPr>
                <w:webHidden/>
                <w:rStyle w:val="IndexLink"/>
                <w:rtl w:val="true"/>
              </w:rPr>
              <w:t>و ثانيها</w:t>
            </w:r>
            <w:r>
              <w:rPr>
                <w:rStyle w:val="IndexLink"/>
                <w:rtl w:val="true"/>
              </w:rPr>
              <w:t xml:space="preserve">: </w:t>
            </w:r>
            <w:r>
              <w:rPr>
                <w:rStyle w:val="IndexLink"/>
                <w:rtl w:val="true"/>
              </w:rPr>
              <w:t xml:space="preserve">إذا تغيّر الماء بالنجاسة لا عن وصف النجاسة </w:t>
            </w:r>
            <w:r>
              <w:rPr>
                <w:rStyle w:val="IndexLink"/>
                <w:rtl w:val="true"/>
              </w:rPr>
              <w:t xml:space="preserve">- </w:t>
            </w:r>
            <w:r>
              <w:rPr>
                <w:rStyle w:val="IndexLink"/>
                <w:rtl w:val="true"/>
              </w:rPr>
              <w:t>على معنى تغيّره في وصف مغاير لوصف النجاسة جنسا أو نوعا،</w:t>
            </w:r>
            <w:r>
              <w:rPr>
                <w:rStyle w:val="IndexLink"/>
                <w:rtl w:val="true"/>
              </w:rPr>
              <w:tab/>
            </w:r>
            <w:r>
              <w:rPr>
                <w:rStyle w:val="IndexLink"/>
              </w:rPr>
              <w:t>85</w:t>
            </w:r>
          </w:hyperlink>
        </w:p>
        <w:p>
          <w:pPr>
            <w:pStyle w:val="Contents5"/>
            <w:tabs>
              <w:tab w:val="clear" w:pos="7892"/>
              <w:tab w:val="right" w:pos="9026" w:leader="dot"/>
            </w:tabs>
            <w:rPr/>
          </w:pPr>
          <w:hyperlink w:anchor="__RefHeading___Toc1804394_1280447820">
            <w:r>
              <w:rPr>
                <w:webHidden/>
                <w:rStyle w:val="IndexLink"/>
                <w:rtl w:val="true"/>
              </w:rPr>
              <w:t>و ثالثها</w:t>
            </w:r>
            <w:r>
              <w:rPr>
                <w:rStyle w:val="IndexLink"/>
                <w:rtl w:val="true"/>
              </w:rPr>
              <w:t xml:space="preserve">: </w:t>
            </w:r>
            <w:r>
              <w:rPr>
                <w:rStyle w:val="IndexLink"/>
                <w:rtl w:val="true"/>
              </w:rPr>
              <w:t>لو وقع في الماء ما يغيّره و كان مردّدا بين الطاهر و النجس لا يخرج الماء عن طهارته الأصليّة،</w:t>
            </w:r>
            <w:r>
              <w:rPr>
                <w:rStyle w:val="IndexLink"/>
                <w:rtl w:val="true"/>
              </w:rPr>
              <w:tab/>
            </w:r>
            <w:r>
              <w:rPr>
                <w:rStyle w:val="IndexLink"/>
              </w:rPr>
              <w:t>86</w:t>
            </w:r>
          </w:hyperlink>
        </w:p>
        <w:p>
          <w:pPr>
            <w:pStyle w:val="Contents4"/>
            <w:tabs>
              <w:tab w:val="clear" w:pos="8176"/>
              <w:tab w:val="right" w:pos="9026" w:leader="dot"/>
            </w:tabs>
            <w:rPr/>
          </w:pPr>
          <w:hyperlink w:anchor="__RefHeading___Toc1804396_1280447820">
            <w:r>
              <w:rPr>
                <w:webHidden/>
                <w:rStyle w:val="IndexLink"/>
                <w:rtl w:val="true"/>
              </w:rPr>
              <w:t>المطلب الثالث</w:t>
            </w:r>
            <w:r>
              <w:rPr>
                <w:rStyle w:val="IndexLink"/>
                <w:rtl w:val="true"/>
              </w:rPr>
              <w:t xml:space="preserve">: </w:t>
            </w:r>
            <w:r>
              <w:rPr>
                <w:rStyle w:val="IndexLink"/>
                <w:rtl w:val="true"/>
              </w:rPr>
              <w:t>التغيّر قد يكون حسّيّا و قد يكون تقديريّا،</w:t>
            </w:r>
            <w:r>
              <w:rPr>
                <w:rStyle w:val="IndexLink"/>
                <w:rtl w:val="true"/>
              </w:rPr>
              <w:tab/>
            </w:r>
            <w:r>
              <w:rPr>
                <w:rStyle w:val="IndexLink"/>
              </w:rPr>
              <w:t>94</w:t>
            </w:r>
          </w:hyperlink>
        </w:p>
        <w:p>
          <w:pPr>
            <w:pStyle w:val="Contents5"/>
            <w:tabs>
              <w:tab w:val="clear" w:pos="7892"/>
              <w:tab w:val="right" w:pos="9026" w:leader="dot"/>
            </w:tabs>
            <w:rPr/>
          </w:pPr>
          <w:hyperlink w:anchor="__RefHeading___Toc1804398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804400_1280447820">
            <w:r>
              <w:rPr>
                <w:webHidden/>
                <w:rStyle w:val="IndexLink"/>
                <w:rtl w:val="true"/>
              </w:rPr>
              <w:t>و للآخرين أيضا وجوه</w:t>
            </w:r>
            <w:r>
              <w:rPr>
                <w:rStyle w:val="IndexLink"/>
                <w:rtl w:val="true"/>
              </w:rPr>
              <w:t>:</w:t>
              <w:tab/>
            </w:r>
            <w:r>
              <w:rPr>
                <w:rStyle w:val="IndexLink"/>
              </w:rPr>
              <w:t>96</w:t>
            </w:r>
          </w:hyperlink>
        </w:p>
        <w:p>
          <w:pPr>
            <w:pStyle w:val="Contents5"/>
            <w:tabs>
              <w:tab w:val="clear" w:pos="7892"/>
              <w:tab w:val="right" w:pos="9026" w:leader="dot"/>
            </w:tabs>
            <w:rPr/>
          </w:pPr>
          <w:hyperlink w:anchor="__RefHeading___Toc1804402_1280447820">
            <w:r>
              <w:rPr>
                <w:webHidden/>
                <w:rStyle w:val="IndexLink"/>
                <w:rtl w:val="true"/>
              </w:rPr>
              <w:t>تنبيه</w:t>
            </w:r>
            <w:r>
              <w:rPr>
                <w:rStyle w:val="IndexLink"/>
                <w:rtl w:val="true"/>
              </w:rPr>
              <w:t>:</w:t>
              <w:tab/>
            </w:r>
            <w:r>
              <w:rPr>
                <w:rStyle w:val="IndexLink"/>
              </w:rPr>
              <w:t>102</w:t>
            </w:r>
          </w:hyperlink>
        </w:p>
        <w:p>
          <w:pPr>
            <w:pStyle w:val="Contents5"/>
            <w:tabs>
              <w:tab w:val="clear" w:pos="7892"/>
              <w:tab w:val="right" w:pos="9026" w:leader="dot"/>
            </w:tabs>
            <w:rPr/>
          </w:pPr>
          <w:hyperlink w:anchor="__RefHeading___Toc1804404_1280447820">
            <w:r>
              <w:rPr>
                <w:webHidden/>
                <w:rStyle w:val="IndexLink"/>
                <w:rtl w:val="true"/>
              </w:rPr>
              <w:t>و لنختم المقام بإيراد فروع</w:t>
            </w:r>
            <w:r>
              <w:rPr>
                <w:rStyle w:val="IndexLink"/>
                <w:rtl w:val="true"/>
              </w:rPr>
              <w:t>:</w:t>
              <w:tab/>
            </w:r>
            <w:r>
              <w:rPr>
                <w:rStyle w:val="IndexLink"/>
              </w:rPr>
              <w:t>112</w:t>
            </w:r>
          </w:hyperlink>
        </w:p>
        <w:p>
          <w:pPr>
            <w:pStyle w:val="Contents6"/>
            <w:tabs>
              <w:tab w:val="clear" w:pos="7609"/>
              <w:tab w:val="right" w:pos="9026" w:leader="dot"/>
            </w:tabs>
            <w:rPr/>
          </w:pPr>
          <w:hyperlink w:anchor="__RefHeading___Toc1804406_1280447820">
            <w:r>
              <w:rPr>
                <w:webHidden/>
                <w:rStyle w:val="IndexLink"/>
                <w:rtl w:val="true"/>
              </w:rPr>
              <w:t>الأوّل</w:t>
            </w:r>
            <w:r>
              <w:rPr>
                <w:rStyle w:val="IndexLink"/>
                <w:rtl w:val="true"/>
              </w:rPr>
              <w:t xml:space="preserve">: </w:t>
            </w:r>
            <w:r>
              <w:rPr>
                <w:rStyle w:val="IndexLink"/>
                <w:rtl w:val="true"/>
              </w:rPr>
              <w:t>بناء على وجوب التقدير، إن علم في الوصف المسلوب عن النجاسة بحالته الخاصّة الّتي سلب على تلك الحالة من الأشدّيّة و الأضعفيّة و ما يتوسّط بينهما</w:t>
            </w:r>
            <w:r>
              <w:rPr>
                <w:rStyle w:val="IndexLink"/>
                <w:rtl w:val="true"/>
              </w:rPr>
              <w:tab/>
            </w:r>
            <w:r>
              <w:rPr>
                <w:rStyle w:val="IndexLink"/>
              </w:rPr>
              <w:t>112</w:t>
            </w:r>
          </w:hyperlink>
        </w:p>
        <w:p>
          <w:pPr>
            <w:pStyle w:val="Contents6"/>
            <w:tabs>
              <w:tab w:val="clear" w:pos="7609"/>
              <w:tab w:val="right" w:pos="9026" w:leader="dot"/>
            </w:tabs>
            <w:rPr/>
          </w:pPr>
          <w:hyperlink w:anchor="__RefHeading___Toc1804408_1280447820">
            <w:r>
              <w:rPr>
                <w:webHidden/>
                <w:rStyle w:val="IndexLink"/>
                <w:rtl w:val="true"/>
              </w:rPr>
              <w:t>الثاني</w:t>
            </w:r>
            <w:r>
              <w:rPr>
                <w:rStyle w:val="IndexLink"/>
                <w:rtl w:val="true"/>
              </w:rPr>
              <w:t xml:space="preserve">: </w:t>
            </w:r>
            <w:r>
              <w:rPr>
                <w:rStyle w:val="IndexLink"/>
                <w:rtl w:val="true"/>
              </w:rPr>
              <w:t>عن المحقّق الثاني</w:t>
            </w:r>
            <w:r>
              <w:rPr>
                <w:rStyle w:val="IndexLink"/>
                <w:rtl w:val="true"/>
              </w:rPr>
              <w:t>: «</w:t>
            </w:r>
            <w:r>
              <w:rPr>
                <w:rStyle w:val="IndexLink"/>
                <w:rtl w:val="true"/>
              </w:rPr>
              <w:t>و هل يعتبر أوصاف الماء وسطا؟</w:t>
            </w:r>
            <w:r>
              <w:rPr>
                <w:rStyle w:val="IndexLink"/>
                <w:rtl w:val="true"/>
              </w:rPr>
              <w:tab/>
            </w:r>
            <w:r>
              <w:rPr>
                <w:rStyle w:val="IndexLink"/>
              </w:rPr>
              <w:t>112</w:t>
            </w:r>
          </w:hyperlink>
        </w:p>
        <w:p>
          <w:pPr>
            <w:pStyle w:val="Contents6"/>
            <w:tabs>
              <w:tab w:val="clear" w:pos="7609"/>
              <w:tab w:val="right" w:pos="9026" w:leader="dot"/>
            </w:tabs>
            <w:rPr/>
          </w:pPr>
          <w:hyperlink w:anchor="__RefHeading___Toc1804410_1280447820">
            <w:r>
              <w:rPr>
                <w:webHidden/>
                <w:rStyle w:val="IndexLink"/>
                <w:rtl w:val="true"/>
              </w:rPr>
              <w:t>الثالث</w:t>
            </w:r>
            <w:r>
              <w:rPr>
                <w:rStyle w:val="IndexLink"/>
                <w:rtl w:val="true"/>
              </w:rPr>
              <w:t xml:space="preserve">: </w:t>
            </w:r>
            <w:r>
              <w:rPr>
                <w:rStyle w:val="IndexLink"/>
                <w:rtl w:val="true"/>
              </w:rPr>
              <w:t>على المختار من عدم اعتبار التقدير إن بلغ النجاسة حدّا استهلك معه الماء</w:t>
            </w:r>
            <w:r>
              <w:rPr>
                <w:rStyle w:val="IndexLink"/>
                <w:rtl w:val="true"/>
              </w:rPr>
              <w:tab/>
            </w:r>
            <w:r>
              <w:rPr>
                <w:rStyle w:val="IndexLink"/>
              </w:rPr>
              <w:t>113</w:t>
            </w:r>
          </w:hyperlink>
        </w:p>
        <w:p>
          <w:pPr>
            <w:pStyle w:val="Contents6"/>
            <w:tabs>
              <w:tab w:val="clear" w:pos="7609"/>
              <w:tab w:val="right" w:pos="9026" w:leader="dot"/>
            </w:tabs>
            <w:rPr/>
          </w:pPr>
          <w:hyperlink w:anchor="__RefHeading___Toc1804412_1280447820">
            <w:r>
              <w:rPr>
                <w:webHidden/>
                <w:rStyle w:val="IndexLink"/>
                <w:rtl w:val="true"/>
              </w:rPr>
              <w:t>الرابع</w:t>
            </w:r>
            <w:r>
              <w:rPr>
                <w:rStyle w:val="IndexLink"/>
                <w:rtl w:val="true"/>
              </w:rPr>
              <w:t xml:space="preserve">: </w:t>
            </w:r>
            <w:r>
              <w:rPr>
                <w:rStyle w:val="IndexLink"/>
                <w:rtl w:val="true"/>
              </w:rPr>
              <w:t>هل المعتبر في صفات الماء الّتي يغيّرها النجاسة الصفات الأصليّة؟</w:t>
            </w:r>
            <w:r>
              <w:rPr>
                <w:rStyle w:val="IndexLink"/>
                <w:rtl w:val="true"/>
              </w:rPr>
              <w:tab/>
            </w:r>
            <w:r>
              <w:rPr>
                <w:rStyle w:val="IndexLink"/>
              </w:rPr>
              <w:t>113</w:t>
            </w:r>
          </w:hyperlink>
        </w:p>
        <w:p>
          <w:pPr>
            <w:pStyle w:val="Contents6"/>
            <w:tabs>
              <w:tab w:val="clear" w:pos="7609"/>
              <w:tab w:val="right" w:pos="9026" w:leader="dot"/>
            </w:tabs>
            <w:rPr/>
          </w:pPr>
          <w:hyperlink w:anchor="__RefHeading___Toc1804414_1280447820">
            <w:r>
              <w:rPr>
                <w:webHidden/>
                <w:rStyle w:val="IndexLink"/>
                <w:rtl w:val="true"/>
              </w:rPr>
              <w:t>الخامس</w:t>
            </w:r>
            <w:r>
              <w:rPr>
                <w:rStyle w:val="IndexLink"/>
                <w:rtl w:val="true"/>
              </w:rPr>
              <w:t xml:space="preserve">: </w:t>
            </w:r>
            <w:r>
              <w:rPr>
                <w:rStyle w:val="IndexLink"/>
                <w:rtl w:val="true"/>
              </w:rPr>
              <w:t>بما قرّرناه من الفرع يعلم الحال فيما لو لم يكن النجاسة باقية على وصفها الأصلي،</w:t>
            </w:r>
            <w:r>
              <w:rPr>
                <w:rStyle w:val="IndexLink"/>
                <w:rtl w:val="true"/>
              </w:rPr>
              <w:tab/>
            </w:r>
            <w:r>
              <w:rPr>
                <w:rStyle w:val="IndexLink"/>
              </w:rPr>
              <w:t>114</w:t>
            </w:r>
          </w:hyperlink>
        </w:p>
        <w:p>
          <w:pPr>
            <w:pStyle w:val="Contents6"/>
            <w:tabs>
              <w:tab w:val="clear" w:pos="7609"/>
              <w:tab w:val="right" w:pos="9026" w:leader="dot"/>
            </w:tabs>
            <w:rPr/>
          </w:pPr>
          <w:hyperlink w:anchor="__RefHeading___Toc1804416_1280447820">
            <w:r>
              <w:rPr>
                <w:webHidden/>
                <w:rStyle w:val="IndexLink"/>
                <w:rtl w:val="true"/>
              </w:rPr>
              <w:t>السادس</w:t>
            </w:r>
            <w:r>
              <w:rPr>
                <w:rStyle w:val="IndexLink"/>
                <w:rtl w:val="true"/>
              </w:rPr>
              <w:t xml:space="preserve">: </w:t>
            </w:r>
            <w:r>
              <w:rPr>
                <w:rStyle w:val="IndexLink"/>
                <w:rtl w:val="true"/>
              </w:rPr>
              <w:t>إذ قد عرفت أنّ المعتبر في تنجيس الماء تغيّر وصفه المستند إلى وصف النجاسة الواقعة لا مطلقا،</w:t>
            </w:r>
            <w:r>
              <w:rPr>
                <w:rStyle w:val="IndexLink"/>
                <w:rtl w:val="true"/>
              </w:rPr>
              <w:tab/>
            </w:r>
            <w:r>
              <w:rPr>
                <w:rStyle w:val="IndexLink"/>
              </w:rPr>
              <w:t>114</w:t>
            </w:r>
          </w:hyperlink>
        </w:p>
        <w:p>
          <w:pPr>
            <w:pStyle w:val="Contents6"/>
            <w:tabs>
              <w:tab w:val="clear" w:pos="7609"/>
              <w:tab w:val="right" w:pos="9026" w:leader="dot"/>
            </w:tabs>
            <w:rPr/>
          </w:pPr>
          <w:hyperlink w:anchor="__RefHeading___Toc1804418_1280447820">
            <w:r>
              <w:rPr>
                <w:webHidden/>
                <w:rStyle w:val="IndexLink"/>
                <w:rtl w:val="true"/>
              </w:rPr>
              <w:t>السابع</w:t>
            </w:r>
            <w:r>
              <w:rPr>
                <w:rStyle w:val="IndexLink"/>
                <w:rtl w:val="true"/>
              </w:rPr>
              <w:t xml:space="preserve">: </w:t>
            </w:r>
            <w:r>
              <w:rPr>
                <w:rStyle w:val="IndexLink"/>
                <w:rtl w:val="true"/>
              </w:rPr>
              <w:t>إذا كانت النجاسة في صورة موافقة الماء لها في الصفات أشدّ وصفا من الماء،</w:t>
            </w:r>
            <w:r>
              <w:rPr>
                <w:rStyle w:val="IndexLink"/>
                <w:rtl w:val="true"/>
              </w:rPr>
              <w:tab/>
            </w:r>
            <w:r>
              <w:rPr>
                <w:rStyle w:val="IndexLink"/>
              </w:rPr>
              <w:t>114</w:t>
            </w:r>
          </w:hyperlink>
        </w:p>
        <w:p>
          <w:pPr>
            <w:pStyle w:val="Contents6"/>
            <w:tabs>
              <w:tab w:val="clear" w:pos="7609"/>
              <w:tab w:val="right" w:pos="9026" w:leader="dot"/>
            </w:tabs>
            <w:rPr/>
          </w:pPr>
          <w:hyperlink w:anchor="__RefHeading___Toc1804420_1280447820">
            <w:r>
              <w:rPr>
                <w:webHidden/>
                <w:rStyle w:val="IndexLink"/>
                <w:rtl w:val="true"/>
              </w:rPr>
              <w:t>الثامن</w:t>
            </w:r>
            <w:r>
              <w:rPr>
                <w:rStyle w:val="IndexLink"/>
                <w:rtl w:val="true"/>
              </w:rPr>
              <w:t xml:space="preserve">: </w:t>
            </w:r>
            <w:r>
              <w:rPr>
                <w:rStyle w:val="IndexLink"/>
                <w:rtl w:val="true"/>
              </w:rPr>
              <w:t>لو تغيّر الماء في أحد أوصافه بطاهر لم يخرج عن حكمه الأصلي</w:t>
            </w:r>
            <w:r>
              <w:rPr>
                <w:rStyle w:val="IndexLink"/>
                <w:rtl w:val="true"/>
              </w:rPr>
              <w:tab/>
            </w:r>
            <w:r>
              <w:rPr>
                <w:rStyle w:val="IndexLink"/>
              </w:rPr>
              <w:t>115</w:t>
            </w:r>
          </w:hyperlink>
        </w:p>
        <w:p>
          <w:pPr>
            <w:pStyle w:val="Contents3"/>
            <w:tabs>
              <w:tab w:val="clear" w:pos="8459"/>
              <w:tab w:val="right" w:pos="9026" w:leader="dot"/>
            </w:tabs>
            <w:rPr/>
          </w:pPr>
          <w:hyperlink w:anchor="__RefHeading___Toc1804422_1280447820">
            <w:r>
              <w:rPr>
                <w:webHidden/>
                <w:rStyle w:val="IndexLink"/>
                <w:rtl w:val="true"/>
              </w:rPr>
              <w:t xml:space="preserve">ينبوع </w:t>
            </w:r>
            <w:r>
              <w:rPr>
                <w:rStyle w:val="IndexLink"/>
                <w:rtl w:val="true"/>
              </w:rPr>
              <w:t>[</w:t>
            </w:r>
            <w:r>
              <w:rPr>
                <w:rStyle w:val="IndexLink"/>
                <w:rtl w:val="true"/>
              </w:rPr>
              <w:t>في نوع الماء بما هو هو من دون نظر إلى أقسامه الخاصّة المندرجة تحته</w:t>
            </w:r>
            <w:r>
              <w:rPr>
                <w:rStyle w:val="IndexLink"/>
                <w:rtl w:val="true"/>
              </w:rPr>
              <w:t>]</w:t>
              <w:tab/>
            </w:r>
            <w:r>
              <w:rPr>
                <w:rStyle w:val="IndexLink"/>
              </w:rPr>
              <w:t>116</w:t>
            </w:r>
          </w:hyperlink>
        </w:p>
        <w:p>
          <w:pPr>
            <w:pStyle w:val="Contents4"/>
            <w:tabs>
              <w:tab w:val="clear" w:pos="8176"/>
              <w:tab w:val="right" w:pos="9026" w:leader="dot"/>
            </w:tabs>
            <w:rPr/>
          </w:pPr>
          <w:hyperlink w:anchor="__RefHeading___Toc1804424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804426_1280447820">
            <w:r>
              <w:rPr>
                <w:webHidden/>
                <w:rStyle w:val="IndexLink"/>
                <w:rtl w:val="true"/>
              </w:rPr>
              <w:t>الجهة الاولى</w:t>
            </w:r>
            <w:r>
              <w:rPr>
                <w:rStyle w:val="IndexLink"/>
                <w:rtl w:val="true"/>
              </w:rPr>
              <w:t>: [</w:t>
            </w:r>
            <w:r>
              <w:rPr>
                <w:rStyle w:val="IndexLink"/>
                <w:rtl w:val="true"/>
              </w:rPr>
              <w:t>في تقدير الكثير</w:t>
            </w:r>
            <w:r>
              <w:rPr>
                <w:rStyle w:val="IndexLink"/>
                <w:rtl w:val="true"/>
              </w:rPr>
              <w:t>]</w:t>
              <w:tab/>
            </w:r>
            <w:r>
              <w:rPr>
                <w:rStyle w:val="IndexLink"/>
              </w:rPr>
              <w:t>116</w:t>
            </w:r>
          </w:hyperlink>
        </w:p>
        <w:p>
          <w:pPr>
            <w:pStyle w:val="Contents4"/>
            <w:tabs>
              <w:tab w:val="clear" w:pos="8176"/>
              <w:tab w:val="right" w:pos="9026" w:leader="dot"/>
            </w:tabs>
            <w:rPr/>
          </w:pPr>
          <w:hyperlink w:anchor="__RefHeading___Toc1804428_1280447820">
            <w:r>
              <w:rPr>
                <w:webHidden/>
                <w:rStyle w:val="IndexLink"/>
                <w:rtl w:val="true"/>
              </w:rPr>
              <w:t>الجهة الثانية</w:t>
            </w:r>
            <w:r>
              <w:rPr>
                <w:rStyle w:val="IndexLink"/>
                <w:rtl w:val="true"/>
              </w:rPr>
              <w:t>: [</w:t>
            </w:r>
            <w:r>
              <w:rPr>
                <w:rStyle w:val="IndexLink"/>
                <w:rtl w:val="true"/>
              </w:rPr>
              <w:t>عدم انفعال الكر بملاقاة النجس</w:t>
            </w:r>
            <w:r>
              <w:rPr>
                <w:rStyle w:val="IndexLink"/>
                <w:rtl w:val="true"/>
              </w:rPr>
              <w:t>]</w:t>
              <w:tab/>
            </w:r>
            <w:r>
              <w:rPr>
                <w:rStyle w:val="IndexLink"/>
              </w:rPr>
              <w:t>120</w:t>
            </w:r>
          </w:hyperlink>
        </w:p>
        <w:p>
          <w:pPr>
            <w:pStyle w:val="Contents4"/>
            <w:tabs>
              <w:tab w:val="clear" w:pos="8176"/>
              <w:tab w:val="right" w:pos="9026" w:leader="dot"/>
            </w:tabs>
            <w:rPr/>
          </w:pPr>
          <w:hyperlink w:anchor="__RefHeading___Toc1804430_1280447820">
            <w:r>
              <w:rPr>
                <w:webHidden/>
                <w:rStyle w:val="IndexLink"/>
                <w:rtl w:val="true"/>
              </w:rPr>
              <w:t>الجهة الثالثة</w:t>
            </w:r>
            <w:r>
              <w:rPr>
                <w:rStyle w:val="IndexLink"/>
                <w:rtl w:val="true"/>
              </w:rPr>
              <w:t>: [</w:t>
            </w:r>
            <w:r>
              <w:rPr>
                <w:rStyle w:val="IndexLink"/>
                <w:rtl w:val="true"/>
              </w:rPr>
              <w:t>في اشتراط القلة للانفعال</w:t>
            </w:r>
            <w:r>
              <w:rPr>
                <w:rStyle w:val="IndexLink"/>
                <w:rtl w:val="true"/>
              </w:rPr>
              <w:t>]</w:t>
              <w:tab/>
            </w:r>
            <w:r>
              <w:rPr>
                <w:rStyle w:val="IndexLink"/>
              </w:rPr>
              <w:t>126</w:t>
            </w:r>
          </w:hyperlink>
        </w:p>
        <w:p>
          <w:pPr>
            <w:pStyle w:val="Contents4"/>
            <w:tabs>
              <w:tab w:val="clear" w:pos="8176"/>
              <w:tab w:val="right" w:pos="9026" w:leader="dot"/>
            </w:tabs>
            <w:rPr/>
          </w:pPr>
          <w:hyperlink w:anchor="__RefHeading___Toc1804432_1280447820">
            <w:r>
              <w:rPr>
                <w:webHidden/>
                <w:rStyle w:val="IndexLink"/>
                <w:rtl w:val="true"/>
              </w:rPr>
              <w:t>الجهة الرابعة</w:t>
            </w:r>
            <w:r>
              <w:rPr>
                <w:rStyle w:val="IndexLink"/>
                <w:rtl w:val="true"/>
              </w:rPr>
              <w:t>: [</w:t>
            </w:r>
            <w:r>
              <w:rPr>
                <w:rStyle w:val="IndexLink"/>
                <w:rtl w:val="true"/>
              </w:rPr>
              <w:t>هل يعتبر فيه مساواة سطوحه أو يكفي مجرّد اتّصال بعضه بعضا و لو مع الاختلاف في سطوحه؟</w:t>
            </w:r>
            <w:r>
              <w:rPr>
                <w:rStyle w:val="IndexLink"/>
                <w:rtl w:val="true"/>
              </w:rPr>
              <w:t>]</w:t>
              <w:tab/>
            </w:r>
            <w:r>
              <w:rPr>
                <w:rStyle w:val="IndexLink"/>
              </w:rPr>
              <w:t>133</w:t>
            </w:r>
          </w:hyperlink>
        </w:p>
        <w:p>
          <w:pPr>
            <w:pStyle w:val="Contents5"/>
            <w:tabs>
              <w:tab w:val="clear" w:pos="7892"/>
              <w:tab w:val="right" w:pos="9026" w:leader="dot"/>
            </w:tabs>
            <w:rPr/>
          </w:pPr>
          <w:hyperlink w:anchor="__RefHeading___Toc1804434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804436_1280447820">
            <w:r>
              <w:rPr>
                <w:webHidden/>
                <w:rStyle w:val="IndexLink"/>
                <w:rtl w:val="true"/>
              </w:rPr>
              <w:t>نعم، حصل الاختلاف بينهم في مقامين،</w:t>
            </w:r>
            <w:r>
              <w:rPr>
                <w:rStyle w:val="IndexLink"/>
                <w:rtl w:val="true"/>
              </w:rPr>
              <w:tab/>
            </w:r>
            <w:r>
              <w:rPr>
                <w:rStyle w:val="IndexLink"/>
              </w:rPr>
              <w:t>134</w:t>
            </w:r>
          </w:hyperlink>
        </w:p>
        <w:p>
          <w:pPr>
            <w:pStyle w:val="Contents6"/>
            <w:tabs>
              <w:tab w:val="clear" w:pos="7609"/>
              <w:tab w:val="right" w:pos="9026" w:leader="dot"/>
            </w:tabs>
            <w:rPr/>
          </w:pPr>
          <w:hyperlink w:anchor="__RefHeading___Toc1804438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804440_1280447820">
            <w:r>
              <w:rPr>
                <w:webHidden/>
                <w:rStyle w:val="IndexLink"/>
                <w:rtl w:val="true"/>
              </w:rPr>
              <w:t>أمّا المقام الأوّل</w:t>
            </w:r>
            <w:r>
              <w:rPr>
                <w:rStyle w:val="IndexLink"/>
                <w:rtl w:val="true"/>
              </w:rPr>
              <w:t>: [</w:t>
            </w:r>
            <w:r>
              <w:rPr>
                <w:rStyle w:val="IndexLink"/>
                <w:rtl w:val="true"/>
              </w:rPr>
              <w:t>أصل اشتراط المساواة و عدمه</w:t>
            </w:r>
            <w:r>
              <w:rPr>
                <w:rStyle w:val="IndexLink"/>
                <w:rtl w:val="true"/>
              </w:rPr>
              <w:t>]</w:t>
              <w:tab/>
            </w:r>
            <w:r>
              <w:rPr>
                <w:rStyle w:val="IndexLink"/>
              </w:rPr>
              <w:t>134</w:t>
            </w:r>
          </w:hyperlink>
        </w:p>
        <w:p>
          <w:pPr>
            <w:pStyle w:val="Contents6"/>
            <w:tabs>
              <w:tab w:val="clear" w:pos="7609"/>
              <w:tab w:val="right" w:pos="9026" w:leader="dot"/>
            </w:tabs>
            <w:rPr/>
          </w:pPr>
          <w:hyperlink w:anchor="__RefHeading___Toc1804442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804444_1280447820">
            <w:r>
              <w:rPr>
                <w:webHidden/>
                <w:rStyle w:val="IndexLink"/>
                <w:rtl w:val="true"/>
              </w:rPr>
              <w:t>أحدها</w:t>
            </w:r>
            <w:r>
              <w:rPr>
                <w:rStyle w:val="IndexLink"/>
                <w:rtl w:val="true"/>
              </w:rPr>
              <w:t xml:space="preserve">: </w:t>
            </w:r>
            <w:r>
              <w:rPr>
                <w:rStyle w:val="IndexLink"/>
                <w:rtl w:val="true"/>
              </w:rPr>
              <w:t>القول بعدم الاشتراط،</w:t>
            </w:r>
            <w:r>
              <w:rPr>
                <w:rStyle w:val="IndexLink"/>
                <w:rtl w:val="true"/>
              </w:rPr>
              <w:tab/>
            </w:r>
            <w:r>
              <w:rPr>
                <w:rStyle w:val="IndexLink"/>
              </w:rPr>
              <w:t>134</w:t>
            </w:r>
          </w:hyperlink>
        </w:p>
        <w:p>
          <w:pPr>
            <w:pStyle w:val="Contents6"/>
            <w:tabs>
              <w:tab w:val="clear" w:pos="7609"/>
              <w:tab w:val="right" w:pos="9026" w:leader="dot"/>
            </w:tabs>
            <w:rPr/>
          </w:pPr>
          <w:hyperlink w:anchor="__RefHeading___Toc1804446_1280447820">
            <w:r>
              <w:rPr>
                <w:webHidden/>
                <w:rStyle w:val="IndexLink"/>
                <w:rtl w:val="true"/>
              </w:rPr>
              <w:t>و ثانيها</w:t>
            </w:r>
            <w:r>
              <w:rPr>
                <w:rStyle w:val="IndexLink"/>
                <w:rtl w:val="true"/>
              </w:rPr>
              <w:t xml:space="preserve">: </w:t>
            </w:r>
            <w:r>
              <w:rPr>
                <w:rStyle w:val="IndexLink"/>
                <w:rtl w:val="true"/>
              </w:rPr>
              <w:t>القول باعتبار المساواة في الكرّ،</w:t>
            </w:r>
            <w:r>
              <w:rPr>
                <w:rStyle w:val="IndexLink"/>
                <w:rtl w:val="true"/>
              </w:rPr>
              <w:tab/>
            </w:r>
            <w:r>
              <w:rPr>
                <w:rStyle w:val="IndexLink"/>
              </w:rPr>
              <w:t>135</w:t>
            </w:r>
          </w:hyperlink>
        </w:p>
        <w:p>
          <w:pPr>
            <w:pStyle w:val="Contents6"/>
            <w:tabs>
              <w:tab w:val="clear" w:pos="7609"/>
              <w:tab w:val="right" w:pos="9026" w:leader="dot"/>
            </w:tabs>
            <w:rPr/>
          </w:pPr>
          <w:hyperlink w:anchor="__RefHeading___Toc1804448_1280447820">
            <w:r>
              <w:rPr>
                <w:webHidden/>
                <w:rStyle w:val="IndexLink"/>
                <w:rtl w:val="true"/>
              </w:rPr>
              <w:t>و ثالثها</w:t>
            </w:r>
            <w:r>
              <w:rPr>
                <w:rStyle w:val="IndexLink"/>
                <w:rtl w:val="true"/>
              </w:rPr>
              <w:t xml:space="preserve">: </w:t>
            </w:r>
            <w:r>
              <w:rPr>
                <w:rStyle w:val="IndexLink"/>
                <w:rtl w:val="true"/>
              </w:rPr>
              <w:t>ما أبرزه في الحدائق من التوقّف و العجز عن ترجيح أحد القولين الأوّلين،</w:t>
            </w:r>
            <w:r>
              <w:rPr>
                <w:rStyle w:val="IndexLink"/>
                <w:rtl w:val="true"/>
              </w:rPr>
              <w:tab/>
            </w:r>
            <w:r>
              <w:rPr>
                <w:rStyle w:val="IndexLink"/>
              </w:rPr>
              <w:t>137</w:t>
            </w:r>
          </w:hyperlink>
        </w:p>
        <w:p>
          <w:pPr>
            <w:pStyle w:val="Contents6"/>
            <w:tabs>
              <w:tab w:val="clear" w:pos="7609"/>
              <w:tab w:val="right" w:pos="9026" w:leader="dot"/>
            </w:tabs>
            <w:rPr/>
          </w:pPr>
          <w:hyperlink w:anchor="__RefHeading___Toc1804450_1280447820">
            <w:r>
              <w:rPr>
                <w:webHidden/>
                <w:rStyle w:val="IndexLink"/>
                <w:rtl w:val="true"/>
              </w:rPr>
              <w:t>و أمّا المقام الثاني</w:t>
            </w:r>
            <w:r>
              <w:rPr>
                <w:rStyle w:val="IndexLink"/>
                <w:rtl w:val="true"/>
              </w:rPr>
              <w:t>: [</w:t>
            </w:r>
            <w:r>
              <w:rPr>
                <w:rStyle w:val="IndexLink"/>
                <w:rtl w:val="true"/>
              </w:rPr>
              <w:t>في تقوي الأعلى بالأسفل و بالعكس</w:t>
            </w:r>
            <w:r>
              <w:rPr>
                <w:rStyle w:val="IndexLink"/>
                <w:rtl w:val="true"/>
              </w:rPr>
              <w:t>]</w:t>
              <w:tab/>
            </w:r>
            <w:r>
              <w:rPr>
                <w:rStyle w:val="IndexLink"/>
              </w:rPr>
              <w:t>138</w:t>
            </w:r>
          </w:hyperlink>
        </w:p>
        <w:p>
          <w:pPr>
            <w:pStyle w:val="Contents6"/>
            <w:tabs>
              <w:tab w:val="clear" w:pos="7609"/>
              <w:tab w:val="right" w:pos="9026" w:leader="dot"/>
            </w:tabs>
            <w:rPr/>
          </w:pPr>
          <w:hyperlink w:anchor="__RefHeading___Toc1804452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804454_1280447820">
            <w:r>
              <w:rPr>
                <w:webHidden/>
                <w:rStyle w:val="IndexLink"/>
                <w:rtl w:val="true"/>
              </w:rPr>
              <w:t>أحدهما</w:t>
            </w:r>
            <w:r>
              <w:rPr>
                <w:rStyle w:val="IndexLink"/>
                <w:rtl w:val="true"/>
              </w:rPr>
              <w:t xml:space="preserve">: </w:t>
            </w:r>
            <w:r>
              <w:rPr>
                <w:rStyle w:val="IndexLink"/>
                <w:rtl w:val="true"/>
              </w:rPr>
              <w:t>ما عليه الأكثر من أنّه لا يتفاوت الحال في عدم قدح الاختلاف في تقوّي بعض الماء ببعض بين الأعلى و الأسفل،</w:t>
            </w:r>
            <w:r>
              <w:rPr>
                <w:rStyle w:val="IndexLink"/>
                <w:rtl w:val="true"/>
              </w:rPr>
              <w:tab/>
            </w:r>
            <w:r>
              <w:rPr>
                <w:rStyle w:val="IndexLink"/>
              </w:rPr>
              <w:t>138</w:t>
            </w:r>
          </w:hyperlink>
        </w:p>
        <w:p>
          <w:pPr>
            <w:pStyle w:val="Contents6"/>
            <w:tabs>
              <w:tab w:val="clear" w:pos="7609"/>
              <w:tab w:val="right" w:pos="9026" w:leader="dot"/>
            </w:tabs>
            <w:rPr/>
          </w:pPr>
          <w:hyperlink w:anchor="__RefHeading___Toc1804456_1280447820">
            <w:r>
              <w:rPr>
                <w:webHidden/>
                <w:rStyle w:val="IndexLink"/>
                <w:rtl w:val="true"/>
              </w:rPr>
              <w:t>و ثانيهما</w:t>
            </w:r>
            <w:r>
              <w:rPr>
                <w:rStyle w:val="IndexLink"/>
                <w:rtl w:val="true"/>
              </w:rPr>
              <w:t xml:space="preserve">: </w:t>
            </w:r>
            <w:r>
              <w:rPr>
                <w:rStyle w:val="IndexLink"/>
                <w:rtl w:val="true"/>
              </w:rPr>
              <w:t>ما هو صريح جامع المقاصد في شرح القواعد،</w:t>
            </w:r>
            <w:r>
              <w:rPr>
                <w:rStyle w:val="IndexLink"/>
                <w:rtl w:val="true"/>
              </w:rPr>
              <w:tab/>
            </w:r>
            <w:r>
              <w:rPr>
                <w:rStyle w:val="IndexLink"/>
              </w:rPr>
              <w:t>138</w:t>
            </w:r>
          </w:hyperlink>
        </w:p>
        <w:p>
          <w:pPr>
            <w:pStyle w:val="Contents5"/>
            <w:tabs>
              <w:tab w:val="clear" w:pos="7892"/>
              <w:tab w:val="right" w:pos="9026" w:leader="dot"/>
            </w:tabs>
            <w:rPr/>
          </w:pPr>
          <w:hyperlink w:anchor="__RefHeading___Toc1804458_1280447820">
            <w:r>
              <w:rPr>
                <w:webHidden/>
                <w:rStyle w:val="IndexLink"/>
                <w:rtl w:val="true"/>
              </w:rPr>
              <w:t>و لنختم المقام بإيراد فروع</w:t>
            </w:r>
            <w:r>
              <w:rPr>
                <w:rStyle w:val="IndexLink"/>
                <w:rtl w:val="true"/>
              </w:rPr>
              <w:t>:</w:t>
              <w:tab/>
            </w:r>
            <w:r>
              <w:rPr>
                <w:rStyle w:val="IndexLink"/>
              </w:rPr>
              <w:t>147</w:t>
            </w:r>
          </w:hyperlink>
        </w:p>
        <w:p>
          <w:pPr>
            <w:pStyle w:val="Contents6"/>
            <w:tabs>
              <w:tab w:val="clear" w:pos="7609"/>
              <w:tab w:val="right" w:pos="9026" w:leader="dot"/>
            </w:tabs>
            <w:rPr/>
          </w:pPr>
          <w:hyperlink w:anchor="__RefHeading___Toc1804460_1280447820">
            <w:r>
              <w:rPr>
                <w:webHidden/>
                <w:rStyle w:val="IndexLink"/>
                <w:rtl w:val="true"/>
              </w:rPr>
              <w:t>الأوّل</w:t>
            </w:r>
            <w:r>
              <w:rPr>
                <w:rStyle w:val="IndexLink"/>
                <w:rtl w:val="true"/>
              </w:rPr>
              <w:t xml:space="preserve">: </w:t>
            </w:r>
            <w:r>
              <w:rPr>
                <w:rStyle w:val="IndexLink"/>
                <w:rtl w:val="true"/>
              </w:rPr>
              <w:t>إذا وقعت في الكرّ نجاسة مائعة غير مغيّرة</w:t>
            </w:r>
            <w:r>
              <w:rPr>
                <w:rStyle w:val="IndexLink"/>
                <w:rtl w:val="true"/>
              </w:rPr>
              <w:tab/>
            </w:r>
            <w:r>
              <w:rPr>
                <w:rStyle w:val="IndexLink"/>
              </w:rPr>
              <w:t>147</w:t>
            </w:r>
          </w:hyperlink>
        </w:p>
        <w:p>
          <w:pPr>
            <w:pStyle w:val="Contents6"/>
            <w:tabs>
              <w:tab w:val="clear" w:pos="7609"/>
              <w:tab w:val="right" w:pos="9026" w:leader="dot"/>
            </w:tabs>
            <w:rPr/>
          </w:pPr>
          <w:hyperlink w:anchor="__RefHeading___Toc1804462_1280447820">
            <w:r>
              <w:rPr>
                <w:webHidden/>
                <w:rStyle w:val="IndexLink"/>
                <w:rtl w:val="true"/>
              </w:rPr>
              <w:t>الثاني</w:t>
            </w:r>
            <w:r>
              <w:rPr>
                <w:rStyle w:val="IndexLink"/>
                <w:rtl w:val="true"/>
              </w:rPr>
              <w:t xml:space="preserve">: </w:t>
            </w:r>
            <w:r>
              <w:rPr>
                <w:rStyle w:val="IndexLink"/>
                <w:rtl w:val="true"/>
              </w:rPr>
              <w:t>لا فرق في عدم انفعال الكثير بالملاقاة الغير المغيّرة بين أنواع النجاسة،</w:t>
            </w:r>
            <w:r>
              <w:rPr>
                <w:rStyle w:val="IndexLink"/>
                <w:rtl w:val="true"/>
              </w:rPr>
              <w:tab/>
            </w:r>
            <w:r>
              <w:rPr>
                <w:rStyle w:val="IndexLink"/>
              </w:rPr>
              <w:t>147</w:t>
            </w:r>
          </w:hyperlink>
        </w:p>
        <w:p>
          <w:pPr>
            <w:pStyle w:val="Contents6"/>
            <w:tabs>
              <w:tab w:val="clear" w:pos="7609"/>
              <w:tab w:val="right" w:pos="9026" w:leader="dot"/>
            </w:tabs>
            <w:rPr/>
          </w:pPr>
          <w:hyperlink w:anchor="__RefHeading___Toc1804464_1280447820">
            <w:r>
              <w:rPr>
                <w:webHidden/>
                <w:rStyle w:val="IndexLink"/>
                <w:rtl w:val="true"/>
              </w:rPr>
              <w:t>الثالث</w:t>
            </w:r>
            <w:r>
              <w:rPr>
                <w:rStyle w:val="IndexLink"/>
                <w:rtl w:val="true"/>
              </w:rPr>
              <w:t xml:space="preserve">: </w:t>
            </w:r>
            <w:r>
              <w:rPr>
                <w:rStyle w:val="IndexLink"/>
                <w:rtl w:val="true"/>
              </w:rPr>
              <w:t>لو اغترف من كرّ فيه نجاسة غير متميّزة</w:t>
            </w:r>
            <w:r>
              <w:rPr>
                <w:rStyle w:val="IndexLink"/>
                <w:rtl w:val="true"/>
              </w:rPr>
              <w:tab/>
            </w:r>
            <w:r>
              <w:rPr>
                <w:rStyle w:val="IndexLink"/>
              </w:rPr>
              <w:t>148</w:t>
            </w:r>
          </w:hyperlink>
        </w:p>
        <w:p>
          <w:pPr>
            <w:pStyle w:val="Contents6"/>
            <w:tabs>
              <w:tab w:val="clear" w:pos="7609"/>
              <w:tab w:val="right" w:pos="9026" w:leader="dot"/>
            </w:tabs>
            <w:rPr/>
          </w:pPr>
          <w:hyperlink w:anchor="__RefHeading___Toc1804466_1280447820">
            <w:r>
              <w:rPr>
                <w:webHidden/>
                <w:rStyle w:val="IndexLink"/>
                <w:rtl w:val="true"/>
              </w:rPr>
              <w:t>الرابع</w:t>
            </w:r>
            <w:r>
              <w:rPr>
                <w:rStyle w:val="IndexLink"/>
                <w:rtl w:val="true"/>
              </w:rPr>
              <w:t xml:space="preserve">: </w:t>
            </w:r>
            <w:r>
              <w:rPr>
                <w:rStyle w:val="IndexLink"/>
                <w:rtl w:val="true"/>
              </w:rPr>
              <w:t>لو دخل الكلب أو أحد أخويه في الكرّ،</w:t>
            </w:r>
            <w:r>
              <w:rPr>
                <w:rStyle w:val="IndexLink"/>
                <w:rtl w:val="true"/>
              </w:rPr>
              <w:tab/>
            </w:r>
            <w:r>
              <w:rPr>
                <w:rStyle w:val="IndexLink"/>
              </w:rPr>
              <w:t>148</w:t>
            </w:r>
          </w:hyperlink>
        </w:p>
        <w:p>
          <w:pPr>
            <w:pStyle w:val="Contents6"/>
            <w:tabs>
              <w:tab w:val="clear" w:pos="7609"/>
              <w:tab w:val="right" w:pos="9026" w:leader="dot"/>
            </w:tabs>
            <w:rPr/>
          </w:pPr>
          <w:hyperlink w:anchor="__RefHeading___Toc1804468_1280447820">
            <w:r>
              <w:rPr>
                <w:webHidden/>
                <w:rStyle w:val="IndexLink"/>
                <w:rtl w:val="true"/>
              </w:rPr>
              <w:t>الخامس</w:t>
            </w:r>
            <w:r>
              <w:rPr>
                <w:rStyle w:val="IndexLink"/>
                <w:rtl w:val="true"/>
              </w:rPr>
              <w:t xml:space="preserve">: </w:t>
            </w:r>
            <w:r>
              <w:rPr>
                <w:rStyle w:val="IndexLink"/>
                <w:rtl w:val="true"/>
              </w:rPr>
              <w:t>عن العلاّمة في المنتهى</w:t>
            </w:r>
            <w:r>
              <w:rPr>
                <w:rStyle w:val="IndexLink"/>
                <w:rtl w:val="true"/>
              </w:rPr>
              <w:t>: «</w:t>
            </w:r>
            <w:r>
              <w:rPr>
                <w:rStyle w:val="IndexLink"/>
                <w:rtl w:val="true"/>
              </w:rPr>
              <w:t>أنّه لو جمد الكثير ثمّ أصابته نجاسة بعد الجمود،</w:t>
            </w:r>
            <w:r>
              <w:rPr>
                <w:rStyle w:val="IndexLink"/>
                <w:rtl w:val="true"/>
              </w:rPr>
              <w:tab/>
            </w:r>
            <w:r>
              <w:rPr>
                <w:rStyle w:val="IndexLink"/>
              </w:rPr>
              <w:t>148</w:t>
            </w:r>
          </w:hyperlink>
        </w:p>
        <w:p>
          <w:pPr>
            <w:pStyle w:val="Contents6"/>
            <w:tabs>
              <w:tab w:val="clear" w:pos="7609"/>
              <w:tab w:val="right" w:pos="9026" w:leader="dot"/>
            </w:tabs>
            <w:rPr/>
          </w:pPr>
          <w:hyperlink w:anchor="__RefHeading___Toc1804470_1280447820">
            <w:r>
              <w:rPr>
                <w:webHidden/>
                <w:rStyle w:val="IndexLink"/>
                <w:rtl w:val="true"/>
              </w:rPr>
              <w:t>السادس</w:t>
            </w:r>
            <w:r>
              <w:rPr>
                <w:rStyle w:val="IndexLink"/>
                <w:rtl w:val="true"/>
              </w:rPr>
              <w:t xml:space="preserve">: </w:t>
            </w:r>
            <w:r>
              <w:rPr>
                <w:rStyle w:val="IndexLink"/>
                <w:rtl w:val="true"/>
              </w:rPr>
              <w:t>الماء إذا كان كرّا و تغيّر بعضه فالجميع نجس إن كانت سطوحه مستوية،</w:t>
            </w:r>
            <w:r>
              <w:rPr>
                <w:rStyle w:val="IndexLink"/>
                <w:rtl w:val="true"/>
              </w:rPr>
              <w:tab/>
            </w:r>
            <w:r>
              <w:rPr>
                <w:rStyle w:val="IndexLink"/>
              </w:rPr>
              <w:t>149</w:t>
            </w:r>
          </w:hyperlink>
        </w:p>
        <w:p>
          <w:pPr>
            <w:pStyle w:val="Contents6"/>
            <w:tabs>
              <w:tab w:val="clear" w:pos="7609"/>
              <w:tab w:val="right" w:pos="9026" w:leader="dot"/>
            </w:tabs>
            <w:rPr/>
          </w:pPr>
          <w:hyperlink w:anchor="__RefHeading___Toc1804472_1280447820">
            <w:r>
              <w:rPr>
                <w:webHidden/>
                <w:rStyle w:val="IndexLink"/>
                <w:rtl w:val="true"/>
              </w:rPr>
              <w:t>السابع</w:t>
            </w:r>
            <w:r>
              <w:rPr>
                <w:rStyle w:val="IndexLink"/>
                <w:rtl w:val="true"/>
              </w:rPr>
              <w:t xml:space="preserve">: </w:t>
            </w:r>
            <w:r>
              <w:rPr>
                <w:rStyle w:val="IndexLink"/>
                <w:rtl w:val="true"/>
              </w:rPr>
              <w:t>عن العلاّمة أنّه حكم في القواعد بالنجاسة في الماء الّذي يشكّ في كرّيّته إذا وجد فيها نجاسة،</w:t>
            </w:r>
            <w:r>
              <w:rPr>
                <w:rStyle w:val="IndexLink"/>
                <w:rtl w:val="true"/>
              </w:rPr>
              <w:tab/>
            </w:r>
            <w:r>
              <w:rPr>
                <w:rStyle w:val="IndexLink"/>
              </w:rPr>
              <w:t>150</w:t>
            </w:r>
          </w:hyperlink>
        </w:p>
        <w:p>
          <w:pPr>
            <w:pStyle w:val="Contents6"/>
            <w:tabs>
              <w:tab w:val="clear" w:pos="7609"/>
              <w:tab w:val="right" w:pos="9026" w:leader="dot"/>
            </w:tabs>
            <w:rPr/>
          </w:pPr>
          <w:hyperlink w:anchor="__RefHeading___Toc1804474_1280447820">
            <w:r>
              <w:rPr>
                <w:webHidden/>
                <w:rStyle w:val="IndexLink"/>
                <w:rtl w:val="true"/>
              </w:rPr>
              <w:t>الثامن</w:t>
            </w:r>
            <w:r>
              <w:rPr>
                <w:rStyle w:val="IndexLink"/>
                <w:rtl w:val="true"/>
              </w:rPr>
              <w:t xml:space="preserve">: </w:t>
            </w:r>
            <w:r>
              <w:rPr>
                <w:rStyle w:val="IndexLink"/>
                <w:rtl w:val="true"/>
              </w:rPr>
              <w:t>عن المحقّق في المعتبر</w:t>
            </w:r>
            <w:r>
              <w:rPr>
                <w:rStyle w:val="IndexLink"/>
                <w:rtl w:val="true"/>
              </w:rPr>
              <w:t>: «</w:t>
            </w:r>
            <w:r>
              <w:rPr>
                <w:rStyle w:val="IndexLink"/>
                <w:rtl w:val="true"/>
              </w:rPr>
              <w:t>أنّه لو تطهّر من ماء ثمّ علم فيه نجاسة و شكّ هل كانت قبل الوضوء أو بعده فالأصل الصحّة،</w:t>
            </w:r>
            <w:r>
              <w:rPr>
                <w:rStyle w:val="IndexLink"/>
                <w:rtl w:val="true"/>
              </w:rPr>
              <w:tab/>
            </w:r>
            <w:r>
              <w:rPr>
                <w:rStyle w:val="IndexLink"/>
              </w:rPr>
              <w:t>150</w:t>
            </w:r>
          </w:hyperlink>
        </w:p>
        <w:p>
          <w:pPr>
            <w:pStyle w:val="Contents4"/>
            <w:tabs>
              <w:tab w:val="clear" w:pos="8176"/>
              <w:tab w:val="right" w:pos="9026" w:leader="dot"/>
            </w:tabs>
            <w:rPr/>
          </w:pPr>
          <w:hyperlink w:anchor="__RefHeading___Toc1804476_1280447820">
            <w:r>
              <w:rPr>
                <w:webHidden/>
                <w:rStyle w:val="IndexLink"/>
                <w:rtl w:val="true"/>
              </w:rPr>
              <w:t>الجهة الخامسة</w:t>
            </w:r>
            <w:r>
              <w:rPr>
                <w:rStyle w:val="IndexLink"/>
                <w:rtl w:val="true"/>
              </w:rPr>
              <w:t xml:space="preserve">: </w:t>
            </w:r>
            <w:r>
              <w:rPr>
                <w:rStyle w:val="IndexLink"/>
                <w:rtl w:val="true"/>
              </w:rPr>
              <w:t>في تحديد الكرّ الّذي لا ينجّس بالملاقاة،</w:t>
            </w:r>
            <w:r>
              <w:rPr>
                <w:rStyle w:val="IndexLink"/>
                <w:rtl w:val="true"/>
              </w:rPr>
              <w:tab/>
            </w:r>
            <w:r>
              <w:rPr>
                <w:rStyle w:val="IndexLink"/>
              </w:rPr>
              <w:t>150</w:t>
            </w:r>
          </w:hyperlink>
        </w:p>
        <w:p>
          <w:pPr>
            <w:pStyle w:val="Contents5"/>
            <w:tabs>
              <w:tab w:val="clear" w:pos="7892"/>
              <w:tab w:val="right" w:pos="9026" w:leader="dot"/>
            </w:tabs>
            <w:rPr/>
          </w:pPr>
          <w:hyperlink w:anchor="__RefHeading___Toc1804478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804480_1280447820">
            <w:r>
              <w:rPr>
                <w:webHidden/>
                <w:rStyle w:val="IndexLink"/>
                <w:rtl w:val="true"/>
              </w:rPr>
              <w:t>الطريق الأوّل</w:t>
            </w:r>
            <w:r>
              <w:rPr>
                <w:rStyle w:val="IndexLink"/>
                <w:rtl w:val="true"/>
              </w:rPr>
              <w:t xml:space="preserve">: </w:t>
            </w:r>
            <w:r>
              <w:rPr>
                <w:rStyle w:val="IndexLink"/>
                <w:rtl w:val="true"/>
              </w:rPr>
              <w:t>تحديده باعتبار الوزن،</w:t>
            </w:r>
            <w:r>
              <w:rPr>
                <w:rStyle w:val="IndexLink"/>
                <w:rtl w:val="true"/>
              </w:rPr>
              <w:tab/>
            </w:r>
            <w:r>
              <w:rPr>
                <w:rStyle w:val="IndexLink"/>
              </w:rPr>
              <w:t>150</w:t>
            </w:r>
          </w:hyperlink>
        </w:p>
        <w:p>
          <w:pPr>
            <w:pStyle w:val="Contents5"/>
            <w:tabs>
              <w:tab w:val="clear" w:pos="7892"/>
              <w:tab w:val="right" w:pos="9026" w:leader="dot"/>
            </w:tabs>
            <w:rPr/>
          </w:pPr>
          <w:hyperlink w:anchor="__RefHeading___Toc1804482_1280447820">
            <w:r>
              <w:rPr>
                <w:webHidden/>
                <w:rStyle w:val="IndexLink"/>
                <w:rtl w:val="true"/>
              </w:rPr>
              <w:t>الطريق الثاني</w:t>
            </w:r>
            <w:r>
              <w:rPr>
                <w:rStyle w:val="IndexLink"/>
                <w:rtl w:val="true"/>
              </w:rPr>
              <w:t xml:space="preserve">: </w:t>
            </w:r>
            <w:r>
              <w:rPr>
                <w:rStyle w:val="IndexLink"/>
                <w:rtl w:val="true"/>
              </w:rPr>
              <w:t>تحديده باعتبار المساحة،</w:t>
            </w:r>
            <w:r>
              <w:rPr>
                <w:rStyle w:val="IndexLink"/>
                <w:rtl w:val="true"/>
              </w:rPr>
              <w:tab/>
            </w:r>
            <w:r>
              <w:rPr>
                <w:rStyle w:val="IndexLink"/>
              </w:rPr>
              <w:t>161</w:t>
            </w:r>
          </w:hyperlink>
        </w:p>
        <w:p>
          <w:pPr>
            <w:pStyle w:val="Contents6"/>
            <w:tabs>
              <w:tab w:val="clear" w:pos="7609"/>
              <w:tab w:val="right" w:pos="9026" w:leader="dot"/>
            </w:tabs>
            <w:rPr/>
          </w:pPr>
          <w:hyperlink w:anchor="__RefHeading___Toc1804484_1280447820">
            <w:r>
              <w:rPr>
                <w:webHidden/>
                <w:rStyle w:val="IndexLink"/>
                <w:rtl w:val="true"/>
              </w:rPr>
              <w:t>و اضطربت كلمة الأصحاب فيه اضطرابا شديدا، حتّى حدث فيهم أقوال مختلفة</w:t>
            </w:r>
            <w:r>
              <w:rPr>
                <w:rStyle w:val="IndexLink"/>
                <w:rtl w:val="true"/>
              </w:rPr>
              <w:t>.</w:t>
              <w:tab/>
            </w:r>
            <w:r>
              <w:rPr>
                <w:rStyle w:val="IndexLink"/>
              </w:rPr>
              <w:t>161</w:t>
            </w:r>
          </w:hyperlink>
        </w:p>
        <w:p>
          <w:pPr>
            <w:pStyle w:val="Contents6"/>
            <w:tabs>
              <w:tab w:val="clear" w:pos="7609"/>
              <w:tab w:val="right" w:pos="9026" w:leader="dot"/>
            </w:tabs>
            <w:rPr/>
          </w:pPr>
          <w:hyperlink w:anchor="__RefHeading___Toc1804486_1280447820">
            <w:r>
              <w:rPr>
                <w:webHidden/>
                <w:rStyle w:val="IndexLink"/>
                <w:rtl w:val="true"/>
              </w:rPr>
              <w:t>أحدها</w:t>
            </w:r>
            <w:r>
              <w:rPr>
                <w:rStyle w:val="IndexLink"/>
                <w:rtl w:val="true"/>
              </w:rPr>
              <w:t xml:space="preserve">: </w:t>
            </w:r>
            <w:r>
              <w:rPr>
                <w:rStyle w:val="IndexLink"/>
                <w:rtl w:val="true"/>
              </w:rPr>
              <w:t>ما كان كلّ من طوله و عرضه و عمقه ثلاثة أشبار و نصف شبر،</w:t>
            </w:r>
            <w:r>
              <w:rPr>
                <w:rStyle w:val="IndexLink"/>
                <w:rtl w:val="true"/>
              </w:rPr>
              <w:tab/>
            </w:r>
            <w:r>
              <w:rPr>
                <w:rStyle w:val="IndexLink"/>
              </w:rPr>
              <w:t>161</w:t>
            </w:r>
          </w:hyperlink>
        </w:p>
        <w:p>
          <w:pPr>
            <w:pStyle w:val="Contents6"/>
            <w:tabs>
              <w:tab w:val="clear" w:pos="7609"/>
              <w:tab w:val="right" w:pos="9026" w:leader="dot"/>
            </w:tabs>
            <w:rPr/>
          </w:pPr>
          <w:hyperlink w:anchor="__RefHeading___Toc1804488_1280447820">
            <w:r>
              <w:rPr>
                <w:webHidden/>
                <w:rStyle w:val="IndexLink"/>
                <w:rtl w:val="true"/>
              </w:rPr>
              <w:t>و ثانيها</w:t>
            </w:r>
            <w:r>
              <w:rPr>
                <w:rStyle w:val="IndexLink"/>
                <w:rtl w:val="true"/>
              </w:rPr>
              <w:t>: [</w:t>
            </w:r>
            <w:r>
              <w:rPr>
                <w:rStyle w:val="IndexLink"/>
                <w:rtl w:val="true"/>
              </w:rPr>
              <w:t>من أنّه ما كان ثلاثة أشبار طولا في عرض في عمق</w:t>
            </w:r>
            <w:r>
              <w:rPr>
                <w:rStyle w:val="IndexLink"/>
                <w:rtl w:val="true"/>
              </w:rPr>
              <w:t>]</w:t>
              <w:tab/>
            </w:r>
            <w:r>
              <w:rPr>
                <w:rStyle w:val="IndexLink"/>
              </w:rPr>
              <w:t>164</w:t>
            </w:r>
          </w:hyperlink>
        </w:p>
        <w:p>
          <w:pPr>
            <w:pStyle w:val="Contents6"/>
            <w:tabs>
              <w:tab w:val="clear" w:pos="7609"/>
              <w:tab w:val="right" w:pos="9026" w:leader="dot"/>
            </w:tabs>
            <w:rPr/>
          </w:pPr>
          <w:hyperlink w:anchor="__RefHeading___Toc1804490_1280447820">
            <w:r>
              <w:rPr>
                <w:webHidden/>
                <w:rStyle w:val="IndexLink"/>
                <w:rtl w:val="true"/>
              </w:rPr>
              <w:t>و ثالثها</w:t>
            </w:r>
            <w:r>
              <w:rPr>
                <w:rStyle w:val="IndexLink"/>
                <w:rtl w:val="true"/>
              </w:rPr>
              <w:t xml:space="preserve">: </w:t>
            </w:r>
            <w:r>
              <w:rPr>
                <w:rStyle w:val="IndexLink"/>
                <w:rtl w:val="true"/>
              </w:rPr>
              <w:t>ما نسبه في المختلف إلى ابن الجنيد من أنّ حدّه قلّتان،</w:t>
            </w:r>
            <w:r>
              <w:rPr>
                <w:rStyle w:val="IndexLink"/>
                <w:rtl w:val="true"/>
              </w:rPr>
              <w:tab/>
            </w:r>
            <w:r>
              <w:rPr>
                <w:rStyle w:val="IndexLink"/>
              </w:rPr>
              <w:t>164</w:t>
            </w:r>
          </w:hyperlink>
        </w:p>
        <w:p>
          <w:pPr>
            <w:pStyle w:val="Contents6"/>
            <w:tabs>
              <w:tab w:val="clear" w:pos="7609"/>
              <w:tab w:val="right" w:pos="9026" w:leader="dot"/>
            </w:tabs>
            <w:rPr/>
          </w:pPr>
          <w:hyperlink w:anchor="__RefHeading___Toc1804492_1280447820">
            <w:r>
              <w:rPr>
                <w:webHidden/>
                <w:rStyle w:val="IndexLink"/>
                <w:rtl w:val="true"/>
              </w:rPr>
              <w:t>و رابعها</w:t>
            </w:r>
            <w:r>
              <w:rPr>
                <w:rStyle w:val="IndexLink"/>
                <w:rtl w:val="true"/>
              </w:rPr>
              <w:t xml:space="preserve">: </w:t>
            </w:r>
            <w:r>
              <w:rPr>
                <w:rStyle w:val="IndexLink"/>
                <w:rtl w:val="true"/>
              </w:rPr>
              <w:t>ما نسبه فيه إلى القطب الدين الراوندي من كون الكرّ عشرة أشبار و نصفا طولا و عرضا و عمقا،</w:t>
            </w:r>
            <w:r>
              <w:rPr>
                <w:rStyle w:val="IndexLink"/>
                <w:rtl w:val="true"/>
              </w:rPr>
              <w:tab/>
            </w:r>
            <w:r>
              <w:rPr>
                <w:rStyle w:val="IndexLink"/>
              </w:rPr>
              <w:t>165</w:t>
            </w:r>
          </w:hyperlink>
        </w:p>
        <w:p>
          <w:pPr>
            <w:pStyle w:val="Contents6"/>
            <w:tabs>
              <w:tab w:val="clear" w:pos="7609"/>
              <w:tab w:val="right" w:pos="9026" w:leader="dot"/>
            </w:tabs>
            <w:rPr/>
          </w:pPr>
          <w:hyperlink w:anchor="__RefHeading___Toc1804494_1280447820">
            <w:r>
              <w:rPr>
                <w:webHidden/>
                <w:rStyle w:val="IndexLink"/>
                <w:rtl w:val="true"/>
              </w:rPr>
              <w:t>و خامسها</w:t>
            </w:r>
            <w:r>
              <w:rPr>
                <w:rStyle w:val="IndexLink"/>
                <w:rtl w:val="true"/>
              </w:rPr>
              <w:t xml:space="preserve">: </w:t>
            </w:r>
            <w:r>
              <w:rPr>
                <w:rStyle w:val="IndexLink"/>
                <w:rtl w:val="true"/>
              </w:rPr>
              <w:t>ما يظهر عن المدارك من أنّه ما بلغ ذراعين في عمقه، و ذراعا و شبرا سعته،</w:t>
            </w:r>
            <w:r>
              <w:rPr>
                <w:rStyle w:val="IndexLink"/>
                <w:rtl w:val="true"/>
              </w:rPr>
              <w:tab/>
            </w:r>
            <w:r>
              <w:rPr>
                <w:rStyle w:val="IndexLink"/>
              </w:rPr>
              <w:t>165</w:t>
            </w:r>
          </w:hyperlink>
        </w:p>
        <w:p>
          <w:pPr>
            <w:pStyle w:val="Contents3"/>
            <w:tabs>
              <w:tab w:val="clear" w:pos="8459"/>
              <w:tab w:val="right" w:pos="9026" w:leader="dot"/>
            </w:tabs>
            <w:rPr/>
          </w:pPr>
          <w:hyperlink w:anchor="__RefHeading___Toc1804496_1280447820">
            <w:r>
              <w:rPr>
                <w:webHidden/>
                <w:rStyle w:val="IndexLink"/>
                <w:rtl w:val="true"/>
              </w:rPr>
              <w:t xml:space="preserve">ينبوع </w:t>
            </w:r>
            <w:r>
              <w:rPr>
                <w:rStyle w:val="IndexLink"/>
                <w:rtl w:val="true"/>
              </w:rPr>
              <w:t>[</w:t>
            </w:r>
            <w:r>
              <w:rPr>
                <w:rStyle w:val="IndexLink"/>
                <w:rtl w:val="true"/>
              </w:rPr>
              <w:t>في انفعال القليل و عدمه</w:t>
            </w:r>
            <w:r>
              <w:rPr>
                <w:rStyle w:val="IndexLink"/>
                <w:rtl w:val="true"/>
              </w:rPr>
              <w:t>]</w:t>
              <w:tab/>
            </w:r>
            <w:r>
              <w:rPr>
                <w:rStyle w:val="IndexLink"/>
              </w:rPr>
              <w:t>185</w:t>
            </w:r>
          </w:hyperlink>
        </w:p>
        <w:p>
          <w:pPr>
            <w:pStyle w:val="Contents4"/>
            <w:tabs>
              <w:tab w:val="clear" w:pos="8176"/>
              <w:tab w:val="right" w:pos="9026" w:leader="dot"/>
            </w:tabs>
            <w:rPr/>
          </w:pPr>
          <w:hyperlink w:anchor="__RefHeading___Toc1804498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804500_1280447820">
            <w:r>
              <w:rPr>
                <w:webHidden/>
                <w:rStyle w:val="IndexLink"/>
                <w:rtl w:val="true"/>
              </w:rPr>
              <w:t>[</w:t>
            </w:r>
            <w:r>
              <w:rPr>
                <w:rStyle w:val="IndexLink"/>
                <w:rtl w:val="true"/>
              </w:rPr>
              <w:t>البحث في أنواع الروايات التي ترد في انفعال القليل</w:t>
            </w:r>
            <w:r>
              <w:rPr>
                <w:rStyle w:val="IndexLink"/>
                <w:rtl w:val="true"/>
              </w:rPr>
              <w:t>]</w:t>
              <w:tab/>
            </w:r>
            <w:r>
              <w:rPr>
                <w:rStyle w:val="IndexLink"/>
              </w:rPr>
              <w:t>191</w:t>
            </w:r>
          </w:hyperlink>
        </w:p>
        <w:p>
          <w:pPr>
            <w:pStyle w:val="Contents5"/>
            <w:tabs>
              <w:tab w:val="clear" w:pos="7892"/>
              <w:tab w:val="right" w:pos="9026" w:leader="dot"/>
            </w:tabs>
            <w:rPr/>
          </w:pPr>
          <w:hyperlink w:anchor="__RefHeading___Toc1804502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804504_1280447820">
            <w:r>
              <w:rPr>
                <w:webHidden/>
                <w:rStyle w:val="IndexLink"/>
                <w:rtl w:val="true"/>
              </w:rPr>
              <w:t>فأمّا النوع الأوّل</w:t>
            </w:r>
            <w:r>
              <w:rPr>
                <w:rStyle w:val="IndexLink"/>
                <w:rtl w:val="true"/>
              </w:rPr>
              <w:t>: [</w:t>
            </w:r>
            <w:r>
              <w:rPr>
                <w:rStyle w:val="IndexLink"/>
                <w:rtl w:val="true"/>
              </w:rPr>
              <w:t>ما هو صريح أو ظاهر كالصريح في المطلوب</w:t>
            </w:r>
            <w:r>
              <w:rPr>
                <w:rStyle w:val="IndexLink"/>
                <w:rtl w:val="true"/>
              </w:rPr>
              <w:t>]</w:t>
              <w:tab/>
            </w:r>
            <w:r>
              <w:rPr>
                <w:rStyle w:val="IndexLink"/>
              </w:rPr>
              <w:t>192</w:t>
            </w:r>
          </w:hyperlink>
        </w:p>
        <w:p>
          <w:pPr>
            <w:pStyle w:val="Contents5"/>
            <w:tabs>
              <w:tab w:val="clear" w:pos="7892"/>
              <w:tab w:val="right" w:pos="9026" w:leader="dot"/>
            </w:tabs>
            <w:rPr/>
          </w:pPr>
          <w:hyperlink w:anchor="__RefHeading___Toc1804506_1280447820">
            <w:r>
              <w:rPr>
                <w:webHidden/>
                <w:rStyle w:val="IndexLink"/>
                <w:rtl w:val="true"/>
              </w:rPr>
              <w:t xml:space="preserve">و أمّا النوع الثاني </w:t>
            </w:r>
            <w:r>
              <w:rPr>
                <w:rStyle w:val="IndexLink"/>
                <w:rtl w:val="true"/>
              </w:rPr>
              <w:t>[</w:t>
            </w:r>
            <w:r>
              <w:rPr>
                <w:rStyle w:val="IndexLink"/>
                <w:rtl w:val="true"/>
              </w:rPr>
              <w:t>ما هو ظاهر فيه منطوقا</w:t>
            </w:r>
            <w:r>
              <w:rPr>
                <w:rStyle w:val="IndexLink"/>
                <w:rtl w:val="true"/>
              </w:rPr>
              <w:t>]</w:t>
              <w:tab/>
            </w:r>
            <w:r>
              <w:rPr>
                <w:rStyle w:val="IndexLink"/>
              </w:rPr>
              <w:t>193</w:t>
            </w:r>
          </w:hyperlink>
        </w:p>
        <w:p>
          <w:pPr>
            <w:pStyle w:val="Contents6"/>
            <w:tabs>
              <w:tab w:val="clear" w:pos="7609"/>
              <w:tab w:val="right" w:pos="9026" w:leader="dot"/>
            </w:tabs>
            <w:rPr/>
          </w:pPr>
          <w:hyperlink w:anchor="__RefHeading___Toc1804508_1280447820">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804510_1280447820">
            <w:r>
              <w:rPr>
                <w:webHidden/>
                <w:rStyle w:val="IndexLink"/>
                <w:rtl w:val="true"/>
              </w:rPr>
              <w:t>و قد عرفت أنّها بحسب المتن على قسمين</w:t>
            </w:r>
            <w:r>
              <w:rPr>
                <w:rStyle w:val="IndexLink"/>
                <w:rtl w:val="true"/>
              </w:rPr>
              <w:t>:</w:t>
              <w:tab/>
            </w:r>
            <w:r>
              <w:rPr>
                <w:rStyle w:val="IndexLink"/>
              </w:rPr>
              <w:t>198</w:t>
            </w:r>
          </w:hyperlink>
        </w:p>
        <w:p>
          <w:pPr>
            <w:pStyle w:val="Contents6"/>
            <w:tabs>
              <w:tab w:val="clear" w:pos="7609"/>
              <w:tab w:val="right" w:pos="9026" w:leader="dot"/>
            </w:tabs>
            <w:rPr/>
          </w:pPr>
          <w:hyperlink w:anchor="__RefHeading___Toc1804512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804514_1280447820">
            <w:r>
              <w:rPr>
                <w:webHidden/>
                <w:rStyle w:val="IndexLink"/>
                <w:rtl w:val="true"/>
              </w:rPr>
              <w:t xml:space="preserve">و أمّا وجه الاستدلال بالقسم الأوّل </w:t>
            </w:r>
            <w:r>
              <w:rPr>
                <w:rStyle w:val="IndexLink"/>
                <w:rtl w:val="true"/>
              </w:rPr>
              <w:t>[</w:t>
            </w:r>
            <w:r>
              <w:rPr>
                <w:rStyle w:val="IndexLink"/>
                <w:rtl w:val="true"/>
              </w:rPr>
              <w:t>أي ما هو مشتمل على نفي صلاحية ما لاقاه النجاسة من الماء للتوضّي و الاغتسال به</w:t>
            </w:r>
            <w:r>
              <w:rPr>
                <w:rStyle w:val="IndexLink"/>
                <w:rtl w:val="true"/>
              </w:rPr>
              <w:t>.]</w:t>
              <w:tab/>
            </w:r>
            <w:r>
              <w:rPr>
                <w:rStyle w:val="IndexLink"/>
              </w:rPr>
              <w:t>199</w:t>
            </w:r>
          </w:hyperlink>
        </w:p>
        <w:p>
          <w:pPr>
            <w:pStyle w:val="Contents6"/>
            <w:tabs>
              <w:tab w:val="clear" w:pos="7609"/>
              <w:tab w:val="right" w:pos="9026" w:leader="dot"/>
            </w:tabs>
            <w:rPr/>
          </w:pPr>
          <w:hyperlink w:anchor="__RefHeading___Toc1804516_1280447820">
            <w:r>
              <w:rPr>
                <w:webHidden/>
                <w:rStyle w:val="IndexLink"/>
                <w:rtl w:val="true"/>
              </w:rPr>
              <w:t>و أمّا وجه الاستدلال بالقسم الثاني</w:t>
            </w:r>
            <w:r>
              <w:rPr>
                <w:rStyle w:val="IndexLink"/>
                <w:rtl w:val="true"/>
              </w:rPr>
              <w:t>: [</w:t>
            </w:r>
            <w:r>
              <w:rPr>
                <w:rStyle w:val="IndexLink"/>
                <w:rtl w:val="true"/>
              </w:rPr>
              <w:t>ما هو مشتمل على النهي عن التوضّي و الاغتسال، و عن الشرب أيضا و الأمر بالإراقة</w:t>
            </w:r>
            <w:r>
              <w:rPr>
                <w:rStyle w:val="IndexLink"/>
                <w:rtl w:val="true"/>
              </w:rPr>
              <w:t>]</w:t>
              <w:tab/>
            </w:r>
            <w:r>
              <w:rPr>
                <w:rStyle w:val="IndexLink"/>
              </w:rPr>
              <w:t>199</w:t>
            </w:r>
          </w:hyperlink>
        </w:p>
        <w:p>
          <w:pPr>
            <w:pStyle w:val="Contents5"/>
            <w:tabs>
              <w:tab w:val="clear" w:pos="7892"/>
              <w:tab w:val="right" w:pos="9026" w:leader="dot"/>
            </w:tabs>
            <w:rPr/>
          </w:pPr>
          <w:hyperlink w:anchor="__RefHeading___Toc1804518_1280447820">
            <w:r>
              <w:rPr>
                <w:webHidden/>
                <w:rStyle w:val="IndexLink"/>
                <w:rtl w:val="true"/>
              </w:rPr>
              <w:t>[</w:t>
            </w:r>
            <w:r>
              <w:rPr>
                <w:rStyle w:val="IndexLink"/>
                <w:rtl w:val="true"/>
              </w:rPr>
              <w:t>أما النوع الثالث ما هو ظاهر فيه مفهوما</w:t>
            </w:r>
            <w:r>
              <w:rPr>
                <w:rStyle w:val="IndexLink"/>
                <w:rtl w:val="true"/>
              </w:rPr>
              <w:t>]</w:t>
              <w:tab/>
            </w:r>
            <w:r>
              <w:rPr>
                <w:rStyle w:val="IndexLink"/>
              </w:rPr>
              <w:t>204</w:t>
            </w:r>
          </w:hyperlink>
        </w:p>
        <w:p>
          <w:pPr>
            <w:pStyle w:val="Contents6"/>
            <w:tabs>
              <w:tab w:val="clear" w:pos="7609"/>
              <w:tab w:val="right" w:pos="9026" w:leader="dot"/>
            </w:tabs>
            <w:rPr/>
          </w:pPr>
          <w:hyperlink w:anchor="__RefHeading___Toc1804520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804522_1280447820">
            <w:r>
              <w:rPr>
                <w:webHidden/>
                <w:rStyle w:val="IndexLink"/>
                <w:rtl w:val="true"/>
              </w:rPr>
              <w:t>وجه الدلالة في هذا النوع من الأخبار</w:t>
            </w:r>
            <w:r>
              <w:rPr>
                <w:rStyle w:val="IndexLink"/>
                <w:rtl w:val="true"/>
              </w:rPr>
              <w:t>:</w:t>
              <w:tab/>
            </w:r>
            <w:r>
              <w:rPr>
                <w:rStyle w:val="IndexLink"/>
              </w:rPr>
              <w:t>206</w:t>
            </w:r>
          </w:hyperlink>
        </w:p>
        <w:p>
          <w:pPr>
            <w:pStyle w:val="Contents6"/>
            <w:tabs>
              <w:tab w:val="clear" w:pos="7609"/>
              <w:tab w:val="right" w:pos="9026" w:leader="dot"/>
            </w:tabs>
            <w:rPr/>
          </w:pPr>
          <w:hyperlink w:anchor="__RefHeading___Toc1804524_1280447820">
            <w:r>
              <w:rPr>
                <w:webHidden/>
                <w:rStyle w:val="IndexLink"/>
                <w:rtl w:val="true"/>
              </w:rPr>
              <w:t>ثمّ إنّه أورد على روايات الباب بوجوه</w:t>
            </w:r>
            <w:r>
              <w:rPr>
                <w:rStyle w:val="IndexLink"/>
                <w:rtl w:val="true"/>
              </w:rPr>
              <w:t>:</w:t>
              <w:tab/>
            </w:r>
            <w:r>
              <w:rPr>
                <w:rStyle w:val="IndexLink"/>
              </w:rPr>
              <w:t>209</w:t>
            </w:r>
          </w:hyperlink>
        </w:p>
        <w:p>
          <w:pPr>
            <w:pStyle w:val="Contents4"/>
            <w:tabs>
              <w:tab w:val="clear" w:pos="8176"/>
              <w:tab w:val="right" w:pos="9026" w:leader="dot"/>
            </w:tabs>
            <w:rPr/>
          </w:pPr>
          <w:hyperlink w:anchor="__RefHeading___Toc1804526_1280447820">
            <w:r>
              <w:rPr>
                <w:webHidden/>
                <w:rStyle w:val="IndexLink"/>
                <w:rtl w:val="true"/>
              </w:rPr>
              <w:t>و بقي الكلام في حجّة القول بعدم انفعال القليل بملاقاة النجاسة</w:t>
            </w:r>
            <w:r>
              <w:rPr>
                <w:rStyle w:val="IndexLink"/>
                <w:rtl w:val="true"/>
              </w:rPr>
              <w:tab/>
            </w:r>
            <w:r>
              <w:rPr>
                <w:rStyle w:val="IndexLink"/>
              </w:rPr>
              <w:t>213</w:t>
            </w:r>
          </w:hyperlink>
        </w:p>
        <w:p>
          <w:pPr>
            <w:pStyle w:val="Contents5"/>
            <w:tabs>
              <w:tab w:val="clear" w:pos="7892"/>
              <w:tab w:val="right" w:pos="9026" w:leader="dot"/>
            </w:tabs>
            <w:rPr/>
          </w:pPr>
          <w:hyperlink w:anchor="__RefHeading___Toc1804528_1280447820">
            <w:r>
              <w:rPr>
                <w:webHidden/>
                <w:rStyle w:val="IndexLink"/>
                <w:rtl w:val="true"/>
              </w:rPr>
              <w:t>[</w:t>
            </w:r>
            <w:r>
              <w:rPr>
                <w:rStyle w:val="IndexLink"/>
                <w:rtl w:val="true"/>
              </w:rPr>
              <w:t xml:space="preserve">استدلال العلامة في عدم الانفعال بالرواية التي وردت عن الصادق عن آبائه عليهم السّلام </w:t>
            </w:r>
            <w:r>
              <w:rPr>
                <w:rStyle w:val="IndexLink"/>
                <w:rtl w:val="true"/>
              </w:rPr>
              <w:t>«</w:t>
            </w:r>
            <w:r>
              <w:rPr>
                <w:rStyle w:val="IndexLink"/>
                <w:rtl w:val="true"/>
              </w:rPr>
              <w:t>أنّ الماء طاهر لا ينجّسه إلاّ ما غيّر لونه أو طعمه أو رائحته</w:t>
            </w:r>
            <w:r>
              <w:rPr>
                <w:rStyle w:val="IndexLink"/>
                <w:rtl w:val="true"/>
              </w:rPr>
              <w:t>»]</w:t>
            </w:r>
            <w:r>
              <w:rPr>
                <w:rStyle w:val="IndexLink"/>
                <w:rtl w:val="true"/>
              </w:rPr>
              <w:t>،</w:t>
            </w:r>
            <w:r>
              <w:rPr>
                <w:rStyle w:val="IndexLink"/>
                <w:rtl w:val="true"/>
              </w:rPr>
              <w:tab/>
            </w:r>
            <w:r>
              <w:rPr>
                <w:rStyle w:val="IndexLink"/>
              </w:rPr>
              <w:t>213</w:t>
            </w:r>
          </w:hyperlink>
        </w:p>
        <w:p>
          <w:pPr>
            <w:pStyle w:val="Contents6"/>
            <w:tabs>
              <w:tab w:val="clear" w:pos="7609"/>
              <w:tab w:val="right" w:pos="9026" w:leader="dot"/>
            </w:tabs>
            <w:rPr/>
          </w:pPr>
          <w:hyperlink w:anchor="__RefHeading___Toc1804530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804532_1280447820">
            <w:r>
              <w:rPr>
                <w:webHidden/>
                <w:rStyle w:val="IndexLink"/>
                <w:rtl w:val="true"/>
              </w:rPr>
              <w:t>و الجواب عن ذلك</w:t>
            </w:r>
            <w:r>
              <w:rPr>
                <w:rStyle w:val="IndexLink"/>
                <w:rtl w:val="true"/>
              </w:rPr>
              <w:t xml:space="preserve">: </w:t>
            </w:r>
            <w:r>
              <w:rPr>
                <w:rStyle w:val="IndexLink"/>
                <w:rtl w:val="true"/>
              </w:rPr>
              <w:t>بمنع الصغرى و الكبرى معا</w:t>
            </w:r>
            <w:r>
              <w:rPr>
                <w:rStyle w:val="IndexLink"/>
                <w:rtl w:val="true"/>
              </w:rPr>
              <w:t>.</w:t>
              <w:tab/>
            </w:r>
            <w:r>
              <w:rPr>
                <w:rStyle w:val="IndexLink"/>
              </w:rPr>
              <w:t>215</w:t>
            </w:r>
          </w:hyperlink>
        </w:p>
        <w:p>
          <w:pPr>
            <w:pStyle w:val="Contents5"/>
            <w:tabs>
              <w:tab w:val="clear" w:pos="7892"/>
              <w:tab w:val="right" w:pos="9026" w:leader="dot"/>
            </w:tabs>
            <w:rPr/>
          </w:pPr>
          <w:hyperlink w:anchor="__RefHeading___Toc1804534_1280447820">
            <w:r>
              <w:rPr>
                <w:webHidden/>
                <w:rStyle w:val="IndexLink"/>
                <w:rtl w:val="true"/>
              </w:rPr>
              <w:t>[</w:t>
            </w:r>
            <w:r>
              <w:rPr>
                <w:rStyle w:val="IndexLink"/>
                <w:rtl w:val="true"/>
              </w:rPr>
              <w:t>قول المحدث الكاشاني و رده</w:t>
            </w:r>
            <w:r>
              <w:rPr>
                <w:rStyle w:val="IndexLink"/>
                <w:rtl w:val="true"/>
              </w:rPr>
              <w:t>]</w:t>
              <w:tab/>
            </w:r>
            <w:r>
              <w:rPr>
                <w:rStyle w:val="IndexLink"/>
              </w:rPr>
              <w:t>216</w:t>
            </w:r>
          </w:hyperlink>
        </w:p>
        <w:p>
          <w:pPr>
            <w:pStyle w:val="Contents6"/>
            <w:tabs>
              <w:tab w:val="clear" w:pos="7609"/>
              <w:tab w:val="right" w:pos="9026" w:leader="dot"/>
            </w:tabs>
            <w:rPr/>
          </w:pPr>
          <w:hyperlink w:anchor="__RefHeading___Toc1804536_1280447820">
            <w:r>
              <w:rPr>
                <w:webHidden/>
                <w:rStyle w:val="IndexLink"/>
                <w:rtl w:val="true"/>
              </w:rPr>
              <w:t>و عن المحدّث الكاشاني الذاهب إلى عدم انفعال القليل بملاقاة النجاسة الاحتجاج بوجوه</w:t>
            </w:r>
            <w:r>
              <w:rPr>
                <w:rStyle w:val="IndexLink"/>
                <w:rtl w:val="true"/>
              </w:rPr>
              <w:t>:</w:t>
              <w:tab/>
            </w:r>
            <w:r>
              <w:rPr>
                <w:rStyle w:val="IndexLink"/>
              </w:rPr>
              <w:t>216</w:t>
            </w:r>
          </w:hyperlink>
        </w:p>
        <w:p>
          <w:pPr>
            <w:pStyle w:val="Contents6"/>
            <w:tabs>
              <w:tab w:val="clear" w:pos="7609"/>
              <w:tab w:val="right" w:pos="9026" w:leader="dot"/>
            </w:tabs>
            <w:rPr/>
          </w:pPr>
          <w:hyperlink w:anchor="__RefHeading___Toc1804538_1280447820">
            <w:r>
              <w:rPr>
                <w:webHidden/>
                <w:rStyle w:val="IndexLink"/>
                <w:rtl w:val="true"/>
              </w:rPr>
              <w:t>أوّلها</w:t>
            </w:r>
            <w:r>
              <w:rPr>
                <w:rStyle w:val="IndexLink"/>
                <w:rtl w:val="true"/>
              </w:rPr>
              <w:t xml:space="preserve">: </w:t>
            </w:r>
            <w:r>
              <w:rPr>
                <w:rStyle w:val="IndexLink"/>
                <w:rtl w:val="true"/>
              </w:rPr>
              <w:t>ما رواه السكوني عن أبي عبد اللّه عليه السّلام أنّه قال</w:t>
            </w:r>
            <w:r>
              <w:rPr>
                <w:rStyle w:val="IndexLink"/>
                <w:rtl w:val="true"/>
              </w:rPr>
              <w:t xml:space="preserve">: </w:t>
            </w:r>
            <w:r>
              <w:rPr>
                <w:rStyle w:val="IndexLink"/>
                <w:rtl w:val="true"/>
              </w:rPr>
              <w:t>قال رسول اللّه صلّى اللّه عليه و آله و سلّم</w:t>
            </w:r>
            <w:r>
              <w:rPr>
                <w:rStyle w:val="IndexLink"/>
                <w:rtl w:val="true"/>
              </w:rPr>
              <w:t>: «</w:t>
            </w:r>
            <w:r>
              <w:rPr>
                <w:rStyle w:val="IndexLink"/>
                <w:rtl w:val="true"/>
              </w:rPr>
              <w:t>الماء يطهّر و لا يطهّر</w:t>
            </w:r>
            <w:r>
              <w:rPr>
                <w:rStyle w:val="IndexLink"/>
                <w:rtl w:val="true"/>
              </w:rPr>
              <w:t>»</w:t>
              <w:tab/>
            </w:r>
            <w:r>
              <w:rPr>
                <w:rStyle w:val="IndexLink"/>
              </w:rPr>
              <w:t>216</w:t>
            </w:r>
          </w:hyperlink>
        </w:p>
        <w:p>
          <w:pPr>
            <w:pStyle w:val="Contents6"/>
            <w:tabs>
              <w:tab w:val="clear" w:pos="7609"/>
              <w:tab w:val="right" w:pos="9026" w:leader="dot"/>
            </w:tabs>
            <w:rPr/>
          </w:pPr>
          <w:hyperlink w:anchor="__RefHeading___Toc1804540_1280447820">
            <w:r>
              <w:rPr>
                <w:webHidden/>
                <w:rStyle w:val="IndexLink"/>
                <w:rtl w:val="true"/>
              </w:rPr>
              <w:t>و ثانيها</w:t>
            </w:r>
            <w:r>
              <w:rPr>
                <w:rStyle w:val="IndexLink"/>
                <w:rtl w:val="true"/>
              </w:rPr>
              <w:t xml:space="preserve">: </w:t>
            </w:r>
            <w:r>
              <w:rPr>
                <w:rStyle w:val="IndexLink"/>
                <w:rtl w:val="true"/>
              </w:rPr>
              <w:t>أنّه لو كان معيار نجاسة الماء و طهارته نقصانه عن الكرّ و بلوغه إليه، لما جاز إزالة الخبث بالقليل منه بوجه من الوجوه مع أنّه جائز بالاتّفاق؛</w:t>
            </w:r>
            <w:r>
              <w:rPr>
                <w:rStyle w:val="IndexLink"/>
                <w:rtl w:val="true"/>
              </w:rPr>
              <w:tab/>
            </w:r>
            <w:r>
              <w:rPr>
                <w:rStyle w:val="IndexLink"/>
              </w:rPr>
              <w:t>217</w:t>
            </w:r>
          </w:hyperlink>
        </w:p>
        <w:p>
          <w:pPr>
            <w:pStyle w:val="Contents6"/>
            <w:tabs>
              <w:tab w:val="clear" w:pos="7609"/>
              <w:tab w:val="right" w:pos="9026" w:leader="dot"/>
            </w:tabs>
            <w:rPr/>
          </w:pPr>
          <w:hyperlink w:anchor="__RefHeading___Toc1804542_1280447820">
            <w:r>
              <w:rPr>
                <w:webHidden/>
                <w:rStyle w:val="IndexLink"/>
                <w:rtl w:val="true"/>
              </w:rPr>
              <w:t>و ثالثها</w:t>
            </w:r>
            <w:r>
              <w:rPr>
                <w:rStyle w:val="IndexLink"/>
                <w:rtl w:val="true"/>
              </w:rPr>
              <w:t xml:space="preserve">: </w:t>
            </w:r>
            <w:r>
              <w:rPr>
                <w:rStyle w:val="IndexLink"/>
                <w:rtl w:val="true"/>
              </w:rPr>
              <w:t>أنّ اشتراط الكرّ مثار الوسواس، و لأجله شقّ الأمر على الناس،</w:t>
            </w:r>
            <w:r>
              <w:rPr>
                <w:rStyle w:val="IndexLink"/>
                <w:rtl w:val="true"/>
              </w:rPr>
              <w:tab/>
            </w:r>
            <w:r>
              <w:rPr>
                <w:rStyle w:val="IndexLink"/>
              </w:rPr>
              <w:t>218</w:t>
            </w:r>
          </w:hyperlink>
        </w:p>
        <w:p>
          <w:pPr>
            <w:pStyle w:val="Contents6"/>
            <w:tabs>
              <w:tab w:val="clear" w:pos="7609"/>
              <w:tab w:val="right" w:pos="9026" w:leader="dot"/>
            </w:tabs>
            <w:rPr/>
          </w:pPr>
          <w:hyperlink w:anchor="__RefHeading___Toc1804544_1280447820">
            <w:r>
              <w:rPr>
                <w:webHidden/>
                <w:rStyle w:val="IndexLink"/>
                <w:rtl w:val="true"/>
              </w:rPr>
              <w:t>و رابعها</w:t>
            </w:r>
            <w:r>
              <w:rPr>
                <w:rStyle w:val="IndexLink"/>
                <w:rtl w:val="true"/>
              </w:rPr>
              <w:t xml:space="preserve">: </w:t>
            </w:r>
            <w:r>
              <w:rPr>
                <w:rStyle w:val="IndexLink"/>
                <w:rtl w:val="true"/>
              </w:rPr>
              <w:t>أنّ ما يدلّ على المشهور إنّما يدلّ بالمفهوم، و المفهوم لا يعارض المنطوق و لا الظاهر النصّ،</w:t>
            </w:r>
            <w:r>
              <w:rPr>
                <w:rStyle w:val="IndexLink"/>
                <w:rtl w:val="true"/>
              </w:rPr>
              <w:tab/>
            </w:r>
            <w:r>
              <w:rPr>
                <w:rStyle w:val="IndexLink"/>
              </w:rPr>
              <w:t>220</w:t>
            </w:r>
          </w:hyperlink>
        </w:p>
        <w:p>
          <w:pPr>
            <w:pStyle w:val="Contents6"/>
            <w:tabs>
              <w:tab w:val="clear" w:pos="7609"/>
              <w:tab w:val="right" w:pos="9026" w:leader="dot"/>
            </w:tabs>
            <w:rPr/>
          </w:pPr>
          <w:hyperlink w:anchor="__RefHeading___Toc1804546_1280447820">
            <w:r>
              <w:rPr>
                <w:webHidden/>
                <w:rStyle w:val="IndexLink"/>
                <w:rtl w:val="true"/>
              </w:rPr>
              <w:t>[</w:t>
            </w:r>
            <w:r>
              <w:rPr>
                <w:rStyle w:val="IndexLink"/>
                <w:rtl w:val="true"/>
              </w:rPr>
              <w:t>رد المصنف على المحدث الكاشاني</w:t>
            </w:r>
            <w:r>
              <w:rPr>
                <w:rStyle w:val="IndexLink"/>
                <w:rtl w:val="true"/>
              </w:rPr>
              <w:t>]</w:t>
              <w:tab/>
            </w:r>
            <w:r>
              <w:rPr>
                <w:rStyle w:val="IndexLink"/>
              </w:rPr>
              <w:t>220</w:t>
            </w:r>
          </w:hyperlink>
        </w:p>
        <w:p>
          <w:pPr>
            <w:pStyle w:val="Contents4"/>
            <w:tabs>
              <w:tab w:val="clear" w:pos="8176"/>
              <w:tab w:val="right" w:pos="9026" w:leader="dot"/>
            </w:tabs>
            <w:rPr/>
          </w:pPr>
          <w:hyperlink w:anchor="__RefHeading___Toc1804548_1280447820">
            <w:r>
              <w:rPr>
                <w:webHidden/>
                <w:rStyle w:val="IndexLink"/>
                <w:rtl w:val="true"/>
              </w:rPr>
              <w:t>ثمّ إنّه بقى الكلام في مقامين، ينبغي سوق عنان النظر إليهما</w:t>
            </w:r>
            <w:r>
              <w:rPr>
                <w:rStyle w:val="IndexLink"/>
                <w:rtl w:val="true"/>
              </w:rPr>
              <w:t>.</w:t>
              <w:tab/>
            </w:r>
            <w:r>
              <w:rPr>
                <w:rStyle w:val="IndexLink"/>
              </w:rPr>
              <w:t>242</w:t>
            </w:r>
          </w:hyperlink>
        </w:p>
        <w:p>
          <w:pPr>
            <w:pStyle w:val="Contents5"/>
            <w:tabs>
              <w:tab w:val="clear" w:pos="7892"/>
              <w:tab w:val="right" w:pos="9026" w:leader="dot"/>
            </w:tabs>
            <w:rPr/>
          </w:pPr>
          <w:hyperlink w:anchor="__RefHeading___Toc1804550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804552_1280447820">
            <w:r>
              <w:rPr>
                <w:webHidden/>
                <w:rStyle w:val="IndexLink"/>
                <w:rtl w:val="true"/>
              </w:rPr>
              <w:t xml:space="preserve">أمّا الكلام في المقام الأوّل </w:t>
            </w:r>
            <w:r>
              <w:rPr>
                <w:rStyle w:val="IndexLink"/>
                <w:rtl w:val="true"/>
              </w:rPr>
              <w:t>[</w:t>
            </w:r>
            <w:r>
              <w:rPr>
                <w:rStyle w:val="IndexLink"/>
                <w:rtl w:val="true"/>
              </w:rPr>
              <w:t>في معممات المسألة</w:t>
            </w:r>
            <w:r>
              <w:rPr>
                <w:rStyle w:val="IndexLink"/>
                <w:rtl w:val="true"/>
              </w:rPr>
              <w:t>]</w:t>
            </w:r>
            <w:r>
              <w:rPr>
                <w:rStyle w:val="IndexLink"/>
                <w:rtl w:val="true"/>
              </w:rPr>
              <w:t>،</w:t>
            </w:r>
            <w:r>
              <w:rPr>
                <w:rStyle w:val="IndexLink"/>
                <w:rtl w:val="true"/>
              </w:rPr>
              <w:tab/>
            </w:r>
            <w:r>
              <w:rPr>
                <w:rStyle w:val="IndexLink"/>
              </w:rPr>
              <w:t>242</w:t>
            </w:r>
          </w:hyperlink>
        </w:p>
        <w:p>
          <w:pPr>
            <w:pStyle w:val="Contents6"/>
            <w:tabs>
              <w:tab w:val="clear" w:pos="7609"/>
              <w:tab w:val="right" w:pos="9026" w:leader="dot"/>
            </w:tabs>
            <w:rPr/>
          </w:pPr>
          <w:hyperlink w:anchor="__RefHeading___Toc1804554_128044782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804556_1280447820">
            <w:r>
              <w:rPr>
                <w:webHidden/>
                <w:rStyle w:val="IndexLink"/>
                <w:rtl w:val="true"/>
              </w:rPr>
              <w:t>الجهة الاولى</w:t>
            </w:r>
            <w:r>
              <w:rPr>
                <w:rStyle w:val="IndexLink"/>
                <w:rtl w:val="true"/>
              </w:rPr>
              <w:t xml:space="preserve">: </w:t>
            </w:r>
            <w:r>
              <w:rPr>
                <w:rStyle w:val="IndexLink"/>
                <w:rtl w:val="true"/>
              </w:rPr>
              <w:t>يظهر من صاحب المدارك بعد ما صار إلى انفعال القليل بالملاقاة، التشكيك في انفعاله بكلّ نجس</w:t>
            </w:r>
            <w:r>
              <w:rPr>
                <w:rStyle w:val="IndexLink"/>
                <w:rtl w:val="true"/>
              </w:rPr>
              <w:tab/>
            </w:r>
            <w:r>
              <w:rPr>
                <w:rStyle w:val="IndexLink"/>
              </w:rPr>
              <w:t>242</w:t>
            </w:r>
          </w:hyperlink>
        </w:p>
        <w:p>
          <w:pPr>
            <w:pStyle w:val="Contents6"/>
            <w:tabs>
              <w:tab w:val="clear" w:pos="7609"/>
              <w:tab w:val="right" w:pos="9026" w:leader="dot"/>
            </w:tabs>
            <w:rPr/>
          </w:pPr>
          <w:hyperlink w:anchor="__RefHeading___Toc1804558_1280447820">
            <w:r>
              <w:rPr>
                <w:webHidden/>
                <w:rStyle w:val="IndexLink"/>
                <w:rtl w:val="true"/>
              </w:rPr>
              <w:t>الجهة الثانية</w:t>
            </w:r>
            <w:r>
              <w:rPr>
                <w:rStyle w:val="IndexLink"/>
                <w:rtl w:val="true"/>
              </w:rPr>
              <w:t xml:space="preserve">: </w:t>
            </w:r>
            <w:r>
              <w:rPr>
                <w:rStyle w:val="IndexLink"/>
                <w:rtl w:val="true"/>
              </w:rPr>
              <w:t>ربّما يحكى في المسألة عدم تنجيس المتنجّس، الّذي لازمه أن لا ينفعل القليل به،</w:t>
            </w:r>
            <w:r>
              <w:rPr>
                <w:rStyle w:val="IndexLink"/>
                <w:rtl w:val="true"/>
              </w:rPr>
              <w:tab/>
            </w:r>
            <w:r>
              <w:rPr>
                <w:rStyle w:val="IndexLink"/>
              </w:rPr>
              <w:t>244</w:t>
            </w:r>
          </w:hyperlink>
        </w:p>
        <w:p>
          <w:pPr>
            <w:pStyle w:val="Contents6"/>
            <w:tabs>
              <w:tab w:val="clear" w:pos="7609"/>
              <w:tab w:val="right" w:pos="9026" w:leader="dot"/>
            </w:tabs>
            <w:rPr/>
          </w:pPr>
          <w:hyperlink w:anchor="__RefHeading___Toc1804560_1280447820">
            <w:r>
              <w:rPr>
                <w:webHidden/>
                <w:rStyle w:val="IndexLink"/>
                <w:rtl w:val="true"/>
              </w:rPr>
              <w:t>الجهة الثالثة</w:t>
            </w:r>
            <w:r>
              <w:rPr>
                <w:rStyle w:val="IndexLink"/>
                <w:rtl w:val="true"/>
              </w:rPr>
              <w:t xml:space="preserve">: </w:t>
            </w:r>
            <w:r>
              <w:rPr>
                <w:rStyle w:val="IndexLink"/>
                <w:rtl w:val="true"/>
              </w:rPr>
              <w:t>عزي إلى المشهور عدم الفرق في النجاسة الموجبة للانفعال بين كثيرها و قليلها</w:t>
            </w:r>
            <w:r>
              <w:rPr>
                <w:rStyle w:val="IndexLink"/>
                <w:rtl w:val="true"/>
              </w:rPr>
              <w:tab/>
            </w:r>
            <w:r>
              <w:rPr>
                <w:rStyle w:val="IndexLink"/>
              </w:rPr>
              <w:t>246</w:t>
            </w:r>
          </w:hyperlink>
        </w:p>
        <w:p>
          <w:pPr>
            <w:pStyle w:val="Contents6"/>
            <w:tabs>
              <w:tab w:val="clear" w:pos="7609"/>
              <w:tab w:val="right" w:pos="9026" w:leader="dot"/>
            </w:tabs>
            <w:rPr/>
          </w:pPr>
          <w:hyperlink w:anchor="__RefHeading___Toc1804562_1280447820">
            <w:r>
              <w:rPr>
                <w:webHidden/>
                <w:rStyle w:val="IndexLink"/>
                <w:rtl w:val="true"/>
              </w:rPr>
              <w:t>الجهة الرابعة</w:t>
            </w:r>
            <w:r>
              <w:rPr>
                <w:rStyle w:val="IndexLink"/>
                <w:rtl w:val="true"/>
              </w:rPr>
              <w:t xml:space="preserve">: </w:t>
            </w:r>
            <w:r>
              <w:rPr>
                <w:rStyle w:val="IndexLink"/>
                <w:rtl w:val="true"/>
              </w:rPr>
              <w:t>قد استفاض نقل الشهرة في عدم الفرق في انفعال الماء القليل بملاقاة النجاسة بين ورودها عليه، أو وروده عليها، أو تواردهما،</w:t>
            </w:r>
            <w:r>
              <w:rPr>
                <w:rStyle w:val="IndexLink"/>
                <w:rtl w:val="true"/>
              </w:rPr>
              <w:tab/>
            </w:r>
            <w:r>
              <w:rPr>
                <w:rStyle w:val="IndexLink"/>
              </w:rPr>
              <w:t>251</w:t>
            </w:r>
          </w:hyperlink>
        </w:p>
        <w:p>
          <w:pPr>
            <w:pStyle w:val="Contents6"/>
            <w:tabs>
              <w:tab w:val="clear" w:pos="7609"/>
              <w:tab w:val="right" w:pos="9026" w:leader="dot"/>
            </w:tabs>
            <w:rPr/>
          </w:pPr>
          <w:hyperlink w:anchor="__RefHeading___Toc1804564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804566_1280447820">
            <w:r>
              <w:rPr>
                <w:webHidden/>
                <w:rStyle w:val="IndexLink"/>
                <w:rtl w:val="true"/>
              </w:rPr>
              <w:t>و على أيّ حال فالحقّ هو المشهور المنصور لوجوه</w:t>
            </w:r>
            <w:r>
              <w:rPr>
                <w:rStyle w:val="IndexLink"/>
                <w:rtl w:val="true"/>
              </w:rPr>
              <w:t>.</w:t>
              <w:tab/>
            </w:r>
            <w:r>
              <w:rPr>
                <w:rStyle w:val="IndexLink"/>
              </w:rPr>
              <w:t>254</w:t>
            </w:r>
          </w:hyperlink>
        </w:p>
        <w:p>
          <w:pPr>
            <w:pStyle w:val="Contents6"/>
            <w:tabs>
              <w:tab w:val="clear" w:pos="7609"/>
              <w:tab w:val="right" w:pos="9026" w:leader="dot"/>
            </w:tabs>
            <w:rPr/>
          </w:pPr>
          <w:hyperlink w:anchor="__RefHeading___Toc1804568_1280447820">
            <w:r>
              <w:rPr>
                <w:webHidden/>
                <w:rStyle w:val="IndexLink"/>
                <w:rtl w:val="true"/>
              </w:rPr>
              <w:t>الأوّل</w:t>
            </w:r>
            <w:r>
              <w:rPr>
                <w:rStyle w:val="IndexLink"/>
                <w:rtl w:val="true"/>
              </w:rPr>
              <w:t xml:space="preserve">: </w:t>
            </w:r>
            <w:r>
              <w:rPr>
                <w:rStyle w:val="IndexLink"/>
                <w:rtl w:val="true"/>
              </w:rPr>
              <w:t xml:space="preserve">ظاهر الخبر المستفيض </w:t>
            </w:r>
            <w:r>
              <w:rPr>
                <w:rStyle w:val="IndexLink"/>
                <w:rtl w:val="true"/>
              </w:rPr>
              <w:t>«</w:t>
            </w:r>
            <w:r>
              <w:rPr>
                <w:rStyle w:val="IndexLink"/>
                <w:rtl w:val="true"/>
              </w:rPr>
              <w:t>إذا كان الماء قدر كرّ لم ينجّسه شيء</w:t>
            </w:r>
            <w:r>
              <w:rPr>
                <w:rStyle w:val="IndexLink"/>
                <w:rtl w:val="true"/>
              </w:rPr>
              <w:t xml:space="preserve">» </w:t>
            </w:r>
            <w:r>
              <w:rPr>
                <w:rStyle w:val="IndexLink"/>
                <w:rtl w:val="true"/>
              </w:rPr>
              <w:t>فإنّه بعموم مفهومه التابع لعموم منطوقه يشمل المقام و غيره،</w:t>
            </w:r>
            <w:r>
              <w:rPr>
                <w:rStyle w:val="IndexLink"/>
                <w:rtl w:val="true"/>
              </w:rPr>
              <w:tab/>
            </w:r>
            <w:r>
              <w:rPr>
                <w:rStyle w:val="IndexLink"/>
              </w:rPr>
              <w:t>254</w:t>
            </w:r>
          </w:hyperlink>
        </w:p>
        <w:p>
          <w:pPr>
            <w:pStyle w:val="Contents6"/>
            <w:tabs>
              <w:tab w:val="clear" w:pos="7609"/>
              <w:tab w:val="right" w:pos="9026" w:leader="dot"/>
            </w:tabs>
            <w:rPr/>
          </w:pPr>
          <w:hyperlink w:anchor="__RefHeading___Toc1804570_1280447820">
            <w:r>
              <w:rPr>
                <w:webHidden/>
                <w:rStyle w:val="IndexLink"/>
                <w:rtl w:val="true"/>
              </w:rPr>
              <w:t>الثاني</w:t>
            </w:r>
            <w:r>
              <w:rPr>
                <w:rStyle w:val="IndexLink"/>
                <w:rtl w:val="true"/>
              </w:rPr>
              <w:t xml:space="preserve">: </w:t>
            </w:r>
            <w:r>
              <w:rPr>
                <w:rStyle w:val="IndexLink"/>
                <w:rtl w:val="true"/>
              </w:rPr>
              <w:t>إطلاق جملة من الروايات المتقدّمة</w:t>
            </w:r>
            <w:r>
              <w:rPr>
                <w:rStyle w:val="IndexLink"/>
                <w:rtl w:val="true"/>
              </w:rPr>
              <w:tab/>
            </w:r>
            <w:r>
              <w:rPr>
                <w:rStyle w:val="IndexLink"/>
              </w:rPr>
              <w:t>255</w:t>
            </w:r>
          </w:hyperlink>
        </w:p>
        <w:p>
          <w:pPr>
            <w:pStyle w:val="Contents6"/>
            <w:tabs>
              <w:tab w:val="clear" w:pos="7609"/>
              <w:tab w:val="right" w:pos="9026" w:leader="dot"/>
            </w:tabs>
            <w:rPr/>
          </w:pPr>
          <w:hyperlink w:anchor="__RefHeading___Toc1804572_1280447820">
            <w:r>
              <w:rPr>
                <w:webHidden/>
                <w:rStyle w:val="IndexLink"/>
                <w:rtl w:val="true"/>
              </w:rPr>
              <w:t>و الثالث</w:t>
            </w:r>
            <w:r>
              <w:rPr>
                <w:rStyle w:val="IndexLink"/>
                <w:rtl w:val="true"/>
              </w:rPr>
              <w:t xml:space="preserve">: </w:t>
            </w:r>
            <w:r>
              <w:rPr>
                <w:rStyle w:val="IndexLink"/>
                <w:rtl w:val="true"/>
              </w:rPr>
              <w:t>جملة من الروايات أيضا صريحة أو ظاهرة كالصريحة في خصوص المسألة المبحوث عنها،</w:t>
            </w:r>
            <w:r>
              <w:rPr>
                <w:rStyle w:val="IndexLink"/>
                <w:rtl w:val="true"/>
              </w:rPr>
              <w:tab/>
            </w:r>
            <w:r>
              <w:rPr>
                <w:rStyle w:val="IndexLink"/>
              </w:rPr>
              <w:t>256</w:t>
            </w:r>
          </w:hyperlink>
        </w:p>
        <w:p>
          <w:pPr>
            <w:pStyle w:val="Contents6"/>
            <w:tabs>
              <w:tab w:val="clear" w:pos="7609"/>
              <w:tab w:val="right" w:pos="9026" w:leader="dot"/>
            </w:tabs>
            <w:rPr/>
          </w:pPr>
          <w:hyperlink w:anchor="__RefHeading___Toc1804574_1280447820">
            <w:r>
              <w:rPr>
                <w:webHidden/>
                <w:rStyle w:val="IndexLink"/>
                <w:rtl w:val="true"/>
              </w:rPr>
              <w:t>و الرابع</w:t>
            </w:r>
            <w:r>
              <w:rPr>
                <w:rStyle w:val="IndexLink"/>
                <w:rtl w:val="true"/>
              </w:rPr>
              <w:t xml:space="preserve">: </w:t>
            </w:r>
            <w:r>
              <w:rPr>
                <w:rStyle w:val="IndexLink"/>
                <w:rtl w:val="true"/>
              </w:rPr>
              <w:t>إطلاق الإجماعات المحكيّة في المسألة على حدّ الاستفاضة</w:t>
            </w:r>
            <w:r>
              <w:rPr>
                <w:rStyle w:val="IndexLink"/>
                <w:rtl w:val="true"/>
              </w:rPr>
              <w:t>.</w:t>
              <w:tab/>
            </w:r>
            <w:r>
              <w:rPr>
                <w:rStyle w:val="IndexLink"/>
              </w:rPr>
              <w:t>257</w:t>
            </w:r>
          </w:hyperlink>
        </w:p>
        <w:p>
          <w:pPr>
            <w:pStyle w:val="Contents5"/>
            <w:tabs>
              <w:tab w:val="clear" w:pos="7892"/>
              <w:tab w:val="right" w:pos="9026" w:leader="dot"/>
            </w:tabs>
            <w:rPr/>
          </w:pPr>
          <w:hyperlink w:anchor="__RefHeading___Toc1804576_1280447820">
            <w:r>
              <w:rPr>
                <w:webHidden/>
                <w:rStyle w:val="IndexLink"/>
                <w:rtl w:val="true"/>
              </w:rPr>
              <w:t>المقام الثاني</w:t>
            </w:r>
            <w:r>
              <w:rPr>
                <w:rStyle w:val="IndexLink"/>
                <w:rtl w:val="true"/>
              </w:rPr>
              <w:t xml:space="preserve">: </w:t>
            </w:r>
            <w:r>
              <w:rPr>
                <w:rStyle w:val="IndexLink"/>
                <w:rtl w:val="true"/>
              </w:rPr>
              <w:t>في مستثنيات قاعدة الانفعال ممّا هو محلّ وفاق و ما هو محلّ خلاف،</w:t>
            </w:r>
            <w:r>
              <w:rPr>
                <w:rStyle w:val="IndexLink"/>
                <w:rtl w:val="true"/>
              </w:rPr>
              <w:tab/>
            </w:r>
            <w:r>
              <w:rPr>
                <w:rStyle w:val="IndexLink"/>
              </w:rPr>
              <w:t>259</w:t>
            </w:r>
          </w:hyperlink>
        </w:p>
        <w:p>
          <w:pPr>
            <w:pStyle w:val="Contents6"/>
            <w:tabs>
              <w:tab w:val="clear" w:pos="7609"/>
              <w:tab w:val="right" w:pos="9026" w:leader="dot"/>
            </w:tabs>
            <w:rPr/>
          </w:pPr>
          <w:hyperlink w:anchor="__RefHeading___Toc1804578_1280447820">
            <w:r>
              <w:rPr>
                <w:webHidden/>
                <w:rStyle w:val="IndexLink"/>
                <w:rtl w:val="true"/>
              </w:rPr>
              <w:t>و قبل الخوض فيها ينبغي الإشارة إلى دقيقة ينكشف بها بعض الفوائد و الغفلات،</w:t>
            </w:r>
            <w:r>
              <w:rPr>
                <w:rStyle w:val="IndexLink"/>
                <w:rtl w:val="true"/>
              </w:rPr>
              <w:tab/>
            </w:r>
            <w:r>
              <w:rPr>
                <w:rStyle w:val="IndexLink"/>
              </w:rPr>
              <w:t>259</w:t>
            </w:r>
          </w:hyperlink>
        </w:p>
        <w:p>
          <w:pPr>
            <w:pStyle w:val="Contents6"/>
            <w:tabs>
              <w:tab w:val="clear" w:pos="7609"/>
              <w:tab w:val="right" w:pos="9026" w:leader="dot"/>
            </w:tabs>
            <w:rPr/>
          </w:pPr>
          <w:hyperlink w:anchor="__RefHeading___Toc1804580_1280447820">
            <w:r>
              <w:rPr>
                <w:webHidden/>
                <w:rStyle w:val="IndexLink"/>
                <w:rtl w:val="true"/>
              </w:rPr>
              <w:t>[</w:t>
            </w:r>
            <w:r>
              <w:rPr>
                <w:rStyle w:val="IndexLink"/>
                <w:rtl w:val="true"/>
              </w:rPr>
              <w:t>الأول القليل الوارد على النجاسة</w:t>
            </w:r>
            <w:r>
              <w:rPr>
                <w:rStyle w:val="IndexLink"/>
                <w:rtl w:val="true"/>
              </w:rPr>
              <w:t>]</w:t>
              <w:tab/>
            </w:r>
            <w:r>
              <w:rPr>
                <w:rStyle w:val="IndexLink"/>
              </w:rPr>
              <w:t>259</w:t>
            </w:r>
          </w:hyperlink>
        </w:p>
        <w:p>
          <w:pPr>
            <w:pStyle w:val="Contents6"/>
            <w:tabs>
              <w:tab w:val="clear" w:pos="7609"/>
              <w:tab w:val="right" w:pos="9026" w:leader="dot"/>
            </w:tabs>
            <w:rPr/>
          </w:pPr>
          <w:hyperlink w:anchor="__RefHeading___Toc1804582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804584_1280447820">
            <w:r>
              <w:rPr>
                <w:webHidden/>
                <w:rStyle w:val="IndexLink"/>
                <w:rtl w:val="true"/>
              </w:rPr>
              <w:t>ثمّ إنّ هاهنا فروعا ينبغي الإشارة إليها</w:t>
            </w:r>
            <w:r>
              <w:rPr>
                <w:rStyle w:val="IndexLink"/>
                <w:rtl w:val="true"/>
              </w:rPr>
              <w:t>.</w:t>
              <w:tab/>
            </w:r>
            <w:r>
              <w:rPr>
                <w:rStyle w:val="IndexLink"/>
              </w:rPr>
              <w:t>265</w:t>
            </w:r>
          </w:hyperlink>
        </w:p>
        <w:p>
          <w:pPr>
            <w:pStyle w:val="Contents6"/>
            <w:tabs>
              <w:tab w:val="clear" w:pos="7609"/>
              <w:tab w:val="right" w:pos="9026" w:leader="dot"/>
            </w:tabs>
            <w:rPr/>
          </w:pPr>
          <w:hyperlink w:anchor="__RefHeading___Toc1804586_1280447820">
            <w:r>
              <w:rPr>
                <w:webHidden/>
                <w:rStyle w:val="IndexLink"/>
                <w:rtl w:val="true"/>
              </w:rPr>
              <w:t>أحدها</w:t>
            </w:r>
            <w:r>
              <w:rPr>
                <w:rStyle w:val="IndexLink"/>
                <w:rtl w:val="true"/>
              </w:rPr>
              <w:t xml:space="preserve">: </w:t>
            </w:r>
            <w:r>
              <w:rPr>
                <w:rStyle w:val="IndexLink"/>
                <w:rtl w:val="true"/>
              </w:rPr>
              <w:t>هل الحكم يثبت للعالي بجميع أجزائه حتّى الجزء الملاصق للنجس أو المتنجّس، أو يختصّ بما عدا ذلك الجزء؟</w:t>
            </w:r>
            <w:r>
              <w:rPr>
                <w:rStyle w:val="IndexLink"/>
                <w:rtl w:val="true"/>
              </w:rPr>
              <w:tab/>
            </w:r>
            <w:r>
              <w:rPr>
                <w:rStyle w:val="IndexLink"/>
              </w:rPr>
              <w:t>265</w:t>
            </w:r>
          </w:hyperlink>
        </w:p>
        <w:p>
          <w:pPr>
            <w:pStyle w:val="Contents6"/>
            <w:tabs>
              <w:tab w:val="clear" w:pos="7609"/>
              <w:tab w:val="right" w:pos="9026" w:leader="dot"/>
            </w:tabs>
            <w:rPr/>
          </w:pPr>
          <w:hyperlink w:anchor="__RefHeading___Toc1804588_1280447820">
            <w:r>
              <w:rPr>
                <w:webHidden/>
                <w:rStyle w:val="IndexLink"/>
                <w:rtl w:val="true"/>
              </w:rPr>
              <w:t>و ثانيها</w:t>
            </w:r>
            <w:r>
              <w:rPr>
                <w:rStyle w:val="IndexLink"/>
                <w:rtl w:val="true"/>
              </w:rPr>
              <w:t xml:space="preserve">: </w:t>
            </w:r>
            <w:r>
              <w:rPr>
                <w:rStyle w:val="IndexLink"/>
                <w:rtl w:val="true"/>
              </w:rPr>
              <w:t>ظاهر عباراتهم فتوى و نقلا للإجماع أن يكون المراد بالعلوّ و الاستعلاء الارتفاع بحسب المكان،</w:t>
            </w:r>
            <w:r>
              <w:rPr>
                <w:rStyle w:val="IndexLink"/>
                <w:rtl w:val="true"/>
              </w:rPr>
              <w:tab/>
            </w:r>
            <w:r>
              <w:rPr>
                <w:rStyle w:val="IndexLink"/>
              </w:rPr>
              <w:t>265</w:t>
            </w:r>
          </w:hyperlink>
        </w:p>
        <w:p>
          <w:pPr>
            <w:pStyle w:val="Contents6"/>
            <w:tabs>
              <w:tab w:val="clear" w:pos="7609"/>
              <w:tab w:val="right" w:pos="9026" w:leader="dot"/>
            </w:tabs>
            <w:rPr/>
          </w:pPr>
          <w:hyperlink w:anchor="__RefHeading___Toc1804590_1280447820">
            <w:r>
              <w:rPr>
                <w:webHidden/>
                <w:rStyle w:val="IndexLink"/>
                <w:rtl w:val="true"/>
              </w:rPr>
              <w:t>و ثالثها</w:t>
            </w:r>
            <w:r>
              <w:rPr>
                <w:rStyle w:val="IndexLink"/>
                <w:rtl w:val="true"/>
              </w:rPr>
              <w:t xml:space="preserve">: </w:t>
            </w:r>
            <w:r>
              <w:rPr>
                <w:rStyle w:val="IndexLink"/>
                <w:rtl w:val="true"/>
              </w:rPr>
              <w:t>قد عرفت في بحث الكرّ أنّ العلوّ قد يكون على جهة التسنيم و قد يكون على جهة الانحدار،</w:t>
            </w:r>
            <w:r>
              <w:rPr>
                <w:rStyle w:val="IndexLink"/>
                <w:rtl w:val="true"/>
              </w:rPr>
              <w:tab/>
            </w:r>
            <w:r>
              <w:rPr>
                <w:rStyle w:val="IndexLink"/>
              </w:rPr>
              <w:t>266</w:t>
            </w:r>
          </w:hyperlink>
        </w:p>
        <w:p>
          <w:pPr>
            <w:pStyle w:val="Contents6"/>
            <w:tabs>
              <w:tab w:val="clear" w:pos="7609"/>
              <w:tab w:val="right" w:pos="9026" w:leader="dot"/>
            </w:tabs>
            <w:rPr/>
          </w:pPr>
          <w:hyperlink w:anchor="__RefHeading___Toc1804592_1280447820">
            <w:r>
              <w:rPr>
                <w:webHidden/>
                <w:rStyle w:val="IndexLink"/>
                <w:rtl w:val="true"/>
              </w:rPr>
              <w:t>و رابعها</w:t>
            </w:r>
            <w:r>
              <w:rPr>
                <w:rStyle w:val="IndexLink"/>
                <w:rtl w:val="true"/>
              </w:rPr>
              <w:t xml:space="preserve">: </w:t>
            </w:r>
            <w:r>
              <w:rPr>
                <w:rStyle w:val="IndexLink"/>
                <w:rtl w:val="true"/>
              </w:rPr>
              <w:t>في إلحاق المضاف بالماء في عدم نجاسة أعلاه بأسفله قولان،</w:t>
            </w:r>
            <w:r>
              <w:rPr>
                <w:rStyle w:val="IndexLink"/>
                <w:rtl w:val="true"/>
              </w:rPr>
              <w:tab/>
            </w:r>
            <w:r>
              <w:rPr>
                <w:rStyle w:val="IndexLink"/>
              </w:rPr>
              <w:t>267</w:t>
            </w:r>
          </w:hyperlink>
        </w:p>
        <w:p>
          <w:pPr>
            <w:pStyle w:val="Contents6"/>
            <w:tabs>
              <w:tab w:val="clear" w:pos="7609"/>
              <w:tab w:val="right" w:pos="9026" w:leader="dot"/>
            </w:tabs>
            <w:rPr/>
          </w:pPr>
          <w:hyperlink w:anchor="__RefHeading___Toc1804594_1280447820">
            <w:r>
              <w:rPr>
                <w:webHidden/>
                <w:rStyle w:val="IndexLink"/>
                <w:rtl w:val="true"/>
              </w:rPr>
              <w:t>و الثاني</w:t>
            </w:r>
            <w:r>
              <w:rPr>
                <w:rStyle w:val="IndexLink"/>
                <w:rtl w:val="true"/>
              </w:rPr>
              <w:t xml:space="preserve">: </w:t>
            </w:r>
            <w:r>
              <w:rPr>
                <w:rStyle w:val="IndexLink"/>
                <w:rtl w:val="true"/>
              </w:rPr>
              <w:t>ممّا استثنى منها وفاقا في الجملة ماء الاستنجاء،</w:t>
            </w:r>
            <w:r>
              <w:rPr>
                <w:rStyle w:val="IndexLink"/>
                <w:rtl w:val="true"/>
              </w:rPr>
              <w:tab/>
            </w:r>
            <w:r>
              <w:rPr>
                <w:rStyle w:val="IndexLink"/>
              </w:rPr>
              <w:t>270</w:t>
            </w:r>
          </w:hyperlink>
        </w:p>
        <w:p>
          <w:pPr>
            <w:pStyle w:val="Contents6"/>
            <w:tabs>
              <w:tab w:val="clear" w:pos="7609"/>
              <w:tab w:val="right" w:pos="9026" w:leader="dot"/>
            </w:tabs>
            <w:rPr/>
          </w:pPr>
          <w:hyperlink w:anchor="__RefHeading___Toc1804596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804598_1280447820">
            <w:r>
              <w:rPr>
                <w:webHidden/>
                <w:rStyle w:val="IndexLink"/>
                <w:rtl w:val="true"/>
              </w:rPr>
              <w:t>و كيف كان فالبحث في ماء الاستنجاء مفروض عندهم في مسألتين</w:t>
            </w:r>
            <w:r>
              <w:rPr>
                <w:rStyle w:val="IndexLink"/>
                <w:rtl w:val="true"/>
              </w:rPr>
              <w:t>:</w:t>
              <w:tab/>
            </w:r>
            <w:r>
              <w:rPr>
                <w:rStyle w:val="IndexLink"/>
              </w:rPr>
              <w:t>271</w:t>
            </w:r>
          </w:hyperlink>
        </w:p>
        <w:p>
          <w:pPr>
            <w:pStyle w:val="Contents6"/>
            <w:tabs>
              <w:tab w:val="clear" w:pos="7609"/>
              <w:tab w:val="right" w:pos="9026" w:leader="dot"/>
            </w:tabs>
            <w:rPr/>
          </w:pPr>
          <w:hyperlink w:anchor="__RefHeading___Toc1804600_1280447820">
            <w:r>
              <w:rPr>
                <w:webHidden/>
                <w:rStyle w:val="IndexLink"/>
                <w:rtl w:val="true"/>
              </w:rPr>
              <w:t>و إذا تقرّر هذا كلّه فلا مناص من إيراد الكلام في الجهتين معا</w:t>
            </w:r>
            <w:r>
              <w:rPr>
                <w:rStyle w:val="IndexLink"/>
                <w:rtl w:val="true"/>
              </w:rPr>
              <w:t>.</w:t>
              <w:tab/>
            </w:r>
            <w:r>
              <w:rPr>
                <w:rStyle w:val="IndexLink"/>
              </w:rPr>
              <w:t>289</w:t>
            </w:r>
          </w:hyperlink>
        </w:p>
        <w:p>
          <w:pPr>
            <w:pStyle w:val="Contents6"/>
            <w:tabs>
              <w:tab w:val="clear" w:pos="7609"/>
              <w:tab w:val="right" w:pos="9026" w:leader="dot"/>
            </w:tabs>
            <w:rPr/>
          </w:pPr>
          <w:hyperlink w:anchor="__RefHeading___Toc1804602_1280447820">
            <w:r>
              <w:rPr>
                <w:webHidden/>
                <w:rStyle w:val="IndexLink"/>
                <w:rtl w:val="true"/>
              </w:rPr>
              <w:t>أمّا الجهة الاولى</w:t>
            </w:r>
            <w:r>
              <w:rPr>
                <w:rStyle w:val="IndexLink"/>
                <w:rtl w:val="true"/>
              </w:rPr>
              <w:t xml:space="preserve">: </w:t>
            </w:r>
            <w:r>
              <w:rPr>
                <w:rStyle w:val="IndexLink"/>
                <w:rtl w:val="true"/>
              </w:rPr>
              <w:t>فالحقّ فيها أنّ ماء الاستنجاء و إن كان من أفراد القليل الملاقي للنجاسة، و لكنّه لا ينجّس بتلك الملاقاة،</w:t>
            </w:r>
            <w:r>
              <w:rPr>
                <w:rStyle w:val="IndexLink"/>
                <w:rtl w:val="true"/>
              </w:rPr>
              <w:tab/>
            </w:r>
            <w:r>
              <w:rPr>
                <w:rStyle w:val="IndexLink"/>
              </w:rPr>
              <w:t>289</w:t>
            </w:r>
          </w:hyperlink>
        </w:p>
        <w:p>
          <w:pPr>
            <w:pStyle w:val="Contents6"/>
            <w:tabs>
              <w:tab w:val="clear" w:pos="7609"/>
              <w:tab w:val="right" w:pos="9026" w:leader="dot"/>
            </w:tabs>
            <w:rPr/>
          </w:pPr>
          <w:hyperlink w:anchor="__RefHeading___Toc1804604_1280447820">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804606_1280447820">
            <w:r>
              <w:rPr>
                <w:webHidden/>
                <w:rStyle w:val="IndexLink"/>
                <w:rtl w:val="true"/>
              </w:rPr>
              <w:t>و احتجّ موافقونا في الاختيار بوجوه</w:t>
            </w:r>
            <w:r>
              <w:rPr>
                <w:rStyle w:val="IndexLink"/>
                <w:rtl w:val="true"/>
              </w:rPr>
              <w:t>:</w:t>
              <w:tab/>
            </w:r>
            <w:r>
              <w:rPr>
                <w:rStyle w:val="IndexLink"/>
              </w:rPr>
              <w:t>289</w:t>
            </w:r>
          </w:hyperlink>
        </w:p>
        <w:p>
          <w:pPr>
            <w:pStyle w:val="Contents6"/>
            <w:tabs>
              <w:tab w:val="clear" w:pos="7609"/>
              <w:tab w:val="right" w:pos="9026" w:leader="dot"/>
            </w:tabs>
            <w:rPr/>
          </w:pPr>
          <w:hyperlink w:anchor="__RefHeading___Toc1804608_1280447820">
            <w:r>
              <w:rPr>
                <w:webHidden/>
                <w:rStyle w:val="IndexLink"/>
                <w:rtl w:val="true"/>
              </w:rPr>
              <w:t>منها</w:t>
            </w:r>
            <w:r>
              <w:rPr>
                <w:rStyle w:val="IndexLink"/>
                <w:rtl w:val="true"/>
              </w:rPr>
              <w:t xml:space="preserve">: </w:t>
            </w:r>
            <w:r>
              <w:rPr>
                <w:rStyle w:val="IndexLink"/>
                <w:rtl w:val="true"/>
              </w:rPr>
              <w:t>ما عن الذخيرة و المشارق و مجمع الفائدة من أصالة الطهارة، و استصحابها،</w:t>
            </w:r>
            <w:r>
              <w:rPr>
                <w:rStyle w:val="IndexLink"/>
                <w:rtl w:val="true"/>
              </w:rPr>
              <w:tab/>
            </w:r>
            <w:r>
              <w:rPr>
                <w:rStyle w:val="IndexLink"/>
              </w:rPr>
              <w:t>289</w:t>
            </w:r>
          </w:hyperlink>
        </w:p>
        <w:p>
          <w:pPr>
            <w:pStyle w:val="Contents6"/>
            <w:tabs>
              <w:tab w:val="clear" w:pos="7609"/>
              <w:tab w:val="right" w:pos="9026" w:leader="dot"/>
            </w:tabs>
            <w:rPr/>
          </w:pPr>
          <w:hyperlink w:anchor="__RefHeading___Toc1804610_1280447820">
            <w:r>
              <w:rPr>
                <w:webHidden/>
                <w:rStyle w:val="IndexLink"/>
                <w:rtl w:val="true"/>
              </w:rPr>
              <w:t>و منها</w:t>
            </w:r>
            <w:r>
              <w:rPr>
                <w:rStyle w:val="IndexLink"/>
                <w:rtl w:val="true"/>
              </w:rPr>
              <w:t xml:space="preserve">: </w:t>
            </w:r>
            <w:r>
              <w:rPr>
                <w:rStyle w:val="IndexLink"/>
                <w:rtl w:val="true"/>
              </w:rPr>
              <w:t>ما احتجّ به جماعة من لزوم العسر و المشقّة لو لا البناء على الطهارة</w:t>
            </w:r>
            <w:r>
              <w:rPr>
                <w:rStyle w:val="IndexLink"/>
                <w:rtl w:val="true"/>
              </w:rPr>
              <w:t>.</w:t>
              <w:tab/>
            </w:r>
            <w:r>
              <w:rPr>
                <w:rStyle w:val="IndexLink"/>
              </w:rPr>
              <w:t>290</w:t>
            </w:r>
          </w:hyperlink>
        </w:p>
        <w:p>
          <w:pPr>
            <w:pStyle w:val="Contents6"/>
            <w:tabs>
              <w:tab w:val="clear" w:pos="7609"/>
              <w:tab w:val="right" w:pos="9026" w:leader="dot"/>
            </w:tabs>
            <w:rPr/>
          </w:pPr>
          <w:hyperlink w:anchor="__RefHeading___Toc1804612_1280447820">
            <w:r>
              <w:rPr>
                <w:webHidden/>
                <w:rStyle w:val="IndexLink"/>
                <w:rtl w:val="true"/>
              </w:rPr>
              <w:t>و منها</w:t>
            </w:r>
            <w:r>
              <w:rPr>
                <w:rStyle w:val="IndexLink"/>
                <w:rtl w:val="true"/>
              </w:rPr>
              <w:t xml:space="preserve">: </w:t>
            </w:r>
            <w:r>
              <w:rPr>
                <w:rStyle w:val="IndexLink"/>
                <w:rtl w:val="true"/>
              </w:rPr>
              <w:t>ما تكرّر الاحتجاج به في كلام الأصحاب من الأخبار المتقدّم بيانها،</w:t>
            </w:r>
            <w:r>
              <w:rPr>
                <w:rStyle w:val="IndexLink"/>
                <w:rtl w:val="true"/>
              </w:rPr>
              <w:tab/>
            </w:r>
            <w:r>
              <w:rPr>
                <w:rStyle w:val="IndexLink"/>
              </w:rPr>
              <w:t>291</w:t>
            </w:r>
          </w:hyperlink>
        </w:p>
        <w:p>
          <w:pPr>
            <w:pStyle w:val="Contents6"/>
            <w:tabs>
              <w:tab w:val="clear" w:pos="7609"/>
              <w:tab w:val="right" w:pos="9026" w:leader="dot"/>
            </w:tabs>
            <w:rPr/>
          </w:pPr>
          <w:hyperlink w:anchor="__RefHeading___Toc1804614_1280447820">
            <w:r>
              <w:rPr>
                <w:webHidden/>
                <w:rStyle w:val="IndexLink"/>
                <w:rtl w:val="true"/>
              </w:rPr>
              <w:t>ثمّ إنّهم رضوان اللّه عليهم ذكروا لما صاروا إليه من طهارة ماء الاستنجاء أو العفو عنه شروطا، بعضها محلّ وفاق عندهم و البعض الآخر محلّ خلاف</w:t>
            </w:r>
            <w:r>
              <w:rPr>
                <w:rStyle w:val="IndexLink"/>
                <w:rtl w:val="true"/>
              </w:rPr>
              <w:t>.</w:t>
              <w:tab/>
            </w:r>
            <w:r>
              <w:rPr>
                <w:rStyle w:val="IndexLink"/>
              </w:rPr>
              <w:t>299</w:t>
            </w:r>
          </w:hyperlink>
        </w:p>
        <w:p>
          <w:pPr>
            <w:pStyle w:val="Contents6"/>
            <w:tabs>
              <w:tab w:val="clear" w:pos="7609"/>
              <w:tab w:val="right" w:pos="9026" w:leader="dot"/>
            </w:tabs>
            <w:rPr/>
          </w:pPr>
          <w:hyperlink w:anchor="__RefHeading___Toc1804616_1280447820">
            <w:r>
              <w:rPr>
                <w:webHidden/>
                <w:rStyle w:val="IndexLink"/>
                <w:rtl w:val="true"/>
              </w:rPr>
              <w:t>أوّلها</w:t>
            </w:r>
            <w:r>
              <w:rPr>
                <w:rStyle w:val="IndexLink"/>
                <w:rtl w:val="true"/>
              </w:rPr>
              <w:t xml:space="preserve">: </w:t>
            </w:r>
            <w:r>
              <w:rPr>
                <w:rStyle w:val="IndexLink"/>
                <w:rtl w:val="true"/>
              </w:rPr>
              <w:t>عدم تغيّره بالنجاسة في أحد أوصافه الثلاثة،</w:t>
            </w:r>
            <w:r>
              <w:rPr>
                <w:rStyle w:val="IndexLink"/>
                <w:rtl w:val="true"/>
              </w:rPr>
              <w:tab/>
            </w:r>
            <w:r>
              <w:rPr>
                <w:rStyle w:val="IndexLink"/>
              </w:rPr>
              <w:t>299</w:t>
            </w:r>
          </w:hyperlink>
        </w:p>
        <w:p>
          <w:pPr>
            <w:pStyle w:val="Contents6"/>
            <w:tabs>
              <w:tab w:val="clear" w:pos="7609"/>
              <w:tab w:val="right" w:pos="9026" w:leader="dot"/>
            </w:tabs>
            <w:rPr/>
          </w:pPr>
          <w:hyperlink w:anchor="__RefHeading___Toc1804618_1280447820">
            <w:r>
              <w:rPr>
                <w:webHidden/>
                <w:rStyle w:val="IndexLink"/>
                <w:rtl w:val="true"/>
              </w:rPr>
              <w:t>و ثانيها</w:t>
            </w:r>
            <w:r>
              <w:rPr>
                <w:rStyle w:val="IndexLink"/>
                <w:rtl w:val="true"/>
              </w:rPr>
              <w:t xml:space="preserve">: </w:t>
            </w:r>
            <w:r>
              <w:rPr>
                <w:rStyle w:val="IndexLink"/>
                <w:rtl w:val="true"/>
              </w:rPr>
              <w:t>أن لا يقع ماء الاستنجاء على نجاسة خارجة عن حقيقة الحدث المستنجى منه</w:t>
            </w:r>
            <w:r>
              <w:rPr>
                <w:rStyle w:val="IndexLink"/>
                <w:rtl w:val="true"/>
              </w:rPr>
              <w:tab/>
            </w:r>
            <w:r>
              <w:rPr>
                <w:rStyle w:val="IndexLink"/>
              </w:rPr>
              <w:t>304</w:t>
            </w:r>
          </w:hyperlink>
        </w:p>
        <w:p>
          <w:pPr>
            <w:pStyle w:val="Contents6"/>
            <w:tabs>
              <w:tab w:val="clear" w:pos="7609"/>
              <w:tab w:val="right" w:pos="9026" w:leader="dot"/>
            </w:tabs>
            <w:rPr/>
          </w:pPr>
          <w:hyperlink w:anchor="__RefHeading___Toc1804620_1280447820">
            <w:r>
              <w:rPr>
                <w:webHidden/>
                <w:rStyle w:val="IndexLink"/>
                <w:rtl w:val="true"/>
              </w:rPr>
              <w:t>و ثالثها</w:t>
            </w:r>
            <w:r>
              <w:rPr>
                <w:rStyle w:val="IndexLink"/>
                <w:rtl w:val="true"/>
              </w:rPr>
              <w:t xml:space="preserve">: </w:t>
            </w:r>
            <w:r>
              <w:rPr>
                <w:rStyle w:val="IndexLink"/>
                <w:rtl w:val="true"/>
              </w:rPr>
              <w:t>ما اعتبره جماعة من أن لا يخالط الحدثان لنجاسة اخرى كالدم و المنيّ،</w:t>
            </w:r>
            <w:r>
              <w:rPr>
                <w:rStyle w:val="IndexLink"/>
                <w:rtl w:val="true"/>
              </w:rPr>
              <w:tab/>
            </w:r>
            <w:r>
              <w:rPr>
                <w:rStyle w:val="IndexLink"/>
              </w:rPr>
              <w:t>304</w:t>
            </w:r>
          </w:hyperlink>
        </w:p>
        <w:p>
          <w:pPr>
            <w:pStyle w:val="Contents6"/>
            <w:tabs>
              <w:tab w:val="clear" w:pos="7609"/>
              <w:tab w:val="right" w:pos="9026" w:leader="dot"/>
            </w:tabs>
            <w:rPr/>
          </w:pPr>
          <w:hyperlink w:anchor="__RefHeading___Toc1804622_1280447820">
            <w:r>
              <w:rPr>
                <w:webHidden/>
                <w:rStyle w:val="IndexLink"/>
                <w:rtl w:val="true"/>
              </w:rPr>
              <w:t>و رابعها</w:t>
            </w:r>
            <w:r>
              <w:rPr>
                <w:rStyle w:val="IndexLink"/>
                <w:rtl w:val="true"/>
              </w:rPr>
              <w:t xml:space="preserve">: </w:t>
            </w:r>
            <w:r>
              <w:rPr>
                <w:rStyle w:val="IndexLink"/>
                <w:rtl w:val="true"/>
              </w:rPr>
              <w:t>ما حكى اشتراطه عن جامع المقاصد ، و الروض ، من عدم انفصال أجزاء من النجاسة متميّزة مع الماء،</w:t>
            </w:r>
            <w:r>
              <w:rPr>
                <w:rStyle w:val="IndexLink"/>
                <w:rtl w:val="true"/>
              </w:rPr>
              <w:tab/>
            </w:r>
            <w:r>
              <w:rPr>
                <w:rStyle w:val="IndexLink"/>
              </w:rPr>
              <w:t>305</w:t>
            </w:r>
          </w:hyperlink>
        </w:p>
        <w:p>
          <w:pPr>
            <w:pStyle w:val="Contents6"/>
            <w:tabs>
              <w:tab w:val="clear" w:pos="7609"/>
              <w:tab w:val="right" w:pos="9026" w:leader="dot"/>
            </w:tabs>
            <w:rPr/>
          </w:pPr>
          <w:hyperlink w:anchor="__RefHeading___Toc1804624_1280447820">
            <w:r>
              <w:rPr>
                <w:webHidden/>
                <w:rStyle w:val="IndexLink"/>
                <w:rtl w:val="true"/>
              </w:rPr>
              <w:t>و خامسها</w:t>
            </w:r>
            <w:r>
              <w:rPr>
                <w:rStyle w:val="IndexLink"/>
                <w:rtl w:val="true"/>
              </w:rPr>
              <w:t xml:space="preserve">: </w:t>
            </w:r>
            <w:r>
              <w:rPr>
                <w:rStyle w:val="IndexLink"/>
                <w:rtl w:val="true"/>
              </w:rPr>
              <w:t>ما عزى إلى الكشف و محكيّ بعض، من اشتراط عدم سبق اليد على الماء في ملاقاة المحلّ،</w:t>
            </w:r>
            <w:r>
              <w:rPr>
                <w:rStyle w:val="IndexLink"/>
                <w:rtl w:val="true"/>
              </w:rPr>
              <w:tab/>
            </w:r>
            <w:r>
              <w:rPr>
                <w:rStyle w:val="IndexLink"/>
              </w:rPr>
              <w:t>305</w:t>
            </w:r>
          </w:hyperlink>
        </w:p>
        <w:p>
          <w:pPr>
            <w:pStyle w:val="Contents6"/>
            <w:tabs>
              <w:tab w:val="clear" w:pos="7609"/>
              <w:tab w:val="right" w:pos="9026" w:leader="dot"/>
            </w:tabs>
            <w:rPr/>
          </w:pPr>
          <w:hyperlink w:anchor="__RefHeading___Toc1804626_1280447820">
            <w:r>
              <w:rPr>
                <w:webHidden/>
                <w:rStyle w:val="IndexLink"/>
                <w:rtl w:val="true"/>
              </w:rPr>
              <w:t>و سادسها</w:t>
            </w:r>
            <w:r>
              <w:rPr>
                <w:rStyle w:val="IndexLink"/>
                <w:rtl w:val="true"/>
              </w:rPr>
              <w:t xml:space="preserve">: </w:t>
            </w:r>
            <w:r>
              <w:rPr>
                <w:rStyle w:val="IndexLink"/>
                <w:rtl w:val="true"/>
              </w:rPr>
              <w:t>ما عن الشهيد في الذكرى ، من اشتراطه عدم زيادة وزن الماء على ما قبل الاستنجاء،</w:t>
            </w:r>
            <w:r>
              <w:rPr>
                <w:rStyle w:val="IndexLink"/>
                <w:rtl w:val="true"/>
              </w:rPr>
              <w:tab/>
            </w:r>
            <w:r>
              <w:rPr>
                <w:rStyle w:val="IndexLink"/>
              </w:rPr>
              <w:t>307</w:t>
            </w:r>
          </w:hyperlink>
        </w:p>
        <w:p>
          <w:pPr>
            <w:pStyle w:val="Contents6"/>
            <w:tabs>
              <w:tab w:val="clear" w:pos="7609"/>
              <w:tab w:val="right" w:pos="9026" w:leader="dot"/>
            </w:tabs>
            <w:rPr/>
          </w:pPr>
          <w:hyperlink w:anchor="__RefHeading___Toc1804628_1280447820">
            <w:r>
              <w:rPr>
                <w:webHidden/>
                <w:rStyle w:val="IndexLink"/>
                <w:rtl w:val="true"/>
              </w:rPr>
              <w:t>تنبيه</w:t>
            </w:r>
            <w:r>
              <w:rPr>
                <w:rStyle w:val="IndexLink"/>
                <w:rtl w:val="true"/>
              </w:rPr>
              <w:t>:</w:t>
              <w:tab/>
            </w:r>
            <w:r>
              <w:rPr>
                <w:rStyle w:val="IndexLink"/>
              </w:rPr>
              <w:t>308</w:t>
            </w:r>
          </w:hyperlink>
        </w:p>
        <w:p>
          <w:pPr>
            <w:pStyle w:val="Contents6"/>
            <w:tabs>
              <w:tab w:val="clear" w:pos="7609"/>
              <w:tab w:val="right" w:pos="9026" w:leader="dot"/>
            </w:tabs>
            <w:rPr/>
          </w:pPr>
          <w:hyperlink w:anchor="__RefHeading___Toc1804630_1280447820">
            <w:r>
              <w:rPr>
                <w:webHidden/>
                <w:rStyle w:val="IndexLink"/>
                <w:rtl w:val="true"/>
              </w:rPr>
              <w:t>و امّا الجهة الثانية</w:t>
            </w:r>
            <w:r>
              <w:rPr>
                <w:rStyle w:val="IndexLink"/>
                <w:rtl w:val="true"/>
              </w:rPr>
              <w:t xml:space="preserve">: </w:t>
            </w:r>
            <w:r>
              <w:rPr>
                <w:rStyle w:val="IndexLink"/>
                <w:rtl w:val="true"/>
              </w:rPr>
              <w:t>ففيها مسائل ثلاث</w:t>
            </w:r>
            <w:r>
              <w:rPr>
                <w:rStyle w:val="IndexLink"/>
                <w:rtl w:val="true"/>
              </w:rPr>
              <w:t>.</w:t>
              <w:tab/>
            </w:r>
            <w:r>
              <w:rPr>
                <w:rStyle w:val="IndexLink"/>
              </w:rPr>
              <w:t>309</w:t>
            </w:r>
          </w:hyperlink>
        </w:p>
        <w:p>
          <w:pPr>
            <w:pStyle w:val="Contents6"/>
            <w:tabs>
              <w:tab w:val="clear" w:pos="7609"/>
              <w:tab w:val="right" w:pos="9026" w:leader="dot"/>
            </w:tabs>
            <w:rPr/>
          </w:pPr>
          <w:hyperlink w:anchor="__RefHeading___Toc1804632_1280447820">
            <w:r>
              <w:rPr>
                <w:webHidden/>
                <w:rStyle w:val="IndexLink"/>
                <w:rtl w:val="true"/>
              </w:rPr>
              <w:t>الاولى و الثانية</w:t>
            </w:r>
            <w:r>
              <w:rPr>
                <w:rStyle w:val="IndexLink"/>
                <w:rtl w:val="true"/>
              </w:rPr>
              <w:t xml:space="preserve">: </w:t>
            </w:r>
            <w:r>
              <w:rPr>
                <w:rStyle w:val="IndexLink"/>
                <w:rtl w:val="true"/>
              </w:rPr>
              <w:t>في أنّ ماء الاستنجاء بعد ما ثبت كونه طاهرا و جامع الشرائط المتقدّمة، فهل يكون طهورا</w:t>
            </w:r>
            <w:r>
              <w:rPr>
                <w:rStyle w:val="IndexLink"/>
                <w:rtl w:val="true"/>
              </w:rPr>
              <w:tab/>
            </w:r>
            <w:r>
              <w:rPr>
                <w:rStyle w:val="IndexLink"/>
              </w:rPr>
              <w:t>309</w:t>
            </w:r>
          </w:hyperlink>
        </w:p>
        <w:p>
          <w:pPr>
            <w:pStyle w:val="Contents6"/>
            <w:tabs>
              <w:tab w:val="clear" w:pos="7609"/>
              <w:tab w:val="right" w:pos="9026" w:leader="dot"/>
            </w:tabs>
            <w:rPr/>
          </w:pPr>
          <w:hyperlink w:anchor="__RefHeading___Toc1804634_1280447820">
            <w:r>
              <w:rPr>
                <w:webHidden/>
                <w:rStyle w:val="IndexLink"/>
                <w:rtl w:val="true"/>
              </w:rPr>
              <w:t>المسألة الثالثة</w:t>
            </w:r>
            <w:r>
              <w:rPr>
                <w:rStyle w:val="IndexLink"/>
                <w:rtl w:val="true"/>
              </w:rPr>
              <w:t xml:space="preserve">: </w:t>
            </w:r>
            <w:r>
              <w:rPr>
                <w:rStyle w:val="IndexLink"/>
                <w:rtl w:val="true"/>
              </w:rPr>
              <w:t>لا إشكال بملاحظة ما ظهر من تضاعيف كلماتنا السابقة في جواز شرب ماء الاستنجاء و مطلق استعماله،</w:t>
            </w:r>
            <w:r>
              <w:rPr>
                <w:rStyle w:val="IndexLink"/>
                <w:rtl w:val="true"/>
              </w:rPr>
              <w:tab/>
            </w:r>
            <w:r>
              <w:rPr>
                <w:rStyle w:val="IndexLink"/>
              </w:rPr>
              <w:t>315</w:t>
            </w:r>
          </w:hyperlink>
        </w:p>
        <w:p>
          <w:pPr>
            <w:pStyle w:val="Contents6"/>
            <w:tabs>
              <w:tab w:val="clear" w:pos="7609"/>
              <w:tab w:val="right" w:pos="9026" w:leader="dot"/>
            </w:tabs>
            <w:rPr/>
          </w:pPr>
          <w:hyperlink w:anchor="__RefHeading___Toc1804636_1280447820">
            <w:r>
              <w:rPr>
                <w:webHidden/>
                <w:rStyle w:val="IndexLink"/>
                <w:rtl w:val="true"/>
              </w:rPr>
              <w:t>و الثالث ممّا ادّعي استثناؤه عن قاعدة انفعال القليل</w:t>
            </w:r>
            <w:r>
              <w:rPr>
                <w:rStyle w:val="IndexLink"/>
                <w:rtl w:val="true"/>
              </w:rPr>
              <w:t xml:space="preserve">: </w:t>
            </w:r>
            <w:r>
              <w:rPr>
                <w:rStyle w:val="IndexLink"/>
                <w:rtl w:val="true"/>
              </w:rPr>
              <w:t>ماء الغسالة</w:t>
            </w:r>
            <w:r>
              <w:rPr>
                <w:rStyle w:val="IndexLink"/>
                <w:rtl w:val="true"/>
              </w:rPr>
              <w:t>.</w:t>
              <w:tab/>
            </w:r>
            <w:r>
              <w:rPr>
                <w:rStyle w:val="IndexLink"/>
              </w:rPr>
              <w:t>315</w:t>
            </w:r>
          </w:hyperlink>
        </w:p>
        <w:p>
          <w:pPr>
            <w:pStyle w:val="Contents4"/>
            <w:tabs>
              <w:tab w:val="clear" w:pos="8176"/>
              <w:tab w:val="right" w:pos="9026" w:leader="dot"/>
            </w:tabs>
            <w:rPr/>
          </w:pPr>
          <w:hyperlink w:anchor="__RefHeading___Toc1804638_1280447820">
            <w:r>
              <w:rPr>
                <w:webHidden/>
                <w:rStyle w:val="IndexLink"/>
                <w:rtl w:val="true"/>
              </w:rPr>
              <w:t>ثمّ بقى في المقام امور ينبغي التنبيه عليها</w:t>
            </w:r>
            <w:r>
              <w:rPr>
                <w:rStyle w:val="IndexLink"/>
                <w:rtl w:val="true"/>
              </w:rPr>
              <w:t>:</w:t>
              <w:tab/>
            </w:r>
            <w:r>
              <w:rPr>
                <w:rStyle w:val="IndexLink"/>
              </w:rPr>
              <w:t>370</w:t>
            </w:r>
          </w:hyperlink>
        </w:p>
        <w:p>
          <w:pPr>
            <w:pStyle w:val="Contents5"/>
            <w:tabs>
              <w:tab w:val="clear" w:pos="7892"/>
              <w:tab w:val="right" w:pos="9026" w:leader="dot"/>
            </w:tabs>
            <w:rPr/>
          </w:pPr>
          <w:hyperlink w:anchor="__RefHeading___Toc1804640_1280447820">
            <w:r>
              <w:rPr>
                <w:webHidden/>
                <w:rStyle w:val="IndexLink"/>
                <w:rtl w:val="true"/>
              </w:rPr>
              <w:t>الأوّل قال في المنتهى</w:t>
            </w:r>
            <w:r>
              <w:rPr>
                <w:rStyle w:val="IndexLink"/>
                <w:rtl w:val="true"/>
              </w:rPr>
              <w:t>: «</w:t>
            </w:r>
            <w:r>
              <w:rPr>
                <w:rStyle w:val="IndexLink"/>
                <w:rtl w:val="true"/>
              </w:rPr>
              <w:t>إذا غسل الثوب من البول في إجّانة، بأن يصبّ عليه الماء فسد الماء و خرج من الثانية طاهرا،</w:t>
            </w:r>
            <w:r>
              <w:rPr>
                <w:rStyle w:val="IndexLink"/>
                <w:rtl w:val="true"/>
              </w:rPr>
              <w:tab/>
            </w:r>
            <w:r>
              <w:rPr>
                <w:rStyle w:val="IndexLink"/>
              </w:rPr>
              <w:t>370</w:t>
            </w:r>
          </w:hyperlink>
        </w:p>
        <w:p>
          <w:pPr>
            <w:pStyle w:val="Contents5"/>
            <w:tabs>
              <w:tab w:val="clear" w:pos="7892"/>
              <w:tab w:val="right" w:pos="9026" w:leader="dot"/>
            </w:tabs>
            <w:rPr/>
          </w:pPr>
          <w:hyperlink w:anchor="__RefHeading___Toc1804642_1280447820">
            <w:r>
              <w:rPr>
                <w:webHidden/>
                <w:rStyle w:val="IndexLink"/>
                <w:rtl w:val="true"/>
              </w:rPr>
              <w:t>الثاني حكم غسالة الحمّام،</w:t>
            </w:r>
            <w:r>
              <w:rPr>
                <w:rStyle w:val="IndexLink"/>
                <w:rtl w:val="true"/>
              </w:rPr>
              <w:tab/>
            </w:r>
            <w:r>
              <w:rPr>
                <w:rStyle w:val="IndexLink"/>
              </w:rPr>
              <w:t>374</w:t>
            </w:r>
          </w:hyperlink>
        </w:p>
        <w:p>
          <w:pPr>
            <w:pStyle w:val="Contents5"/>
            <w:tabs>
              <w:tab w:val="clear" w:pos="7892"/>
              <w:tab w:val="right" w:pos="9026" w:leader="dot"/>
            </w:tabs>
            <w:rPr/>
          </w:pPr>
          <w:hyperlink w:anchor="__RefHeading___Toc1804644_1280447820">
            <w:r>
              <w:rPr>
                <w:webHidden/>
                <w:rStyle w:val="IndexLink"/>
                <w:rtl w:val="true"/>
              </w:rPr>
              <w:t>الثالث في الماء المستعمل في رفع الحدث الأصغر،</w:t>
            </w:r>
            <w:r>
              <w:rPr>
                <w:rStyle w:val="IndexLink"/>
                <w:rtl w:val="true"/>
              </w:rPr>
              <w:tab/>
            </w:r>
            <w:r>
              <w:rPr>
                <w:rStyle w:val="IndexLink"/>
              </w:rPr>
              <w:t>384</w:t>
            </w:r>
          </w:hyperlink>
        </w:p>
        <w:p>
          <w:pPr>
            <w:pStyle w:val="Contents5"/>
            <w:tabs>
              <w:tab w:val="clear" w:pos="7892"/>
              <w:tab w:val="right" w:pos="9026" w:leader="dot"/>
            </w:tabs>
            <w:rPr/>
          </w:pPr>
          <w:hyperlink w:anchor="__RefHeading___Toc1804646_1280447820">
            <w:r>
              <w:rPr>
                <w:webHidden/>
                <w:rStyle w:val="IndexLink"/>
                <w:rtl w:val="true"/>
              </w:rPr>
              <w:t>و الرابع في الماء المستعمل في رفع الحدث الأكبر،</w:t>
            </w:r>
            <w:r>
              <w:rPr>
                <w:rStyle w:val="IndexLink"/>
                <w:rtl w:val="true"/>
              </w:rPr>
              <w:tab/>
            </w:r>
            <w:r>
              <w:rPr>
                <w:rStyle w:val="IndexLink"/>
              </w:rPr>
              <w:t>390</w:t>
            </w:r>
          </w:hyperlink>
        </w:p>
        <w:p>
          <w:pPr>
            <w:pStyle w:val="Contents6"/>
            <w:tabs>
              <w:tab w:val="clear" w:pos="7609"/>
              <w:tab w:val="right" w:pos="9026" w:leader="dot"/>
            </w:tabs>
            <w:rPr/>
          </w:pPr>
          <w:hyperlink w:anchor="__RefHeading___Toc1804648_128044782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804650_1280447820">
            <w:r>
              <w:rPr>
                <w:webHidden/>
                <w:rStyle w:val="IndexLink"/>
                <w:rtl w:val="true"/>
              </w:rPr>
              <w:t>و كيف كان فالكلام في هذا الماء تارة في طهارته، و اخرى في طهوريّته</w:t>
            </w:r>
            <w:r>
              <w:rPr>
                <w:rStyle w:val="IndexLink"/>
                <w:rtl w:val="true"/>
              </w:rPr>
              <w:t>.</w:t>
              <w:tab/>
            </w:r>
            <w:r>
              <w:rPr>
                <w:rStyle w:val="IndexLink"/>
              </w:rPr>
              <w:t>393</w:t>
            </w:r>
          </w:hyperlink>
        </w:p>
        <w:p>
          <w:pPr>
            <w:pStyle w:val="Contents6"/>
            <w:tabs>
              <w:tab w:val="clear" w:pos="7609"/>
              <w:tab w:val="right" w:pos="9026" w:leader="dot"/>
            </w:tabs>
            <w:rPr/>
          </w:pPr>
          <w:hyperlink w:anchor="__RefHeading___Toc1804652_1280447820">
            <w:r>
              <w:rPr>
                <w:webHidden/>
                <w:rStyle w:val="IndexLink"/>
                <w:rtl w:val="true"/>
              </w:rPr>
              <w:t>أمّا الأوّل</w:t>
            </w:r>
            <w:r>
              <w:rPr>
                <w:rStyle w:val="IndexLink"/>
                <w:rtl w:val="true"/>
              </w:rPr>
              <w:t>: [</w:t>
            </w:r>
            <w:r>
              <w:rPr>
                <w:rStyle w:val="IndexLink"/>
                <w:rtl w:val="true"/>
              </w:rPr>
              <w:t>أي في طهارته</w:t>
            </w:r>
            <w:r>
              <w:rPr>
                <w:rStyle w:val="IndexLink"/>
                <w:rtl w:val="true"/>
              </w:rPr>
              <w:t>]</w:t>
              <w:tab/>
            </w:r>
            <w:r>
              <w:rPr>
                <w:rStyle w:val="IndexLink"/>
              </w:rPr>
              <w:t>393</w:t>
            </w:r>
          </w:hyperlink>
        </w:p>
        <w:p>
          <w:pPr>
            <w:pStyle w:val="Contents6"/>
            <w:tabs>
              <w:tab w:val="clear" w:pos="7609"/>
              <w:tab w:val="right" w:pos="9026" w:leader="dot"/>
            </w:tabs>
            <w:rPr/>
          </w:pPr>
          <w:hyperlink w:anchor="__RefHeading___Toc1804654_1280447820">
            <w:r>
              <w:rPr>
                <w:webHidden/>
                <w:rStyle w:val="IndexLink"/>
                <w:rtl w:val="true"/>
              </w:rPr>
              <w:t>و أمّا الثاني</w:t>
            </w:r>
            <w:r>
              <w:rPr>
                <w:rStyle w:val="IndexLink"/>
                <w:rtl w:val="true"/>
              </w:rPr>
              <w:t>: [</w:t>
            </w:r>
            <w:r>
              <w:rPr>
                <w:rStyle w:val="IndexLink"/>
                <w:rtl w:val="true"/>
              </w:rPr>
              <w:t>أي في طهوريته</w:t>
            </w:r>
            <w:r>
              <w:rPr>
                <w:rStyle w:val="IndexLink"/>
                <w:rtl w:val="true"/>
              </w:rPr>
              <w:t>]</w:t>
              <w:tab/>
            </w:r>
            <w:r>
              <w:rPr>
                <w:rStyle w:val="IndexLink"/>
              </w:rPr>
              <w:t>394</w:t>
            </w:r>
          </w:hyperlink>
        </w:p>
        <w:p>
          <w:pPr>
            <w:pStyle w:val="Contents6"/>
            <w:tabs>
              <w:tab w:val="clear" w:pos="7609"/>
              <w:tab w:val="right" w:pos="9026" w:leader="dot"/>
            </w:tabs>
            <w:rPr/>
          </w:pPr>
          <w:hyperlink w:anchor="__RefHeading___Toc1804656_128044782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804658_1280447820">
            <w:r>
              <w:rPr>
                <w:webHidden/>
                <w:rStyle w:val="IndexLink"/>
                <w:rtl w:val="true"/>
              </w:rPr>
              <w:t>أحدهما</w:t>
            </w:r>
            <w:r>
              <w:rPr>
                <w:rStyle w:val="IndexLink"/>
                <w:rtl w:val="true"/>
              </w:rPr>
              <w:t xml:space="preserve">: </w:t>
            </w:r>
            <w:r>
              <w:rPr>
                <w:rStyle w:val="IndexLink"/>
                <w:rtl w:val="true"/>
              </w:rPr>
              <w:t>جواز التطهير به و هو الأقوى،</w:t>
            </w:r>
            <w:r>
              <w:rPr>
                <w:rStyle w:val="IndexLink"/>
                <w:rtl w:val="true"/>
              </w:rPr>
              <w:tab/>
            </w:r>
            <w:r>
              <w:rPr>
                <w:rStyle w:val="IndexLink"/>
              </w:rPr>
              <w:t>394</w:t>
            </w:r>
          </w:hyperlink>
        </w:p>
        <w:p>
          <w:pPr>
            <w:pStyle w:val="Contents6"/>
            <w:tabs>
              <w:tab w:val="clear" w:pos="7609"/>
              <w:tab w:val="right" w:pos="9026" w:leader="dot"/>
            </w:tabs>
            <w:rPr/>
          </w:pPr>
          <w:hyperlink w:anchor="__RefHeading___Toc1804660_1280447820">
            <w:r>
              <w:rPr>
                <w:webHidden/>
                <w:rStyle w:val="IndexLink"/>
                <w:rtl w:val="true"/>
              </w:rPr>
              <w:t>و ثانيهما</w:t>
            </w:r>
            <w:r>
              <w:rPr>
                <w:rStyle w:val="IndexLink"/>
                <w:rtl w:val="true"/>
              </w:rPr>
              <w:t xml:space="preserve">: </w:t>
            </w:r>
            <w:r>
              <w:rPr>
                <w:rStyle w:val="IndexLink"/>
                <w:rtl w:val="true"/>
              </w:rPr>
              <w:t>المنع عن التطهير به،</w:t>
            </w:r>
            <w:r>
              <w:rPr>
                <w:rStyle w:val="IndexLink"/>
                <w:rtl w:val="true"/>
              </w:rPr>
              <w:tab/>
            </w:r>
            <w:r>
              <w:rPr>
                <w:rStyle w:val="IndexLink"/>
              </w:rPr>
              <w:t>395</w:t>
            </w:r>
          </w:hyperlink>
        </w:p>
        <w:p>
          <w:pPr>
            <w:pStyle w:val="Contents6"/>
            <w:tabs>
              <w:tab w:val="clear" w:pos="7609"/>
              <w:tab w:val="right" w:pos="9026" w:leader="dot"/>
            </w:tabs>
            <w:rPr/>
          </w:pPr>
          <w:hyperlink w:anchor="__RefHeading___Toc1804662_1280447820">
            <w:r>
              <w:rPr>
                <w:webHidden/>
                <w:rStyle w:val="IndexLink"/>
                <w:rtl w:val="true"/>
              </w:rPr>
              <w:t>و بالجملة</w:t>
            </w:r>
            <w:r>
              <w:rPr>
                <w:rStyle w:val="IndexLink"/>
                <w:rtl w:val="true"/>
              </w:rPr>
              <w:t xml:space="preserve">: </w:t>
            </w:r>
            <w:r>
              <w:rPr>
                <w:rStyle w:val="IndexLink"/>
                <w:rtl w:val="true"/>
              </w:rPr>
              <w:t xml:space="preserve">فحجّة القول الأوّل </w:t>
            </w:r>
            <w:r>
              <w:rPr>
                <w:rStyle w:val="IndexLink"/>
                <w:rtl w:val="true"/>
              </w:rPr>
              <w:t xml:space="preserve">- </w:t>
            </w:r>
            <w:r>
              <w:rPr>
                <w:rStyle w:val="IndexLink"/>
                <w:rtl w:val="true"/>
              </w:rPr>
              <w:t xml:space="preserve">من المحصّل، و المحكيّ، و المزيّف، و الصحيح </w:t>
            </w:r>
            <w:r>
              <w:rPr>
                <w:rStyle w:val="IndexLink"/>
                <w:rtl w:val="true"/>
              </w:rPr>
              <w:t xml:space="preserve">- </w:t>
            </w:r>
            <w:r>
              <w:rPr>
                <w:rStyle w:val="IndexLink"/>
                <w:rtl w:val="true"/>
              </w:rPr>
              <w:t>وجوه</w:t>
            </w:r>
            <w:r>
              <w:rPr>
                <w:rStyle w:val="IndexLink"/>
                <w:rtl w:val="true"/>
              </w:rPr>
              <w:t>:</w:t>
              <w:tab/>
            </w:r>
            <w:r>
              <w:rPr>
                <w:rStyle w:val="IndexLink"/>
              </w:rPr>
              <w:t>396</w:t>
            </w:r>
          </w:hyperlink>
        </w:p>
        <w:p>
          <w:pPr>
            <w:pStyle w:val="Contents6"/>
            <w:tabs>
              <w:tab w:val="clear" w:pos="7609"/>
              <w:tab w:val="right" w:pos="9026" w:leader="dot"/>
            </w:tabs>
            <w:rPr/>
          </w:pPr>
          <w:hyperlink w:anchor="__RefHeading___Toc1804664_1280447820">
            <w:r>
              <w:rPr>
                <w:webHidden/>
                <w:rStyle w:val="IndexLink"/>
                <w:rtl w:val="true"/>
              </w:rPr>
              <w:t>أوّلها</w:t>
            </w:r>
            <w:r>
              <w:rPr>
                <w:rStyle w:val="IndexLink"/>
                <w:rtl w:val="true"/>
              </w:rPr>
              <w:t xml:space="preserve">: </w:t>
            </w:r>
            <w:r>
              <w:rPr>
                <w:rStyle w:val="IndexLink"/>
                <w:rtl w:val="true"/>
              </w:rPr>
              <w:t>الإجماع المحكيّ عن الناصريّات ، المعتضدة بالشهرة المتأخّرة،</w:t>
            </w:r>
            <w:r>
              <w:rPr>
                <w:rStyle w:val="IndexLink"/>
                <w:rtl w:val="true"/>
              </w:rPr>
              <w:tab/>
            </w:r>
            <w:r>
              <w:rPr>
                <w:rStyle w:val="IndexLink"/>
              </w:rPr>
              <w:t>396</w:t>
            </w:r>
          </w:hyperlink>
        </w:p>
        <w:p>
          <w:pPr>
            <w:pStyle w:val="Contents6"/>
            <w:tabs>
              <w:tab w:val="clear" w:pos="7609"/>
              <w:tab w:val="right" w:pos="9026" w:leader="dot"/>
            </w:tabs>
            <w:rPr/>
          </w:pPr>
          <w:hyperlink w:anchor="__RefHeading___Toc1804666_1280447820">
            <w:r>
              <w:rPr>
                <w:webHidden/>
                <w:rStyle w:val="IndexLink"/>
                <w:rtl w:val="true"/>
              </w:rPr>
              <w:t>و ثانيها</w:t>
            </w:r>
            <w:r>
              <w:rPr>
                <w:rStyle w:val="IndexLink"/>
                <w:rtl w:val="true"/>
              </w:rPr>
              <w:t xml:space="preserve">: </w:t>
            </w:r>
            <w:r>
              <w:rPr>
                <w:rStyle w:val="IndexLink"/>
                <w:rtl w:val="true"/>
              </w:rPr>
              <w:t>أصالة بقاء المطهّريّة الثابتة قبل الاستعمال،</w:t>
            </w:r>
            <w:r>
              <w:rPr>
                <w:rStyle w:val="IndexLink"/>
                <w:rtl w:val="true"/>
              </w:rPr>
              <w:tab/>
            </w:r>
            <w:r>
              <w:rPr>
                <w:rStyle w:val="IndexLink"/>
              </w:rPr>
              <w:t>396</w:t>
            </w:r>
          </w:hyperlink>
        </w:p>
        <w:p>
          <w:pPr>
            <w:pStyle w:val="Contents6"/>
            <w:tabs>
              <w:tab w:val="clear" w:pos="7609"/>
              <w:tab w:val="right" w:pos="9026" w:leader="dot"/>
            </w:tabs>
            <w:rPr/>
          </w:pPr>
          <w:hyperlink w:anchor="__RefHeading___Toc1804668_1280447820">
            <w:r>
              <w:rPr>
                <w:webHidden/>
                <w:rStyle w:val="IndexLink"/>
                <w:rtl w:val="true"/>
              </w:rPr>
              <w:t>و ثالثها</w:t>
            </w:r>
            <w:r>
              <w:rPr>
                <w:rStyle w:val="IndexLink"/>
                <w:rtl w:val="true"/>
              </w:rPr>
              <w:t xml:space="preserve">: </w:t>
            </w:r>
            <w:r>
              <w:rPr>
                <w:rStyle w:val="IndexLink"/>
                <w:rtl w:val="true"/>
              </w:rPr>
              <w:t>أصالة بقاء الأمر بالغسل الثابت قبل انحصار الماء في المفروض،</w:t>
            </w:r>
            <w:r>
              <w:rPr>
                <w:rStyle w:val="IndexLink"/>
                <w:rtl w:val="true"/>
              </w:rPr>
              <w:tab/>
            </w:r>
            <w:r>
              <w:rPr>
                <w:rStyle w:val="IndexLink"/>
              </w:rPr>
              <w:t>396</w:t>
            </w:r>
          </w:hyperlink>
        </w:p>
        <w:p>
          <w:pPr>
            <w:pStyle w:val="Contents6"/>
            <w:tabs>
              <w:tab w:val="clear" w:pos="7609"/>
              <w:tab w:val="right" w:pos="9026" w:leader="dot"/>
            </w:tabs>
            <w:rPr/>
          </w:pPr>
          <w:hyperlink w:anchor="__RefHeading___Toc1804670_1280447820">
            <w:r>
              <w:rPr>
                <w:webHidden/>
                <w:rStyle w:val="IndexLink"/>
                <w:rtl w:val="true"/>
              </w:rPr>
              <w:t>و رابعها</w:t>
            </w:r>
            <w:r>
              <w:rPr>
                <w:rStyle w:val="IndexLink"/>
                <w:rtl w:val="true"/>
              </w:rPr>
              <w:t xml:space="preserve">: </w:t>
            </w:r>
            <w:r>
              <w:rPr>
                <w:rStyle w:val="IndexLink"/>
                <w:rtl w:val="true"/>
              </w:rPr>
              <w:t>إطلاق الأمر بالغسل،</w:t>
            </w:r>
            <w:r>
              <w:rPr>
                <w:rStyle w:val="IndexLink"/>
                <w:rtl w:val="true"/>
              </w:rPr>
              <w:tab/>
            </w:r>
            <w:r>
              <w:rPr>
                <w:rStyle w:val="IndexLink"/>
              </w:rPr>
              <w:t>396</w:t>
            </w:r>
          </w:hyperlink>
        </w:p>
        <w:p>
          <w:pPr>
            <w:pStyle w:val="Contents6"/>
            <w:tabs>
              <w:tab w:val="clear" w:pos="7609"/>
              <w:tab w:val="right" w:pos="9026" w:leader="dot"/>
            </w:tabs>
            <w:rPr/>
          </w:pPr>
          <w:hyperlink w:anchor="__RefHeading___Toc1804672_1280447820">
            <w:r>
              <w:rPr>
                <w:webHidden/>
                <w:rStyle w:val="IndexLink"/>
                <w:rtl w:val="true"/>
              </w:rPr>
              <w:t>و خامسها</w:t>
            </w:r>
            <w:r>
              <w:rPr>
                <w:rStyle w:val="IndexLink"/>
                <w:rtl w:val="true"/>
              </w:rPr>
              <w:t xml:space="preserve">: </w:t>
            </w:r>
            <w:r>
              <w:rPr>
                <w:rStyle w:val="IndexLink"/>
                <w:rtl w:val="true"/>
              </w:rPr>
              <w:t>عموم ما دلّ على أنّ الماء مطهّر،</w:t>
            </w:r>
            <w:r>
              <w:rPr>
                <w:rStyle w:val="IndexLink"/>
                <w:rtl w:val="true"/>
              </w:rPr>
              <w:tab/>
            </w:r>
            <w:r>
              <w:rPr>
                <w:rStyle w:val="IndexLink"/>
              </w:rPr>
              <w:t>399</w:t>
            </w:r>
          </w:hyperlink>
        </w:p>
        <w:p>
          <w:pPr>
            <w:pStyle w:val="Contents6"/>
            <w:tabs>
              <w:tab w:val="clear" w:pos="7609"/>
              <w:tab w:val="right" w:pos="9026" w:leader="dot"/>
            </w:tabs>
            <w:rPr/>
          </w:pPr>
          <w:hyperlink w:anchor="__RefHeading___Toc1804674_1280447820">
            <w:r>
              <w:rPr>
                <w:webHidden/>
                <w:rStyle w:val="IndexLink"/>
                <w:rtl w:val="true"/>
              </w:rPr>
              <w:t>و سادسها</w:t>
            </w:r>
            <w:r>
              <w:rPr>
                <w:rStyle w:val="IndexLink"/>
                <w:rtl w:val="true"/>
              </w:rPr>
              <w:t xml:space="preserve">: </w:t>
            </w:r>
            <w:r>
              <w:rPr>
                <w:rStyle w:val="IndexLink"/>
                <w:rtl w:val="true"/>
              </w:rPr>
              <w:t>ما قدّمنا الإشارة إليه في بحث ماء الوضوء، من القاعدة المستفادة عن مجموع الأدلّة الجزئيّة الواردة في أبواب الطهارات و تطهير النجاسات،</w:t>
            </w:r>
            <w:r>
              <w:rPr>
                <w:rStyle w:val="IndexLink"/>
                <w:rtl w:val="true"/>
              </w:rPr>
              <w:tab/>
            </w:r>
            <w:r>
              <w:rPr>
                <w:rStyle w:val="IndexLink"/>
              </w:rPr>
              <w:t>400</w:t>
            </w:r>
          </w:hyperlink>
        </w:p>
        <w:p>
          <w:pPr>
            <w:pStyle w:val="Contents6"/>
            <w:tabs>
              <w:tab w:val="clear" w:pos="7609"/>
              <w:tab w:val="right" w:pos="9026" w:leader="dot"/>
            </w:tabs>
            <w:rPr/>
          </w:pPr>
          <w:hyperlink w:anchor="__RefHeading___Toc1804676_1280447820">
            <w:r>
              <w:rPr>
                <w:webHidden/>
                <w:rStyle w:val="IndexLink"/>
                <w:rtl w:val="true"/>
              </w:rPr>
              <w:t>و سابعها</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فَلَمْ تَجِدُوا مٰاءً فَتَيَمَّمُوا الآية،</w:t>
            </w:r>
            <w:r>
              <w:rPr>
                <w:rStyle w:val="IndexLink"/>
                <w:rtl w:val="true"/>
              </w:rPr>
              <w:tab/>
            </w:r>
            <w:r>
              <w:rPr>
                <w:rStyle w:val="IndexLink"/>
              </w:rPr>
              <w:t>400</w:t>
            </w:r>
          </w:hyperlink>
        </w:p>
        <w:p>
          <w:pPr>
            <w:pStyle w:val="Contents6"/>
            <w:tabs>
              <w:tab w:val="clear" w:pos="7609"/>
              <w:tab w:val="right" w:pos="9026" w:leader="dot"/>
            </w:tabs>
            <w:rPr/>
          </w:pPr>
          <w:hyperlink w:anchor="__RefHeading___Toc1804678_1280447820">
            <w:r>
              <w:rPr>
                <w:webHidden/>
                <w:rStyle w:val="IndexLink"/>
                <w:rtl w:val="true"/>
              </w:rPr>
              <w:t>و ثامنها</w:t>
            </w:r>
            <w:r>
              <w:rPr>
                <w:rStyle w:val="IndexLink"/>
                <w:rtl w:val="true"/>
              </w:rPr>
              <w:t xml:space="preserve">: </w:t>
            </w:r>
            <w:r>
              <w:rPr>
                <w:rStyle w:val="IndexLink"/>
                <w:rtl w:val="true"/>
              </w:rPr>
              <w:t>ما احتجّ به العلاّمة في المختلف</w:t>
            </w:r>
            <w:r>
              <w:rPr>
                <w:rStyle w:val="IndexLink"/>
                <w:rtl w:val="true"/>
              </w:rPr>
              <w:t>: «</w:t>
            </w:r>
            <w:r>
              <w:rPr>
                <w:rStyle w:val="IndexLink"/>
                <w:rtl w:val="true"/>
              </w:rPr>
              <w:t>من أنّه لو لم يجز إزالة الحدث به لم يجز إزالة النجاسة به، و الثاني باطل،</w:t>
            </w:r>
            <w:r>
              <w:rPr>
                <w:rStyle w:val="IndexLink"/>
                <w:rtl w:val="true"/>
              </w:rPr>
              <w:tab/>
            </w:r>
            <w:r>
              <w:rPr>
                <w:rStyle w:val="IndexLink"/>
              </w:rPr>
              <w:t>402</w:t>
            </w:r>
          </w:hyperlink>
        </w:p>
        <w:p>
          <w:pPr>
            <w:pStyle w:val="Contents6"/>
            <w:tabs>
              <w:tab w:val="clear" w:pos="7609"/>
              <w:tab w:val="right" w:pos="9026" w:leader="dot"/>
            </w:tabs>
            <w:rPr/>
          </w:pPr>
          <w:hyperlink w:anchor="__RefHeading___Toc1804680_1280447820">
            <w:r>
              <w:rPr>
                <w:webHidden/>
                <w:rStyle w:val="IndexLink"/>
                <w:rtl w:val="true"/>
              </w:rPr>
              <w:t>و تاسعها</w:t>
            </w:r>
            <w:r>
              <w:rPr>
                <w:rStyle w:val="IndexLink"/>
                <w:rtl w:val="true"/>
              </w:rPr>
              <w:t xml:space="preserve">: </w:t>
            </w:r>
            <w:r>
              <w:rPr>
                <w:rStyle w:val="IndexLink"/>
                <w:rtl w:val="true"/>
              </w:rPr>
              <w:t xml:space="preserve">ما احتجّ به في المختلف أيضا، من </w:t>
            </w:r>
            <w:r>
              <w:rPr>
                <w:rStyle w:val="IndexLink"/>
                <w:rtl w:val="true"/>
              </w:rPr>
              <w:t>«</w:t>
            </w:r>
            <w:r>
              <w:rPr>
                <w:rStyle w:val="IndexLink"/>
                <w:rtl w:val="true"/>
              </w:rPr>
              <w:t>أنّ زوال الطهوريّة عن هذا الماء مع ثبوتها في المستعمل في الصغرى ممّا لا يجتمعان،</w:t>
            </w:r>
            <w:r>
              <w:rPr>
                <w:rStyle w:val="IndexLink"/>
                <w:rtl w:val="true"/>
              </w:rPr>
              <w:tab/>
            </w:r>
            <w:r>
              <w:rPr>
                <w:rStyle w:val="IndexLink"/>
              </w:rPr>
              <w:t>402</w:t>
            </w:r>
          </w:hyperlink>
        </w:p>
        <w:p>
          <w:pPr>
            <w:pStyle w:val="Contents6"/>
            <w:tabs>
              <w:tab w:val="clear" w:pos="7609"/>
              <w:tab w:val="right" w:pos="9026" w:leader="dot"/>
            </w:tabs>
            <w:rPr/>
          </w:pPr>
          <w:hyperlink w:anchor="__RefHeading___Toc1804682_1280447820">
            <w:r>
              <w:rPr>
                <w:webHidden/>
                <w:rStyle w:val="IndexLink"/>
                <w:rtl w:val="true"/>
              </w:rPr>
              <w:t>و عاشرها</w:t>
            </w:r>
            <w:r>
              <w:rPr>
                <w:rStyle w:val="IndexLink"/>
                <w:rtl w:val="true"/>
              </w:rPr>
              <w:t xml:space="preserve">: </w:t>
            </w:r>
            <w:r>
              <w:rPr>
                <w:rStyle w:val="IndexLink"/>
                <w:rtl w:val="true"/>
              </w:rPr>
              <w:t>عدّة من الروايات</w:t>
            </w:r>
            <w:r>
              <w:rPr>
                <w:rStyle w:val="IndexLink"/>
                <w:rtl w:val="true"/>
              </w:rPr>
              <w:tab/>
            </w:r>
            <w:r>
              <w:rPr>
                <w:rStyle w:val="IndexLink"/>
              </w:rPr>
              <w:t>403</w:t>
            </w:r>
          </w:hyperlink>
        </w:p>
        <w:p>
          <w:pPr>
            <w:pStyle w:val="Contents6"/>
            <w:tabs>
              <w:tab w:val="clear" w:pos="7609"/>
              <w:tab w:val="right" w:pos="9026" w:leader="dot"/>
            </w:tabs>
            <w:rPr/>
          </w:pPr>
          <w:hyperlink w:anchor="__RefHeading___Toc1804684_1280447820">
            <w:r>
              <w:rPr>
                <w:webHidden/>
                <w:rStyle w:val="IndexLink"/>
                <w:rtl w:val="true"/>
              </w:rPr>
              <w:t>حجّة المانعين وجوه</w:t>
            </w:r>
            <w:r>
              <w:rPr>
                <w:rStyle w:val="IndexLink"/>
                <w:rtl w:val="true"/>
              </w:rPr>
              <w:t>:</w:t>
              <w:tab/>
            </w:r>
            <w:r>
              <w:rPr>
                <w:rStyle w:val="IndexLink"/>
              </w:rPr>
              <w:t>413</w:t>
            </w:r>
          </w:hyperlink>
        </w:p>
        <w:p>
          <w:pPr>
            <w:pStyle w:val="Contents6"/>
            <w:tabs>
              <w:tab w:val="clear" w:pos="7609"/>
              <w:tab w:val="right" w:pos="9026" w:leader="dot"/>
            </w:tabs>
            <w:rPr/>
          </w:pPr>
          <w:hyperlink w:anchor="__RefHeading___Toc1804686_1280447820">
            <w:r>
              <w:rPr>
                <w:webHidden/>
                <w:rStyle w:val="IndexLink"/>
                <w:rtl w:val="true"/>
              </w:rPr>
              <w:t>الأوّل</w:t>
            </w:r>
            <w:r>
              <w:rPr>
                <w:rStyle w:val="IndexLink"/>
                <w:rtl w:val="true"/>
              </w:rPr>
              <w:t xml:space="preserve">: </w:t>
            </w:r>
            <w:r>
              <w:rPr>
                <w:rStyle w:val="IndexLink"/>
                <w:rtl w:val="true"/>
              </w:rPr>
              <w:t>أنّ السلف قد استمرّت عادتهم بعدم جمع الماء المفروض،</w:t>
            </w:r>
            <w:r>
              <w:rPr>
                <w:rStyle w:val="IndexLink"/>
                <w:rtl w:val="true"/>
              </w:rPr>
              <w:tab/>
            </w:r>
            <w:r>
              <w:rPr>
                <w:rStyle w:val="IndexLink"/>
              </w:rPr>
              <w:t>413</w:t>
            </w:r>
          </w:hyperlink>
        </w:p>
        <w:p>
          <w:pPr>
            <w:pStyle w:val="Contents6"/>
            <w:tabs>
              <w:tab w:val="clear" w:pos="7609"/>
              <w:tab w:val="right" w:pos="9026" w:leader="dot"/>
            </w:tabs>
            <w:rPr/>
          </w:pPr>
          <w:hyperlink w:anchor="__RefHeading___Toc1804688_1280447820">
            <w:r>
              <w:rPr>
                <w:webHidden/>
                <w:rStyle w:val="IndexLink"/>
                <w:rtl w:val="true"/>
              </w:rPr>
              <w:t>و الثاني</w:t>
            </w:r>
            <w:r>
              <w:rPr>
                <w:rStyle w:val="IndexLink"/>
                <w:rtl w:val="true"/>
              </w:rPr>
              <w:t xml:space="preserve">: </w:t>
            </w:r>
            <w:r>
              <w:rPr>
                <w:rStyle w:val="IndexLink"/>
                <w:rtl w:val="true"/>
              </w:rPr>
              <w:t>ما عن الشيخ رحمه اللّه</w:t>
            </w:r>
            <w:r>
              <w:rPr>
                <w:rStyle w:val="IndexLink"/>
                <w:rtl w:val="true"/>
              </w:rPr>
              <w:t xml:space="preserve">: </w:t>
            </w:r>
            <w:r>
              <w:rPr>
                <w:rStyle w:val="IndexLink"/>
                <w:rtl w:val="true"/>
              </w:rPr>
              <w:t>من أنّ الإنسان مكلّف بالطهارة بالمتيقّن، طهارة المقطوع على استباحة الصلاة باستعماله،</w:t>
            </w:r>
            <w:r>
              <w:rPr>
                <w:rStyle w:val="IndexLink"/>
                <w:rtl w:val="true"/>
              </w:rPr>
              <w:tab/>
            </w:r>
            <w:r>
              <w:rPr>
                <w:rStyle w:val="IndexLink"/>
              </w:rPr>
              <w:t>413</w:t>
            </w:r>
          </w:hyperlink>
        </w:p>
        <w:p>
          <w:pPr>
            <w:pStyle w:val="Contents6"/>
            <w:tabs>
              <w:tab w:val="clear" w:pos="7609"/>
              <w:tab w:val="right" w:pos="9026" w:leader="dot"/>
            </w:tabs>
            <w:rPr/>
          </w:pPr>
          <w:hyperlink w:anchor="__RefHeading___Toc1804690_1280447820">
            <w:r>
              <w:rPr>
                <w:webHidden/>
                <w:rStyle w:val="IndexLink"/>
                <w:rtl w:val="true"/>
              </w:rPr>
              <w:t>و الثالث</w:t>
            </w:r>
            <w:r>
              <w:rPr>
                <w:rStyle w:val="IndexLink"/>
                <w:rtl w:val="true"/>
              </w:rPr>
              <w:t xml:space="preserve">: </w:t>
            </w:r>
            <w:r>
              <w:rPr>
                <w:rStyle w:val="IndexLink"/>
                <w:rtl w:val="true"/>
              </w:rPr>
              <w:t>عدّة أخبار</w:t>
            </w:r>
            <w:r>
              <w:rPr>
                <w:rStyle w:val="IndexLink"/>
                <w:rtl w:val="true"/>
              </w:rPr>
              <w:t>:</w:t>
              <w:tab/>
            </w:r>
            <w:r>
              <w:rPr>
                <w:rStyle w:val="IndexLink"/>
              </w:rPr>
              <w:t>414</w:t>
            </w:r>
          </w:hyperlink>
        </w:p>
        <w:p>
          <w:pPr>
            <w:pStyle w:val="Contents6"/>
            <w:tabs>
              <w:tab w:val="clear" w:pos="7609"/>
              <w:tab w:val="right" w:pos="9026" w:leader="dot"/>
            </w:tabs>
            <w:rPr/>
          </w:pPr>
          <w:hyperlink w:anchor="__RefHeading___Toc1804692_1280447820">
            <w:r>
              <w:rPr>
                <w:webHidden/>
                <w:rStyle w:val="IndexLink"/>
                <w:rtl w:val="true"/>
              </w:rPr>
              <w:t>و لنختم المقام بذكر امور</w:t>
            </w:r>
            <w:r>
              <w:rPr>
                <w:rStyle w:val="IndexLink"/>
                <w:rtl w:val="true"/>
              </w:rPr>
              <w:t>:</w:t>
              <w:tab/>
            </w:r>
            <w:r>
              <w:rPr>
                <w:rStyle w:val="IndexLink"/>
              </w:rPr>
              <w:t>416</w:t>
            </w:r>
          </w:hyperlink>
        </w:p>
        <w:p>
          <w:pPr>
            <w:pStyle w:val="Contents6"/>
            <w:tabs>
              <w:tab w:val="clear" w:pos="7609"/>
              <w:tab w:val="right" w:pos="9026" w:leader="dot"/>
            </w:tabs>
            <w:rPr/>
          </w:pPr>
          <w:hyperlink w:anchor="__RefHeading___Toc1804694_1280447820">
            <w:r>
              <w:rPr>
                <w:webHidden/>
                <w:rStyle w:val="IndexLink"/>
                <w:rtl w:val="true"/>
              </w:rPr>
              <w:t>أحدها</w:t>
            </w:r>
            <w:r>
              <w:rPr>
                <w:rStyle w:val="IndexLink"/>
                <w:rtl w:val="true"/>
              </w:rPr>
              <w:t xml:space="preserve">: </w:t>
            </w:r>
            <w:r>
              <w:rPr>
                <w:rStyle w:val="IndexLink"/>
                <w:rtl w:val="true"/>
              </w:rPr>
              <w:t>أنّ معقد البحث في هذه المسألة الماء الّذي استعمله المحدث خاليا بدنه عن نجاسة عينيّة أو أثرها،</w:t>
            </w:r>
            <w:r>
              <w:rPr>
                <w:rStyle w:val="IndexLink"/>
                <w:rtl w:val="true"/>
              </w:rPr>
              <w:tab/>
            </w:r>
            <w:r>
              <w:rPr>
                <w:rStyle w:val="IndexLink"/>
              </w:rPr>
              <w:t>416</w:t>
            </w:r>
          </w:hyperlink>
        </w:p>
        <w:p>
          <w:pPr>
            <w:pStyle w:val="Contents6"/>
            <w:tabs>
              <w:tab w:val="clear" w:pos="7609"/>
              <w:tab w:val="right" w:pos="9026" w:leader="dot"/>
            </w:tabs>
            <w:rPr/>
          </w:pPr>
          <w:hyperlink w:anchor="__RefHeading___Toc1804696_1280447820">
            <w:r>
              <w:rPr>
                <w:webHidden/>
                <w:rStyle w:val="IndexLink"/>
                <w:rtl w:val="true"/>
              </w:rPr>
              <w:t>و ثانيها</w:t>
            </w:r>
            <w:r>
              <w:rPr>
                <w:rStyle w:val="IndexLink"/>
                <w:rtl w:val="true"/>
              </w:rPr>
              <w:t xml:space="preserve">: </w:t>
            </w:r>
            <w:r>
              <w:rPr>
                <w:rStyle w:val="IndexLink"/>
                <w:rtl w:val="true"/>
              </w:rPr>
              <w:t>إطلاق عناوينهم المعبّرة عن موضوع المسألة بالمستعمل في رفع الحدث الأكبر،</w:t>
            </w:r>
            <w:r>
              <w:rPr>
                <w:rStyle w:val="IndexLink"/>
                <w:rtl w:val="true"/>
              </w:rPr>
              <w:tab/>
            </w:r>
            <w:r>
              <w:rPr>
                <w:rStyle w:val="IndexLink"/>
              </w:rPr>
              <w:t>417</w:t>
            </w:r>
          </w:hyperlink>
        </w:p>
        <w:p>
          <w:pPr>
            <w:pStyle w:val="Contents6"/>
            <w:tabs>
              <w:tab w:val="clear" w:pos="7609"/>
              <w:tab w:val="right" w:pos="9026" w:leader="dot"/>
            </w:tabs>
            <w:rPr/>
          </w:pPr>
          <w:hyperlink w:anchor="__RefHeading___Toc1804698_1280447820">
            <w:r>
              <w:rPr>
                <w:webHidden/>
                <w:rStyle w:val="IndexLink"/>
                <w:rtl w:val="true"/>
              </w:rPr>
              <w:t>و ثالثها</w:t>
            </w:r>
            <w:r>
              <w:rPr>
                <w:rStyle w:val="IndexLink"/>
                <w:rtl w:val="true"/>
              </w:rPr>
              <w:t xml:space="preserve">: </w:t>
            </w:r>
            <w:r>
              <w:rPr>
                <w:rStyle w:val="IndexLink"/>
                <w:rtl w:val="true"/>
              </w:rPr>
              <w:t>قال العلاّمة في المنتهى</w:t>
            </w:r>
            <w:r>
              <w:rPr>
                <w:rStyle w:val="IndexLink"/>
                <w:rtl w:val="true"/>
              </w:rPr>
              <w:t>: «</w:t>
            </w:r>
            <w:r>
              <w:rPr>
                <w:rStyle w:val="IndexLink"/>
                <w:rtl w:val="true"/>
              </w:rPr>
              <w:t>المستعمل في غسل الجنابة يجوز إزالة النجاسة به إجماعا منّا، لإطلاقه،</w:t>
            </w:r>
            <w:r>
              <w:rPr>
                <w:rStyle w:val="IndexLink"/>
                <w:rtl w:val="true"/>
              </w:rPr>
              <w:tab/>
            </w:r>
            <w:r>
              <w:rPr>
                <w:rStyle w:val="IndexLink"/>
              </w:rPr>
              <w:t>418</w:t>
            </w:r>
          </w:hyperlink>
        </w:p>
        <w:p>
          <w:pPr>
            <w:pStyle w:val="Contents6"/>
            <w:tabs>
              <w:tab w:val="clear" w:pos="7609"/>
              <w:tab w:val="right" w:pos="9026" w:leader="dot"/>
            </w:tabs>
            <w:rPr/>
          </w:pPr>
          <w:hyperlink w:anchor="__RefHeading___Toc1804700_1280447820">
            <w:r>
              <w:rPr>
                <w:webHidden/>
                <w:rStyle w:val="IndexLink"/>
                <w:rtl w:val="true"/>
              </w:rPr>
              <w:t>و رابعها</w:t>
            </w:r>
            <w:r>
              <w:rPr>
                <w:rStyle w:val="IndexLink"/>
                <w:rtl w:val="true"/>
              </w:rPr>
              <w:t xml:space="preserve">: </w:t>
            </w:r>
            <w:r>
              <w:rPr>
                <w:rStyle w:val="IndexLink"/>
                <w:rtl w:val="true"/>
              </w:rPr>
              <w:t>الأقرب على المختار من طهوريّة المستعمل في رفع الحدث، كراهية استعماله في رفع الحدث ثانيا،</w:t>
            </w:r>
            <w:r>
              <w:rPr>
                <w:rStyle w:val="IndexLink"/>
                <w:rtl w:val="true"/>
              </w:rPr>
              <w:tab/>
            </w:r>
            <w:r>
              <w:rPr>
                <w:rStyle w:val="IndexLink"/>
              </w:rPr>
              <w:t>419</w:t>
            </w:r>
          </w:hyperlink>
        </w:p>
        <w:p>
          <w:pPr>
            <w:pStyle w:val="Contents6"/>
            <w:tabs>
              <w:tab w:val="clear" w:pos="7609"/>
              <w:tab w:val="right" w:pos="9026" w:leader="dot"/>
            </w:tabs>
            <w:rPr/>
          </w:pPr>
          <w:hyperlink w:anchor="__RefHeading___Toc1804702_1280447820">
            <w:r>
              <w:rPr>
                <w:webHidden/>
                <w:rStyle w:val="IndexLink"/>
                <w:rtl w:val="true"/>
              </w:rPr>
              <w:t>و خامسها</w:t>
            </w:r>
            <w:r>
              <w:rPr>
                <w:rStyle w:val="IndexLink"/>
                <w:rtl w:val="true"/>
              </w:rPr>
              <w:t xml:space="preserve">: </w:t>
            </w:r>
            <w:r>
              <w:rPr>
                <w:rStyle w:val="IndexLink"/>
                <w:rtl w:val="true"/>
              </w:rPr>
              <w:t>يظهر من العلاّمة في المنتهى عدم اشتراط الانفصال عند المانعين من أصحابنا في صدق الاستعمال،</w:t>
            </w:r>
            <w:r>
              <w:rPr>
                <w:rStyle w:val="IndexLink"/>
                <w:rtl w:val="true"/>
              </w:rPr>
              <w:tab/>
            </w:r>
            <w:r>
              <w:rPr>
                <w:rStyle w:val="IndexLink"/>
              </w:rPr>
              <w:t>419</w:t>
            </w:r>
          </w:hyperlink>
        </w:p>
        <w:p>
          <w:pPr>
            <w:pStyle w:val="Contents6"/>
            <w:tabs>
              <w:tab w:val="clear" w:pos="7609"/>
              <w:tab w:val="right" w:pos="9026" w:leader="dot"/>
            </w:tabs>
            <w:rPr/>
          </w:pPr>
          <w:hyperlink w:anchor="__RefHeading___Toc1804704_1280447820">
            <w:r>
              <w:rPr>
                <w:webHidden/>
                <w:rStyle w:val="IndexLink"/>
                <w:rtl w:val="true"/>
              </w:rPr>
              <w:t>و سادسها</w:t>
            </w:r>
            <w:r>
              <w:rPr>
                <w:rStyle w:val="IndexLink"/>
                <w:rtl w:val="true"/>
              </w:rPr>
              <w:t xml:space="preserve">: </w:t>
            </w:r>
            <w:r>
              <w:rPr>
                <w:rStyle w:val="IndexLink"/>
                <w:rtl w:val="true"/>
              </w:rPr>
              <w:t>إذا اجتمعت المياه المستعملة حتّى بلغت كرّا و ما زاد، لم يزل المنع على القول به،</w:t>
            </w:r>
            <w:r>
              <w:rPr>
                <w:rStyle w:val="IndexLink"/>
                <w:rtl w:val="true"/>
              </w:rPr>
              <w:tab/>
            </w:r>
            <w:r>
              <w:rPr>
                <w:rStyle w:val="IndexLink"/>
              </w:rPr>
              <w:t>422</w:t>
            </w:r>
          </w:hyperlink>
        </w:p>
        <w:p>
          <w:pPr>
            <w:pStyle w:val="Contents6"/>
            <w:tabs>
              <w:tab w:val="clear" w:pos="7609"/>
              <w:tab w:val="right" w:pos="9026" w:leader="dot"/>
            </w:tabs>
            <w:rPr/>
          </w:pPr>
          <w:hyperlink w:anchor="__RefHeading___Toc1804706_1280447820">
            <w:r>
              <w:rPr>
                <w:webHidden/>
                <w:rStyle w:val="IndexLink"/>
                <w:rtl w:val="true"/>
              </w:rPr>
              <w:t>و سابعها</w:t>
            </w:r>
            <w:r>
              <w:rPr>
                <w:rStyle w:val="IndexLink"/>
                <w:rtl w:val="true"/>
              </w:rPr>
              <w:t xml:space="preserve">: </w:t>
            </w:r>
            <w:r>
              <w:rPr>
                <w:rStyle w:val="IndexLink"/>
                <w:rtl w:val="true"/>
              </w:rPr>
              <w:t>قال في المنتهى</w:t>
            </w:r>
            <w:r>
              <w:rPr>
                <w:rStyle w:val="IndexLink"/>
                <w:rtl w:val="true"/>
              </w:rPr>
              <w:t>: «</w:t>
            </w:r>
            <w:r>
              <w:rPr>
                <w:rStyle w:val="IndexLink"/>
                <w:rtl w:val="true"/>
              </w:rPr>
              <w:t>لو اغتسل وجوبا من جنابة مشكوك فيها،</w:t>
            </w:r>
            <w:r>
              <w:rPr>
                <w:rStyle w:val="IndexLink"/>
                <w:rtl w:val="true"/>
              </w:rPr>
              <w:tab/>
            </w:r>
            <w:r>
              <w:rPr>
                <w:rStyle w:val="IndexLink"/>
              </w:rPr>
              <w:t>423</w:t>
            </w:r>
          </w:hyperlink>
        </w:p>
        <w:p>
          <w:pPr>
            <w:pStyle w:val="Contents6"/>
            <w:tabs>
              <w:tab w:val="clear" w:pos="7609"/>
              <w:tab w:val="right" w:pos="9026" w:leader="dot"/>
            </w:tabs>
            <w:rPr/>
          </w:pPr>
          <w:hyperlink w:anchor="__RefHeading___Toc1804708_1280447820">
            <w:r>
              <w:rPr>
                <w:webHidden/>
                <w:rStyle w:val="IndexLink"/>
                <w:rtl w:val="true"/>
              </w:rPr>
              <w:t>و ثامنها</w:t>
            </w:r>
            <w:r>
              <w:rPr>
                <w:rStyle w:val="IndexLink"/>
                <w:rtl w:val="true"/>
              </w:rPr>
              <w:t xml:space="preserve">: </w:t>
            </w:r>
            <w:r>
              <w:rPr>
                <w:rStyle w:val="IndexLink"/>
                <w:rtl w:val="true"/>
              </w:rPr>
              <w:t>قد أشرنا سابقا إلى أنّ الحكم في كلام أهل القول بالمنع مختصّ بالقليل، لخروج الكثير عن المتنازع فيه،</w:t>
            </w:r>
            <w:r>
              <w:rPr>
                <w:rStyle w:val="IndexLink"/>
                <w:rtl w:val="true"/>
              </w:rPr>
              <w:tab/>
            </w:r>
            <w:r>
              <w:rPr>
                <w:rStyle w:val="IndexLink"/>
              </w:rPr>
              <w:t>424</w:t>
            </w:r>
          </w:hyperlink>
        </w:p>
        <w:p>
          <w:pPr>
            <w:pStyle w:val="Contents3"/>
            <w:tabs>
              <w:tab w:val="clear" w:pos="8459"/>
              <w:tab w:val="right" w:pos="9026" w:leader="dot"/>
            </w:tabs>
            <w:rPr/>
          </w:pPr>
          <w:hyperlink w:anchor="__RefHeading___Toc1804710_1280447820">
            <w:r>
              <w:rPr>
                <w:webHidden/>
                <w:rStyle w:val="IndexLink"/>
                <w:rtl w:val="true"/>
              </w:rPr>
              <w:t xml:space="preserve">ينبوع </w:t>
            </w:r>
            <w:r>
              <w:rPr>
                <w:rStyle w:val="IndexLink"/>
                <w:rtl w:val="true"/>
              </w:rPr>
              <w:t>[</w:t>
            </w:r>
            <w:r>
              <w:rPr>
                <w:rStyle w:val="IndexLink"/>
                <w:rtl w:val="true"/>
              </w:rPr>
              <w:t>في ماء الجاري</w:t>
            </w:r>
            <w:r>
              <w:rPr>
                <w:rStyle w:val="IndexLink"/>
                <w:rtl w:val="true"/>
              </w:rPr>
              <w:t>]</w:t>
              <w:tab/>
            </w:r>
            <w:r>
              <w:rPr>
                <w:rStyle w:val="IndexLink"/>
              </w:rPr>
              <w:t>426</w:t>
            </w:r>
          </w:hyperlink>
        </w:p>
        <w:p>
          <w:pPr>
            <w:pStyle w:val="Contents4"/>
            <w:tabs>
              <w:tab w:val="clear" w:pos="8176"/>
              <w:tab w:val="right" w:pos="9026" w:leader="dot"/>
            </w:tabs>
            <w:rPr/>
          </w:pPr>
          <w:hyperlink w:anchor="__RefHeading___Toc1804712_1280447820">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804714_1280447820">
            <w:r>
              <w:rPr>
                <w:webHidden/>
                <w:rStyle w:val="IndexLink"/>
                <w:rtl w:val="true"/>
              </w:rPr>
              <w:t>و كيف كان</w:t>
            </w:r>
            <w:r>
              <w:rPr>
                <w:rStyle w:val="IndexLink"/>
                <w:rtl w:val="true"/>
              </w:rPr>
              <w:t xml:space="preserve">: </w:t>
            </w:r>
            <w:r>
              <w:rPr>
                <w:rStyle w:val="IndexLink"/>
                <w:rtl w:val="true"/>
              </w:rPr>
              <w:t>فاختلفت كلمتهم في تفسير الجاري هنا؛</w:t>
            </w:r>
            <w:r>
              <w:rPr>
                <w:rStyle w:val="IndexLink"/>
                <w:rtl w:val="true"/>
              </w:rPr>
              <w:tab/>
            </w:r>
            <w:r>
              <w:rPr>
                <w:rStyle w:val="IndexLink"/>
              </w:rPr>
              <w:t>426</w:t>
            </w:r>
          </w:hyperlink>
        </w:p>
        <w:p>
          <w:pPr>
            <w:pStyle w:val="Contents4"/>
            <w:tabs>
              <w:tab w:val="clear" w:pos="8176"/>
              <w:tab w:val="right" w:pos="9026" w:leader="dot"/>
            </w:tabs>
            <w:rPr/>
          </w:pPr>
          <w:hyperlink w:anchor="__RefHeading___Toc1804716_1280447820">
            <w:r>
              <w:rPr>
                <w:webHidden/>
                <w:rStyle w:val="IndexLink"/>
                <w:rtl w:val="true"/>
              </w:rPr>
              <w:t>و اشتراط الكرّيّة في عدم انفعاله و عدمه على قولين</w:t>
            </w:r>
            <w:r>
              <w:rPr>
                <w:rStyle w:val="IndexLink"/>
                <w:rtl w:val="true"/>
              </w:rPr>
              <w:t>:</w:t>
              <w:tab/>
            </w:r>
            <w:r>
              <w:rPr>
                <w:rStyle w:val="IndexLink"/>
              </w:rPr>
              <w:t>435</w:t>
            </w:r>
          </w:hyperlink>
        </w:p>
        <w:p>
          <w:pPr>
            <w:pStyle w:val="Contents5"/>
            <w:tabs>
              <w:tab w:val="clear" w:pos="7892"/>
              <w:tab w:val="right" w:pos="9026" w:leader="dot"/>
            </w:tabs>
            <w:rPr/>
          </w:pPr>
          <w:hyperlink w:anchor="__RefHeading___Toc1804718_1280447820">
            <w:r>
              <w:rPr>
                <w:webHidden/>
                <w:rStyle w:val="IndexLink"/>
                <w:rtl w:val="true"/>
              </w:rPr>
              <w:t>الأوّل</w:t>
            </w:r>
            <w:r>
              <w:rPr>
                <w:rStyle w:val="IndexLink"/>
                <w:rtl w:val="true"/>
              </w:rPr>
              <w:t xml:space="preserve">: </w:t>
            </w:r>
            <w:r>
              <w:rPr>
                <w:rStyle w:val="IndexLink"/>
                <w:rtl w:val="true"/>
              </w:rPr>
              <w:t>ما هو المشهور جدّا محقّقا و محكيّا من أنّه لا يشترط فيه الكرّيّة، فلا ينفعل قليله بالنجاسة إلاّ إذا تغيّر،</w:t>
            </w:r>
            <w:r>
              <w:rPr>
                <w:rStyle w:val="IndexLink"/>
                <w:rtl w:val="true"/>
              </w:rPr>
              <w:tab/>
            </w:r>
            <w:r>
              <w:rPr>
                <w:rStyle w:val="IndexLink"/>
              </w:rPr>
              <w:t>435</w:t>
            </w:r>
          </w:hyperlink>
        </w:p>
        <w:p>
          <w:pPr>
            <w:pStyle w:val="Contents5"/>
            <w:tabs>
              <w:tab w:val="clear" w:pos="7892"/>
              <w:tab w:val="right" w:pos="9026" w:leader="dot"/>
            </w:tabs>
            <w:rPr/>
          </w:pPr>
          <w:hyperlink w:anchor="__RefHeading___Toc1804720_1280447820">
            <w:r>
              <w:rPr>
                <w:webHidden/>
                <w:rStyle w:val="IndexLink"/>
                <w:rtl w:val="true"/>
              </w:rPr>
              <w:t>احتجّ الأوّلون بوجوه</w:t>
            </w:r>
            <w:r>
              <w:rPr>
                <w:rStyle w:val="IndexLink"/>
                <w:rtl w:val="true"/>
              </w:rPr>
              <w:t>: [</w:t>
            </w:r>
            <w:r>
              <w:rPr>
                <w:rStyle w:val="IndexLink"/>
                <w:rtl w:val="true"/>
              </w:rPr>
              <w:t>أي لا يشترط فيه الكرية فلا ينفعل قليله بالنجاسة إلا إذا تغير</w:t>
            </w:r>
            <w:r>
              <w:rPr>
                <w:rStyle w:val="IndexLink"/>
                <w:rtl w:val="true"/>
              </w:rPr>
              <w:t>]</w:t>
              <w:tab/>
            </w:r>
            <w:r>
              <w:rPr>
                <w:rStyle w:val="IndexLink"/>
              </w:rPr>
              <w:t>438</w:t>
            </w:r>
          </w:hyperlink>
        </w:p>
        <w:p>
          <w:pPr>
            <w:pStyle w:val="Contents6"/>
            <w:tabs>
              <w:tab w:val="clear" w:pos="7609"/>
              <w:tab w:val="right" w:pos="9026" w:leader="dot"/>
            </w:tabs>
            <w:rPr/>
          </w:pPr>
          <w:hyperlink w:anchor="__RefHeading___Toc1804722_1280447820">
            <w:r>
              <w:rPr>
                <w:webHidden/>
                <w:rStyle w:val="IndexLink"/>
                <w:rtl w:val="true"/>
              </w:rPr>
              <w:t>أحدها</w:t>
            </w:r>
            <w:r>
              <w:rPr>
                <w:rStyle w:val="IndexLink"/>
                <w:rtl w:val="true"/>
              </w:rPr>
              <w:t xml:space="preserve">: </w:t>
            </w:r>
            <w:r>
              <w:rPr>
                <w:rStyle w:val="IndexLink"/>
                <w:rtl w:val="true"/>
              </w:rPr>
              <w:t>الأصل،</w:t>
            </w:r>
            <w:r>
              <w:rPr>
                <w:rStyle w:val="IndexLink"/>
                <w:rtl w:val="true"/>
              </w:rPr>
              <w:tab/>
            </w:r>
            <w:r>
              <w:rPr>
                <w:rStyle w:val="IndexLink"/>
              </w:rPr>
              <w:t>438</w:t>
            </w:r>
          </w:hyperlink>
        </w:p>
        <w:p>
          <w:pPr>
            <w:pStyle w:val="Contents6"/>
            <w:tabs>
              <w:tab w:val="clear" w:pos="7609"/>
              <w:tab w:val="right" w:pos="9026" w:leader="dot"/>
            </w:tabs>
            <w:rPr/>
          </w:pPr>
          <w:hyperlink w:anchor="__RefHeading___Toc1804724_1280447820">
            <w:r>
              <w:rPr>
                <w:webHidden/>
                <w:rStyle w:val="IndexLink"/>
                <w:rtl w:val="true"/>
              </w:rPr>
              <w:t>و ثانيها</w:t>
            </w:r>
            <w:r>
              <w:rPr>
                <w:rStyle w:val="IndexLink"/>
                <w:rtl w:val="true"/>
              </w:rPr>
              <w:t xml:space="preserve">: </w:t>
            </w:r>
            <w:r>
              <w:rPr>
                <w:rStyle w:val="IndexLink"/>
                <w:rtl w:val="true"/>
              </w:rPr>
              <w:t>ما حكى الاحتجاج به عن المحقّق ، و العلاّمة ، من أنّ النجاسة لا تستقرّ مع الجريان</w:t>
            </w:r>
            <w:r>
              <w:rPr>
                <w:rStyle w:val="IndexLink"/>
                <w:rtl w:val="true"/>
              </w:rPr>
              <w:t>.</w:t>
              <w:tab/>
            </w:r>
            <w:r>
              <w:rPr>
                <w:rStyle w:val="IndexLink"/>
              </w:rPr>
              <w:t>439</w:t>
            </w:r>
          </w:hyperlink>
        </w:p>
        <w:p>
          <w:pPr>
            <w:pStyle w:val="Contents6"/>
            <w:tabs>
              <w:tab w:val="clear" w:pos="7609"/>
              <w:tab w:val="right" w:pos="9026" w:leader="dot"/>
            </w:tabs>
            <w:rPr/>
          </w:pPr>
          <w:hyperlink w:anchor="__RefHeading___Toc1804726_1280447820">
            <w:r>
              <w:rPr>
                <w:webHidden/>
                <w:rStyle w:val="IndexLink"/>
                <w:rtl w:val="true"/>
              </w:rPr>
              <w:t>و ثالثها</w:t>
            </w:r>
            <w:r>
              <w:rPr>
                <w:rStyle w:val="IndexLink"/>
                <w:rtl w:val="true"/>
              </w:rPr>
              <w:t xml:space="preserve">: </w:t>
            </w:r>
            <w:r>
              <w:rPr>
                <w:rStyle w:val="IndexLink"/>
                <w:rtl w:val="true"/>
              </w:rPr>
              <w:t>عدّة روايات عامّة</w:t>
            </w:r>
            <w:r>
              <w:rPr>
                <w:rStyle w:val="IndexLink"/>
                <w:rtl w:val="true"/>
              </w:rPr>
              <w:tab/>
            </w:r>
            <w:r>
              <w:rPr>
                <w:rStyle w:val="IndexLink"/>
              </w:rPr>
              <w:t>439</w:t>
            </w:r>
          </w:hyperlink>
        </w:p>
        <w:p>
          <w:pPr>
            <w:pStyle w:val="Contents6"/>
            <w:tabs>
              <w:tab w:val="clear" w:pos="7609"/>
              <w:tab w:val="right" w:pos="9026" w:leader="dot"/>
            </w:tabs>
            <w:rPr/>
          </w:pPr>
          <w:hyperlink w:anchor="__RefHeading___Toc1804728_1280447820">
            <w:r>
              <w:rPr>
                <w:webHidden/>
                <w:rStyle w:val="IndexLink"/>
                <w:rtl w:val="true"/>
              </w:rPr>
              <w:t>و رابعها</w:t>
            </w:r>
            <w:r>
              <w:rPr>
                <w:rStyle w:val="IndexLink"/>
                <w:rtl w:val="true"/>
              </w:rPr>
              <w:t xml:space="preserve">: </w:t>
            </w:r>
            <w:r>
              <w:rPr>
                <w:rStyle w:val="IndexLink"/>
                <w:rtl w:val="true"/>
              </w:rPr>
              <w:t xml:space="preserve">خصوص صحيحة إسماعيل بن بزيع عن الرضا عليه السّلام </w:t>
            </w:r>
            <w:r>
              <w:rPr>
                <w:rStyle w:val="IndexLink"/>
                <w:rtl w:val="true"/>
              </w:rPr>
              <w:t>«</w:t>
            </w:r>
            <w:r>
              <w:rPr>
                <w:rStyle w:val="IndexLink"/>
                <w:rtl w:val="true"/>
              </w:rPr>
              <w:t>قال</w:t>
            </w:r>
            <w:r>
              <w:rPr>
                <w:rStyle w:val="IndexLink"/>
                <w:rtl w:val="true"/>
              </w:rPr>
              <w:t xml:space="preserve">: </w:t>
            </w:r>
            <w:r>
              <w:rPr>
                <w:rStyle w:val="IndexLink"/>
                <w:rtl w:val="true"/>
              </w:rPr>
              <w:t>ماء البئر واسع لا يفسده شيء، إلاّ أن يتغيّر ريحه أو طعمه،</w:t>
            </w:r>
            <w:r>
              <w:rPr>
                <w:rStyle w:val="IndexLink"/>
                <w:rtl w:val="true"/>
              </w:rPr>
              <w:tab/>
            </w:r>
            <w:r>
              <w:rPr>
                <w:rStyle w:val="IndexLink"/>
              </w:rPr>
              <w:t>440</w:t>
            </w:r>
          </w:hyperlink>
        </w:p>
        <w:p>
          <w:pPr>
            <w:pStyle w:val="Contents6"/>
            <w:tabs>
              <w:tab w:val="clear" w:pos="7609"/>
              <w:tab w:val="right" w:pos="9026" w:leader="dot"/>
            </w:tabs>
            <w:rPr/>
          </w:pPr>
          <w:hyperlink w:anchor="__RefHeading___Toc1804730_1280447820">
            <w:r>
              <w:rPr>
                <w:webHidden/>
                <w:rStyle w:val="IndexLink"/>
                <w:rtl w:val="true"/>
              </w:rPr>
              <w:t>و خامسها</w:t>
            </w:r>
            <w:r>
              <w:rPr>
                <w:rStyle w:val="IndexLink"/>
                <w:rtl w:val="true"/>
              </w:rPr>
              <w:t xml:space="preserve">: </w:t>
            </w:r>
            <w:r>
              <w:rPr>
                <w:rStyle w:val="IndexLink"/>
                <w:rtl w:val="true"/>
              </w:rPr>
              <w:t>الروايات النافية للبأس عن البول في الماء الجاري،</w:t>
            </w:r>
            <w:r>
              <w:rPr>
                <w:rStyle w:val="IndexLink"/>
                <w:rtl w:val="true"/>
              </w:rPr>
              <w:tab/>
            </w:r>
            <w:r>
              <w:rPr>
                <w:rStyle w:val="IndexLink"/>
              </w:rPr>
              <w:t>444</w:t>
            </w:r>
          </w:hyperlink>
        </w:p>
        <w:p>
          <w:pPr>
            <w:pStyle w:val="Contents6"/>
            <w:tabs>
              <w:tab w:val="clear" w:pos="7609"/>
              <w:tab w:val="right" w:pos="9026" w:leader="dot"/>
            </w:tabs>
            <w:rPr/>
          </w:pPr>
          <w:hyperlink w:anchor="__RefHeading___Toc1804732_1280447820">
            <w:r>
              <w:rPr>
                <w:webHidden/>
                <w:rStyle w:val="IndexLink"/>
                <w:rtl w:val="true"/>
              </w:rPr>
              <w:t>و سادسها</w:t>
            </w:r>
            <w:r>
              <w:rPr>
                <w:rStyle w:val="IndexLink"/>
                <w:rtl w:val="true"/>
              </w:rPr>
              <w:t xml:space="preserve">: </w:t>
            </w:r>
            <w:r>
              <w:rPr>
                <w:rStyle w:val="IndexLink"/>
                <w:rtl w:val="true"/>
              </w:rPr>
              <w:t>ما ورد في الروايات من تشبيه ماء الحمّام بالجاري،</w:t>
            </w:r>
            <w:r>
              <w:rPr>
                <w:rStyle w:val="IndexLink"/>
                <w:rtl w:val="true"/>
              </w:rPr>
              <w:tab/>
            </w:r>
            <w:r>
              <w:rPr>
                <w:rStyle w:val="IndexLink"/>
              </w:rPr>
              <w:t>445</w:t>
            </w:r>
          </w:hyperlink>
        </w:p>
        <w:p>
          <w:pPr>
            <w:pStyle w:val="Contents6"/>
            <w:tabs>
              <w:tab w:val="clear" w:pos="7609"/>
              <w:tab w:val="right" w:pos="9026" w:leader="dot"/>
            </w:tabs>
            <w:rPr/>
          </w:pPr>
          <w:hyperlink w:anchor="__RefHeading___Toc1804734_1280447820">
            <w:r>
              <w:rPr>
                <w:webHidden/>
                <w:rStyle w:val="IndexLink"/>
                <w:rtl w:val="true"/>
              </w:rPr>
              <w:t>و سابعها</w:t>
            </w:r>
            <w:r>
              <w:rPr>
                <w:rStyle w:val="IndexLink"/>
                <w:rtl w:val="true"/>
              </w:rPr>
              <w:t xml:space="preserve">: </w:t>
            </w:r>
            <w:r>
              <w:rPr>
                <w:rStyle w:val="IndexLink"/>
                <w:rtl w:val="true"/>
              </w:rPr>
              <w:t>عموم روايات وردت في خصوص الجاري، نافية لتنجيسه بشيء ما عدا التغيّر،</w:t>
            </w:r>
            <w:r>
              <w:rPr>
                <w:rStyle w:val="IndexLink"/>
                <w:rtl w:val="true"/>
              </w:rPr>
              <w:tab/>
            </w:r>
            <w:r>
              <w:rPr>
                <w:rStyle w:val="IndexLink"/>
              </w:rPr>
              <w:t>449</w:t>
            </w:r>
          </w:hyperlink>
        </w:p>
        <w:p>
          <w:pPr>
            <w:pStyle w:val="Contents6"/>
            <w:tabs>
              <w:tab w:val="clear" w:pos="7609"/>
              <w:tab w:val="right" w:pos="9026" w:leader="dot"/>
            </w:tabs>
            <w:rPr/>
          </w:pPr>
          <w:hyperlink w:anchor="__RefHeading___Toc1804736_1280447820">
            <w:r>
              <w:rPr>
                <w:webHidden/>
                <w:rStyle w:val="IndexLink"/>
                <w:rtl w:val="true"/>
              </w:rPr>
              <w:t>و ثامنها</w:t>
            </w:r>
            <w:r>
              <w:rPr>
                <w:rStyle w:val="IndexLink"/>
                <w:rtl w:val="true"/>
              </w:rPr>
              <w:t xml:space="preserve">: </w:t>
            </w:r>
            <w:r>
              <w:rPr>
                <w:rStyle w:val="IndexLink"/>
                <w:rtl w:val="true"/>
              </w:rPr>
              <w:t xml:space="preserve">الإجماعات المنقولة </w:t>
            </w:r>
            <w:r>
              <w:rPr>
                <w:rStyle w:val="IndexLink"/>
                <w:rtl w:val="true"/>
              </w:rPr>
              <w:t xml:space="preserve">- </w:t>
            </w:r>
            <w:r>
              <w:rPr>
                <w:rStyle w:val="IndexLink"/>
                <w:rtl w:val="true"/>
              </w:rPr>
              <w:t xml:space="preserve">المتقدّم إليها الإشارة </w:t>
            </w:r>
            <w:r>
              <w:rPr>
                <w:rStyle w:val="IndexLink"/>
                <w:rtl w:val="true"/>
              </w:rPr>
              <w:t xml:space="preserve">- </w:t>
            </w:r>
            <w:r>
              <w:rPr>
                <w:rStyle w:val="IndexLink"/>
                <w:rtl w:val="true"/>
              </w:rPr>
              <w:t>المعتضدة بالشهرة العظيمة،</w:t>
            </w:r>
            <w:r>
              <w:rPr>
                <w:rStyle w:val="IndexLink"/>
                <w:rtl w:val="true"/>
              </w:rPr>
              <w:tab/>
            </w:r>
            <w:r>
              <w:rPr>
                <w:rStyle w:val="IndexLink"/>
              </w:rPr>
              <w:t>450</w:t>
            </w:r>
          </w:hyperlink>
        </w:p>
        <w:p>
          <w:pPr>
            <w:pStyle w:val="Contents6"/>
            <w:tabs>
              <w:tab w:val="clear" w:pos="7609"/>
              <w:tab w:val="right" w:pos="9026" w:leader="dot"/>
            </w:tabs>
            <w:rPr/>
          </w:pPr>
          <w:hyperlink w:anchor="__RefHeading___Toc1804738_1280447820">
            <w:r>
              <w:rPr>
                <w:webHidden/>
                <w:rStyle w:val="IndexLink"/>
                <w:rtl w:val="true"/>
              </w:rPr>
              <w:t>و تاسعها</w:t>
            </w:r>
            <w:r>
              <w:rPr>
                <w:rStyle w:val="IndexLink"/>
                <w:rtl w:val="true"/>
              </w:rPr>
              <w:t xml:space="preserve">: </w:t>
            </w:r>
            <w:r>
              <w:rPr>
                <w:rStyle w:val="IndexLink"/>
                <w:rtl w:val="true"/>
              </w:rPr>
              <w:t xml:space="preserve">ما اعتمد عليه المحقّق البهبهاني </w:t>
            </w:r>
            <w:r>
              <w:rPr>
                <w:rStyle w:val="IndexLink"/>
                <w:rtl w:val="true"/>
              </w:rPr>
              <w:t xml:space="preserve">- </w:t>
            </w:r>
            <w:r>
              <w:rPr>
                <w:rStyle w:val="IndexLink"/>
                <w:rtl w:val="true"/>
              </w:rPr>
              <w:t>مضافا إلى أصالة البراءة المتقدّم ذكرها</w:t>
            </w:r>
            <w:r>
              <w:rPr>
                <w:rStyle w:val="IndexLink"/>
                <w:rtl w:val="true"/>
              </w:rPr>
              <w:tab/>
            </w:r>
            <w:r>
              <w:rPr>
                <w:rStyle w:val="IndexLink"/>
              </w:rPr>
              <w:t>450</w:t>
            </w:r>
          </w:hyperlink>
        </w:p>
        <w:p>
          <w:pPr>
            <w:pStyle w:val="Contents3"/>
            <w:tabs>
              <w:tab w:val="clear" w:pos="8459"/>
              <w:tab w:val="right" w:pos="9026" w:leader="dot"/>
            </w:tabs>
            <w:rPr/>
          </w:pPr>
          <w:hyperlink w:anchor="__RefHeading___Toc1804740_1280447820">
            <w:r>
              <w:rPr>
                <w:webHidden/>
                <w:rStyle w:val="IndexLink"/>
                <w:rtl w:val="true"/>
              </w:rPr>
              <w:t>«</w:t>
            </w:r>
            <w:r>
              <w:rPr>
                <w:rStyle w:val="IndexLink"/>
                <w:rtl w:val="true"/>
              </w:rPr>
              <w:t>ينبوع</w:t>
            </w:r>
            <w:r>
              <w:rPr>
                <w:rStyle w:val="IndexLink"/>
                <w:rtl w:val="true"/>
              </w:rPr>
              <w:t>» [</w:t>
            </w:r>
            <w:r>
              <w:rPr>
                <w:rStyle w:val="IndexLink"/>
                <w:rtl w:val="true"/>
              </w:rPr>
              <w:t>في ماء الحمام</w:t>
            </w:r>
            <w:r>
              <w:rPr>
                <w:rStyle w:val="IndexLink"/>
                <w:rtl w:val="true"/>
              </w:rPr>
              <w:t>]</w:t>
              <w:tab/>
            </w:r>
            <w:r>
              <w:rPr>
                <w:rStyle w:val="IndexLink"/>
              </w:rPr>
              <w:t>453</w:t>
            </w:r>
          </w:hyperlink>
        </w:p>
        <w:p>
          <w:pPr>
            <w:pStyle w:val="Contents4"/>
            <w:tabs>
              <w:tab w:val="clear" w:pos="8176"/>
              <w:tab w:val="right" w:pos="9026" w:leader="dot"/>
            </w:tabs>
            <w:rPr/>
          </w:pPr>
          <w:hyperlink w:anchor="__RefHeading___Toc1804742_1280447820">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804744_1280447820">
            <w:r>
              <w:rPr>
                <w:webHidden/>
                <w:rStyle w:val="IndexLink"/>
                <w:rtl w:val="true"/>
              </w:rPr>
              <w:t>و على أيّ حال كان فينبغي أوّلا سوق عنان القلم إلى بيان المراد من ماء الحمّام المبحوث عنه هنا،</w:t>
            </w:r>
            <w:r>
              <w:rPr>
                <w:rStyle w:val="IndexLink"/>
                <w:rtl w:val="true"/>
              </w:rPr>
              <w:tab/>
            </w:r>
            <w:r>
              <w:rPr>
                <w:rStyle w:val="IndexLink"/>
              </w:rPr>
              <w:t>454</w:t>
            </w:r>
          </w:hyperlink>
        </w:p>
        <w:p>
          <w:pPr>
            <w:pStyle w:val="Contents4"/>
            <w:tabs>
              <w:tab w:val="clear" w:pos="8176"/>
              <w:tab w:val="right" w:pos="9026" w:leader="dot"/>
            </w:tabs>
            <w:rPr/>
          </w:pPr>
          <w:hyperlink w:anchor="__RefHeading___Toc1804746_1280447820">
            <w:r>
              <w:rPr>
                <w:webHidden/>
                <w:rStyle w:val="IndexLink"/>
                <w:rtl w:val="true"/>
              </w:rPr>
              <w:t>بل اللائق بالبحث جهات اخر متعلّقة بموضوع المسألة،</w:t>
            </w:r>
            <w:r>
              <w:rPr>
                <w:rStyle w:val="IndexLink"/>
                <w:rtl w:val="true"/>
              </w:rPr>
              <w:tab/>
            </w:r>
            <w:r>
              <w:rPr>
                <w:rStyle w:val="IndexLink"/>
              </w:rPr>
              <w:t>459</w:t>
            </w:r>
          </w:hyperlink>
        </w:p>
        <w:p>
          <w:pPr>
            <w:pStyle w:val="Contents5"/>
            <w:tabs>
              <w:tab w:val="clear" w:pos="7892"/>
              <w:tab w:val="right" w:pos="9026" w:leader="dot"/>
            </w:tabs>
            <w:rPr/>
          </w:pPr>
          <w:hyperlink w:anchor="__RefHeading___Toc1804748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1804750_1280447820">
            <w:r>
              <w:rPr>
                <w:webHidden/>
                <w:rStyle w:val="IndexLink"/>
                <w:rtl w:val="true"/>
              </w:rPr>
              <w:t>الجهة الاولى</w:t>
            </w:r>
            <w:r>
              <w:rPr>
                <w:rStyle w:val="IndexLink"/>
                <w:rtl w:val="true"/>
              </w:rPr>
              <w:t xml:space="preserve">: </w:t>
            </w:r>
            <w:r>
              <w:rPr>
                <w:rStyle w:val="IndexLink"/>
                <w:rtl w:val="true"/>
              </w:rPr>
              <w:t>أنّهم اختلفوا في اشتراط الكرّيّة في المادّة على قولين</w:t>
            </w:r>
            <w:r>
              <w:rPr>
                <w:rStyle w:val="IndexLink"/>
                <w:rtl w:val="true"/>
              </w:rPr>
              <w:t>:</w:t>
              <w:tab/>
            </w:r>
            <w:r>
              <w:rPr>
                <w:rStyle w:val="IndexLink"/>
              </w:rPr>
              <w:t>459</w:t>
            </w:r>
          </w:hyperlink>
        </w:p>
        <w:p>
          <w:pPr>
            <w:pStyle w:val="Contents6"/>
            <w:tabs>
              <w:tab w:val="clear" w:pos="7609"/>
              <w:tab w:val="right" w:pos="9026" w:leader="dot"/>
            </w:tabs>
            <w:rPr/>
          </w:pPr>
          <w:hyperlink w:anchor="__RefHeading___Toc1804752_1280447820">
            <w:r>
              <w:rPr>
                <w:webHidden/>
                <w:rStyle w:val="IndexLink"/>
                <w:rtl w:val="true"/>
              </w:rPr>
              <w:t>أحدهما</w:t>
            </w:r>
            <w:r>
              <w:rPr>
                <w:rStyle w:val="IndexLink"/>
                <w:rtl w:val="true"/>
              </w:rPr>
              <w:t xml:space="preserve">: </w:t>
            </w:r>
            <w:r>
              <w:rPr>
                <w:rStyle w:val="IndexLink"/>
                <w:rtl w:val="true"/>
              </w:rPr>
              <w:t>كونها شرطا</w:t>
            </w:r>
            <w:r>
              <w:rPr>
                <w:rStyle w:val="IndexLink"/>
                <w:rtl w:val="true"/>
              </w:rPr>
              <w:tab/>
            </w:r>
            <w:r>
              <w:rPr>
                <w:rStyle w:val="IndexLink"/>
              </w:rPr>
              <w:t>459</w:t>
            </w:r>
          </w:hyperlink>
        </w:p>
        <w:p>
          <w:pPr>
            <w:pStyle w:val="Contents6"/>
            <w:tabs>
              <w:tab w:val="clear" w:pos="7609"/>
              <w:tab w:val="right" w:pos="9026" w:leader="dot"/>
            </w:tabs>
            <w:rPr/>
          </w:pPr>
          <w:hyperlink w:anchor="__RefHeading___Toc1804754_1280447820">
            <w:r>
              <w:rPr>
                <w:webHidden/>
                <w:rStyle w:val="IndexLink"/>
                <w:rtl w:val="true"/>
              </w:rPr>
              <w:t>و ثانيهما</w:t>
            </w:r>
            <w:r>
              <w:rPr>
                <w:rStyle w:val="IndexLink"/>
                <w:rtl w:val="true"/>
              </w:rPr>
              <w:t xml:space="preserve">: </w:t>
            </w:r>
            <w:r>
              <w:rPr>
                <w:rStyle w:val="IndexLink"/>
                <w:rtl w:val="true"/>
              </w:rPr>
              <w:t>عدم كونها شرطا</w:t>
            </w:r>
            <w:r>
              <w:rPr>
                <w:rStyle w:val="IndexLink"/>
                <w:rtl w:val="true"/>
              </w:rPr>
              <w:tab/>
            </w:r>
            <w:r>
              <w:rPr>
                <w:rStyle w:val="IndexLink"/>
              </w:rPr>
              <w:t>459</w:t>
            </w:r>
          </w:hyperlink>
        </w:p>
        <w:p>
          <w:pPr>
            <w:pStyle w:val="Contents6"/>
            <w:tabs>
              <w:tab w:val="clear" w:pos="7609"/>
              <w:tab w:val="right" w:pos="9026" w:leader="dot"/>
            </w:tabs>
            <w:rPr/>
          </w:pPr>
          <w:hyperlink w:anchor="__RefHeading___Toc1804756_1280447820">
            <w:r>
              <w:rPr>
                <w:webHidden/>
                <w:rStyle w:val="IndexLink"/>
                <w:rtl w:val="true"/>
              </w:rPr>
              <w:t>حجّة القول الأوّل</w:t>
            </w:r>
            <w:r>
              <w:rPr>
                <w:rStyle w:val="IndexLink"/>
                <w:rtl w:val="true"/>
              </w:rPr>
              <w:t>:</w:t>
              <w:tab/>
            </w:r>
            <w:r>
              <w:rPr>
                <w:rStyle w:val="IndexLink"/>
              </w:rPr>
              <w:t>460</w:t>
            </w:r>
          </w:hyperlink>
        </w:p>
        <w:p>
          <w:pPr>
            <w:pStyle w:val="Contents6"/>
            <w:tabs>
              <w:tab w:val="clear" w:pos="7609"/>
              <w:tab w:val="right" w:pos="9026" w:leader="dot"/>
            </w:tabs>
            <w:rPr/>
          </w:pPr>
          <w:hyperlink w:anchor="__RefHeading___Toc1804758_1280447820">
            <w:r>
              <w:rPr>
                <w:webHidden/>
                <w:rStyle w:val="IndexLink"/>
                <w:rtl w:val="true"/>
              </w:rPr>
              <w:t>و أمّا القول بعدم اشتراطها</w:t>
            </w:r>
            <w:r>
              <w:rPr>
                <w:rStyle w:val="IndexLink"/>
                <w:rtl w:val="true"/>
              </w:rPr>
              <w:tab/>
            </w:r>
            <w:r>
              <w:rPr>
                <w:rStyle w:val="IndexLink"/>
              </w:rPr>
              <w:t>465</w:t>
            </w:r>
          </w:hyperlink>
        </w:p>
        <w:p>
          <w:pPr>
            <w:pStyle w:val="Contents5"/>
            <w:tabs>
              <w:tab w:val="clear" w:pos="7892"/>
              <w:tab w:val="right" w:pos="9026" w:leader="dot"/>
            </w:tabs>
            <w:rPr/>
          </w:pPr>
          <w:hyperlink w:anchor="__RefHeading___Toc1804760_1280447820">
            <w:r>
              <w:rPr>
                <w:webHidden/>
                <w:rStyle w:val="IndexLink"/>
                <w:rtl w:val="true"/>
              </w:rPr>
              <w:t>الجهة الثانية</w:t>
            </w:r>
            <w:r>
              <w:rPr>
                <w:rStyle w:val="IndexLink"/>
                <w:rtl w:val="true"/>
              </w:rPr>
              <w:t xml:space="preserve">: </w:t>
            </w:r>
            <w:r>
              <w:rPr>
                <w:rStyle w:val="IndexLink"/>
                <w:rtl w:val="true"/>
              </w:rPr>
              <w:t>عن ثاني الشهيدين في المدارك و غيره أنّه اكتفى بكون المجموع من المادّة و ما في الحوض كرّا مع تواصلهما مطلقا،</w:t>
            </w:r>
            <w:r>
              <w:rPr>
                <w:rStyle w:val="IndexLink"/>
                <w:rtl w:val="true"/>
              </w:rPr>
              <w:tab/>
            </w:r>
            <w:r>
              <w:rPr>
                <w:rStyle w:val="IndexLink"/>
              </w:rPr>
              <w:t>466</w:t>
            </w:r>
          </w:hyperlink>
        </w:p>
        <w:p>
          <w:pPr>
            <w:pStyle w:val="Contents5"/>
            <w:tabs>
              <w:tab w:val="clear" w:pos="7892"/>
              <w:tab w:val="right" w:pos="9026" w:leader="dot"/>
            </w:tabs>
            <w:rPr/>
          </w:pPr>
          <w:hyperlink w:anchor="__RefHeading___Toc1804762_1280447820">
            <w:r>
              <w:rPr>
                <w:webHidden/>
                <w:rStyle w:val="IndexLink"/>
                <w:rtl w:val="true"/>
              </w:rPr>
              <w:t>الجهة الثالثة</w:t>
            </w:r>
            <w:r>
              <w:rPr>
                <w:rStyle w:val="IndexLink"/>
                <w:rtl w:val="true"/>
              </w:rPr>
              <w:t xml:space="preserve">: </w:t>
            </w:r>
            <w:r>
              <w:rPr>
                <w:rStyle w:val="IndexLink"/>
                <w:rtl w:val="true"/>
              </w:rPr>
              <w:t>لهم خلاف آخر في تطهير ماء الحمّام، بعد تنجّسه بسبب الانقطاع عن المادّة حين ملاقاة النجاسة،</w:t>
            </w:r>
            <w:r>
              <w:rPr>
                <w:rStyle w:val="IndexLink"/>
                <w:rtl w:val="true"/>
              </w:rPr>
              <w:tab/>
            </w:r>
            <w:r>
              <w:rPr>
                <w:rStyle w:val="IndexLink"/>
              </w:rPr>
              <w:t>470</w:t>
            </w:r>
          </w:hyperlink>
        </w:p>
        <w:p>
          <w:pPr>
            <w:pStyle w:val="Contents6"/>
            <w:tabs>
              <w:tab w:val="clear" w:pos="7609"/>
              <w:tab w:val="right" w:pos="9026" w:leader="dot"/>
            </w:tabs>
            <w:rPr/>
          </w:pPr>
          <w:hyperlink w:anchor="__RefHeading___Toc1804764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804766_1280447820">
            <w:r>
              <w:rPr>
                <w:webHidden/>
                <w:rStyle w:val="IndexLink"/>
                <w:rtl w:val="true"/>
              </w:rPr>
              <w:t>المسألة الاولى</w:t>
            </w:r>
            <w:r>
              <w:rPr>
                <w:rStyle w:val="IndexLink"/>
                <w:rtl w:val="true"/>
              </w:rPr>
              <w:t xml:space="preserve">: </w:t>
            </w:r>
            <w:r>
              <w:rPr>
                <w:rStyle w:val="IndexLink"/>
                <w:rtl w:val="true"/>
              </w:rPr>
              <w:t>في اشتراط كرّيّة المادّة في رفع النجاسة عن ماء الحوض الصغير و عدمه،</w:t>
            </w:r>
            <w:r>
              <w:rPr>
                <w:rStyle w:val="IndexLink"/>
                <w:rtl w:val="true"/>
              </w:rPr>
              <w:tab/>
            </w:r>
            <w:r>
              <w:rPr>
                <w:rStyle w:val="IndexLink"/>
              </w:rPr>
              <w:t>470</w:t>
            </w:r>
          </w:hyperlink>
        </w:p>
        <w:p>
          <w:pPr>
            <w:pStyle w:val="Contents6"/>
            <w:tabs>
              <w:tab w:val="clear" w:pos="7609"/>
              <w:tab w:val="right" w:pos="9026" w:leader="dot"/>
            </w:tabs>
            <w:rPr/>
          </w:pPr>
          <w:hyperlink w:anchor="__RefHeading___Toc1804768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804770_1280447820">
            <w:r>
              <w:rPr>
                <w:webHidden/>
                <w:rStyle w:val="IndexLink"/>
                <w:rtl w:val="true"/>
              </w:rPr>
              <w:t>فحجّة القول باعتبار الكرّيّة وجوه</w:t>
            </w:r>
            <w:r>
              <w:rPr>
                <w:rStyle w:val="IndexLink"/>
                <w:rtl w:val="true"/>
              </w:rPr>
              <w:t>:</w:t>
              <w:tab/>
            </w:r>
            <w:r>
              <w:rPr>
                <w:rStyle w:val="IndexLink"/>
              </w:rPr>
              <w:t>471</w:t>
            </w:r>
          </w:hyperlink>
        </w:p>
        <w:p>
          <w:pPr>
            <w:pStyle w:val="Contents6"/>
            <w:tabs>
              <w:tab w:val="clear" w:pos="7609"/>
              <w:tab w:val="right" w:pos="9026" w:leader="dot"/>
            </w:tabs>
            <w:rPr/>
          </w:pPr>
          <w:hyperlink w:anchor="__RefHeading___Toc1804772_1280447820">
            <w:r>
              <w:rPr>
                <w:webHidden/>
                <w:rStyle w:val="IndexLink"/>
                <w:rtl w:val="true"/>
              </w:rPr>
              <w:t>أحدها</w:t>
            </w:r>
            <w:r>
              <w:rPr>
                <w:rStyle w:val="IndexLink"/>
                <w:rtl w:val="true"/>
              </w:rPr>
              <w:t xml:space="preserve">: </w:t>
            </w:r>
            <w:r>
              <w:rPr>
                <w:rStyle w:val="IndexLink"/>
                <w:rtl w:val="true"/>
              </w:rPr>
              <w:t>ظهور الإجماع</w:t>
            </w:r>
            <w:r>
              <w:rPr>
                <w:rStyle w:val="IndexLink"/>
                <w:rtl w:val="true"/>
              </w:rPr>
              <w:t>.</w:t>
              <w:tab/>
            </w:r>
            <w:r>
              <w:rPr>
                <w:rStyle w:val="IndexLink"/>
              </w:rPr>
              <w:t>471</w:t>
            </w:r>
          </w:hyperlink>
        </w:p>
        <w:p>
          <w:pPr>
            <w:pStyle w:val="Contents6"/>
            <w:tabs>
              <w:tab w:val="clear" w:pos="7609"/>
              <w:tab w:val="right" w:pos="9026" w:leader="dot"/>
            </w:tabs>
            <w:rPr/>
          </w:pPr>
          <w:hyperlink w:anchor="__RefHeading___Toc1804774_1280447820">
            <w:r>
              <w:rPr>
                <w:webHidden/>
                <w:rStyle w:val="IndexLink"/>
                <w:rtl w:val="true"/>
              </w:rPr>
              <w:t>و ثانيها</w:t>
            </w:r>
            <w:r>
              <w:rPr>
                <w:rStyle w:val="IndexLink"/>
                <w:rtl w:val="true"/>
              </w:rPr>
              <w:t xml:space="preserve">: </w:t>
            </w:r>
            <w:r>
              <w:rPr>
                <w:rStyle w:val="IndexLink"/>
                <w:rtl w:val="true"/>
              </w:rPr>
              <w:t>الإجماعات المحكيّة</w:t>
            </w:r>
            <w:r>
              <w:rPr>
                <w:rStyle w:val="IndexLink"/>
                <w:rtl w:val="true"/>
              </w:rPr>
              <w:tab/>
            </w:r>
            <w:r>
              <w:rPr>
                <w:rStyle w:val="IndexLink"/>
              </w:rPr>
              <w:t>471</w:t>
            </w:r>
          </w:hyperlink>
        </w:p>
        <w:p>
          <w:pPr>
            <w:pStyle w:val="Contents6"/>
            <w:tabs>
              <w:tab w:val="clear" w:pos="7609"/>
              <w:tab w:val="right" w:pos="9026" w:leader="dot"/>
            </w:tabs>
            <w:rPr/>
          </w:pPr>
          <w:hyperlink w:anchor="__RefHeading___Toc1804776_1280447820">
            <w:r>
              <w:rPr>
                <w:webHidden/>
                <w:rStyle w:val="IndexLink"/>
                <w:rtl w:val="true"/>
              </w:rPr>
              <w:t>و ثالثها</w:t>
            </w:r>
            <w:r>
              <w:rPr>
                <w:rStyle w:val="IndexLink"/>
                <w:rtl w:val="true"/>
              </w:rPr>
              <w:t xml:space="preserve">: </w:t>
            </w:r>
            <w:r>
              <w:rPr>
                <w:rStyle w:val="IndexLink"/>
                <w:rtl w:val="true"/>
              </w:rPr>
              <w:t>استصحاب النجاسة إلى أن يتحقّق رافع يقيني،</w:t>
            </w:r>
            <w:r>
              <w:rPr>
                <w:rStyle w:val="IndexLink"/>
                <w:rtl w:val="true"/>
              </w:rPr>
              <w:tab/>
            </w:r>
            <w:r>
              <w:rPr>
                <w:rStyle w:val="IndexLink"/>
              </w:rPr>
              <w:t>472</w:t>
            </w:r>
          </w:hyperlink>
        </w:p>
        <w:p>
          <w:pPr>
            <w:pStyle w:val="Contents6"/>
            <w:tabs>
              <w:tab w:val="clear" w:pos="7609"/>
              <w:tab w:val="right" w:pos="9026" w:leader="dot"/>
            </w:tabs>
            <w:rPr/>
          </w:pPr>
          <w:hyperlink w:anchor="__RefHeading___Toc1804778_1280447820">
            <w:r>
              <w:rPr>
                <w:webHidden/>
                <w:rStyle w:val="IndexLink"/>
                <w:rtl w:val="true"/>
              </w:rPr>
              <w:t>و رابعها</w:t>
            </w:r>
            <w:r>
              <w:rPr>
                <w:rStyle w:val="IndexLink"/>
                <w:rtl w:val="true"/>
              </w:rPr>
              <w:t xml:space="preserve">: </w:t>
            </w:r>
            <w:r>
              <w:rPr>
                <w:rStyle w:val="IndexLink"/>
                <w:rtl w:val="true"/>
              </w:rPr>
              <w:t>ما عن جامع المقاصد</w:t>
            </w:r>
            <w:r>
              <w:rPr>
                <w:rStyle w:val="IndexLink"/>
                <w:rtl w:val="true"/>
              </w:rPr>
              <w:t>: «</w:t>
            </w:r>
            <w:r>
              <w:rPr>
                <w:rStyle w:val="IndexLink"/>
                <w:rtl w:val="true"/>
              </w:rPr>
              <w:t>و اعلم أنّ اشتراط الكرّيّة في المادّة هو أصحّ القولين للأصحاب،</w:t>
            </w:r>
            <w:r>
              <w:rPr>
                <w:rStyle w:val="IndexLink"/>
                <w:rtl w:val="true"/>
              </w:rPr>
              <w:tab/>
            </w:r>
            <w:r>
              <w:rPr>
                <w:rStyle w:val="IndexLink"/>
              </w:rPr>
              <w:t>472</w:t>
            </w:r>
          </w:hyperlink>
        </w:p>
        <w:p>
          <w:pPr>
            <w:pStyle w:val="Contents6"/>
            <w:tabs>
              <w:tab w:val="clear" w:pos="7609"/>
              <w:tab w:val="right" w:pos="9026" w:leader="dot"/>
            </w:tabs>
            <w:rPr/>
          </w:pPr>
          <w:hyperlink w:anchor="__RefHeading___Toc1804780_1280447820">
            <w:r>
              <w:rPr>
                <w:webHidden/>
                <w:rStyle w:val="IndexLink"/>
                <w:rtl w:val="true"/>
              </w:rPr>
              <w:t>و أمّا القول بعدم الكرّيّة</w:t>
            </w:r>
            <w:r>
              <w:rPr>
                <w:rStyle w:val="IndexLink"/>
                <w:rtl w:val="true"/>
              </w:rPr>
              <w:tab/>
            </w:r>
            <w:r>
              <w:rPr>
                <w:rStyle w:val="IndexLink"/>
              </w:rPr>
              <w:t>472</w:t>
            </w:r>
          </w:hyperlink>
        </w:p>
        <w:p>
          <w:pPr>
            <w:pStyle w:val="Contents6"/>
            <w:tabs>
              <w:tab w:val="clear" w:pos="7609"/>
              <w:tab w:val="right" w:pos="9026" w:leader="dot"/>
            </w:tabs>
            <w:rPr/>
          </w:pPr>
          <w:hyperlink w:anchor="__RefHeading___Toc1804782_1280447820">
            <w:r>
              <w:rPr>
                <w:webHidden/>
                <w:rStyle w:val="IndexLink"/>
                <w:rtl w:val="true"/>
              </w:rPr>
              <w:t>المسألة الثانية</w:t>
            </w:r>
            <w:r>
              <w:rPr>
                <w:rStyle w:val="IndexLink"/>
                <w:rtl w:val="true"/>
              </w:rPr>
              <w:t xml:space="preserve">: </w:t>
            </w:r>
            <w:r>
              <w:rPr>
                <w:rStyle w:val="IndexLink"/>
                <w:rtl w:val="true"/>
              </w:rPr>
              <w:t>في تطهير ماء الحمّام بمجرّد اتّصاله بالمادّة أو اشتراطه بالامتزاج و غلبة المادّة عليه،</w:t>
            </w:r>
            <w:r>
              <w:rPr>
                <w:rStyle w:val="IndexLink"/>
                <w:rtl w:val="true"/>
              </w:rPr>
              <w:tab/>
            </w:r>
            <w:r>
              <w:rPr>
                <w:rStyle w:val="IndexLink"/>
              </w:rPr>
              <w:t>473</w:t>
            </w:r>
          </w:hyperlink>
        </w:p>
        <w:p>
          <w:pPr>
            <w:pStyle w:val="Contents6"/>
            <w:tabs>
              <w:tab w:val="clear" w:pos="7609"/>
              <w:tab w:val="right" w:pos="9026" w:leader="dot"/>
            </w:tabs>
            <w:rPr/>
          </w:pPr>
          <w:hyperlink w:anchor="__RefHeading___Toc1804784_1280447820">
            <w:r>
              <w:rPr>
                <w:webHidden/>
                <w:rStyle w:val="IndexLink"/>
                <w:rtl w:val="true"/>
              </w:rPr>
              <w:t>المسألة الثالثة</w:t>
            </w:r>
            <w:r>
              <w:rPr>
                <w:rStyle w:val="IndexLink"/>
                <w:rtl w:val="true"/>
              </w:rPr>
              <w:t xml:space="preserve">: </w:t>
            </w:r>
            <w:r>
              <w:rPr>
                <w:rStyle w:val="IndexLink"/>
                <w:rtl w:val="true"/>
              </w:rPr>
              <w:t>بناء على القول باشتراط الامتزاج و اشتراط كرّيّة المادّة في التطهير، فهل يكتفى بكون المادّة مقدار الكرّ من غير زيادة عليه،</w:t>
            </w:r>
            <w:r>
              <w:rPr>
                <w:rStyle w:val="IndexLink"/>
                <w:rtl w:val="true"/>
              </w:rPr>
              <w:tab/>
            </w:r>
            <w:r>
              <w:rPr>
                <w:rStyle w:val="IndexLink"/>
              </w:rPr>
              <w:t>474</w:t>
            </w:r>
          </w:hyperlink>
        </w:p>
        <w:p>
          <w:pPr>
            <w:pStyle w:val="Contents4"/>
            <w:tabs>
              <w:tab w:val="clear" w:pos="8176"/>
              <w:tab w:val="right" w:pos="9026" w:leader="dot"/>
            </w:tabs>
            <w:rPr/>
          </w:pPr>
          <w:hyperlink w:anchor="__RefHeading___Toc1804786_1280447820">
            <w:r>
              <w:rPr>
                <w:webHidden/>
                <w:rStyle w:val="IndexLink"/>
                <w:rtl w:val="true"/>
              </w:rPr>
              <w:t>ثمّ إنّ جماعة من الأصحاب تنبّهوا على فروع في المقام، لا بأس بإيرادها</w:t>
            </w:r>
            <w:r>
              <w:rPr>
                <w:rStyle w:val="IndexLink"/>
                <w:rtl w:val="true"/>
              </w:rPr>
              <w:t>.</w:t>
              <w:tab/>
            </w:r>
            <w:r>
              <w:rPr>
                <w:rStyle w:val="IndexLink"/>
              </w:rPr>
              <w:t>475</w:t>
            </w:r>
          </w:hyperlink>
        </w:p>
        <w:p>
          <w:pPr>
            <w:pStyle w:val="Contents5"/>
            <w:tabs>
              <w:tab w:val="clear" w:pos="7892"/>
              <w:tab w:val="right" w:pos="9026" w:leader="dot"/>
            </w:tabs>
            <w:rPr/>
          </w:pPr>
          <w:hyperlink w:anchor="__RefHeading___Toc1804788_1280447820">
            <w:r>
              <w:rPr>
                <w:webHidden/>
                <w:rStyle w:val="IndexLink"/>
                <w:rtl w:val="true"/>
              </w:rPr>
              <w:t>أحدها</w:t>
            </w:r>
            <w:r>
              <w:rPr>
                <w:rStyle w:val="IndexLink"/>
                <w:rtl w:val="true"/>
              </w:rPr>
              <w:t xml:space="preserve">: </w:t>
            </w:r>
            <w:r>
              <w:rPr>
                <w:rStyle w:val="IndexLink"/>
                <w:rtl w:val="true"/>
              </w:rPr>
              <w:t>أنّه هل يشترط في مادّة الحمّام العلم بعدم نجاستها أو يكفي عدم العلم بالنجاسة؟</w:t>
            </w:r>
            <w:r>
              <w:rPr>
                <w:rStyle w:val="IndexLink"/>
                <w:rtl w:val="true"/>
              </w:rPr>
              <w:tab/>
            </w:r>
            <w:r>
              <w:rPr>
                <w:rStyle w:val="IndexLink"/>
              </w:rPr>
              <w:t>475</w:t>
            </w:r>
          </w:hyperlink>
        </w:p>
        <w:p>
          <w:pPr>
            <w:pStyle w:val="Contents5"/>
            <w:tabs>
              <w:tab w:val="clear" w:pos="7892"/>
              <w:tab w:val="right" w:pos="9026" w:leader="dot"/>
            </w:tabs>
            <w:rPr/>
          </w:pPr>
          <w:hyperlink w:anchor="__RefHeading___Toc1804790_1280447820">
            <w:r>
              <w:rPr>
                <w:webHidden/>
                <w:rStyle w:val="IndexLink"/>
                <w:rtl w:val="true"/>
              </w:rPr>
              <w:t>و ثانيها</w:t>
            </w:r>
            <w:r>
              <w:rPr>
                <w:rStyle w:val="IndexLink"/>
                <w:rtl w:val="true"/>
              </w:rPr>
              <w:t xml:space="preserve">: </w:t>
            </w:r>
            <w:r>
              <w:rPr>
                <w:rStyle w:val="IndexLink"/>
                <w:rtl w:val="true"/>
              </w:rPr>
              <w:t>بناء على اعتبار كرّيّة المادّة أو المجموع، لو شكّ في الكرّيّة</w:t>
            </w:r>
            <w:r>
              <w:rPr>
                <w:rStyle w:val="IndexLink"/>
                <w:rtl w:val="true"/>
              </w:rPr>
              <w:tab/>
            </w:r>
            <w:r>
              <w:rPr>
                <w:rStyle w:val="IndexLink"/>
              </w:rPr>
              <w:t>475</w:t>
            </w:r>
          </w:hyperlink>
        </w:p>
        <w:p>
          <w:pPr>
            <w:pStyle w:val="Contents5"/>
            <w:tabs>
              <w:tab w:val="clear" w:pos="7892"/>
              <w:tab w:val="right" w:pos="9026" w:leader="dot"/>
            </w:tabs>
            <w:rPr/>
          </w:pPr>
          <w:hyperlink w:anchor="__RefHeading___Toc1804792_1280447820">
            <w:r>
              <w:rPr>
                <w:webHidden/>
                <w:rStyle w:val="IndexLink"/>
                <w:rtl w:val="true"/>
              </w:rPr>
              <w:t>و ثالثها</w:t>
            </w:r>
            <w:r>
              <w:rPr>
                <w:rStyle w:val="IndexLink"/>
                <w:rtl w:val="true"/>
              </w:rPr>
              <w:t xml:space="preserve">: </w:t>
            </w:r>
            <w:r>
              <w:rPr>
                <w:rStyle w:val="IndexLink"/>
                <w:rtl w:val="true"/>
              </w:rPr>
              <w:t>قال المحقّق الخوانساري</w:t>
            </w:r>
            <w:r>
              <w:rPr>
                <w:rStyle w:val="IndexLink"/>
                <w:rtl w:val="true"/>
              </w:rPr>
              <w:t xml:space="preserve">: </w:t>
            </w:r>
            <w:r>
              <w:rPr>
                <w:rStyle w:val="IndexLink"/>
                <w:rtl w:val="true"/>
              </w:rPr>
              <w:t xml:space="preserve">و </w:t>
            </w:r>
            <w:r>
              <w:rPr>
                <w:rStyle w:val="IndexLink"/>
                <w:rtl w:val="true"/>
              </w:rPr>
              <w:t>«</w:t>
            </w:r>
            <w:r>
              <w:rPr>
                <w:rStyle w:val="IndexLink"/>
                <w:rtl w:val="true"/>
              </w:rPr>
              <w:t>اعلم أنّهم اكتفوا في الكرّيّة بشهادة العدلين بها و اختلف في الواحد،</w:t>
            </w:r>
            <w:r>
              <w:rPr>
                <w:rStyle w:val="IndexLink"/>
                <w:rtl w:val="true"/>
              </w:rPr>
              <w:tab/>
            </w:r>
            <w:r>
              <w:rPr>
                <w:rStyle w:val="IndexLink"/>
              </w:rPr>
              <w:t>476</w:t>
            </w:r>
          </w:hyperlink>
        </w:p>
        <w:p>
          <w:pPr>
            <w:pStyle w:val="Contents5"/>
            <w:tabs>
              <w:tab w:val="clear" w:pos="7892"/>
              <w:tab w:val="right" w:pos="9026" w:leader="dot"/>
            </w:tabs>
            <w:rPr/>
          </w:pPr>
          <w:hyperlink w:anchor="__RefHeading___Toc1804794_1280447820">
            <w:r>
              <w:rPr>
                <w:webHidden/>
                <w:rStyle w:val="IndexLink"/>
                <w:rtl w:val="true"/>
              </w:rPr>
              <w:t>و رابعها</w:t>
            </w:r>
            <w:r>
              <w:rPr>
                <w:rStyle w:val="IndexLink"/>
                <w:rtl w:val="true"/>
              </w:rPr>
              <w:t xml:space="preserve">: </w:t>
            </w:r>
            <w:r>
              <w:rPr>
                <w:rStyle w:val="IndexLink"/>
                <w:rtl w:val="true"/>
              </w:rPr>
              <w:t>قد عرفت في ذيل كلام السيّد في الرياض الحكم بنجاسة ما يلاقي ماء الحوض النجس المتّصل بالمادّة المشكوكة في كرّيّتها،</w:t>
            </w:r>
            <w:r>
              <w:rPr>
                <w:rStyle w:val="IndexLink"/>
                <w:rtl w:val="true"/>
              </w:rPr>
              <w:tab/>
            </w:r>
            <w:r>
              <w:rPr>
                <w:rStyle w:val="IndexLink"/>
              </w:rPr>
              <w:t>476</w:t>
            </w:r>
          </w:hyperlink>
        </w:p>
        <w:p>
          <w:pPr>
            <w:pStyle w:val="Contents4"/>
            <w:tabs>
              <w:tab w:val="clear" w:pos="8176"/>
              <w:tab w:val="right" w:pos="9026" w:leader="dot"/>
            </w:tabs>
            <w:rPr/>
          </w:pPr>
          <w:hyperlink w:anchor="__RefHeading___Toc1804796_1280447820">
            <w:r>
              <w:rPr>
                <w:webHidden/>
                <w:rStyle w:val="IndexLink"/>
                <w:rtl w:val="true"/>
              </w:rPr>
              <w:t>فالكلام في اعتبار العلم فيه من هذه الجهة، أو كفاية مطلق الظنّ، أو اعتبار الأمارة مطلقة، أو غيرها، هو الكلام في حجّيّة الظنّ و دليليّة الطرق المعهودة،</w:t>
            </w:r>
            <w:r>
              <w:rPr>
                <w:rStyle w:val="IndexLink"/>
                <w:rtl w:val="true"/>
              </w:rPr>
              <w:tab/>
            </w:r>
            <w:r>
              <w:rPr>
                <w:rStyle w:val="IndexLink"/>
              </w:rPr>
              <w:t>477</w:t>
            </w:r>
          </w:hyperlink>
        </w:p>
        <w:p>
          <w:pPr>
            <w:pStyle w:val="Contents5"/>
            <w:tabs>
              <w:tab w:val="clear" w:pos="7892"/>
              <w:tab w:val="right" w:pos="9026" w:leader="dot"/>
            </w:tabs>
            <w:rPr/>
          </w:pPr>
          <w:hyperlink w:anchor="__RefHeading___Toc1804798_1280447820">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804800_1280447820">
            <w:r>
              <w:rPr>
                <w:webHidden/>
                <w:rStyle w:val="IndexLink"/>
                <w:rtl w:val="true"/>
              </w:rPr>
              <w:t>المطلب الأوّل</w:t>
            </w:r>
            <w:r>
              <w:rPr>
                <w:rStyle w:val="IndexLink"/>
                <w:rtl w:val="true"/>
              </w:rPr>
              <w:t xml:space="preserve">: </w:t>
            </w:r>
            <w:r>
              <w:rPr>
                <w:rStyle w:val="IndexLink"/>
                <w:rtl w:val="true"/>
              </w:rPr>
              <w:t>لا إشكال كما لا خلاف في أنّ الطهارة المعتبرة في الماء بل كلّ مشروط بالطهارة غير منوطة بالعلم به،</w:t>
            </w:r>
            <w:r>
              <w:rPr>
                <w:rStyle w:val="IndexLink"/>
                <w:rtl w:val="true"/>
              </w:rPr>
              <w:tab/>
            </w:r>
            <w:r>
              <w:rPr>
                <w:rStyle w:val="IndexLink"/>
              </w:rPr>
              <w:t>478</w:t>
            </w:r>
          </w:hyperlink>
        </w:p>
        <w:p>
          <w:pPr>
            <w:pStyle w:val="Contents6"/>
            <w:tabs>
              <w:tab w:val="clear" w:pos="7609"/>
              <w:tab w:val="right" w:pos="9026" w:leader="dot"/>
            </w:tabs>
            <w:rPr/>
          </w:pPr>
          <w:hyperlink w:anchor="__RefHeading___Toc1804802_1280447820">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1804804_1280447820">
            <w:r>
              <w:rPr>
                <w:webHidden/>
                <w:rStyle w:val="IndexLink"/>
                <w:rtl w:val="true"/>
              </w:rPr>
              <w:t xml:space="preserve">و الأصل فيما ذكرناه من الحكمين بعد الإجماع القولي المقطوع به من تتبّع كلمات الأصحاب </w:t>
            </w:r>
            <w:r>
              <w:rPr>
                <w:rStyle w:val="IndexLink"/>
                <w:rtl w:val="true"/>
              </w:rPr>
              <w:t>[</w:t>
            </w:r>
            <w:r>
              <w:rPr>
                <w:rStyle w:val="IndexLink"/>
                <w:rtl w:val="true"/>
              </w:rPr>
              <w:t>الأخبار المعتبرة</w:t>
            </w:r>
            <w:r>
              <w:rPr>
                <w:rStyle w:val="IndexLink"/>
                <w:rtl w:val="true"/>
              </w:rPr>
              <w:t>]</w:t>
            </w:r>
            <w:r>
              <w:rPr>
                <w:rStyle w:val="IndexLink"/>
                <w:rtl w:val="true"/>
              </w:rPr>
              <w:t>،</w:t>
            </w:r>
            <w:r>
              <w:rPr>
                <w:rStyle w:val="IndexLink"/>
                <w:rtl w:val="true"/>
              </w:rPr>
              <w:tab/>
            </w:r>
            <w:r>
              <w:rPr>
                <w:rStyle w:val="IndexLink"/>
              </w:rPr>
              <w:t>478</w:t>
            </w:r>
          </w:hyperlink>
        </w:p>
        <w:p>
          <w:pPr>
            <w:pStyle w:val="Contents6"/>
            <w:tabs>
              <w:tab w:val="clear" w:pos="7609"/>
              <w:tab w:val="right" w:pos="9026" w:leader="dot"/>
            </w:tabs>
            <w:rPr/>
          </w:pPr>
          <w:hyperlink w:anchor="__RefHeading___Toc1804806_1280447820">
            <w:r>
              <w:rPr>
                <w:webHidden/>
                <w:rStyle w:val="IndexLink"/>
                <w:rtl w:val="true"/>
              </w:rPr>
              <w:t>و لا ريب أنّ المستفاد من مجموع تلك الأخبار الدالّة بعضها عموما و البعض الآخر خصوصا امور</w:t>
            </w:r>
            <w:r>
              <w:rPr>
                <w:rStyle w:val="IndexLink"/>
                <w:rtl w:val="true"/>
              </w:rPr>
              <w:t>:</w:t>
              <w:tab/>
            </w:r>
            <w:r>
              <w:rPr>
                <w:rStyle w:val="IndexLink"/>
              </w:rPr>
              <w:t>484</w:t>
            </w:r>
          </w:hyperlink>
        </w:p>
        <w:p>
          <w:pPr>
            <w:pStyle w:val="Contents6"/>
            <w:tabs>
              <w:tab w:val="clear" w:pos="7609"/>
              <w:tab w:val="right" w:pos="9026" w:leader="dot"/>
            </w:tabs>
            <w:rPr/>
          </w:pPr>
          <w:hyperlink w:anchor="__RefHeading___Toc1804808_1280447820">
            <w:r>
              <w:rPr>
                <w:webHidden/>
                <w:rStyle w:val="IndexLink"/>
                <w:rtl w:val="true"/>
              </w:rPr>
              <w:t>أحدها</w:t>
            </w:r>
            <w:r>
              <w:rPr>
                <w:rStyle w:val="IndexLink"/>
                <w:rtl w:val="true"/>
              </w:rPr>
              <w:t xml:space="preserve">: </w:t>
            </w:r>
            <w:r>
              <w:rPr>
                <w:rStyle w:val="IndexLink"/>
                <w:rtl w:val="true"/>
              </w:rPr>
              <w:t>أنّ ثبوت الطهارة في مواردها و ترتّب أحكامها على تلك الموارد لا يتوقّف على العلم بها</w:t>
            </w:r>
            <w:r>
              <w:rPr>
                <w:rStyle w:val="IndexLink"/>
                <w:rtl w:val="true"/>
              </w:rPr>
              <w:t>.</w:t>
              <w:tab/>
            </w:r>
            <w:r>
              <w:rPr>
                <w:rStyle w:val="IndexLink"/>
              </w:rPr>
              <w:t>484</w:t>
            </w:r>
          </w:hyperlink>
        </w:p>
        <w:p>
          <w:pPr>
            <w:pStyle w:val="Contents6"/>
            <w:tabs>
              <w:tab w:val="clear" w:pos="7609"/>
              <w:tab w:val="right" w:pos="9026" w:leader="dot"/>
            </w:tabs>
            <w:rPr/>
          </w:pPr>
          <w:hyperlink w:anchor="__RefHeading___Toc1804810_1280447820">
            <w:r>
              <w:rPr>
                <w:webHidden/>
                <w:rStyle w:val="IndexLink"/>
                <w:rtl w:val="true"/>
              </w:rPr>
              <w:t>و ثانيها</w:t>
            </w:r>
            <w:r>
              <w:rPr>
                <w:rStyle w:val="IndexLink"/>
                <w:rtl w:val="true"/>
              </w:rPr>
              <w:t xml:space="preserve">: </w:t>
            </w:r>
            <w:r>
              <w:rPr>
                <w:rStyle w:val="IndexLink"/>
                <w:rtl w:val="true"/>
              </w:rPr>
              <w:t>أنّها كما لا تتوقّف على العلم، فكذلك لا تتوقّف على قيام أمارة تعبّديّة بها،</w:t>
            </w:r>
            <w:r>
              <w:rPr>
                <w:rStyle w:val="IndexLink"/>
                <w:rtl w:val="true"/>
              </w:rPr>
              <w:tab/>
            </w:r>
            <w:r>
              <w:rPr>
                <w:rStyle w:val="IndexLink"/>
              </w:rPr>
              <w:t>484</w:t>
            </w:r>
          </w:hyperlink>
        </w:p>
        <w:p>
          <w:pPr>
            <w:pStyle w:val="Contents6"/>
            <w:tabs>
              <w:tab w:val="clear" w:pos="7609"/>
              <w:tab w:val="right" w:pos="9026" w:leader="dot"/>
            </w:tabs>
            <w:rPr/>
          </w:pPr>
          <w:hyperlink w:anchor="__RefHeading___Toc1804812_1280447820">
            <w:r>
              <w:rPr>
                <w:webHidden/>
                <w:rStyle w:val="IndexLink"/>
                <w:rtl w:val="true"/>
              </w:rPr>
              <w:t>و ثالثها</w:t>
            </w:r>
            <w:r>
              <w:rPr>
                <w:rStyle w:val="IndexLink"/>
                <w:rtl w:val="true"/>
              </w:rPr>
              <w:t xml:space="preserve">: </w:t>
            </w:r>
            <w:r>
              <w:rPr>
                <w:rStyle w:val="IndexLink"/>
                <w:rtl w:val="true"/>
              </w:rPr>
              <w:t>عدم وجوب الفحص و النظر تحصيلا للعلم بالنجاسة، أو إحراز لأمارة قامت بها على فرض كونها معتبرة في ثبوتها،</w:t>
            </w:r>
            <w:r>
              <w:rPr>
                <w:rStyle w:val="IndexLink"/>
                <w:rtl w:val="true"/>
              </w:rPr>
              <w:tab/>
            </w:r>
            <w:r>
              <w:rPr>
                <w:rStyle w:val="IndexLink"/>
              </w:rPr>
              <w:t>485</w:t>
            </w:r>
          </w:hyperlink>
        </w:p>
        <w:p>
          <w:pPr>
            <w:pStyle w:val="Contents6"/>
            <w:tabs>
              <w:tab w:val="clear" w:pos="7609"/>
              <w:tab w:val="right" w:pos="9026" w:leader="dot"/>
            </w:tabs>
            <w:rPr/>
          </w:pPr>
          <w:hyperlink w:anchor="__RefHeading___Toc1804814_1280447820">
            <w:r>
              <w:rPr>
                <w:webHidden/>
                <w:rStyle w:val="IndexLink"/>
                <w:rtl w:val="true"/>
              </w:rPr>
              <w:t>و رابعها</w:t>
            </w:r>
            <w:r>
              <w:rPr>
                <w:rStyle w:val="IndexLink"/>
                <w:rtl w:val="true"/>
              </w:rPr>
              <w:t xml:space="preserve">: </w:t>
            </w:r>
            <w:r>
              <w:rPr>
                <w:rStyle w:val="IndexLink"/>
                <w:rtl w:val="true"/>
              </w:rPr>
              <w:t>أنّ النجاسة لا تثبت إلاّ بالعلم، و أنّ الظنّ لا يكفي فيها،</w:t>
            </w:r>
            <w:r>
              <w:rPr>
                <w:rStyle w:val="IndexLink"/>
                <w:rtl w:val="true"/>
              </w:rPr>
              <w:tab/>
            </w:r>
            <w:r>
              <w:rPr>
                <w:rStyle w:val="IndexLink"/>
              </w:rPr>
              <w:t>486</w:t>
            </w:r>
          </w:hyperlink>
        </w:p>
        <w:p>
          <w:pPr>
            <w:pStyle w:val="Contents6"/>
            <w:tabs>
              <w:tab w:val="clear" w:pos="7609"/>
              <w:tab w:val="right" w:pos="9026" w:leader="dot"/>
            </w:tabs>
            <w:rPr/>
          </w:pPr>
          <w:hyperlink w:anchor="__RefHeading___Toc1804816_1280447820">
            <w:r>
              <w:rPr>
                <w:webHidden/>
                <w:rStyle w:val="IndexLink"/>
                <w:rtl w:val="true"/>
              </w:rPr>
              <w:t>و خامسها</w:t>
            </w:r>
            <w:r>
              <w:rPr>
                <w:rStyle w:val="IndexLink"/>
                <w:rtl w:val="true"/>
              </w:rPr>
              <w:t xml:space="preserve">: </w:t>
            </w:r>
            <w:r>
              <w:rPr>
                <w:rStyle w:val="IndexLink"/>
                <w:rtl w:val="true"/>
              </w:rPr>
              <w:t>إنّ الظنّ بالنجاسة لا عبرة به و لو كان قويّا،</w:t>
            </w:r>
            <w:r>
              <w:rPr>
                <w:rStyle w:val="IndexLink"/>
                <w:rtl w:val="true"/>
              </w:rPr>
              <w:tab/>
            </w:r>
            <w:r>
              <w:rPr>
                <w:rStyle w:val="IndexLink"/>
              </w:rPr>
              <w:t>488</w:t>
            </w:r>
          </w:hyperlink>
        </w:p>
        <w:p>
          <w:pPr>
            <w:pStyle w:val="Contents6"/>
            <w:tabs>
              <w:tab w:val="clear" w:pos="7609"/>
              <w:tab w:val="right" w:pos="9026" w:leader="dot"/>
            </w:tabs>
            <w:rPr/>
          </w:pPr>
          <w:hyperlink w:anchor="__RefHeading___Toc1804818_1280447820">
            <w:r>
              <w:rPr>
                <w:webHidden/>
                <w:rStyle w:val="IndexLink"/>
                <w:rtl w:val="true"/>
              </w:rPr>
              <w:t xml:space="preserve">نعم، هنا روايات اخر تعارض بظاهرها </w:t>
            </w:r>
            <w:r>
              <w:rPr>
                <w:rStyle w:val="IndexLink"/>
                <w:rtl w:val="true"/>
              </w:rPr>
              <w:t xml:space="preserve">- </w:t>
            </w:r>
            <w:r>
              <w:rPr>
                <w:rStyle w:val="IndexLink"/>
                <w:rtl w:val="true"/>
              </w:rPr>
              <w:t xml:space="preserve">بل صراحة بعضها </w:t>
            </w:r>
            <w:r>
              <w:rPr>
                <w:rStyle w:val="IndexLink"/>
                <w:rtl w:val="true"/>
              </w:rPr>
              <w:t xml:space="preserve">- </w:t>
            </w:r>
            <w:r>
              <w:rPr>
                <w:rStyle w:val="IndexLink"/>
                <w:rtl w:val="true"/>
              </w:rPr>
              <w:t>الروايات المتقدّمة في مفادها</w:t>
            </w:r>
            <w:r>
              <w:rPr>
                <w:rStyle w:val="IndexLink"/>
                <w:rtl w:val="true"/>
              </w:rPr>
              <w:t>.</w:t>
              <w:tab/>
            </w:r>
            <w:r>
              <w:rPr>
                <w:rStyle w:val="IndexLink"/>
              </w:rPr>
              <w:t>489</w:t>
            </w:r>
          </w:hyperlink>
        </w:p>
        <w:p>
          <w:pPr>
            <w:pStyle w:val="Contents5"/>
            <w:tabs>
              <w:tab w:val="clear" w:pos="7892"/>
              <w:tab w:val="right" w:pos="9026" w:leader="dot"/>
            </w:tabs>
            <w:rPr/>
          </w:pPr>
          <w:hyperlink w:anchor="__RefHeading___Toc1804820_1280447820">
            <w:r>
              <w:rPr>
                <w:webHidden/>
                <w:rStyle w:val="IndexLink"/>
                <w:rtl w:val="true"/>
              </w:rPr>
              <w:t>المطلب الثاني</w:t>
            </w:r>
            <w:r>
              <w:rPr>
                <w:rStyle w:val="IndexLink"/>
                <w:rtl w:val="true"/>
              </w:rPr>
              <w:t xml:space="preserve">: </w:t>
            </w:r>
            <w:r>
              <w:rPr>
                <w:rStyle w:val="IndexLink"/>
                <w:rtl w:val="true"/>
              </w:rPr>
              <w:t>قد عرفت أنّ مفاد الأخبار المذكورة اعتبار العلم في النجاسة و عدم كفاية الظنّ فيها و أنّه لا يقوم مقام العلم،</w:t>
            </w:r>
            <w:r>
              <w:rPr>
                <w:rStyle w:val="IndexLink"/>
                <w:rtl w:val="true"/>
              </w:rPr>
              <w:tab/>
            </w:r>
            <w:r>
              <w:rPr>
                <w:rStyle w:val="IndexLink"/>
              </w:rPr>
              <w:t>491</w:t>
            </w:r>
          </w:hyperlink>
        </w:p>
        <w:p>
          <w:pPr>
            <w:pStyle w:val="Contents5"/>
            <w:tabs>
              <w:tab w:val="clear" w:pos="7892"/>
              <w:tab w:val="right" w:pos="9026" w:leader="dot"/>
            </w:tabs>
            <w:rPr/>
          </w:pPr>
          <w:hyperlink w:anchor="__RefHeading___Toc1804822_1280447820">
            <w:r>
              <w:rPr>
                <w:webHidden/>
                <w:rStyle w:val="IndexLink"/>
                <w:rtl w:val="true"/>
              </w:rPr>
              <w:t>المطلب الثالث</w:t>
            </w:r>
            <w:r>
              <w:rPr>
                <w:rStyle w:val="IndexLink"/>
                <w:rtl w:val="true"/>
              </w:rPr>
              <w:t xml:space="preserve">: </w:t>
            </w:r>
            <w:r>
              <w:rPr>
                <w:rStyle w:val="IndexLink"/>
                <w:rtl w:val="true"/>
              </w:rPr>
              <w:t>اختلفوا في قيام الأخبار بالنجاسة مقام العلم بها إذا كان المخبر عدلا و عدمه على أقوال،</w:t>
            </w:r>
            <w:r>
              <w:rPr>
                <w:rStyle w:val="IndexLink"/>
                <w:rtl w:val="true"/>
              </w:rPr>
              <w:tab/>
            </w:r>
            <w:r>
              <w:rPr>
                <w:rStyle w:val="IndexLink"/>
              </w:rPr>
              <w:t>493</w:t>
            </w:r>
          </w:hyperlink>
        </w:p>
        <w:p>
          <w:pPr>
            <w:pStyle w:val="Contents5"/>
            <w:tabs>
              <w:tab w:val="clear" w:pos="7892"/>
              <w:tab w:val="right" w:pos="9026" w:leader="dot"/>
            </w:tabs>
            <w:rPr/>
          </w:pPr>
          <w:hyperlink w:anchor="__RefHeading___Toc1804824_1280447820">
            <w:r>
              <w:rPr>
                <w:webHidden/>
                <w:rStyle w:val="IndexLink"/>
                <w:rtl w:val="true"/>
              </w:rPr>
              <w:t>المطلب الرابع</w:t>
            </w:r>
            <w:r>
              <w:rPr>
                <w:rStyle w:val="IndexLink"/>
                <w:rtl w:val="true"/>
              </w:rPr>
              <w:t xml:space="preserve">: </w:t>
            </w:r>
            <w:r>
              <w:rPr>
                <w:rStyle w:val="IndexLink"/>
                <w:rtl w:val="true"/>
              </w:rPr>
              <w:t>لا أعرف خلافا في قيام الاستصحاب بالقياس إلى النجاسة مقام العلم بها، فتحرز به النجاسة حيثما كان جاريا،</w:t>
            </w:r>
            <w:r>
              <w:rPr>
                <w:rStyle w:val="IndexLink"/>
                <w:rtl w:val="true"/>
              </w:rPr>
              <w:tab/>
            </w:r>
            <w:r>
              <w:rPr>
                <w:rStyle w:val="IndexLink"/>
              </w:rPr>
              <w:t>496</w:t>
            </w:r>
          </w:hyperlink>
        </w:p>
        <w:p>
          <w:pPr>
            <w:pStyle w:val="Contents5"/>
            <w:tabs>
              <w:tab w:val="clear" w:pos="7892"/>
              <w:tab w:val="right" w:pos="9026" w:leader="dot"/>
            </w:tabs>
            <w:rPr/>
          </w:pPr>
          <w:hyperlink w:anchor="__RefHeading___Toc1804826_1280447820">
            <w:r>
              <w:rPr>
                <w:webHidden/>
                <w:rStyle w:val="IndexLink"/>
                <w:rtl w:val="true"/>
              </w:rPr>
              <w:t>المطلب الخامس</w:t>
            </w:r>
            <w:r>
              <w:rPr>
                <w:rStyle w:val="IndexLink"/>
                <w:rtl w:val="true"/>
              </w:rPr>
              <w:t xml:space="preserve">: </w:t>
            </w:r>
            <w:r>
              <w:rPr>
                <w:rStyle w:val="IndexLink"/>
                <w:rtl w:val="true"/>
              </w:rPr>
              <w:t>معنى قيام الأمارة كائنة ما كانت مقام العلم كونها كالعلم بها في ترتّب جميع أحكام النجاسة، الّتي منها تنجّس الملاقي و وجوب تطهيره،</w:t>
            </w:r>
            <w:r>
              <w:rPr>
                <w:rStyle w:val="IndexLink"/>
                <w:rtl w:val="true"/>
              </w:rPr>
              <w:tab/>
            </w:r>
            <w:r>
              <w:rPr>
                <w:rStyle w:val="IndexLink"/>
              </w:rPr>
              <w:t>501</w:t>
            </w:r>
          </w:hyperlink>
        </w:p>
        <w:p>
          <w:pPr>
            <w:pStyle w:val="Contents3"/>
            <w:tabs>
              <w:tab w:val="clear" w:pos="8459"/>
              <w:tab w:val="right" w:pos="9026" w:leader="dot"/>
            </w:tabs>
            <w:rPr/>
          </w:pPr>
          <w:hyperlink w:anchor="__RefHeading___Toc1804828_1280447820">
            <w:r>
              <w:rPr>
                <w:webHidden/>
                <w:rStyle w:val="IndexLink"/>
                <w:rtl w:val="true"/>
              </w:rPr>
              <w:t xml:space="preserve">ينبوع </w:t>
            </w:r>
            <w:r>
              <w:rPr>
                <w:rStyle w:val="IndexLink"/>
                <w:rtl w:val="true"/>
              </w:rPr>
              <w:t>[</w:t>
            </w:r>
            <w:r>
              <w:rPr>
                <w:rStyle w:val="IndexLink"/>
                <w:rtl w:val="true"/>
              </w:rPr>
              <w:t>في ماء الغيث</w:t>
            </w:r>
            <w:r>
              <w:rPr>
                <w:rStyle w:val="IndexLink"/>
                <w:rtl w:val="true"/>
              </w:rPr>
              <w:t>]</w:t>
              <w:tab/>
            </w:r>
            <w:r>
              <w:rPr>
                <w:rStyle w:val="IndexLink"/>
              </w:rPr>
              <w:t>503</w:t>
            </w:r>
          </w:hyperlink>
        </w:p>
        <w:p>
          <w:pPr>
            <w:pStyle w:val="Contents4"/>
            <w:tabs>
              <w:tab w:val="clear" w:pos="8176"/>
              <w:tab w:val="right" w:pos="9026" w:leader="dot"/>
            </w:tabs>
            <w:rPr/>
          </w:pPr>
          <w:hyperlink w:anchor="__RefHeading___Toc1804830_1280447820">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804832_1280447820">
            <w:r>
              <w:rPr>
                <w:webHidden/>
                <w:rStyle w:val="IndexLink"/>
                <w:rtl w:val="true"/>
              </w:rPr>
              <w:t>و قد يحكى عن العلاّمة الطباطبائي في المصابيح تسديس الأقوال</w:t>
            </w:r>
            <w:r>
              <w:rPr>
                <w:rStyle w:val="IndexLink"/>
                <w:rtl w:val="true"/>
              </w:rPr>
              <w:t>.</w:t>
              <w:tab/>
            </w:r>
            <w:r>
              <w:rPr>
                <w:rStyle w:val="IndexLink"/>
              </w:rPr>
              <w:t>506</w:t>
            </w:r>
          </w:hyperlink>
        </w:p>
        <w:p>
          <w:pPr>
            <w:pStyle w:val="Contents5"/>
            <w:tabs>
              <w:tab w:val="clear" w:pos="7892"/>
              <w:tab w:val="right" w:pos="9026" w:leader="dot"/>
            </w:tabs>
            <w:rPr/>
          </w:pPr>
          <w:hyperlink w:anchor="__RefHeading___Toc1804834_1280447820">
            <w:r>
              <w:rPr>
                <w:webHidden/>
                <w:rStyle w:val="IndexLink"/>
                <w:rtl w:val="true"/>
              </w:rPr>
              <w:t>أحدها</w:t>
            </w:r>
            <w:r>
              <w:rPr>
                <w:rStyle w:val="IndexLink"/>
                <w:rtl w:val="true"/>
              </w:rPr>
              <w:t xml:space="preserve">: </w:t>
            </w:r>
            <w:r>
              <w:rPr>
                <w:rStyle w:val="IndexLink"/>
                <w:rtl w:val="true"/>
              </w:rPr>
              <w:t>كفاية النزول من السماء مطلقا،</w:t>
            </w:r>
            <w:r>
              <w:rPr>
                <w:rStyle w:val="IndexLink"/>
                <w:rtl w:val="true"/>
              </w:rPr>
              <w:tab/>
            </w:r>
            <w:r>
              <w:rPr>
                <w:rStyle w:val="IndexLink"/>
              </w:rPr>
              <w:t>506</w:t>
            </w:r>
          </w:hyperlink>
        </w:p>
        <w:p>
          <w:pPr>
            <w:pStyle w:val="Contents5"/>
            <w:tabs>
              <w:tab w:val="clear" w:pos="7892"/>
              <w:tab w:val="right" w:pos="9026" w:leader="dot"/>
            </w:tabs>
            <w:rPr/>
          </w:pPr>
          <w:hyperlink w:anchor="__RefHeading___Toc1804836_1280447820">
            <w:r>
              <w:rPr>
                <w:webHidden/>
                <w:rStyle w:val="IndexLink"/>
                <w:rtl w:val="true"/>
              </w:rPr>
              <w:t>و ثانيها</w:t>
            </w:r>
            <w:r>
              <w:rPr>
                <w:rStyle w:val="IndexLink"/>
                <w:rtl w:val="true"/>
              </w:rPr>
              <w:t xml:space="preserve">: </w:t>
            </w:r>
            <w:r>
              <w:rPr>
                <w:rStyle w:val="IndexLink"/>
                <w:rtl w:val="true"/>
              </w:rPr>
              <w:t>اشتراط قوّة يصحّ معها إطلاق اسم الغيث و المطر عرفا،</w:t>
            </w:r>
            <w:r>
              <w:rPr>
                <w:rStyle w:val="IndexLink"/>
                <w:rtl w:val="true"/>
              </w:rPr>
              <w:tab/>
            </w:r>
            <w:r>
              <w:rPr>
                <w:rStyle w:val="IndexLink"/>
              </w:rPr>
              <w:t>506</w:t>
            </w:r>
          </w:hyperlink>
        </w:p>
        <w:p>
          <w:pPr>
            <w:pStyle w:val="Contents5"/>
            <w:tabs>
              <w:tab w:val="clear" w:pos="7892"/>
              <w:tab w:val="right" w:pos="9026" w:leader="dot"/>
            </w:tabs>
            <w:rPr/>
          </w:pPr>
          <w:hyperlink w:anchor="__RefHeading___Toc1804838_1280447820">
            <w:r>
              <w:rPr>
                <w:webHidden/>
                <w:rStyle w:val="IndexLink"/>
                <w:rtl w:val="true"/>
              </w:rPr>
              <w:t>ثالثها</w:t>
            </w:r>
            <w:r>
              <w:rPr>
                <w:rStyle w:val="IndexLink"/>
                <w:rtl w:val="true"/>
              </w:rPr>
              <w:t xml:space="preserve">: </w:t>
            </w:r>
            <w:r>
              <w:rPr>
                <w:rStyle w:val="IndexLink"/>
                <w:rtl w:val="true"/>
              </w:rPr>
              <w:t>اعتبار الكثرة و الجريان و لو قوّة،</w:t>
            </w:r>
            <w:r>
              <w:rPr>
                <w:rStyle w:val="IndexLink"/>
                <w:rtl w:val="true"/>
              </w:rPr>
              <w:tab/>
            </w:r>
            <w:r>
              <w:rPr>
                <w:rStyle w:val="IndexLink"/>
              </w:rPr>
              <w:t>506</w:t>
            </w:r>
          </w:hyperlink>
        </w:p>
        <w:p>
          <w:pPr>
            <w:pStyle w:val="Contents5"/>
            <w:tabs>
              <w:tab w:val="clear" w:pos="7892"/>
              <w:tab w:val="right" w:pos="9026" w:leader="dot"/>
            </w:tabs>
            <w:rPr/>
          </w:pPr>
          <w:hyperlink w:anchor="__RefHeading___Toc1804840_1280447820">
            <w:r>
              <w:rPr>
                <w:webHidden/>
                <w:rStyle w:val="IndexLink"/>
                <w:rtl w:val="true"/>
              </w:rPr>
              <w:t>و رابعها</w:t>
            </w:r>
            <w:r>
              <w:rPr>
                <w:rStyle w:val="IndexLink"/>
                <w:rtl w:val="true"/>
              </w:rPr>
              <w:t xml:space="preserve">: </w:t>
            </w:r>
            <w:r>
              <w:rPr>
                <w:rStyle w:val="IndexLink"/>
                <w:rtl w:val="true"/>
              </w:rPr>
              <w:t>اعتبار مسمّى الجريان فعلا و إن لم يكن من ميزاب و نحوه،</w:t>
            </w:r>
            <w:r>
              <w:rPr>
                <w:rStyle w:val="IndexLink"/>
                <w:rtl w:val="true"/>
              </w:rPr>
              <w:tab/>
            </w:r>
            <w:r>
              <w:rPr>
                <w:rStyle w:val="IndexLink"/>
              </w:rPr>
              <w:t>507</w:t>
            </w:r>
          </w:hyperlink>
        </w:p>
        <w:p>
          <w:pPr>
            <w:pStyle w:val="Contents5"/>
            <w:tabs>
              <w:tab w:val="clear" w:pos="7892"/>
              <w:tab w:val="right" w:pos="9026" w:leader="dot"/>
            </w:tabs>
            <w:rPr/>
          </w:pPr>
          <w:hyperlink w:anchor="__RefHeading___Toc1804842_1280447820">
            <w:r>
              <w:rPr>
                <w:webHidden/>
                <w:rStyle w:val="IndexLink"/>
                <w:rtl w:val="true"/>
              </w:rPr>
              <w:t>و خامسها</w:t>
            </w:r>
            <w:r>
              <w:rPr>
                <w:rStyle w:val="IndexLink"/>
                <w:rtl w:val="true"/>
              </w:rPr>
              <w:t xml:space="preserve">: </w:t>
            </w:r>
            <w:r>
              <w:rPr>
                <w:rStyle w:val="IndexLink"/>
                <w:rtl w:val="true"/>
              </w:rPr>
              <w:t>اشتراط الجريان فعلا من الميزاب خاصّة</w:t>
            </w:r>
            <w:r>
              <w:rPr>
                <w:rStyle w:val="IndexLink"/>
                <w:rtl w:val="true"/>
              </w:rPr>
              <w:tab/>
            </w:r>
            <w:r>
              <w:rPr>
                <w:rStyle w:val="IndexLink"/>
              </w:rPr>
              <w:t>507</w:t>
            </w:r>
          </w:hyperlink>
        </w:p>
        <w:p>
          <w:pPr>
            <w:pStyle w:val="Contents5"/>
            <w:tabs>
              <w:tab w:val="clear" w:pos="7892"/>
              <w:tab w:val="right" w:pos="9026" w:leader="dot"/>
            </w:tabs>
            <w:rPr/>
          </w:pPr>
          <w:hyperlink w:anchor="__RefHeading___Toc1804844_1280447820">
            <w:r>
              <w:rPr>
                <w:webHidden/>
                <w:rStyle w:val="IndexLink"/>
                <w:rtl w:val="true"/>
              </w:rPr>
              <w:t>و سادسها</w:t>
            </w:r>
            <w:r>
              <w:rPr>
                <w:rStyle w:val="IndexLink"/>
                <w:rtl w:val="true"/>
              </w:rPr>
              <w:t xml:space="preserve">: </w:t>
            </w:r>
            <w:r>
              <w:rPr>
                <w:rStyle w:val="IndexLink"/>
                <w:rtl w:val="true"/>
              </w:rPr>
              <w:t>و أحقّ الأقوال ظاهرا هو المذهب المشهور،</w:t>
            </w:r>
            <w:r>
              <w:rPr>
                <w:rStyle w:val="IndexLink"/>
                <w:rtl w:val="true"/>
              </w:rPr>
              <w:tab/>
            </w:r>
            <w:r>
              <w:rPr>
                <w:rStyle w:val="IndexLink"/>
              </w:rPr>
              <w:t>507</w:t>
            </w:r>
          </w:hyperlink>
        </w:p>
        <w:p>
          <w:pPr>
            <w:pStyle w:val="Contents4"/>
            <w:tabs>
              <w:tab w:val="clear" w:pos="8176"/>
              <w:tab w:val="right" w:pos="9026" w:leader="dot"/>
            </w:tabs>
            <w:rPr/>
          </w:pPr>
          <w:hyperlink w:anchor="__RefHeading___Toc1804846_1280447820">
            <w:r>
              <w:rPr>
                <w:webHidden/>
                <w:rStyle w:val="IndexLink"/>
                <w:rtl w:val="true"/>
              </w:rPr>
              <w:t>و ينبغي أوّلا استقصاء جميع ما ورد في الباب من الأخبار المرويّة في كتب الأصحاب، ثمّ النظر في دلالتها، و استعلام ما يتحصّل من مجموعها،</w:t>
            </w:r>
            <w:r>
              <w:rPr>
                <w:rStyle w:val="IndexLink"/>
                <w:rtl w:val="true"/>
              </w:rPr>
              <w:tab/>
            </w:r>
            <w:r>
              <w:rPr>
                <w:rStyle w:val="IndexLink"/>
              </w:rPr>
              <w:t>507</w:t>
            </w:r>
          </w:hyperlink>
        </w:p>
        <w:p>
          <w:pPr>
            <w:pStyle w:val="Contents4"/>
            <w:tabs>
              <w:tab w:val="clear" w:pos="8176"/>
              <w:tab w:val="right" w:pos="9026" w:leader="dot"/>
            </w:tabs>
            <w:rPr/>
          </w:pPr>
          <w:hyperlink w:anchor="__RefHeading___Toc1804848_1280447820">
            <w:r>
              <w:rPr>
                <w:webHidden/>
                <w:rStyle w:val="IndexLink"/>
                <w:rtl w:val="true"/>
              </w:rPr>
              <w:t>و لنختم المقام بذكر امور مهمّة</w:t>
            </w:r>
            <w:r>
              <w:rPr>
                <w:rStyle w:val="IndexLink"/>
                <w:rtl w:val="true"/>
              </w:rPr>
              <w:t>.</w:t>
              <w:tab/>
            </w:r>
            <w:r>
              <w:rPr>
                <w:rStyle w:val="IndexLink"/>
              </w:rPr>
              <w:t>515</w:t>
            </w:r>
          </w:hyperlink>
        </w:p>
        <w:p>
          <w:pPr>
            <w:pStyle w:val="Contents5"/>
            <w:tabs>
              <w:tab w:val="clear" w:pos="7892"/>
              <w:tab w:val="right" w:pos="9026" w:leader="dot"/>
            </w:tabs>
            <w:rPr/>
          </w:pPr>
          <w:hyperlink w:anchor="__RefHeading___Toc1804850_1280447820">
            <w:r>
              <w:rPr>
                <w:webHidden/>
                <w:rStyle w:val="IndexLink"/>
                <w:rtl w:val="true"/>
              </w:rPr>
              <w:t>أوّلها</w:t>
            </w:r>
            <w:r>
              <w:rPr>
                <w:rStyle w:val="IndexLink"/>
                <w:rtl w:val="true"/>
              </w:rPr>
              <w:t xml:space="preserve">: </w:t>
            </w:r>
            <w:r>
              <w:rPr>
                <w:rStyle w:val="IndexLink"/>
                <w:rtl w:val="true"/>
              </w:rPr>
              <w:t>معنى اعتصام ماء المطر عن الانفعال حال التقاطر عدم قبول ما حصل في الأرض منه للانفعال بتقاطر ما بقي منه عليه،</w:t>
            </w:r>
            <w:r>
              <w:rPr>
                <w:rStyle w:val="IndexLink"/>
                <w:rtl w:val="true"/>
              </w:rPr>
              <w:tab/>
            </w:r>
            <w:r>
              <w:rPr>
                <w:rStyle w:val="IndexLink"/>
              </w:rPr>
              <w:t>515</w:t>
            </w:r>
          </w:hyperlink>
        </w:p>
        <w:p>
          <w:pPr>
            <w:pStyle w:val="Contents5"/>
            <w:tabs>
              <w:tab w:val="clear" w:pos="7892"/>
              <w:tab w:val="right" w:pos="9026" w:leader="dot"/>
            </w:tabs>
            <w:rPr/>
          </w:pPr>
          <w:hyperlink w:anchor="__RefHeading___Toc1804852_1280447820">
            <w:r>
              <w:rPr>
                <w:webHidden/>
                <w:rStyle w:val="IndexLink"/>
                <w:rtl w:val="true"/>
              </w:rPr>
              <w:t>و ثانيها</w:t>
            </w:r>
            <w:r>
              <w:rPr>
                <w:rStyle w:val="IndexLink"/>
                <w:rtl w:val="true"/>
              </w:rPr>
              <w:t xml:space="preserve">: </w:t>
            </w:r>
            <w:r>
              <w:rPr>
                <w:rStyle w:val="IndexLink"/>
                <w:rtl w:val="true"/>
              </w:rPr>
              <w:t>لا إشكال في كون ماء المطر حال التقاطر مطهّرا للأرض الّتي أصابها نجاسة قبل نزولها بل حال النزول أيضا،</w:t>
            </w:r>
            <w:r>
              <w:rPr>
                <w:rStyle w:val="IndexLink"/>
                <w:rtl w:val="true"/>
              </w:rPr>
              <w:tab/>
            </w:r>
            <w:r>
              <w:rPr>
                <w:rStyle w:val="IndexLink"/>
              </w:rPr>
              <w:t>516</w:t>
            </w:r>
          </w:hyperlink>
        </w:p>
        <w:p>
          <w:pPr>
            <w:pStyle w:val="Contents5"/>
            <w:tabs>
              <w:tab w:val="clear" w:pos="7892"/>
              <w:tab w:val="right" w:pos="9026" w:leader="dot"/>
            </w:tabs>
            <w:rPr/>
          </w:pPr>
          <w:hyperlink w:anchor="__RefHeading___Toc1804854_1280447820">
            <w:r>
              <w:rPr>
                <w:webHidden/>
                <w:rStyle w:val="IndexLink"/>
                <w:rtl w:val="true"/>
              </w:rPr>
              <w:t>و ثالثها</w:t>
            </w:r>
            <w:r>
              <w:rPr>
                <w:rStyle w:val="IndexLink"/>
                <w:rtl w:val="true"/>
              </w:rPr>
              <w:t xml:space="preserve">: </w:t>
            </w:r>
            <w:r>
              <w:rPr>
                <w:rStyle w:val="IndexLink"/>
                <w:rtl w:val="true"/>
              </w:rPr>
              <w:t>ماء المطر كما أنّه مطهّر للأرض كذلك يطهّر الماء المتنجّس،</w:t>
            </w:r>
            <w:r>
              <w:rPr>
                <w:rStyle w:val="IndexLink"/>
                <w:rtl w:val="true"/>
              </w:rPr>
              <w:tab/>
            </w:r>
            <w:r>
              <w:rPr>
                <w:rStyle w:val="IndexLink"/>
              </w:rPr>
              <w:t>517</w:t>
            </w:r>
          </w:hyperlink>
        </w:p>
        <w:p>
          <w:pPr>
            <w:pStyle w:val="Contents3"/>
            <w:tabs>
              <w:tab w:val="clear" w:pos="8459"/>
              <w:tab w:val="right" w:pos="9026" w:leader="dot"/>
            </w:tabs>
            <w:rPr/>
          </w:pPr>
          <w:hyperlink w:anchor="__RefHeading___Toc1804856_1280447820">
            <w:r>
              <w:rPr>
                <w:webHidden/>
                <w:rStyle w:val="IndexLink"/>
                <w:rtl w:val="true"/>
              </w:rPr>
              <w:t xml:space="preserve">ينبوع </w:t>
            </w:r>
            <w:r>
              <w:rPr>
                <w:rStyle w:val="IndexLink"/>
                <w:rtl w:val="true"/>
              </w:rPr>
              <w:t>[</w:t>
            </w:r>
            <w:r>
              <w:rPr>
                <w:rStyle w:val="IndexLink"/>
                <w:rtl w:val="true"/>
              </w:rPr>
              <w:t>في ماء البئر</w:t>
            </w:r>
            <w:r>
              <w:rPr>
                <w:rStyle w:val="IndexLink"/>
                <w:rtl w:val="true"/>
              </w:rPr>
              <w:t>]</w:t>
              <w:tab/>
            </w:r>
            <w:r>
              <w:rPr>
                <w:rStyle w:val="IndexLink"/>
              </w:rPr>
              <w:t>519</w:t>
            </w:r>
          </w:hyperlink>
        </w:p>
        <w:p>
          <w:pPr>
            <w:pStyle w:val="Contents4"/>
            <w:tabs>
              <w:tab w:val="clear" w:pos="8176"/>
              <w:tab w:val="right" w:pos="9026" w:leader="dot"/>
            </w:tabs>
            <w:rPr/>
          </w:pPr>
          <w:hyperlink w:anchor="__RefHeading___Toc1804858_1280447820">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1804860_1280447820">
            <w:r>
              <w:rPr>
                <w:webHidden/>
                <w:rStyle w:val="IndexLink"/>
                <w:rtl w:val="true"/>
              </w:rPr>
              <w:t xml:space="preserve">و على أيّ حال كان فماء البئر </w:t>
            </w:r>
            <w:r>
              <w:rPr>
                <w:rStyle w:val="IndexLink"/>
                <w:rtl w:val="true"/>
              </w:rPr>
              <w:t xml:space="preserve">- </w:t>
            </w:r>
            <w:r>
              <w:rPr>
                <w:rStyle w:val="IndexLink"/>
                <w:rtl w:val="true"/>
              </w:rPr>
              <w:t xml:space="preserve">بالمعنى الّذي يكشف عنه العرف </w:t>
            </w:r>
            <w:r>
              <w:rPr>
                <w:rStyle w:val="IndexLink"/>
                <w:rtl w:val="true"/>
              </w:rPr>
              <w:t xml:space="preserve">- </w:t>
            </w:r>
            <w:r>
              <w:rPr>
                <w:rStyle w:val="IndexLink"/>
                <w:rtl w:val="true"/>
              </w:rPr>
              <w:t>إن تغيّر أحد أوصافه بالنجاسة الواقعة فيها نجس قولا واحدا نصّا و فتوى،</w:t>
            </w:r>
            <w:r>
              <w:rPr>
                <w:rStyle w:val="IndexLink"/>
                <w:rtl w:val="true"/>
              </w:rPr>
              <w:tab/>
            </w:r>
            <w:r>
              <w:rPr>
                <w:rStyle w:val="IndexLink"/>
              </w:rPr>
              <w:t>523</w:t>
            </w:r>
          </w:hyperlink>
        </w:p>
        <w:p>
          <w:pPr>
            <w:pStyle w:val="Contents4"/>
            <w:tabs>
              <w:tab w:val="clear" w:pos="8176"/>
              <w:tab w:val="right" w:pos="9026" w:leader="dot"/>
            </w:tabs>
            <w:rPr/>
          </w:pPr>
          <w:hyperlink w:anchor="__RefHeading___Toc1804862_1280447820">
            <w:r>
              <w:rPr>
                <w:webHidden/>
                <w:rStyle w:val="IndexLink"/>
                <w:rtl w:val="true"/>
              </w:rPr>
              <w:t>و أمّا مع عدم تغيّر أحد أوصافه بالنجاسة الواقعة فيها ففي تنجّسه و العدم خلاف على أقوال</w:t>
            </w:r>
            <w:r>
              <w:rPr>
                <w:rStyle w:val="IndexLink"/>
                <w:rtl w:val="true"/>
              </w:rPr>
              <w:t>:</w:t>
              <w:tab/>
            </w:r>
            <w:r>
              <w:rPr>
                <w:rStyle w:val="IndexLink"/>
              </w:rPr>
              <w:t>523</w:t>
            </w:r>
          </w:hyperlink>
        </w:p>
        <w:p>
          <w:pPr>
            <w:pStyle w:val="Contents5"/>
            <w:tabs>
              <w:tab w:val="clear" w:pos="7892"/>
              <w:tab w:val="right" w:pos="9026" w:leader="dot"/>
            </w:tabs>
            <w:rPr/>
          </w:pPr>
          <w:hyperlink w:anchor="__RefHeading___Toc1804864_1280447820">
            <w:r>
              <w:rPr>
                <w:webHidden/>
                <w:rStyle w:val="IndexLink"/>
                <w:rtl w:val="true"/>
              </w:rPr>
              <w:t>أحدها</w:t>
            </w:r>
            <w:r>
              <w:rPr>
                <w:rStyle w:val="IndexLink"/>
                <w:rtl w:val="true"/>
              </w:rPr>
              <w:t xml:space="preserve">: </w:t>
            </w:r>
            <w:r>
              <w:rPr>
                <w:rStyle w:val="IndexLink"/>
                <w:rtl w:val="true"/>
              </w:rPr>
              <w:t>ما حكي عليه الشهرة بين قدماء أصحابنا من أنّه ينجّس بمجرّد ملاقاة النجاسة و لو كان كثيرا،</w:t>
            </w:r>
            <w:r>
              <w:rPr>
                <w:rStyle w:val="IndexLink"/>
                <w:rtl w:val="true"/>
              </w:rPr>
              <w:tab/>
            </w:r>
            <w:r>
              <w:rPr>
                <w:rStyle w:val="IndexLink"/>
              </w:rPr>
              <w:t>523</w:t>
            </w:r>
          </w:hyperlink>
        </w:p>
        <w:p>
          <w:pPr>
            <w:pStyle w:val="Contents5"/>
            <w:tabs>
              <w:tab w:val="clear" w:pos="7892"/>
              <w:tab w:val="right" w:pos="9026" w:leader="dot"/>
            </w:tabs>
            <w:rPr/>
          </w:pPr>
          <w:hyperlink w:anchor="__RefHeading___Toc1804866_1280447820">
            <w:r>
              <w:rPr>
                <w:webHidden/>
                <w:rStyle w:val="IndexLink"/>
                <w:rtl w:val="true"/>
              </w:rPr>
              <w:t>و ثانيها</w:t>
            </w:r>
            <w:r>
              <w:rPr>
                <w:rStyle w:val="IndexLink"/>
                <w:rtl w:val="true"/>
              </w:rPr>
              <w:t xml:space="preserve">: </w:t>
            </w:r>
            <w:r>
              <w:rPr>
                <w:rStyle w:val="IndexLink"/>
                <w:rtl w:val="true"/>
              </w:rPr>
              <w:t>ما يظهر عن الشيخ أيضا، و لكن في التهذيبين من أنّه لا ينجّس ما لم يتغيّر،</w:t>
            </w:r>
            <w:r>
              <w:rPr>
                <w:rStyle w:val="IndexLink"/>
                <w:rtl w:val="true"/>
              </w:rPr>
              <w:tab/>
            </w:r>
            <w:r>
              <w:rPr>
                <w:rStyle w:val="IndexLink"/>
              </w:rPr>
              <w:t>524</w:t>
            </w:r>
          </w:hyperlink>
        </w:p>
        <w:p>
          <w:pPr>
            <w:pStyle w:val="Contents5"/>
            <w:tabs>
              <w:tab w:val="clear" w:pos="7892"/>
              <w:tab w:val="right" w:pos="9026" w:leader="dot"/>
            </w:tabs>
            <w:rPr/>
          </w:pPr>
          <w:hyperlink w:anchor="__RefHeading___Toc1804868_1280447820">
            <w:r>
              <w:rPr>
                <w:webHidden/>
                <w:rStyle w:val="IndexLink"/>
                <w:rtl w:val="true"/>
              </w:rPr>
              <w:t>و ثالثها</w:t>
            </w:r>
            <w:r>
              <w:rPr>
                <w:rStyle w:val="IndexLink"/>
                <w:rtl w:val="true"/>
              </w:rPr>
              <w:t xml:space="preserve">: </w:t>
            </w:r>
            <w:r>
              <w:rPr>
                <w:rStyle w:val="IndexLink"/>
                <w:rtl w:val="true"/>
              </w:rPr>
              <w:t>الفرق بين قليله فينجّس و كثيره فلا ينجّس،</w:t>
            </w:r>
            <w:r>
              <w:rPr>
                <w:rStyle w:val="IndexLink"/>
                <w:rtl w:val="true"/>
              </w:rPr>
              <w:tab/>
            </w:r>
            <w:r>
              <w:rPr>
                <w:rStyle w:val="IndexLink"/>
              </w:rPr>
              <w:t>524</w:t>
            </w:r>
          </w:hyperlink>
        </w:p>
        <w:p>
          <w:pPr>
            <w:pStyle w:val="Contents5"/>
            <w:tabs>
              <w:tab w:val="clear" w:pos="7892"/>
              <w:tab w:val="right" w:pos="9026" w:leader="dot"/>
            </w:tabs>
            <w:rPr/>
          </w:pPr>
          <w:hyperlink w:anchor="__RefHeading___Toc1804870_1280447820">
            <w:r>
              <w:rPr>
                <w:webHidden/>
                <w:rStyle w:val="IndexLink"/>
                <w:rtl w:val="true"/>
              </w:rPr>
              <w:t>و أوسط الأقوال أوسطها و احتجّ أهل القول به بوجوه، بين صحيحة و سقيمة</w:t>
            </w:r>
            <w:r>
              <w:rPr>
                <w:rStyle w:val="IndexLink"/>
                <w:rtl w:val="true"/>
              </w:rPr>
              <w:t>.</w:t>
              <w:tab/>
            </w:r>
            <w:r>
              <w:rPr>
                <w:rStyle w:val="IndexLink"/>
              </w:rPr>
              <w:t>525</w:t>
            </w:r>
          </w:hyperlink>
        </w:p>
        <w:p>
          <w:pPr>
            <w:pStyle w:val="Contents6"/>
            <w:tabs>
              <w:tab w:val="clear" w:pos="7609"/>
              <w:tab w:val="right" w:pos="9026" w:leader="dot"/>
            </w:tabs>
            <w:rPr/>
          </w:pPr>
          <w:hyperlink w:anchor="__RefHeading___Toc1804872_1280447820">
            <w:r>
              <w:rPr>
                <w:webHidden/>
                <w:rStyle w:val="IndexLink"/>
                <w:rtl w:val="true"/>
              </w:rPr>
              <w:t>أوّلها</w:t>
            </w:r>
            <w:r>
              <w:rPr>
                <w:rStyle w:val="IndexLink"/>
                <w:rtl w:val="true"/>
              </w:rPr>
              <w:t xml:space="preserve">: </w:t>
            </w:r>
            <w:r>
              <w:rPr>
                <w:rStyle w:val="IndexLink"/>
                <w:rtl w:val="true"/>
              </w:rPr>
              <w:t>الاستصحاب،</w:t>
            </w:r>
            <w:r>
              <w:rPr>
                <w:rStyle w:val="IndexLink"/>
                <w:rtl w:val="true"/>
              </w:rPr>
              <w:tab/>
            </w:r>
            <w:r>
              <w:rPr>
                <w:rStyle w:val="IndexLink"/>
              </w:rPr>
              <w:t>525</w:t>
            </w:r>
          </w:hyperlink>
        </w:p>
        <w:p>
          <w:pPr>
            <w:pStyle w:val="Contents6"/>
            <w:tabs>
              <w:tab w:val="clear" w:pos="7609"/>
              <w:tab w:val="right" w:pos="9026" w:leader="dot"/>
            </w:tabs>
            <w:rPr/>
          </w:pPr>
          <w:hyperlink w:anchor="__RefHeading___Toc1804874_1280447820">
            <w:r>
              <w:rPr>
                <w:webHidden/>
                <w:rStyle w:val="IndexLink"/>
                <w:rtl w:val="true"/>
              </w:rPr>
              <w:t>و ثانيها</w:t>
            </w:r>
            <w:r>
              <w:rPr>
                <w:rStyle w:val="IndexLink"/>
                <w:rtl w:val="true"/>
              </w:rPr>
              <w:t xml:space="preserve">: </w:t>
            </w:r>
            <w:r>
              <w:rPr>
                <w:rStyle w:val="IndexLink"/>
                <w:rtl w:val="true"/>
              </w:rPr>
              <w:t>العمومات الدالّة على أنّ مطلق الماء طهور،</w:t>
            </w:r>
            <w:r>
              <w:rPr>
                <w:rStyle w:val="IndexLink"/>
                <w:rtl w:val="true"/>
              </w:rPr>
              <w:tab/>
            </w:r>
            <w:r>
              <w:rPr>
                <w:rStyle w:val="IndexLink"/>
              </w:rPr>
              <w:t>525</w:t>
            </w:r>
          </w:hyperlink>
        </w:p>
        <w:p>
          <w:pPr>
            <w:pStyle w:val="Contents6"/>
            <w:tabs>
              <w:tab w:val="clear" w:pos="7609"/>
              <w:tab w:val="right" w:pos="9026" w:leader="dot"/>
            </w:tabs>
            <w:rPr/>
          </w:pPr>
          <w:hyperlink w:anchor="__RefHeading___Toc1804876_1280447820">
            <w:r>
              <w:rPr>
                <w:webHidden/>
                <w:rStyle w:val="IndexLink"/>
                <w:rtl w:val="true"/>
              </w:rPr>
              <w:t>و ثالثها</w:t>
            </w:r>
            <w:r>
              <w:rPr>
                <w:rStyle w:val="IndexLink"/>
                <w:rtl w:val="true"/>
              </w:rPr>
              <w:t xml:space="preserve">: </w:t>
            </w:r>
            <w:r>
              <w:rPr>
                <w:rStyle w:val="IndexLink"/>
                <w:rtl w:val="true"/>
              </w:rPr>
              <w:t>ما تمسّك به في المنتهى أيضا من أنّها</w:t>
            </w:r>
            <w:r>
              <w:rPr>
                <w:rStyle w:val="IndexLink"/>
                <w:rtl w:val="true"/>
              </w:rPr>
              <w:t>: «</w:t>
            </w:r>
            <w:r>
              <w:rPr>
                <w:rStyle w:val="IndexLink"/>
                <w:rtl w:val="true"/>
              </w:rPr>
              <w:t>لو نجست لما طهرت، و التالي باطل اتّفاقا،</w:t>
            </w:r>
            <w:r>
              <w:rPr>
                <w:rStyle w:val="IndexLink"/>
                <w:rtl w:val="true"/>
              </w:rPr>
              <w:tab/>
            </w:r>
            <w:r>
              <w:rPr>
                <w:rStyle w:val="IndexLink"/>
              </w:rPr>
              <w:t>525</w:t>
            </w:r>
          </w:hyperlink>
        </w:p>
        <w:p>
          <w:pPr>
            <w:pStyle w:val="Contents6"/>
            <w:tabs>
              <w:tab w:val="clear" w:pos="7609"/>
              <w:tab w:val="right" w:pos="9026" w:leader="dot"/>
            </w:tabs>
            <w:rPr/>
          </w:pPr>
          <w:hyperlink w:anchor="__RefHeading___Toc1804878_1280447820">
            <w:r>
              <w:rPr>
                <w:webHidden/>
                <w:rStyle w:val="IndexLink"/>
                <w:rtl w:val="true"/>
              </w:rPr>
              <w:t>و رابعها</w:t>
            </w:r>
            <w:r>
              <w:rPr>
                <w:rStyle w:val="IndexLink"/>
                <w:rtl w:val="true"/>
              </w:rPr>
              <w:t xml:space="preserve">: </w:t>
            </w:r>
            <w:r>
              <w:rPr>
                <w:rStyle w:val="IndexLink"/>
                <w:rtl w:val="true"/>
              </w:rPr>
              <w:t>أنّها لو نجست لزم الحرج الشديد،</w:t>
            </w:r>
            <w:r>
              <w:rPr>
                <w:rStyle w:val="IndexLink"/>
                <w:rtl w:val="true"/>
              </w:rPr>
              <w:tab/>
            </w:r>
            <w:r>
              <w:rPr>
                <w:rStyle w:val="IndexLink"/>
              </w:rPr>
              <w:t>526</w:t>
            </w:r>
          </w:hyperlink>
        </w:p>
        <w:p>
          <w:pPr>
            <w:pStyle w:val="Contents6"/>
            <w:tabs>
              <w:tab w:val="clear" w:pos="7609"/>
              <w:tab w:val="right" w:pos="9026" w:leader="dot"/>
            </w:tabs>
            <w:rPr/>
          </w:pPr>
          <w:hyperlink w:anchor="__RefHeading___Toc1804880_1280447820">
            <w:r>
              <w:rPr>
                <w:webHidden/>
                <w:rStyle w:val="IndexLink"/>
                <w:rtl w:val="true"/>
              </w:rPr>
              <w:t>و خامسها</w:t>
            </w:r>
            <w:r>
              <w:rPr>
                <w:rStyle w:val="IndexLink"/>
                <w:rtl w:val="true"/>
              </w:rPr>
              <w:t xml:space="preserve">: </w:t>
            </w:r>
            <w:r>
              <w:rPr>
                <w:rStyle w:val="IndexLink"/>
                <w:rtl w:val="true"/>
              </w:rPr>
              <w:t>ما اعتمد عليه بعضهم من أنّه يلزم على التنجيس الحكم بنجاسة الكرّ المصاحب للنجاسة إذا القي في البئر مع نجاسة البئر،</w:t>
            </w:r>
            <w:r>
              <w:rPr>
                <w:rStyle w:val="IndexLink"/>
                <w:rtl w:val="true"/>
              </w:rPr>
              <w:tab/>
            </w:r>
            <w:r>
              <w:rPr>
                <w:rStyle w:val="IndexLink"/>
              </w:rPr>
              <w:t>527</w:t>
            </w:r>
          </w:hyperlink>
        </w:p>
        <w:p>
          <w:pPr>
            <w:pStyle w:val="Contents6"/>
            <w:tabs>
              <w:tab w:val="clear" w:pos="7609"/>
              <w:tab w:val="right" w:pos="9026" w:leader="dot"/>
            </w:tabs>
            <w:rPr/>
          </w:pPr>
          <w:hyperlink w:anchor="__RefHeading___Toc1804882_1280447820">
            <w:r>
              <w:rPr>
                <w:webHidden/>
                <w:rStyle w:val="IndexLink"/>
                <w:rtl w:val="true"/>
              </w:rPr>
              <w:t>و سادسها</w:t>
            </w:r>
            <w:r>
              <w:rPr>
                <w:rStyle w:val="IndexLink"/>
                <w:rtl w:val="true"/>
              </w:rPr>
              <w:t xml:space="preserve">: </w:t>
            </w:r>
            <w:r>
              <w:rPr>
                <w:rStyle w:val="IndexLink"/>
                <w:rtl w:val="true"/>
              </w:rPr>
              <w:t>ما أشار إليه في المنتهى من</w:t>
            </w:r>
            <w:r>
              <w:rPr>
                <w:rStyle w:val="IndexLink"/>
                <w:rtl w:val="true"/>
              </w:rPr>
              <w:t>: «</w:t>
            </w:r>
            <w:r>
              <w:rPr>
                <w:rStyle w:val="IndexLink"/>
                <w:rtl w:val="true"/>
              </w:rPr>
              <w:t>أنّه بجريانه من منابعه أشبه الماء الجاري، فيتساويان حكما</w:t>
            </w:r>
            <w:r>
              <w:rPr>
                <w:rStyle w:val="IndexLink"/>
                <w:rtl w:val="true"/>
              </w:rPr>
              <w:t>»</w:t>
              <w:tab/>
            </w:r>
            <w:r>
              <w:rPr>
                <w:rStyle w:val="IndexLink"/>
              </w:rPr>
              <w:t>528</w:t>
            </w:r>
          </w:hyperlink>
        </w:p>
        <w:p>
          <w:pPr>
            <w:pStyle w:val="Contents6"/>
            <w:tabs>
              <w:tab w:val="clear" w:pos="7609"/>
              <w:tab w:val="right" w:pos="9026" w:leader="dot"/>
            </w:tabs>
            <w:rPr/>
          </w:pPr>
          <w:hyperlink w:anchor="__RefHeading___Toc1804884_1280447820">
            <w:r>
              <w:rPr>
                <w:webHidden/>
                <w:rStyle w:val="IndexLink"/>
                <w:rtl w:val="true"/>
              </w:rPr>
              <w:t>و سابعها</w:t>
            </w:r>
            <w:r>
              <w:rPr>
                <w:rStyle w:val="IndexLink"/>
                <w:rtl w:val="true"/>
              </w:rPr>
              <w:t xml:space="preserve">: </w:t>
            </w:r>
            <w:r>
              <w:rPr>
                <w:rStyle w:val="IndexLink"/>
                <w:rtl w:val="true"/>
              </w:rPr>
              <w:t>الأخبار الخاصّة و هي العمدة في المقام</w:t>
            </w:r>
            <w:r>
              <w:rPr>
                <w:rStyle w:val="IndexLink"/>
                <w:rtl w:val="true"/>
              </w:rPr>
              <w:t>.</w:t>
              <w:tab/>
            </w:r>
            <w:r>
              <w:rPr>
                <w:rStyle w:val="IndexLink"/>
              </w:rPr>
              <w:t>528</w:t>
            </w:r>
          </w:hyperlink>
        </w:p>
        <w:p>
          <w:pPr>
            <w:pStyle w:val="Contents5"/>
            <w:tabs>
              <w:tab w:val="clear" w:pos="7892"/>
              <w:tab w:val="right" w:pos="9026" w:leader="dot"/>
            </w:tabs>
            <w:rPr/>
          </w:pPr>
          <w:hyperlink w:anchor="__RefHeading___Toc1804886_1280447820">
            <w:r>
              <w:rPr>
                <w:webHidden/>
                <w:rStyle w:val="IndexLink"/>
                <w:rtl w:val="true"/>
              </w:rPr>
              <w:t>و أمّا القول بالانفعال مطلقا</w:t>
            </w:r>
            <w:r>
              <w:rPr>
                <w:rStyle w:val="IndexLink"/>
                <w:rtl w:val="true"/>
              </w:rPr>
              <w:t>:</w:t>
              <w:tab/>
            </w:r>
            <w:r>
              <w:rPr>
                <w:rStyle w:val="IndexLink"/>
              </w:rPr>
              <w:t>538</w:t>
            </w:r>
          </w:hyperlink>
        </w:p>
        <w:p>
          <w:pPr>
            <w:pStyle w:val="Contents6"/>
            <w:tabs>
              <w:tab w:val="clear" w:pos="7609"/>
              <w:tab w:val="right" w:pos="9026" w:leader="dot"/>
            </w:tabs>
            <w:rPr/>
          </w:pPr>
          <w:hyperlink w:anchor="__RefHeading___Toc1804888_1280447820">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1804890_1280447820">
            <w:r>
              <w:rPr>
                <w:webHidden/>
                <w:rStyle w:val="IndexLink"/>
                <w:rtl w:val="true"/>
              </w:rPr>
              <w:t>منها</w:t>
            </w:r>
            <w:r>
              <w:rPr>
                <w:rStyle w:val="IndexLink"/>
                <w:rtl w:val="true"/>
              </w:rPr>
              <w:t xml:space="preserve">: </w:t>
            </w:r>
            <w:r>
              <w:rPr>
                <w:rStyle w:val="IndexLink"/>
                <w:rtl w:val="true"/>
              </w:rPr>
              <w:t>أنّه يقبل النجاسة بالانفعال فيقبلها بالملاقاة،</w:t>
            </w:r>
            <w:r>
              <w:rPr>
                <w:rStyle w:val="IndexLink"/>
                <w:rtl w:val="true"/>
              </w:rPr>
              <w:tab/>
            </w:r>
            <w:r>
              <w:rPr>
                <w:rStyle w:val="IndexLink"/>
              </w:rPr>
              <w:t>538</w:t>
            </w:r>
          </w:hyperlink>
        </w:p>
        <w:p>
          <w:pPr>
            <w:pStyle w:val="Contents6"/>
            <w:tabs>
              <w:tab w:val="clear" w:pos="7609"/>
              <w:tab w:val="right" w:pos="9026" w:leader="dot"/>
            </w:tabs>
            <w:rPr/>
          </w:pPr>
          <w:hyperlink w:anchor="__RefHeading___Toc1804892_1280447820">
            <w:r>
              <w:rPr>
                <w:webHidden/>
                <w:rStyle w:val="IndexLink"/>
                <w:rtl w:val="true"/>
              </w:rPr>
              <w:t>و منها</w:t>
            </w:r>
            <w:r>
              <w:rPr>
                <w:rStyle w:val="IndexLink"/>
                <w:rtl w:val="true"/>
              </w:rPr>
              <w:t xml:space="preserve">: </w:t>
            </w:r>
            <w:r>
              <w:rPr>
                <w:rStyle w:val="IndexLink"/>
                <w:rtl w:val="true"/>
              </w:rPr>
              <w:t>ما حكاه في المختلف أيضا من</w:t>
            </w:r>
            <w:r>
              <w:rPr>
                <w:rStyle w:val="IndexLink"/>
                <w:rtl w:val="true"/>
              </w:rPr>
              <w:t xml:space="preserve">: </w:t>
            </w:r>
            <w:r>
              <w:rPr>
                <w:rStyle w:val="IndexLink"/>
                <w:rtl w:val="true"/>
              </w:rPr>
              <w:t>أنّ التيمّم سائغ عند الملاقاة للنجاسة و ليس بسائغ عند وجود الماء الطاهر،</w:t>
            </w:r>
            <w:r>
              <w:rPr>
                <w:rStyle w:val="IndexLink"/>
                <w:rtl w:val="true"/>
              </w:rPr>
              <w:tab/>
            </w:r>
            <w:r>
              <w:rPr>
                <w:rStyle w:val="IndexLink"/>
              </w:rPr>
              <w:t>539</w:t>
            </w:r>
          </w:hyperlink>
        </w:p>
        <w:p>
          <w:pPr>
            <w:pStyle w:val="Contents6"/>
            <w:tabs>
              <w:tab w:val="clear" w:pos="7609"/>
              <w:tab w:val="right" w:pos="9026" w:leader="dot"/>
            </w:tabs>
            <w:rPr/>
          </w:pPr>
          <w:hyperlink w:anchor="__RefHeading___Toc1804894_1280447820">
            <w:r>
              <w:rPr>
                <w:webHidden/>
                <w:rStyle w:val="IndexLink"/>
                <w:rtl w:val="true"/>
              </w:rPr>
              <w:t>و منها</w:t>
            </w:r>
            <w:r>
              <w:rPr>
                <w:rStyle w:val="IndexLink"/>
                <w:rtl w:val="true"/>
              </w:rPr>
              <w:t xml:space="preserve">: </w:t>
            </w:r>
            <w:r>
              <w:rPr>
                <w:rStyle w:val="IndexLink"/>
                <w:rtl w:val="true"/>
              </w:rPr>
              <w:t>جملة من الأخبار</w:t>
            </w:r>
            <w:r>
              <w:rPr>
                <w:rStyle w:val="IndexLink"/>
                <w:rtl w:val="true"/>
              </w:rPr>
              <w:tab/>
            </w:r>
            <w:r>
              <w:rPr>
                <w:rStyle w:val="IndexLink"/>
              </w:rPr>
              <w:t>541</w:t>
            </w:r>
          </w:hyperlink>
        </w:p>
        <w:p>
          <w:pPr>
            <w:pStyle w:val="Contents5"/>
            <w:tabs>
              <w:tab w:val="clear" w:pos="7892"/>
              <w:tab w:val="right" w:pos="9026" w:leader="dot"/>
            </w:tabs>
            <w:rPr/>
          </w:pPr>
          <w:hyperlink w:anchor="__RefHeading___Toc1804896_1280447820">
            <w:r>
              <w:rPr>
                <w:webHidden/>
                <w:rStyle w:val="IndexLink"/>
                <w:rtl w:val="true"/>
              </w:rPr>
              <w:t>و أمّا القول بالفرق بين الكرّ و ما دونه</w:t>
            </w:r>
            <w:r>
              <w:rPr>
                <w:rStyle w:val="IndexLink"/>
                <w:rtl w:val="true"/>
              </w:rPr>
              <w:t>:</w:t>
              <w:tab/>
            </w:r>
            <w:r>
              <w:rPr>
                <w:rStyle w:val="IndexLink"/>
              </w:rPr>
              <w:t>548</w:t>
            </w:r>
          </w:hyperlink>
        </w:p>
        <w:p>
          <w:pPr>
            <w:pStyle w:val="Contents6"/>
            <w:tabs>
              <w:tab w:val="clear" w:pos="7609"/>
              <w:tab w:val="right" w:pos="9026" w:leader="dot"/>
            </w:tabs>
            <w:rPr/>
          </w:pPr>
          <w:hyperlink w:anchor="__RefHeading___Toc1804898_1280447820">
            <w:r>
              <w:rPr>
                <w:webHidden/>
                <w:rStyle w:val="IndexLink"/>
                <w:rtl w:val="true"/>
              </w:rPr>
              <w:t>اشارة</w:t>
            </w:r>
            <w:r>
              <w:rPr>
                <w:rStyle w:val="IndexLink"/>
                <w:rtl w:val="true"/>
              </w:rPr>
              <w:tab/>
            </w:r>
            <w:r>
              <w:rPr>
                <w:rStyle w:val="IndexLink"/>
              </w:rPr>
              <w:t>548</w:t>
            </w:r>
          </w:hyperlink>
        </w:p>
        <w:p>
          <w:pPr>
            <w:pStyle w:val="Contents6"/>
            <w:tabs>
              <w:tab w:val="clear" w:pos="7609"/>
              <w:tab w:val="right" w:pos="9026" w:leader="dot"/>
            </w:tabs>
            <w:rPr/>
          </w:pPr>
          <w:hyperlink w:anchor="__RefHeading___Toc1804900_1280447820">
            <w:r>
              <w:rPr>
                <w:webHidden/>
                <w:rStyle w:val="IndexLink"/>
                <w:rtl w:val="true"/>
              </w:rPr>
              <w:t>أحدها</w:t>
            </w:r>
            <w:r>
              <w:rPr>
                <w:rStyle w:val="IndexLink"/>
                <w:rtl w:val="true"/>
              </w:rPr>
              <w:t xml:space="preserve">: </w:t>
            </w:r>
            <w:r>
              <w:rPr>
                <w:rStyle w:val="IndexLink"/>
                <w:rtl w:val="true"/>
              </w:rPr>
              <w:t>رواية الحسن بن صالح الثوري المرويّة في التهذيبين</w:t>
            </w:r>
            <w:r>
              <w:rPr>
                <w:rStyle w:val="IndexLink"/>
                <w:rtl w:val="true"/>
              </w:rPr>
              <w:tab/>
            </w:r>
            <w:r>
              <w:rPr>
                <w:rStyle w:val="IndexLink"/>
              </w:rPr>
              <w:t>548</w:t>
            </w:r>
          </w:hyperlink>
        </w:p>
        <w:p>
          <w:pPr>
            <w:pStyle w:val="Contents6"/>
            <w:tabs>
              <w:tab w:val="clear" w:pos="7609"/>
              <w:tab w:val="right" w:pos="9026" w:leader="dot"/>
            </w:tabs>
            <w:rPr/>
          </w:pPr>
          <w:hyperlink w:anchor="__RefHeading___Toc1804902_1280447820">
            <w:r>
              <w:rPr>
                <w:webHidden/>
                <w:rStyle w:val="IndexLink"/>
                <w:rtl w:val="true"/>
              </w:rPr>
              <w:t>و ثانيها</w:t>
            </w:r>
            <w:r>
              <w:rPr>
                <w:rStyle w:val="IndexLink"/>
                <w:rtl w:val="true"/>
              </w:rPr>
              <w:t xml:space="preserve">: </w:t>
            </w:r>
            <w:r>
              <w:rPr>
                <w:rStyle w:val="IndexLink"/>
                <w:rtl w:val="true"/>
              </w:rPr>
              <w:t>ما عن الفقه الرضوي</w:t>
            </w:r>
            <w:r>
              <w:rPr>
                <w:rStyle w:val="IndexLink"/>
                <w:rtl w:val="true"/>
              </w:rPr>
              <w:tab/>
            </w:r>
            <w:r>
              <w:rPr>
                <w:rStyle w:val="IndexLink"/>
              </w:rPr>
              <w:t>548</w:t>
            </w:r>
          </w:hyperlink>
        </w:p>
        <w:p>
          <w:pPr>
            <w:pStyle w:val="Contents6"/>
            <w:tabs>
              <w:tab w:val="clear" w:pos="7609"/>
              <w:tab w:val="right" w:pos="9026" w:leader="dot"/>
            </w:tabs>
            <w:rPr/>
          </w:pPr>
          <w:hyperlink w:anchor="__RefHeading___Toc1804904_1280447820">
            <w:r>
              <w:rPr>
                <w:webHidden/>
                <w:rStyle w:val="IndexLink"/>
                <w:rtl w:val="true"/>
              </w:rPr>
              <w:t>و ثالثها</w:t>
            </w:r>
            <w:r>
              <w:rPr>
                <w:rStyle w:val="IndexLink"/>
                <w:rtl w:val="true"/>
              </w:rPr>
              <w:t xml:space="preserve">: </w:t>
            </w:r>
            <w:r>
              <w:rPr>
                <w:rStyle w:val="IndexLink"/>
                <w:rtl w:val="true"/>
              </w:rPr>
              <w:t>موثّقة عمّار</w:t>
            </w:r>
            <w:r>
              <w:rPr>
                <w:rStyle w:val="IndexLink"/>
                <w:rtl w:val="true"/>
              </w:rPr>
              <w:tab/>
            </w:r>
            <w:r>
              <w:rPr>
                <w:rStyle w:val="IndexLink"/>
              </w:rPr>
              <w:t>548</w:t>
            </w:r>
          </w:hyperlink>
        </w:p>
        <w:p>
          <w:pPr>
            <w:pStyle w:val="Contents6"/>
            <w:tabs>
              <w:tab w:val="clear" w:pos="7609"/>
              <w:tab w:val="right" w:pos="9026" w:leader="dot"/>
            </w:tabs>
            <w:rPr/>
          </w:pPr>
          <w:hyperlink w:anchor="__RefHeading___Toc1804906_1280447820">
            <w:r>
              <w:rPr>
                <w:webHidden/>
                <w:rStyle w:val="IndexLink"/>
                <w:rtl w:val="true"/>
              </w:rPr>
              <w:t>و رابعها</w:t>
            </w:r>
            <w:r>
              <w:rPr>
                <w:rStyle w:val="IndexLink"/>
                <w:rtl w:val="true"/>
              </w:rPr>
              <w:t xml:space="preserve">: </w:t>
            </w:r>
            <w:r>
              <w:rPr>
                <w:rStyle w:val="IndexLink"/>
                <w:rtl w:val="true"/>
              </w:rPr>
              <w:t>عموم ما دلّ من الأخبار على اشتراط الكرّيّة في عدم الانفعال</w:t>
            </w:r>
            <w:r>
              <w:rPr>
                <w:rStyle w:val="IndexLink"/>
                <w:rtl w:val="true"/>
              </w:rPr>
              <w:t>.</w:t>
              <w:tab/>
            </w:r>
            <w:r>
              <w:rPr>
                <w:rStyle w:val="IndexLink"/>
              </w:rPr>
              <w:t>548</w:t>
            </w:r>
          </w:hyperlink>
        </w:p>
        <w:p>
          <w:pPr>
            <w:pStyle w:val="Contents4"/>
            <w:tabs>
              <w:tab w:val="clear" w:pos="8176"/>
              <w:tab w:val="right" w:pos="9026" w:leader="dot"/>
            </w:tabs>
            <w:rPr/>
          </w:pPr>
          <w:hyperlink w:anchor="__RefHeading___Toc1804908_1280447820">
            <w:r>
              <w:rPr>
                <w:webHidden/>
                <w:rStyle w:val="IndexLink"/>
                <w:rtl w:val="true"/>
              </w:rPr>
              <w:t>ثمّ على المختار فهل النزح الوارد في الأخبار المستفيضة واجب أو لا؟</w:t>
            </w:r>
            <w:r>
              <w:rPr>
                <w:rStyle w:val="IndexLink"/>
                <w:rtl w:val="true"/>
              </w:rPr>
              <w:tab/>
            </w:r>
            <w:r>
              <w:rPr>
                <w:rStyle w:val="IndexLink"/>
              </w:rPr>
              <w:t>549</w:t>
            </w:r>
          </w:hyperlink>
        </w:p>
        <w:p>
          <w:pPr>
            <w:pStyle w:val="Contents3"/>
            <w:tabs>
              <w:tab w:val="clear" w:pos="8459"/>
              <w:tab w:val="right" w:pos="9026" w:leader="dot"/>
            </w:tabs>
            <w:rPr/>
          </w:pPr>
          <w:hyperlink w:anchor="__RefHeading___Toc1804910_1280447820">
            <w:r>
              <w:rPr>
                <w:webHidden/>
                <w:rStyle w:val="IndexLink"/>
                <w:rtl w:val="true"/>
              </w:rPr>
              <w:t xml:space="preserve">ينبوع </w:t>
            </w:r>
            <w:r>
              <w:rPr>
                <w:rStyle w:val="IndexLink"/>
                <w:rtl w:val="true"/>
              </w:rPr>
              <w:t>[</w:t>
            </w:r>
            <w:r>
              <w:rPr>
                <w:rStyle w:val="IndexLink"/>
                <w:rtl w:val="true"/>
              </w:rPr>
              <w:t>في عدم جواز استعمال الماء النجس</w:t>
            </w:r>
            <w:r>
              <w:rPr>
                <w:rStyle w:val="IndexLink"/>
                <w:rtl w:val="true"/>
              </w:rPr>
              <w:t>]</w:t>
              <w:tab/>
            </w:r>
            <w:r>
              <w:rPr>
                <w:rStyle w:val="IndexLink"/>
              </w:rPr>
              <w:t>556</w:t>
            </w:r>
          </w:hyperlink>
        </w:p>
        <w:p>
          <w:pPr>
            <w:pStyle w:val="Contents4"/>
            <w:tabs>
              <w:tab w:val="clear" w:pos="8176"/>
              <w:tab w:val="right" w:pos="9026" w:leader="dot"/>
            </w:tabs>
            <w:rPr/>
          </w:pPr>
          <w:hyperlink w:anchor="__RefHeading___Toc1804912_1280447820">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1804914_1280447820">
            <w:r>
              <w:rPr>
                <w:webHidden/>
                <w:rStyle w:val="IndexLink"/>
                <w:rtl w:val="true"/>
              </w:rPr>
              <w:t>المقصد الأوّل</w:t>
            </w:r>
            <w:r>
              <w:rPr>
                <w:rStyle w:val="IndexLink"/>
                <w:rtl w:val="true"/>
              </w:rPr>
              <w:t xml:space="preserve">: </w:t>
            </w:r>
            <w:r>
              <w:rPr>
                <w:rStyle w:val="IndexLink"/>
                <w:rtl w:val="true"/>
              </w:rPr>
              <w:t>في عدم جواز استعماله في الطهارة و لو كانت عن خبث مطلقا،</w:t>
            </w:r>
            <w:r>
              <w:rPr>
                <w:rStyle w:val="IndexLink"/>
                <w:rtl w:val="true"/>
              </w:rPr>
              <w:tab/>
            </w:r>
            <w:r>
              <w:rPr>
                <w:rStyle w:val="IndexLink"/>
              </w:rPr>
              <w:t>556</w:t>
            </w:r>
          </w:hyperlink>
        </w:p>
        <w:p>
          <w:pPr>
            <w:pStyle w:val="Contents4"/>
            <w:tabs>
              <w:tab w:val="clear" w:pos="8176"/>
              <w:tab w:val="right" w:pos="9026" w:leader="dot"/>
            </w:tabs>
            <w:rPr/>
          </w:pPr>
          <w:hyperlink w:anchor="__RefHeading___Toc1804916_1280447820">
            <w:r>
              <w:rPr>
                <w:webHidden/>
                <w:rStyle w:val="IndexLink"/>
                <w:rtl w:val="true"/>
              </w:rPr>
              <w:t>المقصد الثاني</w:t>
            </w:r>
            <w:r>
              <w:rPr>
                <w:rStyle w:val="IndexLink"/>
                <w:rtl w:val="true"/>
              </w:rPr>
              <w:t xml:space="preserve">: </w:t>
            </w:r>
            <w:r>
              <w:rPr>
                <w:rStyle w:val="IndexLink"/>
                <w:rtl w:val="true"/>
              </w:rPr>
              <w:t>في عدم جواز استعماله في الشرب و غيره ممّا يتوقّف على الماء من أنواع المآكل،</w:t>
            </w:r>
            <w:r>
              <w:rPr>
                <w:rStyle w:val="IndexLink"/>
                <w:rtl w:val="true"/>
              </w:rPr>
              <w:tab/>
            </w:r>
            <w:r>
              <w:rPr>
                <w:rStyle w:val="IndexLink"/>
              </w:rPr>
              <w:t>562</w:t>
            </w:r>
          </w:hyperlink>
        </w:p>
        <w:p>
          <w:pPr>
            <w:pStyle w:val="Contents4"/>
            <w:tabs>
              <w:tab w:val="clear" w:pos="8176"/>
              <w:tab w:val="right" w:pos="9026" w:leader="dot"/>
            </w:tabs>
            <w:rPr/>
          </w:pPr>
          <w:hyperlink w:anchor="__RefHeading___Toc1804918_1280447820">
            <w:r>
              <w:rPr>
                <w:webHidden/>
                <w:rStyle w:val="IndexLink"/>
                <w:rtl w:val="true"/>
              </w:rPr>
              <w:t>المقصد الثالث</w:t>
            </w:r>
            <w:r>
              <w:rPr>
                <w:rStyle w:val="IndexLink"/>
                <w:rtl w:val="true"/>
              </w:rPr>
              <w:t xml:space="preserve">: </w:t>
            </w:r>
            <w:r>
              <w:rPr>
                <w:rStyle w:val="IndexLink"/>
                <w:rtl w:val="true"/>
              </w:rPr>
              <w:t>في كيفيّة تطهير المياه المتوقّف عليها إباحة الاستعمال</w:t>
            </w:r>
            <w:r>
              <w:rPr>
                <w:rStyle w:val="IndexLink"/>
                <w:rtl w:val="true"/>
              </w:rPr>
              <w:t>.</w:t>
              <w:tab/>
            </w:r>
            <w:r>
              <w:rPr>
                <w:rStyle w:val="IndexLink"/>
              </w:rPr>
              <w:t>564</w:t>
            </w:r>
          </w:hyperlink>
        </w:p>
        <w:p>
          <w:pPr>
            <w:pStyle w:val="Contents5"/>
            <w:tabs>
              <w:tab w:val="clear" w:pos="7892"/>
              <w:tab w:val="right" w:pos="9026" w:leader="dot"/>
            </w:tabs>
            <w:rPr/>
          </w:pPr>
          <w:hyperlink w:anchor="__RefHeading___Toc1804920_1280447820">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1804922_1280447820">
            <w:r>
              <w:rPr>
                <w:webHidden/>
                <w:rStyle w:val="IndexLink"/>
                <w:rtl w:val="true"/>
              </w:rPr>
              <w:t>فلا بدّ من إيراد البحث عنه في مراحل</w:t>
            </w:r>
            <w:r>
              <w:rPr>
                <w:rStyle w:val="IndexLink"/>
                <w:rtl w:val="true"/>
              </w:rPr>
              <w:t>:</w:t>
              <w:tab/>
            </w:r>
            <w:r>
              <w:rPr>
                <w:rStyle w:val="IndexLink"/>
              </w:rPr>
              <w:t>566</w:t>
            </w:r>
          </w:hyperlink>
        </w:p>
        <w:p>
          <w:pPr>
            <w:pStyle w:val="Contents6"/>
            <w:tabs>
              <w:tab w:val="clear" w:pos="7609"/>
              <w:tab w:val="right" w:pos="9026" w:leader="dot"/>
            </w:tabs>
            <w:rPr/>
          </w:pPr>
          <w:hyperlink w:anchor="__RefHeading___Toc1804924_1280447820">
            <w:r>
              <w:rPr>
                <w:webHidden/>
                <w:rStyle w:val="IndexLink"/>
                <w:rtl w:val="true"/>
              </w:rPr>
              <w:t>المرحلة الاولى</w:t>
            </w:r>
            <w:r>
              <w:rPr>
                <w:rStyle w:val="IndexLink"/>
                <w:rtl w:val="true"/>
              </w:rPr>
              <w:t xml:space="preserve">: </w:t>
            </w:r>
            <w:r>
              <w:rPr>
                <w:rStyle w:val="IndexLink"/>
                <w:rtl w:val="true"/>
              </w:rPr>
              <w:t>في تطهير الماء القليل المتنجّس متغيّرا أو غيره،</w:t>
            </w:r>
            <w:r>
              <w:rPr>
                <w:rStyle w:val="IndexLink"/>
                <w:rtl w:val="true"/>
              </w:rPr>
              <w:tab/>
            </w:r>
            <w:r>
              <w:rPr>
                <w:rStyle w:val="IndexLink"/>
              </w:rPr>
              <w:t>566</w:t>
            </w:r>
          </w:hyperlink>
        </w:p>
        <w:p>
          <w:pPr>
            <w:pStyle w:val="Contents6"/>
            <w:tabs>
              <w:tab w:val="clear" w:pos="7609"/>
              <w:tab w:val="right" w:pos="9026" w:leader="dot"/>
            </w:tabs>
            <w:rPr/>
          </w:pPr>
          <w:hyperlink w:anchor="__RefHeading___Toc1804926_1280447820">
            <w:r>
              <w:rPr>
                <w:webHidden/>
                <w:rStyle w:val="IndexLink"/>
                <w:rtl w:val="true"/>
              </w:rPr>
              <w:t>اشارة</w:t>
            </w:r>
            <w:r>
              <w:rPr>
                <w:rStyle w:val="IndexLink"/>
                <w:rtl w:val="true"/>
              </w:rPr>
              <w:tab/>
            </w:r>
            <w:r>
              <w:rPr>
                <w:rStyle w:val="IndexLink"/>
              </w:rPr>
              <w:t>566</w:t>
            </w:r>
          </w:hyperlink>
        </w:p>
        <w:p>
          <w:pPr>
            <w:pStyle w:val="Contents6"/>
            <w:tabs>
              <w:tab w:val="clear" w:pos="7609"/>
              <w:tab w:val="right" w:pos="9026" w:leader="dot"/>
            </w:tabs>
            <w:rPr/>
          </w:pPr>
          <w:hyperlink w:anchor="__RefHeading___Toc1804928_1280447820">
            <w:r>
              <w:rPr>
                <w:webHidden/>
                <w:rStyle w:val="IndexLink"/>
                <w:rtl w:val="true"/>
              </w:rPr>
              <w:t>و إذا تمهّد جميع ما بيّنّاه فتنقيح المسألة يستدعي رسم امور</w:t>
            </w:r>
            <w:r>
              <w:rPr>
                <w:rStyle w:val="IndexLink"/>
                <w:rtl w:val="true"/>
              </w:rPr>
              <w:t>:</w:t>
              <w:tab/>
            </w:r>
            <w:r>
              <w:rPr>
                <w:rStyle w:val="IndexLink"/>
              </w:rPr>
              <w:t>577</w:t>
            </w:r>
          </w:hyperlink>
        </w:p>
        <w:p>
          <w:pPr>
            <w:pStyle w:val="Contents6"/>
            <w:tabs>
              <w:tab w:val="clear" w:pos="7609"/>
              <w:tab w:val="right" w:pos="9026" w:leader="dot"/>
            </w:tabs>
            <w:rPr/>
          </w:pPr>
          <w:hyperlink w:anchor="__RefHeading___Toc1804930_1280447820">
            <w:r>
              <w:rPr>
                <w:webHidden/>
                <w:rStyle w:val="IndexLink"/>
                <w:rtl w:val="true"/>
              </w:rPr>
              <w:t>أحدها</w:t>
            </w:r>
            <w:r>
              <w:rPr>
                <w:rStyle w:val="IndexLink"/>
                <w:rtl w:val="true"/>
              </w:rPr>
              <w:t xml:space="preserve">: </w:t>
            </w:r>
            <w:r>
              <w:rPr>
                <w:rStyle w:val="IndexLink"/>
                <w:rtl w:val="true"/>
              </w:rPr>
              <w:t>النظر في اعتبار الدفعة و عدمه،</w:t>
            </w:r>
            <w:r>
              <w:rPr>
                <w:rStyle w:val="IndexLink"/>
                <w:rtl w:val="true"/>
              </w:rPr>
              <w:tab/>
            </w:r>
            <w:r>
              <w:rPr>
                <w:rStyle w:val="IndexLink"/>
              </w:rPr>
              <w:t>577</w:t>
            </w:r>
          </w:hyperlink>
        </w:p>
        <w:p>
          <w:pPr>
            <w:pStyle w:val="Contents6"/>
            <w:tabs>
              <w:tab w:val="clear" w:pos="7609"/>
              <w:tab w:val="right" w:pos="9026" w:leader="dot"/>
            </w:tabs>
            <w:rPr/>
          </w:pPr>
          <w:hyperlink w:anchor="__RefHeading___Toc1804932_1280447820">
            <w:r>
              <w:rPr>
                <w:webHidden/>
                <w:rStyle w:val="IndexLink"/>
                <w:rtl w:val="true"/>
              </w:rPr>
              <w:t>و ثانيها</w:t>
            </w:r>
            <w:r>
              <w:rPr>
                <w:rStyle w:val="IndexLink"/>
                <w:rtl w:val="true"/>
              </w:rPr>
              <w:t xml:space="preserve">: </w:t>
            </w:r>
            <w:r>
              <w:rPr>
                <w:rStyle w:val="IndexLink"/>
                <w:rtl w:val="true"/>
              </w:rPr>
              <w:t>النظر في اعتبار الامتزاج و عدمه،</w:t>
            </w:r>
            <w:r>
              <w:rPr>
                <w:rStyle w:val="IndexLink"/>
                <w:rtl w:val="true"/>
              </w:rPr>
              <w:tab/>
            </w:r>
            <w:r>
              <w:rPr>
                <w:rStyle w:val="IndexLink"/>
              </w:rPr>
              <w:t>585</w:t>
            </w:r>
          </w:hyperlink>
        </w:p>
        <w:p>
          <w:pPr>
            <w:pStyle w:val="Contents6"/>
            <w:tabs>
              <w:tab w:val="clear" w:pos="7609"/>
              <w:tab w:val="right" w:pos="9026" w:leader="dot"/>
            </w:tabs>
            <w:rPr/>
          </w:pPr>
          <w:hyperlink w:anchor="__RefHeading___Toc1804934_1280447820">
            <w:r>
              <w:rPr>
                <w:webHidden/>
                <w:rStyle w:val="IndexLink"/>
                <w:rtl w:val="true"/>
              </w:rPr>
              <w:t>اشارة</w:t>
            </w:r>
            <w:r>
              <w:rPr>
                <w:rStyle w:val="IndexLink"/>
                <w:rtl w:val="true"/>
              </w:rPr>
              <w:tab/>
            </w:r>
            <w:r>
              <w:rPr>
                <w:rStyle w:val="IndexLink"/>
              </w:rPr>
              <w:t>585</w:t>
            </w:r>
          </w:hyperlink>
        </w:p>
        <w:p>
          <w:pPr>
            <w:pStyle w:val="Contents6"/>
            <w:tabs>
              <w:tab w:val="clear" w:pos="7609"/>
              <w:tab w:val="right" w:pos="9026" w:leader="dot"/>
            </w:tabs>
            <w:rPr/>
          </w:pPr>
          <w:hyperlink w:anchor="__RefHeading___Toc1804936_1280447820">
            <w:r>
              <w:rPr>
                <w:webHidden/>
                <w:rStyle w:val="IndexLink"/>
                <w:rtl w:val="true"/>
              </w:rPr>
              <w:t>و لنختم المقام بذكر فوائد</w:t>
            </w:r>
            <w:r>
              <w:rPr>
                <w:rStyle w:val="IndexLink"/>
                <w:rtl w:val="true"/>
              </w:rPr>
              <w:t>:</w:t>
              <w:tab/>
            </w:r>
            <w:r>
              <w:rPr>
                <w:rStyle w:val="IndexLink"/>
              </w:rPr>
              <w:t>606</w:t>
            </w:r>
          </w:hyperlink>
        </w:p>
        <w:p>
          <w:pPr>
            <w:pStyle w:val="Contents6"/>
            <w:tabs>
              <w:tab w:val="clear" w:pos="7609"/>
              <w:tab w:val="right" w:pos="9026" w:leader="dot"/>
            </w:tabs>
            <w:rPr/>
          </w:pPr>
          <w:hyperlink w:anchor="__RefHeading___Toc1804938_1280447820">
            <w:r>
              <w:rPr>
                <w:webHidden/>
                <w:rStyle w:val="IndexLink"/>
                <w:rtl w:val="true"/>
              </w:rPr>
              <w:t>الاولى</w:t>
            </w:r>
            <w:r>
              <w:rPr>
                <w:rStyle w:val="IndexLink"/>
                <w:rtl w:val="true"/>
              </w:rPr>
              <w:t xml:space="preserve">: </w:t>
            </w:r>
            <w:r>
              <w:rPr>
                <w:rStyle w:val="IndexLink"/>
                <w:rtl w:val="true"/>
              </w:rPr>
              <w:t>أنّه قد ظهر من تضاعيف كلماتنا أنّ المعتبر من الامتزاج ما يرتفع به امتياز الماءين على وجه لا يقع عليهما عند المطّلع بالحال إلاّ إشارة واحدة،</w:t>
            </w:r>
            <w:r>
              <w:rPr>
                <w:rStyle w:val="IndexLink"/>
                <w:rtl w:val="true"/>
              </w:rPr>
              <w:tab/>
            </w:r>
            <w:r>
              <w:rPr>
                <w:rStyle w:val="IndexLink"/>
              </w:rPr>
              <w:t>606</w:t>
            </w:r>
          </w:hyperlink>
        </w:p>
        <w:p>
          <w:pPr>
            <w:pStyle w:val="Contents6"/>
            <w:tabs>
              <w:tab w:val="clear" w:pos="7609"/>
              <w:tab w:val="right" w:pos="9026" w:leader="dot"/>
            </w:tabs>
            <w:rPr/>
          </w:pPr>
          <w:hyperlink w:anchor="__RefHeading___Toc1804940_1280447820">
            <w:r>
              <w:rPr>
                <w:webHidden/>
                <w:rStyle w:val="IndexLink"/>
                <w:rtl w:val="true"/>
              </w:rPr>
              <w:t>الثانية</w:t>
            </w:r>
            <w:r>
              <w:rPr>
                <w:rStyle w:val="IndexLink"/>
                <w:rtl w:val="true"/>
              </w:rPr>
              <w:t xml:space="preserve">: </w:t>
            </w:r>
            <w:r>
              <w:rPr>
                <w:rStyle w:val="IndexLink"/>
                <w:rtl w:val="true"/>
              </w:rPr>
              <w:t>قد يستظهر من كلمات أهل القول باعتبار الامتزاج زيادة عليه القول باعتبار الاستهلاك أيضا على الوجه المعتبر في تطهير المضاف و عدم كفاية مطلق الامتزاج؛</w:t>
            </w:r>
            <w:r>
              <w:rPr>
                <w:rStyle w:val="IndexLink"/>
                <w:rtl w:val="true"/>
              </w:rPr>
              <w:tab/>
            </w:r>
            <w:r>
              <w:rPr>
                <w:rStyle w:val="IndexLink"/>
              </w:rPr>
              <w:t>607</w:t>
            </w:r>
          </w:hyperlink>
        </w:p>
        <w:p>
          <w:pPr>
            <w:pStyle w:val="Contents6"/>
            <w:tabs>
              <w:tab w:val="clear" w:pos="7609"/>
              <w:tab w:val="right" w:pos="9026" w:leader="dot"/>
            </w:tabs>
            <w:rPr/>
          </w:pPr>
          <w:hyperlink w:anchor="__RefHeading___Toc1804942_1280447820">
            <w:r>
              <w:rPr>
                <w:webHidden/>
                <w:rStyle w:val="IndexLink"/>
                <w:rtl w:val="true"/>
              </w:rPr>
              <w:t>الثالثة</w:t>
            </w:r>
            <w:r>
              <w:rPr>
                <w:rStyle w:val="IndexLink"/>
                <w:rtl w:val="true"/>
              </w:rPr>
              <w:t xml:space="preserve">: </w:t>
            </w:r>
            <w:r>
              <w:rPr>
                <w:rStyle w:val="IndexLink"/>
                <w:rtl w:val="true"/>
              </w:rPr>
              <w:t>لا فرق في اعتبار الامتزاج في تطهير القليل المتنجّس بين أنواعه،</w:t>
            </w:r>
            <w:r>
              <w:rPr>
                <w:rStyle w:val="IndexLink"/>
                <w:rtl w:val="true"/>
              </w:rPr>
              <w:tab/>
            </w:r>
            <w:r>
              <w:rPr>
                <w:rStyle w:val="IndexLink"/>
              </w:rPr>
              <w:t>608</w:t>
            </w:r>
          </w:hyperlink>
        </w:p>
        <w:p>
          <w:pPr>
            <w:pStyle w:val="Contents6"/>
            <w:tabs>
              <w:tab w:val="clear" w:pos="7609"/>
              <w:tab w:val="right" w:pos="9026" w:leader="dot"/>
            </w:tabs>
            <w:rPr/>
          </w:pPr>
          <w:hyperlink w:anchor="__RefHeading___Toc1804944_1280447820">
            <w:r>
              <w:rPr>
                <w:webHidden/>
                <w:rStyle w:val="IndexLink"/>
                <w:rtl w:val="true"/>
              </w:rPr>
              <w:t>الرابعة</w:t>
            </w:r>
            <w:r>
              <w:rPr>
                <w:rStyle w:val="IndexLink"/>
                <w:rtl w:val="true"/>
              </w:rPr>
              <w:t xml:space="preserve">: </w:t>
            </w:r>
            <w:r>
              <w:rPr>
                <w:rStyle w:val="IndexLink"/>
                <w:rtl w:val="true"/>
              </w:rPr>
              <w:t>كما أنّ القليل المتنجّس يطهّر بإلقاء كرّ عليه فكذا يطهّر بالجاري و نزول الغيث،</w:t>
            </w:r>
            <w:r>
              <w:rPr>
                <w:rStyle w:val="IndexLink"/>
                <w:rtl w:val="true"/>
              </w:rPr>
              <w:tab/>
            </w:r>
            <w:r>
              <w:rPr>
                <w:rStyle w:val="IndexLink"/>
              </w:rPr>
              <w:t>609</w:t>
            </w:r>
          </w:hyperlink>
        </w:p>
        <w:p>
          <w:pPr>
            <w:pStyle w:val="Contents6"/>
            <w:tabs>
              <w:tab w:val="clear" w:pos="7609"/>
              <w:tab w:val="right" w:pos="9026" w:leader="dot"/>
            </w:tabs>
            <w:rPr/>
          </w:pPr>
          <w:hyperlink w:anchor="__RefHeading___Toc1804946_1280447820">
            <w:r>
              <w:rPr>
                <w:webHidden/>
                <w:rStyle w:val="IndexLink"/>
                <w:rtl w:val="true"/>
              </w:rPr>
              <w:t>و ثالثها</w:t>
            </w:r>
            <w:r>
              <w:rPr>
                <w:rStyle w:val="IndexLink"/>
                <w:rtl w:val="true"/>
              </w:rPr>
              <w:t xml:space="preserve">: </w:t>
            </w:r>
            <w:r>
              <w:rPr>
                <w:rStyle w:val="IndexLink"/>
                <w:rtl w:val="true"/>
              </w:rPr>
              <w:t>في تطهير القليل بإتمامه كرّا،</w:t>
            </w:r>
            <w:r>
              <w:rPr>
                <w:rStyle w:val="IndexLink"/>
                <w:rtl w:val="true"/>
              </w:rPr>
              <w:tab/>
            </w:r>
            <w:r>
              <w:rPr>
                <w:rStyle w:val="IndexLink"/>
              </w:rPr>
              <w:t>609</w:t>
            </w:r>
          </w:hyperlink>
        </w:p>
        <w:p>
          <w:pPr>
            <w:pStyle w:val="Contents6"/>
            <w:tabs>
              <w:tab w:val="clear" w:pos="7609"/>
              <w:tab w:val="right" w:pos="9026" w:leader="dot"/>
            </w:tabs>
            <w:rPr/>
          </w:pPr>
          <w:hyperlink w:anchor="__RefHeading___Toc1804948_1280447820">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1804950_1280447820">
            <w:r>
              <w:rPr>
                <w:webHidden/>
                <w:rStyle w:val="IndexLink"/>
                <w:rtl w:val="true"/>
              </w:rPr>
              <w:t>و كيف كان فاحتجّ أهل القول بالطهارة بوجوه</w:t>
            </w:r>
            <w:r>
              <w:rPr>
                <w:rStyle w:val="IndexLink"/>
                <w:rtl w:val="true"/>
              </w:rPr>
              <w:t>:</w:t>
              <w:tab/>
            </w:r>
            <w:r>
              <w:rPr>
                <w:rStyle w:val="IndexLink"/>
              </w:rPr>
              <w:t>612</w:t>
            </w:r>
          </w:hyperlink>
        </w:p>
        <w:p>
          <w:pPr>
            <w:pStyle w:val="Contents6"/>
            <w:tabs>
              <w:tab w:val="clear" w:pos="7609"/>
              <w:tab w:val="right" w:pos="9026" w:leader="dot"/>
            </w:tabs>
            <w:rPr/>
          </w:pPr>
          <w:hyperlink w:anchor="__RefHeading___Toc1804952_1280447820">
            <w:r>
              <w:rPr>
                <w:webHidden/>
                <w:rStyle w:val="IndexLink"/>
                <w:rtl w:val="true"/>
              </w:rPr>
              <w:t>منها</w:t>
            </w:r>
            <w:r>
              <w:rPr>
                <w:rStyle w:val="IndexLink"/>
                <w:rtl w:val="true"/>
              </w:rPr>
              <w:t xml:space="preserve">: </w:t>
            </w:r>
            <w:r>
              <w:rPr>
                <w:rStyle w:val="IndexLink"/>
                <w:rtl w:val="true"/>
              </w:rPr>
              <w:t>ما عن المرتضى من أنّ البلوغ قدر الكرّ يوجب استهلاكه للنجاسة فليستو وقوعها قبل البلوغ و بعده</w:t>
            </w:r>
            <w:r>
              <w:rPr>
                <w:rStyle w:val="IndexLink"/>
                <w:rtl w:val="true"/>
              </w:rPr>
              <w:t>.</w:t>
              <w:tab/>
            </w:r>
            <w:r>
              <w:rPr>
                <w:rStyle w:val="IndexLink"/>
              </w:rPr>
              <w:t>612</w:t>
            </w:r>
          </w:hyperlink>
        </w:p>
        <w:p>
          <w:pPr>
            <w:pStyle w:val="Contents6"/>
            <w:tabs>
              <w:tab w:val="clear" w:pos="7609"/>
              <w:tab w:val="right" w:pos="9026" w:leader="dot"/>
            </w:tabs>
            <w:rPr/>
          </w:pPr>
          <w:hyperlink w:anchor="__RefHeading___Toc1804954_1280447820">
            <w:r>
              <w:rPr>
                <w:webHidden/>
                <w:rStyle w:val="IndexLink"/>
                <w:rtl w:val="true"/>
              </w:rPr>
              <w:t>و منها</w:t>
            </w:r>
            <w:r>
              <w:rPr>
                <w:rStyle w:val="IndexLink"/>
                <w:rtl w:val="true"/>
              </w:rPr>
              <w:t xml:space="preserve">: </w:t>
            </w:r>
            <w:r>
              <w:rPr>
                <w:rStyle w:val="IndexLink"/>
                <w:rtl w:val="true"/>
              </w:rPr>
              <w:t>ما عنه أيضا من أنّ الإجماع واقع على طهارة الماء الكثير إذا وجدت فيه نجاسة</w:t>
            </w:r>
            <w:r>
              <w:rPr>
                <w:rStyle w:val="IndexLink"/>
                <w:rtl w:val="true"/>
              </w:rPr>
              <w:tab/>
            </w:r>
            <w:r>
              <w:rPr>
                <w:rStyle w:val="IndexLink"/>
              </w:rPr>
              <w:t>612</w:t>
            </w:r>
          </w:hyperlink>
        </w:p>
        <w:p>
          <w:pPr>
            <w:pStyle w:val="Contents6"/>
            <w:tabs>
              <w:tab w:val="clear" w:pos="7609"/>
              <w:tab w:val="right" w:pos="9026" w:leader="dot"/>
            </w:tabs>
            <w:rPr/>
          </w:pPr>
          <w:hyperlink w:anchor="__RefHeading___Toc1804956_1280447820">
            <w:r>
              <w:rPr>
                <w:webHidden/>
                <w:rStyle w:val="IndexLink"/>
                <w:rtl w:val="true"/>
              </w:rPr>
              <w:t>و منها</w:t>
            </w:r>
            <w:r>
              <w:rPr>
                <w:rStyle w:val="IndexLink"/>
                <w:rtl w:val="true"/>
              </w:rPr>
              <w:t xml:space="preserve">: </w:t>
            </w:r>
            <w:r>
              <w:rPr>
                <w:rStyle w:val="IndexLink"/>
                <w:rtl w:val="true"/>
              </w:rPr>
              <w:t>ما عن ابن إدريس الاحتجاج بالإجماع قائلا</w:t>
            </w:r>
            <w:r>
              <w:rPr>
                <w:rStyle w:val="IndexLink"/>
                <w:rtl w:val="true"/>
              </w:rPr>
              <w:t>: «</w:t>
            </w:r>
            <w:r>
              <w:rPr>
                <w:rStyle w:val="IndexLink"/>
                <w:rtl w:val="true"/>
              </w:rPr>
              <w:t>بأنّ إجماع أصحابنا على هذه المسألة إلاّ من عرف اسمه و نسبه</w:t>
            </w:r>
            <w:r>
              <w:rPr>
                <w:rStyle w:val="IndexLink"/>
                <w:rtl w:val="true"/>
              </w:rPr>
              <w:t>»</w:t>
            </w:r>
            <w:r>
              <w:rPr>
                <w:rStyle w:val="IndexLink"/>
                <w:rtl w:val="true"/>
              </w:rPr>
              <w:t>،</w:t>
            </w:r>
            <w:r>
              <w:rPr>
                <w:rStyle w:val="IndexLink"/>
                <w:rtl w:val="true"/>
              </w:rPr>
              <w:tab/>
            </w:r>
            <w:r>
              <w:rPr>
                <w:rStyle w:val="IndexLink"/>
              </w:rPr>
              <w:t>614</w:t>
            </w:r>
          </w:hyperlink>
        </w:p>
        <w:p>
          <w:pPr>
            <w:pStyle w:val="Contents6"/>
            <w:tabs>
              <w:tab w:val="clear" w:pos="7609"/>
              <w:tab w:val="right" w:pos="9026" w:leader="dot"/>
            </w:tabs>
            <w:rPr/>
          </w:pPr>
          <w:hyperlink w:anchor="__RefHeading___Toc1804958_1280447820">
            <w:r>
              <w:rPr>
                <w:webHidden/>
                <w:rStyle w:val="IndexLink"/>
                <w:rtl w:val="true"/>
              </w:rPr>
              <w:t>المرحلة الثانية</w:t>
            </w:r>
            <w:r>
              <w:rPr>
                <w:rStyle w:val="IndexLink"/>
                <w:rtl w:val="true"/>
              </w:rPr>
              <w:t xml:space="preserve">: </w:t>
            </w:r>
            <w:r>
              <w:rPr>
                <w:rStyle w:val="IndexLink"/>
                <w:rtl w:val="true"/>
              </w:rPr>
              <w:t>في تطهير الكرّ و الجاري المتغيّرين، ففيها مسألتان</w:t>
            </w:r>
            <w:r>
              <w:rPr>
                <w:rStyle w:val="IndexLink"/>
                <w:rtl w:val="true"/>
              </w:rPr>
              <w:t>.</w:t>
              <w:tab/>
            </w:r>
            <w:r>
              <w:rPr>
                <w:rStyle w:val="IndexLink"/>
              </w:rPr>
              <w:t>616</w:t>
            </w:r>
          </w:hyperlink>
        </w:p>
        <w:p>
          <w:pPr>
            <w:pStyle w:val="Contents6"/>
            <w:tabs>
              <w:tab w:val="clear" w:pos="7609"/>
              <w:tab w:val="right" w:pos="9026" w:leader="dot"/>
            </w:tabs>
            <w:rPr/>
          </w:pPr>
          <w:hyperlink w:anchor="__RefHeading___Toc1804960_1280447820">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1804962_1280447820">
            <w:r>
              <w:rPr>
                <w:webHidden/>
                <w:rStyle w:val="IndexLink"/>
                <w:rtl w:val="true"/>
              </w:rPr>
              <w:t>المسألة الاولى</w:t>
            </w:r>
            <w:r>
              <w:rPr>
                <w:rStyle w:val="IndexLink"/>
                <w:rtl w:val="true"/>
              </w:rPr>
              <w:t xml:space="preserve">: </w:t>
            </w:r>
            <w:r>
              <w:rPr>
                <w:rStyle w:val="IndexLink"/>
                <w:rtl w:val="true"/>
              </w:rPr>
              <w:t>في تطهير الكرّ</w:t>
            </w:r>
            <w:r>
              <w:rPr>
                <w:rStyle w:val="IndexLink"/>
                <w:rtl w:val="true"/>
              </w:rPr>
              <w:t>.</w:t>
              <w:tab/>
            </w:r>
            <w:r>
              <w:rPr>
                <w:rStyle w:val="IndexLink"/>
              </w:rPr>
              <w:t>616</w:t>
            </w:r>
          </w:hyperlink>
        </w:p>
        <w:p>
          <w:pPr>
            <w:pStyle w:val="Contents6"/>
            <w:tabs>
              <w:tab w:val="clear" w:pos="7609"/>
              <w:tab w:val="right" w:pos="9026" w:leader="dot"/>
            </w:tabs>
            <w:rPr/>
          </w:pPr>
          <w:hyperlink w:anchor="__RefHeading___Toc1804964_1280447820">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1804966_1280447820">
            <w:r>
              <w:rPr>
                <w:webHidden/>
                <w:rStyle w:val="IndexLink"/>
                <w:rtl w:val="true"/>
              </w:rPr>
              <w:t>حجّة القول المشهور امور</w:t>
            </w:r>
            <w:r>
              <w:rPr>
                <w:rStyle w:val="IndexLink"/>
                <w:rtl w:val="true"/>
              </w:rPr>
              <w:t>:</w:t>
              <w:tab/>
            </w:r>
            <w:r>
              <w:rPr>
                <w:rStyle w:val="IndexLink"/>
              </w:rPr>
              <w:t>621</w:t>
            </w:r>
          </w:hyperlink>
        </w:p>
        <w:p>
          <w:pPr>
            <w:pStyle w:val="Contents6"/>
            <w:tabs>
              <w:tab w:val="clear" w:pos="7609"/>
              <w:tab w:val="right" w:pos="9026" w:leader="dot"/>
            </w:tabs>
            <w:rPr/>
          </w:pPr>
          <w:hyperlink w:anchor="__RefHeading___Toc1804968_1280447820">
            <w:r>
              <w:rPr>
                <w:webHidden/>
                <w:rStyle w:val="IndexLink"/>
                <w:rtl w:val="true"/>
              </w:rPr>
              <w:t>أحدها</w:t>
            </w:r>
            <w:r>
              <w:rPr>
                <w:rStyle w:val="IndexLink"/>
                <w:rtl w:val="true"/>
              </w:rPr>
              <w:t xml:space="preserve">: </w:t>
            </w:r>
            <w:r>
              <w:rPr>
                <w:rStyle w:val="IndexLink"/>
                <w:rtl w:val="true"/>
              </w:rPr>
              <w:t>ما اعتمد عليه المحقّق الخوانساري</w:t>
            </w:r>
            <w:r>
              <w:rPr>
                <w:rStyle w:val="IndexLink"/>
                <w:rtl w:val="true"/>
              </w:rPr>
              <w:tab/>
            </w:r>
            <w:r>
              <w:rPr>
                <w:rStyle w:val="IndexLink"/>
              </w:rPr>
              <w:t>621</w:t>
            </w:r>
          </w:hyperlink>
        </w:p>
        <w:p>
          <w:pPr>
            <w:pStyle w:val="Contents6"/>
            <w:tabs>
              <w:tab w:val="clear" w:pos="7609"/>
              <w:tab w:val="right" w:pos="9026" w:leader="dot"/>
            </w:tabs>
            <w:rPr/>
          </w:pPr>
          <w:hyperlink w:anchor="__RefHeading___Toc1804970_1280447820">
            <w:r>
              <w:rPr>
                <w:webHidden/>
                <w:rStyle w:val="IndexLink"/>
                <w:rtl w:val="true"/>
              </w:rPr>
              <w:t>و ثانيها</w:t>
            </w:r>
            <w:r>
              <w:rPr>
                <w:rStyle w:val="IndexLink"/>
                <w:rtl w:val="true"/>
              </w:rPr>
              <w:t xml:space="preserve">: </w:t>
            </w:r>
            <w:r>
              <w:rPr>
                <w:rStyle w:val="IndexLink"/>
                <w:rtl w:val="true"/>
              </w:rPr>
              <w:t>ما اعتمد عليه العلاّمة في المنتهى</w:t>
            </w:r>
            <w:r>
              <w:rPr>
                <w:rStyle w:val="IndexLink"/>
                <w:rtl w:val="true"/>
              </w:rPr>
              <w:tab/>
            </w:r>
            <w:r>
              <w:rPr>
                <w:rStyle w:val="IndexLink"/>
              </w:rPr>
              <w:t>622</w:t>
            </w:r>
          </w:hyperlink>
        </w:p>
        <w:p>
          <w:pPr>
            <w:pStyle w:val="Contents6"/>
            <w:tabs>
              <w:tab w:val="clear" w:pos="7609"/>
              <w:tab w:val="right" w:pos="9026" w:leader="dot"/>
            </w:tabs>
            <w:rPr/>
          </w:pPr>
          <w:hyperlink w:anchor="__RefHeading___Toc1804972_1280447820">
            <w:r>
              <w:rPr>
                <w:webHidden/>
                <w:rStyle w:val="IndexLink"/>
                <w:rtl w:val="true"/>
              </w:rPr>
              <w:t>و ثالثها</w:t>
            </w:r>
            <w:r>
              <w:rPr>
                <w:rStyle w:val="IndexLink"/>
                <w:rtl w:val="true"/>
              </w:rPr>
              <w:t xml:space="preserve">: </w:t>
            </w:r>
            <w:r>
              <w:rPr>
                <w:rStyle w:val="IndexLink"/>
                <w:rtl w:val="true"/>
              </w:rPr>
              <w:t>ما اعتمد عليه في الكتاب المذكور أيضا</w:t>
            </w:r>
            <w:r>
              <w:rPr>
                <w:rStyle w:val="IndexLink"/>
                <w:rtl w:val="true"/>
              </w:rPr>
              <w:tab/>
            </w:r>
            <w:r>
              <w:rPr>
                <w:rStyle w:val="IndexLink"/>
              </w:rPr>
              <w:t>622</w:t>
            </w:r>
          </w:hyperlink>
        </w:p>
        <w:p>
          <w:pPr>
            <w:pStyle w:val="Contents6"/>
            <w:tabs>
              <w:tab w:val="clear" w:pos="7609"/>
              <w:tab w:val="right" w:pos="9026" w:leader="dot"/>
            </w:tabs>
            <w:rPr/>
          </w:pPr>
          <w:hyperlink w:anchor="__RefHeading___Toc1804974_1280447820">
            <w:r>
              <w:rPr>
                <w:webHidden/>
                <w:rStyle w:val="IndexLink"/>
                <w:rtl w:val="true"/>
              </w:rPr>
              <w:t>و رابعها</w:t>
            </w:r>
            <w:r>
              <w:rPr>
                <w:rStyle w:val="IndexLink"/>
                <w:rtl w:val="true"/>
              </w:rPr>
              <w:t xml:space="preserve">: </w:t>
            </w:r>
            <w:r>
              <w:rPr>
                <w:rStyle w:val="IndexLink"/>
                <w:rtl w:val="true"/>
              </w:rPr>
              <w:t>ما اعتمد عليه غير واحد من فحول أصحابنا منهم العلاّمة</w:t>
            </w:r>
            <w:r>
              <w:rPr>
                <w:rStyle w:val="IndexLink"/>
                <w:rtl w:val="true"/>
              </w:rPr>
              <w:tab/>
            </w:r>
            <w:r>
              <w:rPr>
                <w:rStyle w:val="IndexLink"/>
              </w:rPr>
              <w:t>622</w:t>
            </w:r>
          </w:hyperlink>
        </w:p>
        <w:p>
          <w:pPr>
            <w:pStyle w:val="Contents6"/>
            <w:tabs>
              <w:tab w:val="clear" w:pos="7609"/>
              <w:tab w:val="right" w:pos="9026" w:leader="dot"/>
            </w:tabs>
            <w:rPr/>
          </w:pPr>
          <w:hyperlink w:anchor="__RefHeading___Toc1804976_1280447820">
            <w:r>
              <w:rPr>
                <w:webHidden/>
                <w:rStyle w:val="IndexLink"/>
                <w:rtl w:val="true"/>
              </w:rPr>
              <w:t>المسألة الثانية</w:t>
            </w:r>
            <w:r>
              <w:rPr>
                <w:rStyle w:val="IndexLink"/>
                <w:rtl w:val="true"/>
              </w:rPr>
              <w:t xml:space="preserve">: </w:t>
            </w:r>
            <w:r>
              <w:rPr>
                <w:rStyle w:val="IndexLink"/>
                <w:rtl w:val="true"/>
              </w:rPr>
              <w:t>في تطهير الجاري</w:t>
            </w:r>
            <w:r>
              <w:rPr>
                <w:rStyle w:val="IndexLink"/>
                <w:rtl w:val="true"/>
              </w:rPr>
              <w:t>.</w:t>
              <w:tab/>
            </w:r>
            <w:r>
              <w:rPr>
                <w:rStyle w:val="IndexLink"/>
              </w:rPr>
              <w:t>630</w:t>
            </w:r>
          </w:hyperlink>
        </w:p>
        <w:p>
          <w:pPr>
            <w:pStyle w:val="Contents6"/>
            <w:tabs>
              <w:tab w:val="clear" w:pos="7609"/>
              <w:tab w:val="right" w:pos="9026" w:leader="dot"/>
            </w:tabs>
            <w:rPr/>
          </w:pPr>
          <w:hyperlink w:anchor="__RefHeading___Toc1804978_1280447820">
            <w:r>
              <w:rPr>
                <w:webHidden/>
                <w:rStyle w:val="IndexLink"/>
                <w:rtl w:val="true"/>
              </w:rPr>
              <w:t>المرحلة الثالثة</w:t>
            </w:r>
            <w:r>
              <w:rPr>
                <w:rStyle w:val="IndexLink"/>
                <w:rtl w:val="true"/>
              </w:rPr>
              <w:t xml:space="preserve">: </w:t>
            </w:r>
            <w:r>
              <w:rPr>
                <w:rStyle w:val="IndexLink"/>
                <w:rtl w:val="true"/>
              </w:rPr>
              <w:t>في تطهير البئر،</w:t>
            </w:r>
            <w:r>
              <w:rPr>
                <w:rStyle w:val="IndexLink"/>
                <w:rtl w:val="true"/>
              </w:rPr>
              <w:tab/>
            </w:r>
            <w:r>
              <w:rPr>
                <w:rStyle w:val="IndexLink"/>
              </w:rPr>
              <w:t>633</w:t>
            </w:r>
          </w:hyperlink>
        </w:p>
        <w:p>
          <w:pPr>
            <w:pStyle w:val="Contents6"/>
            <w:tabs>
              <w:tab w:val="clear" w:pos="7609"/>
              <w:tab w:val="right" w:pos="9026" w:leader="dot"/>
            </w:tabs>
            <w:rPr/>
          </w:pPr>
          <w:hyperlink w:anchor="__RefHeading___Toc1804980_1280447820">
            <w:r>
              <w:rPr>
                <w:webHidden/>
                <w:rStyle w:val="IndexLink"/>
                <w:rtl w:val="true"/>
              </w:rPr>
              <w:t>اشارة</w:t>
            </w:r>
            <w:r>
              <w:rPr>
                <w:rStyle w:val="IndexLink"/>
                <w:rtl w:val="true"/>
              </w:rPr>
              <w:tab/>
            </w:r>
            <w:r>
              <w:rPr>
                <w:rStyle w:val="IndexLink"/>
              </w:rPr>
              <w:t>633</w:t>
            </w:r>
          </w:hyperlink>
        </w:p>
        <w:p>
          <w:pPr>
            <w:pStyle w:val="Contents6"/>
            <w:tabs>
              <w:tab w:val="clear" w:pos="7609"/>
              <w:tab w:val="right" w:pos="9026" w:leader="dot"/>
            </w:tabs>
            <w:rPr/>
          </w:pPr>
          <w:hyperlink w:anchor="__RefHeading___Toc1804982_1280447820">
            <w:r>
              <w:rPr>
                <w:webHidden/>
                <w:rStyle w:val="IndexLink"/>
                <w:rtl w:val="true"/>
              </w:rPr>
              <w:t>[</w:t>
            </w:r>
            <w:r>
              <w:rPr>
                <w:rStyle w:val="IndexLink"/>
                <w:rtl w:val="true"/>
              </w:rPr>
              <w:t>أما القول في عدم انفعاله بمجرد الملاقاة</w:t>
            </w:r>
            <w:r>
              <w:rPr>
                <w:rStyle w:val="IndexLink"/>
                <w:rtl w:val="true"/>
              </w:rPr>
              <w:t>]</w:t>
              <w:tab/>
            </w:r>
            <w:r>
              <w:rPr>
                <w:rStyle w:val="IndexLink"/>
              </w:rPr>
              <w:t>633</w:t>
            </w:r>
          </w:hyperlink>
        </w:p>
        <w:p>
          <w:pPr>
            <w:pStyle w:val="Contents6"/>
            <w:tabs>
              <w:tab w:val="clear" w:pos="7609"/>
              <w:tab w:val="right" w:pos="9026" w:leader="dot"/>
            </w:tabs>
            <w:rPr/>
          </w:pPr>
          <w:hyperlink w:anchor="__RefHeading___Toc1804984_1280447820">
            <w:r>
              <w:rPr>
                <w:webHidden/>
                <w:rStyle w:val="IndexLink"/>
                <w:rtl w:val="true"/>
              </w:rPr>
              <w:t>و أمّا على القول بالانفعال</w:t>
            </w:r>
            <w:r>
              <w:rPr>
                <w:rStyle w:val="IndexLink"/>
                <w:rtl w:val="true"/>
              </w:rPr>
              <w:tab/>
            </w:r>
            <w:r>
              <w:rPr>
                <w:rStyle w:val="IndexLink"/>
              </w:rPr>
              <w:t>636</w:t>
            </w:r>
          </w:hyperlink>
        </w:p>
        <w:p>
          <w:pPr>
            <w:pStyle w:val="Contents6"/>
            <w:tabs>
              <w:tab w:val="clear" w:pos="7609"/>
              <w:tab w:val="right" w:pos="9026" w:leader="dot"/>
            </w:tabs>
            <w:rPr/>
          </w:pPr>
          <w:hyperlink w:anchor="__RefHeading___Toc1804986_1280447820">
            <w:r>
              <w:rPr>
                <w:webHidden/>
                <w:rStyle w:val="IndexLink"/>
                <w:rtl w:val="true"/>
              </w:rPr>
              <w:t>اشارة</w:t>
            </w:r>
            <w:r>
              <w:rPr>
                <w:rStyle w:val="IndexLink"/>
                <w:rtl w:val="true"/>
              </w:rPr>
              <w:tab/>
            </w:r>
            <w:r>
              <w:rPr>
                <w:rStyle w:val="IndexLink"/>
              </w:rPr>
              <w:t>636</w:t>
            </w:r>
          </w:hyperlink>
        </w:p>
        <w:p>
          <w:pPr>
            <w:pStyle w:val="Contents6"/>
            <w:tabs>
              <w:tab w:val="clear" w:pos="7609"/>
              <w:tab w:val="right" w:pos="9026" w:leader="dot"/>
            </w:tabs>
            <w:rPr/>
          </w:pPr>
          <w:hyperlink w:anchor="__RefHeading___Toc1804988_1280447820">
            <w:r>
              <w:rPr>
                <w:webHidden/>
                <w:rStyle w:val="IndexLink"/>
                <w:rtl w:val="true"/>
              </w:rPr>
              <w:t>أحدها</w:t>
            </w:r>
            <w:r>
              <w:rPr>
                <w:rStyle w:val="IndexLink"/>
                <w:rtl w:val="true"/>
              </w:rPr>
              <w:t xml:space="preserve">: </w:t>
            </w:r>
            <w:r>
              <w:rPr>
                <w:rStyle w:val="IndexLink"/>
                <w:rtl w:val="true"/>
              </w:rPr>
              <w:t>ما عن أبي الصلاح ، و الشهيد في البيان، و ظاهر المفيد من أنّه ينزح حتّى يزول التغيّر،</w:t>
            </w:r>
            <w:r>
              <w:rPr>
                <w:rStyle w:val="IndexLink"/>
                <w:rtl w:val="true"/>
              </w:rPr>
              <w:tab/>
            </w:r>
            <w:r>
              <w:rPr>
                <w:rStyle w:val="IndexLink"/>
              </w:rPr>
              <w:t>636</w:t>
            </w:r>
          </w:hyperlink>
        </w:p>
        <w:p>
          <w:pPr>
            <w:pStyle w:val="Contents6"/>
            <w:tabs>
              <w:tab w:val="clear" w:pos="7609"/>
              <w:tab w:val="right" w:pos="9026" w:leader="dot"/>
            </w:tabs>
            <w:rPr/>
          </w:pPr>
          <w:hyperlink w:anchor="__RefHeading___Toc1804990_1280447820">
            <w:r>
              <w:rPr>
                <w:webHidden/>
                <w:rStyle w:val="IndexLink"/>
                <w:rtl w:val="true"/>
              </w:rPr>
              <w:t>و ثانيها</w:t>
            </w:r>
            <w:r>
              <w:rPr>
                <w:rStyle w:val="IndexLink"/>
                <w:rtl w:val="true"/>
              </w:rPr>
              <w:t xml:space="preserve">: </w:t>
            </w:r>
            <w:r>
              <w:rPr>
                <w:rStyle w:val="IndexLink"/>
                <w:rtl w:val="true"/>
              </w:rPr>
              <w:t>ما عن الصدوقين و المرتضى و الشيخ و عليه المحقّق في الشرائع من أنّه ينزح الجميع و مع التعذّر فالتراوح،</w:t>
            </w:r>
            <w:r>
              <w:rPr>
                <w:rStyle w:val="IndexLink"/>
                <w:rtl w:val="true"/>
              </w:rPr>
              <w:tab/>
            </w:r>
            <w:r>
              <w:rPr>
                <w:rStyle w:val="IndexLink"/>
              </w:rPr>
              <w:t>640</w:t>
            </w:r>
          </w:hyperlink>
        </w:p>
        <w:p>
          <w:pPr>
            <w:pStyle w:val="Contents6"/>
            <w:tabs>
              <w:tab w:val="clear" w:pos="7609"/>
              <w:tab w:val="right" w:pos="9026" w:leader="dot"/>
            </w:tabs>
            <w:rPr/>
          </w:pPr>
          <w:hyperlink w:anchor="__RefHeading___Toc1804992_1280447820">
            <w:r>
              <w:rPr>
                <w:webHidden/>
                <w:rStyle w:val="IndexLink"/>
                <w:rtl w:val="true"/>
              </w:rPr>
              <w:t>و ثالثها</w:t>
            </w:r>
            <w:r>
              <w:rPr>
                <w:rStyle w:val="IndexLink"/>
                <w:rtl w:val="true"/>
              </w:rPr>
              <w:t xml:space="preserve">: </w:t>
            </w:r>
            <w:r>
              <w:rPr>
                <w:rStyle w:val="IndexLink"/>
                <w:rtl w:val="true"/>
              </w:rPr>
              <w:t>ما عزى إلى الشيخ في النهاية و المبسوط و عن كاشف الرموز</w:t>
            </w:r>
            <w:r>
              <w:rPr>
                <w:rStyle w:val="IndexLink"/>
                <w:rtl w:val="true"/>
              </w:rPr>
              <w:t xml:space="preserve">: </w:t>
            </w:r>
            <w:r>
              <w:rPr>
                <w:rStyle w:val="IndexLink"/>
                <w:rtl w:val="true"/>
              </w:rPr>
              <w:t>أنّه نقله عن المقنعة من أنّه ينزح الجميع و مع تعذّره فإلى زوال التغيّر،</w:t>
            </w:r>
            <w:r>
              <w:rPr>
                <w:rStyle w:val="IndexLink"/>
                <w:rtl w:val="true"/>
              </w:rPr>
              <w:tab/>
            </w:r>
            <w:r>
              <w:rPr>
                <w:rStyle w:val="IndexLink"/>
              </w:rPr>
              <w:t>641</w:t>
            </w:r>
          </w:hyperlink>
        </w:p>
        <w:p>
          <w:pPr>
            <w:pStyle w:val="Contents6"/>
            <w:tabs>
              <w:tab w:val="clear" w:pos="7609"/>
              <w:tab w:val="right" w:pos="9026" w:leader="dot"/>
            </w:tabs>
            <w:rPr/>
          </w:pPr>
          <w:hyperlink w:anchor="__RefHeading___Toc1804994_1280447820">
            <w:r>
              <w:rPr>
                <w:webHidden/>
                <w:rStyle w:val="IndexLink"/>
                <w:rtl w:val="true"/>
              </w:rPr>
              <w:t>و رابعها</w:t>
            </w:r>
            <w:r>
              <w:rPr>
                <w:rStyle w:val="IndexLink"/>
                <w:rtl w:val="true"/>
              </w:rPr>
              <w:t xml:space="preserve">: </w:t>
            </w:r>
            <w:r>
              <w:rPr>
                <w:rStyle w:val="IndexLink"/>
                <w:rtl w:val="true"/>
              </w:rPr>
              <w:t>ما عزى إلى ابن الزهرة و تبعه الشهيد في الذكرى من أنّه ينزح الأكثر ممّا يحصل به زوال التغيّر و استيفاء المقدّر،</w:t>
            </w:r>
            <w:r>
              <w:rPr>
                <w:rStyle w:val="IndexLink"/>
                <w:rtl w:val="true"/>
              </w:rPr>
              <w:tab/>
            </w:r>
            <w:r>
              <w:rPr>
                <w:rStyle w:val="IndexLink"/>
              </w:rPr>
              <w:t>642</w:t>
            </w:r>
          </w:hyperlink>
        </w:p>
        <w:p>
          <w:pPr>
            <w:pStyle w:val="Contents6"/>
            <w:tabs>
              <w:tab w:val="clear" w:pos="7609"/>
              <w:tab w:val="right" w:pos="9026" w:leader="dot"/>
            </w:tabs>
            <w:rPr/>
          </w:pPr>
          <w:hyperlink w:anchor="__RefHeading___Toc1804996_1280447820">
            <w:r>
              <w:rPr>
                <w:webHidden/>
                <w:rStyle w:val="IndexLink"/>
                <w:rtl w:val="true"/>
              </w:rPr>
              <w:t>و خامسها</w:t>
            </w:r>
            <w:r>
              <w:rPr>
                <w:rStyle w:val="IndexLink"/>
                <w:rtl w:val="true"/>
              </w:rPr>
              <w:t xml:space="preserve">: </w:t>
            </w:r>
            <w:r>
              <w:rPr>
                <w:rStyle w:val="IndexLink"/>
                <w:rtl w:val="true"/>
              </w:rPr>
              <w:t>ما نسب إلى صاحب المعالم و ظاهر جملة من تأخّر من أنّه ينزح أكثر الأمرين ممّا يزول معه التغيّر</w:t>
            </w:r>
            <w:r>
              <w:rPr>
                <w:rStyle w:val="IndexLink"/>
                <w:rtl w:val="true"/>
              </w:rPr>
              <w:tab/>
            </w:r>
            <w:r>
              <w:rPr>
                <w:rStyle w:val="IndexLink"/>
              </w:rPr>
              <w:t>642</w:t>
            </w:r>
          </w:hyperlink>
        </w:p>
        <w:p>
          <w:pPr>
            <w:pStyle w:val="Contents6"/>
            <w:tabs>
              <w:tab w:val="clear" w:pos="7609"/>
              <w:tab w:val="right" w:pos="9026" w:leader="dot"/>
            </w:tabs>
            <w:rPr/>
          </w:pPr>
          <w:hyperlink w:anchor="__RefHeading___Toc1804998_1280447820">
            <w:r>
              <w:rPr>
                <w:webHidden/>
                <w:rStyle w:val="IndexLink"/>
                <w:rtl w:val="true"/>
              </w:rPr>
              <w:t>و سادسها</w:t>
            </w:r>
            <w:r>
              <w:rPr>
                <w:rStyle w:val="IndexLink"/>
                <w:rtl w:val="true"/>
              </w:rPr>
              <w:t xml:space="preserve">: </w:t>
            </w:r>
            <w:r>
              <w:rPr>
                <w:rStyle w:val="IndexLink"/>
                <w:rtl w:val="true"/>
              </w:rPr>
              <w:t>ما عن ابن إدريس ، و المحقّق الشيخ عليّ ، من نزح أكثر الأمرين من المقدّر و مزيل التغيّر إن كان للنجاسة المغيّرة مقدّر و إلاّ فالجميع،</w:t>
            </w:r>
            <w:r>
              <w:rPr>
                <w:rStyle w:val="IndexLink"/>
                <w:rtl w:val="true"/>
              </w:rPr>
              <w:tab/>
            </w:r>
            <w:r>
              <w:rPr>
                <w:rStyle w:val="IndexLink"/>
              </w:rPr>
              <w:t>643</w:t>
            </w:r>
          </w:hyperlink>
        </w:p>
        <w:p>
          <w:pPr>
            <w:pStyle w:val="Contents6"/>
            <w:tabs>
              <w:tab w:val="clear" w:pos="7609"/>
              <w:tab w:val="right" w:pos="9026" w:leader="dot"/>
            </w:tabs>
            <w:rPr/>
          </w:pPr>
          <w:hyperlink w:anchor="__RefHeading___Toc1805000_1280447820">
            <w:r>
              <w:rPr>
                <w:webHidden/>
                <w:rStyle w:val="IndexLink"/>
                <w:rtl w:val="true"/>
              </w:rPr>
              <w:t>و سابعها</w:t>
            </w:r>
            <w:r>
              <w:rPr>
                <w:rStyle w:val="IndexLink"/>
                <w:rtl w:val="true"/>
              </w:rPr>
              <w:t xml:space="preserve">: </w:t>
            </w:r>
            <w:r>
              <w:rPr>
                <w:rStyle w:val="IndexLink"/>
                <w:rtl w:val="true"/>
              </w:rPr>
              <w:t>ما صرّح به الشهيد في الدروس من وجوب نزح الجميع،</w:t>
            </w:r>
            <w:r>
              <w:rPr>
                <w:rStyle w:val="IndexLink"/>
                <w:rtl w:val="true"/>
              </w:rPr>
              <w:tab/>
            </w:r>
            <w:r>
              <w:rPr>
                <w:rStyle w:val="IndexLink"/>
              </w:rPr>
              <w:t>643</w:t>
            </w:r>
          </w:hyperlink>
        </w:p>
        <w:p>
          <w:pPr>
            <w:pStyle w:val="Contents6"/>
            <w:tabs>
              <w:tab w:val="clear" w:pos="7609"/>
              <w:tab w:val="right" w:pos="9026" w:leader="dot"/>
            </w:tabs>
            <w:rPr/>
          </w:pPr>
          <w:hyperlink w:anchor="__RefHeading___Toc1805002_1280447820">
            <w:r>
              <w:rPr>
                <w:webHidden/>
                <w:rStyle w:val="IndexLink"/>
                <w:rtl w:val="true"/>
              </w:rPr>
              <w:t>و ثامنها</w:t>
            </w:r>
            <w:r>
              <w:rPr>
                <w:rStyle w:val="IndexLink"/>
                <w:rtl w:val="true"/>
              </w:rPr>
              <w:t xml:space="preserve">: </w:t>
            </w:r>
            <w:r>
              <w:rPr>
                <w:rStyle w:val="IndexLink"/>
                <w:rtl w:val="true"/>
              </w:rPr>
              <w:t xml:space="preserve">ما نسبه الخوانساري إلى بعض الأصحاب، و قوّاه بعض مشايخنا </w:t>
            </w:r>
            <w:r>
              <w:rPr>
                <w:rStyle w:val="IndexLink"/>
                <w:rtl w:val="true"/>
              </w:rPr>
              <w:t xml:space="preserve">- </w:t>
            </w:r>
            <w:r>
              <w:rPr>
                <w:rStyle w:val="IndexLink"/>
                <w:rtl w:val="true"/>
              </w:rPr>
              <w:t xml:space="preserve">دام ظلّه </w:t>
            </w:r>
            <w:r>
              <w:rPr>
                <w:rStyle w:val="IndexLink"/>
                <w:rtl w:val="true"/>
              </w:rPr>
              <w:t xml:space="preserve">- </w:t>
            </w:r>
            <w:r>
              <w:rPr>
                <w:rStyle w:val="IndexLink"/>
                <w:rtl w:val="true"/>
              </w:rPr>
              <w:t>من نزح ما يزيل التغيّر أوّلا ثمّ المقدّر بعده إن كان لتلك النجاسة مقدّر،</w:t>
            </w:r>
            <w:r>
              <w:rPr>
                <w:rStyle w:val="IndexLink"/>
                <w:rtl w:val="true"/>
              </w:rPr>
              <w:tab/>
            </w:r>
            <w:r>
              <w:rPr>
                <w:rStyle w:val="IndexLink"/>
              </w:rPr>
              <w:t>643</w:t>
            </w:r>
          </w:hyperlink>
        </w:p>
        <w:p>
          <w:pPr>
            <w:pStyle w:val="Contents6"/>
            <w:tabs>
              <w:tab w:val="clear" w:pos="7609"/>
              <w:tab w:val="right" w:pos="9026" w:leader="dot"/>
            </w:tabs>
            <w:rPr/>
          </w:pPr>
          <w:hyperlink w:anchor="__RefHeading___Toc1805004_1280447820">
            <w:r>
              <w:rPr>
                <w:webHidden/>
                <w:rStyle w:val="IndexLink"/>
                <w:rtl w:val="true"/>
              </w:rPr>
              <w:t>و ينبغي النظر فيه تارة على القول المختار من عدم انفعال البئر بمجرّد الملاقاة، و اخرى على القول الآخر</w:t>
            </w:r>
            <w:r>
              <w:rPr>
                <w:rStyle w:val="IndexLink"/>
                <w:rtl w:val="true"/>
              </w:rPr>
              <w:t>.</w:t>
              <w:tab/>
            </w:r>
            <w:r>
              <w:rPr>
                <w:rStyle w:val="IndexLink"/>
              </w:rPr>
              <w:t>645</w:t>
            </w:r>
          </w:hyperlink>
        </w:p>
        <w:p>
          <w:pPr>
            <w:pStyle w:val="Contents6"/>
            <w:tabs>
              <w:tab w:val="clear" w:pos="7609"/>
              <w:tab w:val="right" w:pos="9026" w:leader="dot"/>
            </w:tabs>
            <w:rPr/>
          </w:pPr>
          <w:hyperlink w:anchor="__RefHeading___Toc1805006_1280447820">
            <w:r>
              <w:rPr>
                <w:webHidden/>
                <w:rStyle w:val="IndexLink"/>
                <w:rtl w:val="true"/>
              </w:rPr>
              <w:t xml:space="preserve">أمّا الجهة الاولى </w:t>
            </w:r>
            <w:r>
              <w:rPr>
                <w:rStyle w:val="IndexLink"/>
                <w:rtl w:val="true"/>
              </w:rPr>
              <w:t>[</w:t>
            </w:r>
            <w:r>
              <w:rPr>
                <w:rStyle w:val="IndexLink"/>
                <w:rtl w:val="true"/>
              </w:rPr>
              <w:t>أي عدم انفعال البئر بمجرّد الملاقاة</w:t>
            </w:r>
            <w:r>
              <w:rPr>
                <w:rStyle w:val="IndexLink"/>
                <w:rtl w:val="true"/>
              </w:rPr>
              <w:t>]:</w:t>
              <w:tab/>
            </w:r>
            <w:r>
              <w:rPr>
                <w:rStyle w:val="IndexLink"/>
              </w:rPr>
              <w:t>645</w:t>
            </w:r>
          </w:hyperlink>
        </w:p>
        <w:p>
          <w:pPr>
            <w:pStyle w:val="Contents6"/>
            <w:tabs>
              <w:tab w:val="clear" w:pos="7609"/>
              <w:tab w:val="right" w:pos="9026" w:leader="dot"/>
            </w:tabs>
            <w:rPr/>
          </w:pPr>
          <w:hyperlink w:anchor="__RefHeading___Toc1805008_1280447820">
            <w:r>
              <w:rPr>
                <w:webHidden/>
                <w:rStyle w:val="IndexLink"/>
                <w:rtl w:val="true"/>
              </w:rPr>
              <w:t xml:space="preserve">و أمّا الجهة الثانية </w:t>
            </w:r>
            <w:r>
              <w:rPr>
                <w:rStyle w:val="IndexLink"/>
                <w:rtl w:val="true"/>
              </w:rPr>
              <w:t>[</w:t>
            </w:r>
            <w:r>
              <w:rPr>
                <w:rStyle w:val="IndexLink"/>
                <w:rtl w:val="true"/>
              </w:rPr>
              <w:t>أي في الانفعال بمجرد الملاقاة</w:t>
            </w:r>
            <w:r>
              <w:rPr>
                <w:rStyle w:val="IndexLink"/>
                <w:rtl w:val="true"/>
              </w:rPr>
              <w:t>]:</w:t>
              <w:tab/>
            </w:r>
            <w:r>
              <w:rPr>
                <w:rStyle w:val="IndexLink"/>
              </w:rPr>
              <w:t>646</w:t>
            </w:r>
          </w:hyperlink>
        </w:p>
        <w:p>
          <w:pPr>
            <w:pStyle w:val="Contents6"/>
            <w:tabs>
              <w:tab w:val="clear" w:pos="7609"/>
              <w:tab w:val="right" w:pos="9026" w:leader="dot"/>
            </w:tabs>
            <w:rPr/>
          </w:pPr>
          <w:hyperlink w:anchor="__RefHeading___Toc1805010_1280447820">
            <w:r>
              <w:rPr>
                <w:webHidden/>
                <w:rStyle w:val="IndexLink"/>
                <w:rtl w:val="true"/>
              </w:rPr>
              <w:t>ثمّ يبقى الكلام على القول بالنجاسة في تطهير البئر عن النجاسة الغير المغيّرة بطريق النزح،</w:t>
            </w:r>
            <w:r>
              <w:rPr>
                <w:rStyle w:val="IndexLink"/>
                <w:rtl w:val="true"/>
              </w:rPr>
              <w:tab/>
            </w:r>
            <w:r>
              <w:rPr>
                <w:rStyle w:val="IndexLink"/>
              </w:rPr>
              <w:t>650</w:t>
            </w:r>
          </w:hyperlink>
        </w:p>
        <w:p>
          <w:pPr>
            <w:pStyle w:val="Contents6"/>
            <w:tabs>
              <w:tab w:val="clear" w:pos="7609"/>
              <w:tab w:val="right" w:pos="9026" w:leader="dot"/>
            </w:tabs>
            <w:rPr/>
          </w:pPr>
          <w:hyperlink w:anchor="__RefHeading___Toc1805012_1280447820">
            <w:r>
              <w:rPr>
                <w:webHidden/>
                <w:rStyle w:val="IndexLink"/>
                <w:rtl w:val="true"/>
              </w:rPr>
              <w:t>اشارة</w:t>
            </w:r>
            <w:r>
              <w:rPr>
                <w:rStyle w:val="IndexLink"/>
                <w:rtl w:val="true"/>
              </w:rPr>
              <w:tab/>
            </w:r>
            <w:r>
              <w:rPr>
                <w:rStyle w:val="IndexLink"/>
              </w:rPr>
              <w:t>650</w:t>
            </w:r>
          </w:hyperlink>
        </w:p>
        <w:p>
          <w:pPr>
            <w:pStyle w:val="Contents6"/>
            <w:tabs>
              <w:tab w:val="clear" w:pos="7609"/>
              <w:tab w:val="right" w:pos="9026" w:leader="dot"/>
            </w:tabs>
            <w:rPr/>
          </w:pPr>
          <w:hyperlink w:anchor="__RefHeading___Toc1805014_1280447820">
            <w:r>
              <w:rPr>
                <w:webHidden/>
                <w:rStyle w:val="IndexLink"/>
                <w:rtl w:val="true"/>
              </w:rPr>
              <w:t>و تفصيل البحث في ذلك يقع في طيّ مسائل</w:t>
            </w:r>
            <w:r>
              <w:rPr>
                <w:rStyle w:val="IndexLink"/>
                <w:rtl w:val="true"/>
              </w:rPr>
              <w:t>:</w:t>
              <w:tab/>
            </w:r>
            <w:r>
              <w:rPr>
                <w:rStyle w:val="IndexLink"/>
              </w:rPr>
              <w:t>650</w:t>
            </w:r>
          </w:hyperlink>
        </w:p>
        <w:p>
          <w:pPr>
            <w:pStyle w:val="Contents6"/>
            <w:tabs>
              <w:tab w:val="clear" w:pos="7609"/>
              <w:tab w:val="right" w:pos="9026" w:leader="dot"/>
            </w:tabs>
            <w:rPr/>
          </w:pPr>
          <w:hyperlink w:anchor="__RefHeading___Toc1805016_1280447820">
            <w:r>
              <w:rPr>
                <w:webHidden/>
                <w:rStyle w:val="IndexLink"/>
                <w:rtl w:val="true"/>
              </w:rPr>
              <w:t>المسألة الاولى</w:t>
            </w:r>
            <w:r>
              <w:rPr>
                <w:rStyle w:val="IndexLink"/>
                <w:rtl w:val="true"/>
              </w:rPr>
              <w:t xml:space="preserve">: </w:t>
            </w:r>
            <w:r>
              <w:rPr>
                <w:rStyle w:val="IndexLink"/>
                <w:rtl w:val="true"/>
              </w:rPr>
              <w:t>ما يوجب نزح الجميع،</w:t>
            </w:r>
            <w:r>
              <w:rPr>
                <w:rStyle w:val="IndexLink"/>
                <w:rtl w:val="true"/>
              </w:rPr>
              <w:tab/>
            </w:r>
            <w:r>
              <w:rPr>
                <w:rStyle w:val="IndexLink"/>
              </w:rPr>
              <w:t>650</w:t>
            </w:r>
          </w:hyperlink>
        </w:p>
        <w:p>
          <w:pPr>
            <w:pStyle w:val="Contents6"/>
            <w:tabs>
              <w:tab w:val="clear" w:pos="7609"/>
              <w:tab w:val="right" w:pos="9026" w:leader="dot"/>
            </w:tabs>
            <w:rPr/>
          </w:pPr>
          <w:hyperlink w:anchor="__RefHeading___Toc1805018_1280447820">
            <w:r>
              <w:rPr>
                <w:webHidden/>
                <w:rStyle w:val="IndexLink"/>
                <w:rtl w:val="true"/>
              </w:rPr>
              <w:t>المسألة الثانية</w:t>
            </w:r>
            <w:r>
              <w:rPr>
                <w:rStyle w:val="IndexLink"/>
                <w:rtl w:val="true"/>
              </w:rPr>
              <w:t xml:space="preserve">: </w:t>
            </w:r>
            <w:r>
              <w:rPr>
                <w:rStyle w:val="IndexLink"/>
                <w:rtl w:val="true"/>
              </w:rPr>
              <w:t>ما يوجب نزح كرّ من ماء البئر،</w:t>
            </w:r>
            <w:r>
              <w:rPr>
                <w:rStyle w:val="IndexLink"/>
                <w:rtl w:val="true"/>
              </w:rPr>
              <w:tab/>
            </w:r>
            <w:r>
              <w:rPr>
                <w:rStyle w:val="IndexLink"/>
              </w:rPr>
              <w:t>667</w:t>
            </w:r>
          </w:hyperlink>
        </w:p>
        <w:p>
          <w:pPr>
            <w:pStyle w:val="Contents6"/>
            <w:tabs>
              <w:tab w:val="clear" w:pos="7609"/>
              <w:tab w:val="right" w:pos="9026" w:leader="dot"/>
            </w:tabs>
            <w:rPr/>
          </w:pPr>
          <w:hyperlink w:anchor="__RefHeading___Toc1805020_1280447820">
            <w:r>
              <w:rPr>
                <w:webHidden/>
                <w:rStyle w:val="IndexLink"/>
                <w:rtl w:val="true"/>
              </w:rPr>
              <w:t>المسألة الثالثة</w:t>
            </w:r>
            <w:r>
              <w:rPr>
                <w:rStyle w:val="IndexLink"/>
                <w:rtl w:val="true"/>
              </w:rPr>
              <w:t xml:space="preserve">: </w:t>
            </w:r>
            <w:r>
              <w:rPr>
                <w:rStyle w:val="IndexLink"/>
                <w:rtl w:val="true"/>
              </w:rPr>
              <w:t>فيما ينزح له سبعون دلوا بما اعتاده البئر،</w:t>
            </w:r>
            <w:r>
              <w:rPr>
                <w:rStyle w:val="IndexLink"/>
                <w:rtl w:val="true"/>
              </w:rPr>
              <w:tab/>
            </w:r>
            <w:r>
              <w:rPr>
                <w:rStyle w:val="IndexLink"/>
              </w:rPr>
              <w:t>673</w:t>
            </w:r>
          </w:hyperlink>
        </w:p>
        <w:p>
          <w:pPr>
            <w:pStyle w:val="Contents6"/>
            <w:tabs>
              <w:tab w:val="clear" w:pos="7609"/>
              <w:tab w:val="right" w:pos="9026" w:leader="dot"/>
            </w:tabs>
            <w:rPr/>
          </w:pPr>
          <w:hyperlink w:anchor="__RefHeading___Toc1805022_1280447820">
            <w:r>
              <w:rPr>
                <w:webHidden/>
                <w:rStyle w:val="IndexLink"/>
                <w:rtl w:val="true"/>
              </w:rPr>
              <w:t>المسألة الرابعة</w:t>
            </w:r>
            <w:r>
              <w:rPr>
                <w:rStyle w:val="IndexLink"/>
                <w:rtl w:val="true"/>
              </w:rPr>
              <w:t xml:space="preserve">: </w:t>
            </w:r>
            <w:r>
              <w:rPr>
                <w:rStyle w:val="IndexLink"/>
                <w:rtl w:val="true"/>
              </w:rPr>
              <w:t>فيما ينزح له خمسون دلوا، و هو على ما في كلام غير واحد من الأصحاب أمران</w:t>
            </w:r>
            <w:r>
              <w:rPr>
                <w:rStyle w:val="IndexLink"/>
                <w:rtl w:val="true"/>
              </w:rPr>
              <w:t>:</w:t>
              <w:tab/>
            </w:r>
            <w:r>
              <w:rPr>
                <w:rStyle w:val="IndexLink"/>
              </w:rPr>
              <w:t>679</w:t>
            </w:r>
          </w:hyperlink>
        </w:p>
        <w:p>
          <w:pPr>
            <w:pStyle w:val="Contents6"/>
            <w:tabs>
              <w:tab w:val="clear" w:pos="7609"/>
              <w:tab w:val="right" w:pos="9026" w:leader="dot"/>
            </w:tabs>
            <w:rPr/>
          </w:pPr>
          <w:hyperlink w:anchor="__RefHeading___Toc1805024_1280447820">
            <w:r>
              <w:rPr>
                <w:webHidden/>
                <w:rStyle w:val="IndexLink"/>
                <w:rtl w:val="true"/>
              </w:rPr>
              <w:t>أحدهما</w:t>
            </w:r>
            <w:r>
              <w:rPr>
                <w:rStyle w:val="IndexLink"/>
                <w:rtl w:val="true"/>
              </w:rPr>
              <w:t xml:space="preserve">: </w:t>
            </w:r>
            <w:r>
              <w:rPr>
                <w:rStyle w:val="IndexLink"/>
                <w:rtl w:val="true"/>
              </w:rPr>
              <w:t>العذرة،</w:t>
            </w:r>
            <w:r>
              <w:rPr>
                <w:rStyle w:val="IndexLink"/>
                <w:rtl w:val="true"/>
              </w:rPr>
              <w:tab/>
            </w:r>
            <w:r>
              <w:rPr>
                <w:rStyle w:val="IndexLink"/>
              </w:rPr>
              <w:t>679</w:t>
            </w:r>
          </w:hyperlink>
        </w:p>
        <w:p>
          <w:pPr>
            <w:pStyle w:val="Contents6"/>
            <w:tabs>
              <w:tab w:val="clear" w:pos="7609"/>
              <w:tab w:val="right" w:pos="9026" w:leader="dot"/>
            </w:tabs>
            <w:rPr/>
          </w:pPr>
          <w:hyperlink w:anchor="__RefHeading___Toc1805026_1280447820">
            <w:r>
              <w:rPr>
                <w:webHidden/>
                <w:rStyle w:val="IndexLink"/>
                <w:rtl w:val="true"/>
              </w:rPr>
              <w:t>و ثانيهما</w:t>
            </w:r>
            <w:r>
              <w:rPr>
                <w:rStyle w:val="IndexLink"/>
                <w:rtl w:val="true"/>
              </w:rPr>
              <w:t xml:space="preserve">: </w:t>
            </w:r>
            <w:r>
              <w:rPr>
                <w:rStyle w:val="IndexLink"/>
                <w:rtl w:val="true"/>
              </w:rPr>
              <w:t>كثير الدم الّذي مثّلوه بدم ذبح الشاة،</w:t>
            </w:r>
            <w:r>
              <w:rPr>
                <w:rStyle w:val="IndexLink"/>
                <w:rtl w:val="true"/>
              </w:rPr>
              <w:tab/>
            </w:r>
            <w:r>
              <w:rPr>
                <w:rStyle w:val="IndexLink"/>
              </w:rPr>
              <w:t>684</w:t>
            </w:r>
          </w:hyperlink>
        </w:p>
        <w:p>
          <w:pPr>
            <w:pStyle w:val="Contents6"/>
            <w:tabs>
              <w:tab w:val="clear" w:pos="7609"/>
              <w:tab w:val="right" w:pos="9026" w:leader="dot"/>
            </w:tabs>
            <w:rPr/>
          </w:pPr>
          <w:hyperlink w:anchor="__RefHeading___Toc1805028_1280447820">
            <w:r>
              <w:rPr>
                <w:webHidden/>
                <w:rStyle w:val="IndexLink"/>
                <w:rtl w:val="true"/>
              </w:rPr>
              <w:t>المسألة الخامسة</w:t>
            </w:r>
            <w:r>
              <w:rPr>
                <w:rStyle w:val="IndexLink"/>
                <w:rtl w:val="true"/>
              </w:rPr>
              <w:t xml:space="preserve">: </w:t>
            </w:r>
            <w:r>
              <w:rPr>
                <w:rStyle w:val="IndexLink"/>
                <w:rtl w:val="true"/>
              </w:rPr>
              <w:t>فيما ينزح له أربعون دلوا،</w:t>
            </w:r>
            <w:r>
              <w:rPr>
                <w:rStyle w:val="IndexLink"/>
                <w:rtl w:val="true"/>
              </w:rPr>
              <w:tab/>
            </w:r>
            <w:r>
              <w:rPr>
                <w:rStyle w:val="IndexLink"/>
              </w:rPr>
              <w:t>688</w:t>
            </w:r>
          </w:hyperlink>
        </w:p>
        <w:p>
          <w:pPr>
            <w:pStyle w:val="Contents6"/>
            <w:tabs>
              <w:tab w:val="clear" w:pos="7609"/>
              <w:tab w:val="right" w:pos="9026" w:leader="dot"/>
            </w:tabs>
            <w:rPr/>
          </w:pPr>
          <w:hyperlink w:anchor="__RefHeading___Toc1805030_1280447820">
            <w:r>
              <w:rPr>
                <w:webHidden/>
                <w:rStyle w:val="IndexLink"/>
                <w:rtl w:val="true"/>
              </w:rPr>
              <w:t>المسألة السادسة</w:t>
            </w:r>
            <w:r>
              <w:rPr>
                <w:rStyle w:val="IndexLink"/>
                <w:rtl w:val="true"/>
              </w:rPr>
              <w:t xml:space="preserve">: </w:t>
            </w:r>
            <w:r>
              <w:rPr>
                <w:rStyle w:val="IndexLink"/>
                <w:rtl w:val="true"/>
              </w:rPr>
              <w:t>فيما ينزح له ثلاثون دلوا،</w:t>
            </w:r>
            <w:r>
              <w:rPr>
                <w:rStyle w:val="IndexLink"/>
                <w:rtl w:val="true"/>
              </w:rPr>
              <w:tab/>
            </w:r>
            <w:r>
              <w:rPr>
                <w:rStyle w:val="IndexLink"/>
              </w:rPr>
              <w:t>698</w:t>
            </w:r>
          </w:hyperlink>
        </w:p>
        <w:p>
          <w:pPr>
            <w:pStyle w:val="Contents6"/>
            <w:tabs>
              <w:tab w:val="clear" w:pos="7609"/>
              <w:tab w:val="right" w:pos="9026" w:leader="dot"/>
            </w:tabs>
            <w:rPr/>
          </w:pPr>
          <w:hyperlink w:anchor="__RefHeading___Toc1805032_1280447820">
            <w:r>
              <w:rPr>
                <w:webHidden/>
                <w:rStyle w:val="IndexLink"/>
                <w:rtl w:val="true"/>
              </w:rPr>
              <w:t>المسألة السابعة</w:t>
            </w:r>
            <w:r>
              <w:rPr>
                <w:rStyle w:val="IndexLink"/>
                <w:rtl w:val="true"/>
              </w:rPr>
              <w:t xml:space="preserve">: </w:t>
            </w:r>
            <w:r>
              <w:rPr>
                <w:rStyle w:val="IndexLink"/>
                <w:rtl w:val="true"/>
              </w:rPr>
              <w:t>فيما ينزح له عشرة دلاء و هو أمران</w:t>
            </w:r>
            <w:r>
              <w:rPr>
                <w:rStyle w:val="IndexLink"/>
                <w:rtl w:val="true"/>
              </w:rPr>
              <w:t>:</w:t>
              <w:tab/>
            </w:r>
            <w:r>
              <w:rPr>
                <w:rStyle w:val="IndexLink"/>
              </w:rPr>
              <w:t>700</w:t>
            </w:r>
          </w:hyperlink>
        </w:p>
        <w:p>
          <w:pPr>
            <w:pStyle w:val="Contents6"/>
            <w:tabs>
              <w:tab w:val="clear" w:pos="7609"/>
              <w:tab w:val="right" w:pos="9026" w:leader="dot"/>
            </w:tabs>
            <w:rPr/>
          </w:pPr>
          <w:hyperlink w:anchor="__RefHeading___Toc1805034_1280447820">
            <w:r>
              <w:rPr>
                <w:webHidden/>
                <w:rStyle w:val="IndexLink"/>
                <w:rtl w:val="true"/>
              </w:rPr>
              <w:t>أحدهما</w:t>
            </w:r>
            <w:r>
              <w:rPr>
                <w:rStyle w:val="IndexLink"/>
                <w:rtl w:val="true"/>
              </w:rPr>
              <w:t xml:space="preserve">: </w:t>
            </w:r>
            <w:r>
              <w:rPr>
                <w:rStyle w:val="IndexLink"/>
                <w:rtl w:val="true"/>
              </w:rPr>
              <w:t>العذرة الجامدة،</w:t>
            </w:r>
            <w:r>
              <w:rPr>
                <w:rStyle w:val="IndexLink"/>
                <w:rtl w:val="true"/>
              </w:rPr>
              <w:tab/>
            </w:r>
            <w:r>
              <w:rPr>
                <w:rStyle w:val="IndexLink"/>
              </w:rPr>
              <w:t>700</w:t>
            </w:r>
          </w:hyperlink>
        </w:p>
        <w:p>
          <w:pPr>
            <w:pStyle w:val="Contents6"/>
            <w:tabs>
              <w:tab w:val="clear" w:pos="7609"/>
              <w:tab w:val="right" w:pos="9026" w:leader="dot"/>
            </w:tabs>
            <w:rPr/>
          </w:pPr>
          <w:hyperlink w:anchor="__RefHeading___Toc1805036_1280447820">
            <w:r>
              <w:rPr>
                <w:webHidden/>
                <w:rStyle w:val="IndexLink"/>
                <w:rtl w:val="true"/>
              </w:rPr>
              <w:t>و ثانيهما</w:t>
            </w:r>
            <w:r>
              <w:rPr>
                <w:rStyle w:val="IndexLink"/>
                <w:rtl w:val="true"/>
              </w:rPr>
              <w:t xml:space="preserve">: </w:t>
            </w:r>
            <w:r>
              <w:rPr>
                <w:rStyle w:val="IndexLink"/>
                <w:rtl w:val="true"/>
              </w:rPr>
              <w:t>الدم القليل،</w:t>
            </w:r>
            <w:r>
              <w:rPr>
                <w:rStyle w:val="IndexLink"/>
                <w:rtl w:val="true"/>
              </w:rPr>
              <w:tab/>
            </w:r>
            <w:r>
              <w:rPr>
                <w:rStyle w:val="IndexLink"/>
              </w:rPr>
              <w:t>701</w:t>
            </w:r>
          </w:hyperlink>
        </w:p>
        <w:p>
          <w:pPr>
            <w:pStyle w:val="Contents6"/>
            <w:tabs>
              <w:tab w:val="clear" w:pos="7609"/>
              <w:tab w:val="right" w:pos="9026" w:leader="dot"/>
            </w:tabs>
            <w:rPr/>
          </w:pPr>
          <w:hyperlink w:anchor="__RefHeading___Toc1805038_1280447820">
            <w:r>
              <w:rPr>
                <w:webHidden/>
                <w:rStyle w:val="IndexLink"/>
                <w:rtl w:val="true"/>
              </w:rPr>
              <w:t>المسألة الثامنة</w:t>
            </w:r>
            <w:r>
              <w:rPr>
                <w:rStyle w:val="IndexLink"/>
                <w:rtl w:val="true"/>
              </w:rPr>
              <w:t xml:space="preserve">: </w:t>
            </w:r>
            <w:r>
              <w:rPr>
                <w:rStyle w:val="IndexLink"/>
                <w:rtl w:val="true"/>
              </w:rPr>
              <w:t>فيما ينزح له سبع دلاء، و هو امور</w:t>
            </w:r>
            <w:r>
              <w:rPr>
                <w:rStyle w:val="IndexLink"/>
                <w:rtl w:val="true"/>
              </w:rPr>
              <w:t>:</w:t>
              <w:tab/>
            </w:r>
            <w:r>
              <w:rPr>
                <w:rStyle w:val="IndexLink"/>
              </w:rPr>
              <w:t>702</w:t>
            </w:r>
          </w:hyperlink>
        </w:p>
        <w:p>
          <w:pPr>
            <w:pStyle w:val="Contents6"/>
            <w:tabs>
              <w:tab w:val="clear" w:pos="7609"/>
              <w:tab w:val="right" w:pos="9026" w:leader="dot"/>
            </w:tabs>
            <w:rPr/>
          </w:pPr>
          <w:hyperlink w:anchor="__RefHeading___Toc1805040_1280447820">
            <w:r>
              <w:rPr>
                <w:webHidden/>
                <w:rStyle w:val="IndexLink"/>
                <w:rtl w:val="true"/>
              </w:rPr>
              <w:t>أحدها</w:t>
            </w:r>
            <w:r>
              <w:rPr>
                <w:rStyle w:val="IndexLink"/>
                <w:rtl w:val="true"/>
              </w:rPr>
              <w:t xml:space="preserve">: </w:t>
            </w:r>
            <w:r>
              <w:rPr>
                <w:rStyle w:val="IndexLink"/>
                <w:rtl w:val="true"/>
              </w:rPr>
              <w:t>موت الطير،</w:t>
            </w:r>
            <w:r>
              <w:rPr>
                <w:rStyle w:val="IndexLink"/>
                <w:rtl w:val="true"/>
              </w:rPr>
              <w:tab/>
            </w:r>
            <w:r>
              <w:rPr>
                <w:rStyle w:val="IndexLink"/>
              </w:rPr>
              <w:t>702</w:t>
            </w:r>
          </w:hyperlink>
        </w:p>
        <w:p>
          <w:pPr>
            <w:pStyle w:val="Contents6"/>
            <w:tabs>
              <w:tab w:val="clear" w:pos="7609"/>
              <w:tab w:val="right" w:pos="9026" w:leader="dot"/>
            </w:tabs>
            <w:rPr/>
          </w:pPr>
          <w:hyperlink w:anchor="__RefHeading___Toc1805042_1280447820">
            <w:r>
              <w:rPr>
                <w:webHidden/>
                <w:rStyle w:val="IndexLink"/>
                <w:rtl w:val="true"/>
              </w:rPr>
              <w:t>و ثانيها</w:t>
            </w:r>
            <w:r>
              <w:rPr>
                <w:rStyle w:val="IndexLink"/>
                <w:rtl w:val="true"/>
              </w:rPr>
              <w:t xml:space="preserve">: </w:t>
            </w:r>
            <w:r>
              <w:rPr>
                <w:rStyle w:val="IndexLink"/>
                <w:rtl w:val="true"/>
              </w:rPr>
              <w:t>وقوع الكلب المستتبع لخروجه حيّا،</w:t>
            </w:r>
            <w:r>
              <w:rPr>
                <w:rStyle w:val="IndexLink"/>
                <w:rtl w:val="true"/>
              </w:rPr>
              <w:tab/>
            </w:r>
            <w:r>
              <w:rPr>
                <w:rStyle w:val="IndexLink"/>
              </w:rPr>
              <w:t>704</w:t>
            </w:r>
          </w:hyperlink>
        </w:p>
        <w:p>
          <w:pPr>
            <w:pStyle w:val="Contents6"/>
            <w:tabs>
              <w:tab w:val="clear" w:pos="7609"/>
              <w:tab w:val="right" w:pos="9026" w:leader="dot"/>
            </w:tabs>
            <w:rPr/>
          </w:pPr>
          <w:hyperlink w:anchor="__RefHeading___Toc1805044_1280447820">
            <w:r>
              <w:rPr>
                <w:webHidden/>
                <w:rStyle w:val="IndexLink"/>
                <w:rtl w:val="true"/>
              </w:rPr>
              <w:t>و ثالثها</w:t>
            </w:r>
            <w:r>
              <w:rPr>
                <w:rStyle w:val="IndexLink"/>
                <w:rtl w:val="true"/>
              </w:rPr>
              <w:t xml:space="preserve">: </w:t>
            </w:r>
            <w:r>
              <w:rPr>
                <w:rStyle w:val="IndexLink"/>
                <w:rtl w:val="true"/>
              </w:rPr>
              <w:t>بول الصبيّ الّذي لم يبلغ</w:t>
            </w:r>
            <w:r>
              <w:rPr>
                <w:rStyle w:val="IndexLink"/>
                <w:rtl w:val="true"/>
              </w:rPr>
              <w:tab/>
            </w:r>
            <w:r>
              <w:rPr>
                <w:rStyle w:val="IndexLink"/>
              </w:rPr>
              <w:t>707</w:t>
            </w:r>
          </w:hyperlink>
        </w:p>
        <w:p>
          <w:pPr>
            <w:pStyle w:val="Contents6"/>
            <w:tabs>
              <w:tab w:val="clear" w:pos="7609"/>
              <w:tab w:val="right" w:pos="9026" w:leader="dot"/>
            </w:tabs>
            <w:rPr/>
          </w:pPr>
          <w:hyperlink w:anchor="__RefHeading___Toc1805046_1280447820">
            <w:r>
              <w:rPr>
                <w:webHidden/>
                <w:rStyle w:val="IndexLink"/>
                <w:rtl w:val="true"/>
              </w:rPr>
              <w:t>و رابعها</w:t>
            </w:r>
            <w:r>
              <w:rPr>
                <w:rStyle w:val="IndexLink"/>
                <w:rtl w:val="true"/>
              </w:rPr>
              <w:t xml:space="preserve">: </w:t>
            </w:r>
            <w:r>
              <w:rPr>
                <w:rStyle w:val="IndexLink"/>
                <w:rtl w:val="true"/>
              </w:rPr>
              <w:t>موت الفأرة،</w:t>
            </w:r>
            <w:r>
              <w:rPr>
                <w:rStyle w:val="IndexLink"/>
                <w:rtl w:val="true"/>
              </w:rPr>
              <w:tab/>
            </w:r>
            <w:r>
              <w:rPr>
                <w:rStyle w:val="IndexLink"/>
              </w:rPr>
              <w:t>709</w:t>
            </w:r>
          </w:hyperlink>
        </w:p>
        <w:p>
          <w:pPr>
            <w:pStyle w:val="Contents6"/>
            <w:tabs>
              <w:tab w:val="clear" w:pos="7609"/>
              <w:tab w:val="right" w:pos="9026" w:leader="dot"/>
            </w:tabs>
            <w:rPr/>
          </w:pPr>
          <w:hyperlink w:anchor="__RefHeading___Toc1805048_1280447820">
            <w:r>
              <w:rPr>
                <w:webHidden/>
                <w:rStyle w:val="IndexLink"/>
                <w:rtl w:val="true"/>
              </w:rPr>
              <w:t>و خامسها</w:t>
            </w:r>
            <w:r>
              <w:rPr>
                <w:rStyle w:val="IndexLink"/>
                <w:rtl w:val="true"/>
              </w:rPr>
              <w:t xml:space="preserve">: </w:t>
            </w:r>
            <w:r>
              <w:rPr>
                <w:rStyle w:val="IndexLink"/>
                <w:rtl w:val="true"/>
              </w:rPr>
              <w:t>اغتسال الجنب في البئر مطلقا،</w:t>
            </w:r>
            <w:r>
              <w:rPr>
                <w:rStyle w:val="IndexLink"/>
                <w:rtl w:val="true"/>
              </w:rPr>
              <w:tab/>
            </w:r>
            <w:r>
              <w:rPr>
                <w:rStyle w:val="IndexLink"/>
              </w:rPr>
              <w:t>713</w:t>
            </w:r>
          </w:hyperlink>
        </w:p>
        <w:p>
          <w:pPr>
            <w:pStyle w:val="Contents6"/>
            <w:tabs>
              <w:tab w:val="clear" w:pos="7609"/>
              <w:tab w:val="right" w:pos="9026" w:leader="dot"/>
            </w:tabs>
            <w:rPr/>
          </w:pPr>
          <w:hyperlink w:anchor="__RefHeading___Toc1805050_1280447820">
            <w:r>
              <w:rPr>
                <w:webHidden/>
                <w:rStyle w:val="IndexLink"/>
                <w:rtl w:val="true"/>
              </w:rPr>
              <w:t>اشارة</w:t>
            </w:r>
            <w:r>
              <w:rPr>
                <w:rStyle w:val="IndexLink"/>
                <w:rtl w:val="true"/>
              </w:rPr>
              <w:tab/>
            </w:r>
            <w:r>
              <w:rPr>
                <w:rStyle w:val="IndexLink"/>
              </w:rPr>
              <w:t>713</w:t>
            </w:r>
          </w:hyperlink>
        </w:p>
        <w:p>
          <w:pPr>
            <w:pStyle w:val="Contents6"/>
            <w:tabs>
              <w:tab w:val="clear" w:pos="7609"/>
              <w:tab w:val="right" w:pos="9026" w:leader="dot"/>
            </w:tabs>
            <w:rPr/>
          </w:pPr>
          <w:hyperlink w:anchor="__RefHeading___Toc1805052_1280447820">
            <w:r>
              <w:rPr>
                <w:webHidden/>
                <w:rStyle w:val="IndexLink"/>
                <w:rtl w:val="true"/>
              </w:rPr>
              <w:t>نعم، لهم كلام من جهات اخر</w:t>
            </w:r>
            <w:r>
              <w:rPr>
                <w:rStyle w:val="IndexLink"/>
                <w:rtl w:val="true"/>
              </w:rPr>
              <w:t>.</w:t>
              <w:tab/>
            </w:r>
            <w:r>
              <w:rPr>
                <w:rStyle w:val="IndexLink"/>
              </w:rPr>
              <w:t>715</w:t>
            </w:r>
          </w:hyperlink>
        </w:p>
        <w:p>
          <w:pPr>
            <w:pStyle w:val="Contents6"/>
            <w:tabs>
              <w:tab w:val="clear" w:pos="7609"/>
              <w:tab w:val="right" w:pos="9026" w:leader="dot"/>
            </w:tabs>
            <w:rPr/>
          </w:pPr>
          <w:hyperlink w:anchor="__RefHeading___Toc1805054_1280447820">
            <w:r>
              <w:rPr>
                <w:webHidden/>
                <w:rStyle w:val="IndexLink"/>
                <w:rtl w:val="true"/>
              </w:rPr>
              <w:t>الجهة الاولى</w:t>
            </w:r>
            <w:r>
              <w:rPr>
                <w:rStyle w:val="IndexLink"/>
                <w:rtl w:val="true"/>
              </w:rPr>
              <w:t xml:space="preserve">: </w:t>
            </w:r>
            <w:r>
              <w:rPr>
                <w:rStyle w:val="IndexLink"/>
                <w:rtl w:val="true"/>
              </w:rPr>
              <w:t>في أنّ المقتضي للنزح هل هو وقوع الجنب في البئر و إن لم يغتسل، المعبّر عنه بمطلق مباشرته جنبا؟</w:t>
            </w:r>
            <w:r>
              <w:rPr>
                <w:rStyle w:val="IndexLink"/>
                <w:rtl w:val="true"/>
              </w:rPr>
              <w:tab/>
            </w:r>
            <w:r>
              <w:rPr>
                <w:rStyle w:val="IndexLink"/>
              </w:rPr>
              <w:t>715</w:t>
            </w:r>
          </w:hyperlink>
        </w:p>
        <w:p>
          <w:pPr>
            <w:pStyle w:val="Contents6"/>
            <w:tabs>
              <w:tab w:val="clear" w:pos="7609"/>
              <w:tab w:val="right" w:pos="9026" w:leader="dot"/>
            </w:tabs>
            <w:rPr/>
          </w:pPr>
          <w:hyperlink w:anchor="__RefHeading___Toc1805056_1280447820">
            <w:r>
              <w:rPr>
                <w:webHidden/>
                <w:rStyle w:val="IndexLink"/>
                <w:rtl w:val="true"/>
              </w:rPr>
              <w:t>الجهة الثانية</w:t>
            </w:r>
            <w:r>
              <w:rPr>
                <w:rStyle w:val="IndexLink"/>
                <w:rtl w:val="true"/>
              </w:rPr>
              <w:t xml:space="preserve">: </w:t>
            </w:r>
            <w:r>
              <w:rPr>
                <w:rStyle w:val="IndexLink"/>
                <w:rtl w:val="true"/>
              </w:rPr>
              <w:t>في أنّ النزح الواجب على تقدير كونه للاغتسال ارتماسا هل هو لنجاسة ماء البئر بسببه، أو لزوال الطهوريّة عنه، أو أنّه تعبّد صرف؟</w:t>
            </w:r>
            <w:r>
              <w:rPr>
                <w:rStyle w:val="IndexLink"/>
                <w:rtl w:val="true"/>
              </w:rPr>
              <w:tab/>
            </w:r>
            <w:r>
              <w:rPr>
                <w:rStyle w:val="IndexLink"/>
              </w:rPr>
              <w:t>720</w:t>
            </w:r>
          </w:hyperlink>
        </w:p>
        <w:p>
          <w:pPr>
            <w:pStyle w:val="Contents6"/>
            <w:tabs>
              <w:tab w:val="clear" w:pos="7609"/>
              <w:tab w:val="right" w:pos="9026" w:leader="dot"/>
            </w:tabs>
            <w:rPr/>
          </w:pPr>
          <w:hyperlink w:anchor="__RefHeading___Toc1805058_1280447820">
            <w:r>
              <w:rPr>
                <w:webHidden/>
                <w:rStyle w:val="IndexLink"/>
                <w:rtl w:val="true"/>
              </w:rPr>
              <w:t>الجهة الثالثة</w:t>
            </w:r>
            <w:r>
              <w:rPr>
                <w:rStyle w:val="IndexLink"/>
                <w:rtl w:val="true"/>
              </w:rPr>
              <w:t xml:space="preserve">: </w:t>
            </w:r>
            <w:r>
              <w:rPr>
                <w:rStyle w:val="IndexLink"/>
                <w:rtl w:val="true"/>
              </w:rPr>
              <w:t>اختلفوا في ارتفاع الحدث عن هذا المغتسل و عدمه،</w:t>
            </w:r>
            <w:r>
              <w:rPr>
                <w:rStyle w:val="IndexLink"/>
                <w:rtl w:val="true"/>
              </w:rPr>
              <w:tab/>
            </w:r>
            <w:r>
              <w:rPr>
                <w:rStyle w:val="IndexLink"/>
              </w:rPr>
              <w:t>722</w:t>
            </w:r>
          </w:hyperlink>
        </w:p>
        <w:p>
          <w:pPr>
            <w:pStyle w:val="Contents6"/>
            <w:tabs>
              <w:tab w:val="clear" w:pos="7609"/>
              <w:tab w:val="right" w:pos="9026" w:leader="dot"/>
            </w:tabs>
            <w:rPr/>
          </w:pPr>
          <w:hyperlink w:anchor="__RefHeading___Toc1805060_1280447820">
            <w:r>
              <w:rPr>
                <w:webHidden/>
                <w:rStyle w:val="IndexLink"/>
                <w:rtl w:val="true"/>
              </w:rPr>
              <w:t>الجهة الرابعة</w:t>
            </w:r>
            <w:r>
              <w:rPr>
                <w:rStyle w:val="IndexLink"/>
                <w:rtl w:val="true"/>
              </w:rPr>
              <w:t xml:space="preserve">: </w:t>
            </w:r>
            <w:r>
              <w:rPr>
                <w:rStyle w:val="IndexLink"/>
                <w:rtl w:val="true"/>
              </w:rPr>
              <w:t>عن جماعة من الأصحاب أنّهم اشترطوا خلوّ بدن الجنب عن نجاسة عينيّة ليتمّ الاكتفاء بالسبع،</w:t>
            </w:r>
            <w:r>
              <w:rPr>
                <w:rStyle w:val="IndexLink"/>
                <w:rtl w:val="true"/>
              </w:rPr>
              <w:tab/>
            </w:r>
            <w:r>
              <w:rPr>
                <w:rStyle w:val="IndexLink"/>
              </w:rPr>
              <w:t>725</w:t>
            </w:r>
          </w:hyperlink>
        </w:p>
        <w:p>
          <w:pPr>
            <w:pStyle w:val="Contents6"/>
            <w:tabs>
              <w:tab w:val="clear" w:pos="7609"/>
              <w:tab w:val="right" w:pos="9026" w:leader="dot"/>
            </w:tabs>
            <w:rPr/>
          </w:pPr>
          <w:hyperlink w:anchor="__RefHeading___Toc1805062_1280447820">
            <w:r>
              <w:rPr>
                <w:webHidden/>
                <w:rStyle w:val="IndexLink"/>
                <w:rtl w:val="true"/>
              </w:rPr>
              <w:t>المسألة التاسعة</w:t>
            </w:r>
            <w:r>
              <w:rPr>
                <w:rStyle w:val="IndexLink"/>
                <w:rtl w:val="true"/>
              </w:rPr>
              <w:t xml:space="preserve">: </w:t>
            </w:r>
            <w:r>
              <w:rPr>
                <w:rStyle w:val="IndexLink"/>
                <w:rtl w:val="true"/>
              </w:rPr>
              <w:t>فيما ينزح له خمس،</w:t>
            </w:r>
            <w:r>
              <w:rPr>
                <w:rStyle w:val="IndexLink"/>
                <w:rtl w:val="true"/>
              </w:rPr>
              <w:tab/>
            </w:r>
            <w:r>
              <w:rPr>
                <w:rStyle w:val="IndexLink"/>
              </w:rPr>
              <w:t>726</w:t>
            </w:r>
          </w:hyperlink>
        </w:p>
        <w:p>
          <w:pPr>
            <w:pStyle w:val="Contents6"/>
            <w:tabs>
              <w:tab w:val="clear" w:pos="7609"/>
              <w:tab w:val="right" w:pos="9026" w:leader="dot"/>
            </w:tabs>
            <w:rPr/>
          </w:pPr>
          <w:hyperlink w:anchor="__RefHeading___Toc1805064_1280447820">
            <w:r>
              <w:rPr>
                <w:webHidden/>
                <w:rStyle w:val="IndexLink"/>
                <w:rtl w:val="true"/>
              </w:rPr>
              <w:t>المسألة العاشرة</w:t>
            </w:r>
            <w:r>
              <w:rPr>
                <w:rStyle w:val="IndexLink"/>
                <w:rtl w:val="true"/>
              </w:rPr>
              <w:t xml:space="preserve">: </w:t>
            </w:r>
            <w:r>
              <w:rPr>
                <w:rStyle w:val="IndexLink"/>
                <w:rtl w:val="true"/>
              </w:rPr>
              <w:t>فيما ينزح له ثلاث، و هو الفأرة إذا لم يتفسّخ و لم تنتفخ،</w:t>
            </w:r>
            <w:r>
              <w:rPr>
                <w:rStyle w:val="IndexLink"/>
                <w:rtl w:val="true"/>
              </w:rPr>
              <w:tab/>
            </w:r>
            <w:r>
              <w:rPr>
                <w:rStyle w:val="IndexLink"/>
              </w:rPr>
              <w:t>728</w:t>
            </w:r>
          </w:hyperlink>
        </w:p>
        <w:p>
          <w:pPr>
            <w:pStyle w:val="Contents6"/>
            <w:tabs>
              <w:tab w:val="clear" w:pos="7609"/>
              <w:tab w:val="right" w:pos="9026" w:leader="dot"/>
            </w:tabs>
            <w:rPr/>
          </w:pPr>
          <w:hyperlink w:anchor="__RefHeading___Toc1805066_1280447820">
            <w:r>
              <w:rPr>
                <w:webHidden/>
                <w:rStyle w:val="IndexLink"/>
                <w:rtl w:val="true"/>
              </w:rPr>
              <w:t>المسألة الحادية عشر</w:t>
            </w:r>
            <w:r>
              <w:rPr>
                <w:rStyle w:val="IndexLink"/>
                <w:rtl w:val="true"/>
              </w:rPr>
              <w:t xml:space="preserve">: </w:t>
            </w:r>
            <w:r>
              <w:rPr>
                <w:rStyle w:val="IndexLink"/>
                <w:rtl w:val="true"/>
              </w:rPr>
              <w:t>فيما ينزح له دلو واحد، و هو أمران</w:t>
            </w:r>
            <w:r>
              <w:rPr>
                <w:rStyle w:val="IndexLink"/>
                <w:rtl w:val="true"/>
              </w:rPr>
              <w:t>:</w:t>
              <w:tab/>
            </w:r>
            <w:r>
              <w:rPr>
                <w:rStyle w:val="IndexLink"/>
              </w:rPr>
              <w:t>734</w:t>
            </w:r>
          </w:hyperlink>
        </w:p>
        <w:p>
          <w:pPr>
            <w:pStyle w:val="Contents6"/>
            <w:tabs>
              <w:tab w:val="clear" w:pos="7609"/>
              <w:tab w:val="right" w:pos="9026" w:leader="dot"/>
            </w:tabs>
            <w:rPr/>
          </w:pPr>
          <w:hyperlink w:anchor="__RefHeading___Toc1805068_1280447820">
            <w:r>
              <w:rPr>
                <w:webHidden/>
                <w:rStyle w:val="IndexLink"/>
                <w:rtl w:val="true"/>
              </w:rPr>
              <w:t>أحدهما</w:t>
            </w:r>
            <w:r>
              <w:rPr>
                <w:rStyle w:val="IndexLink"/>
                <w:rtl w:val="true"/>
              </w:rPr>
              <w:t xml:space="preserve">: </w:t>
            </w:r>
            <w:r>
              <w:rPr>
                <w:rStyle w:val="IndexLink"/>
                <w:rtl w:val="true"/>
              </w:rPr>
              <w:t>العصفور و ما أشبهه،</w:t>
            </w:r>
            <w:r>
              <w:rPr>
                <w:rStyle w:val="IndexLink"/>
                <w:rtl w:val="true"/>
              </w:rPr>
              <w:tab/>
            </w:r>
            <w:r>
              <w:rPr>
                <w:rStyle w:val="IndexLink"/>
              </w:rPr>
              <w:t>734</w:t>
            </w:r>
          </w:hyperlink>
        </w:p>
        <w:p>
          <w:pPr>
            <w:pStyle w:val="Contents6"/>
            <w:tabs>
              <w:tab w:val="clear" w:pos="7609"/>
              <w:tab w:val="right" w:pos="9026" w:leader="dot"/>
            </w:tabs>
            <w:rPr/>
          </w:pPr>
          <w:hyperlink w:anchor="__RefHeading___Toc1805070_1280447820">
            <w:r>
              <w:rPr>
                <w:webHidden/>
                <w:rStyle w:val="IndexLink"/>
                <w:rtl w:val="true"/>
              </w:rPr>
              <w:t>و ثانيهما</w:t>
            </w:r>
            <w:r>
              <w:rPr>
                <w:rStyle w:val="IndexLink"/>
                <w:rtl w:val="true"/>
              </w:rPr>
              <w:t xml:space="preserve">: </w:t>
            </w:r>
            <w:r>
              <w:rPr>
                <w:rStyle w:val="IndexLink"/>
                <w:rtl w:val="true"/>
              </w:rPr>
              <w:t>بول الصبيّ‌</w:t>
            </w:r>
            <w:r>
              <w:rPr>
                <w:rStyle w:val="IndexLink"/>
                <w:rtl w:val="true"/>
              </w:rPr>
              <w:tab/>
            </w:r>
            <w:r>
              <w:rPr>
                <w:rStyle w:val="IndexLink"/>
              </w:rPr>
              <w:t>737</w:t>
            </w:r>
          </w:hyperlink>
        </w:p>
        <w:p>
          <w:pPr>
            <w:pStyle w:val="Contents6"/>
            <w:tabs>
              <w:tab w:val="clear" w:pos="7609"/>
              <w:tab w:val="right" w:pos="9026" w:leader="dot"/>
            </w:tabs>
            <w:rPr/>
          </w:pPr>
          <w:hyperlink w:anchor="__RefHeading___Toc1805072_1280447820">
            <w:r>
              <w:rPr>
                <w:webHidden/>
                <w:rStyle w:val="IndexLink"/>
                <w:rtl w:val="true"/>
              </w:rPr>
              <w:t>و لنختم المقام بإيراد مباحث نذكرها هنا من باب التفريع</w:t>
            </w:r>
            <w:r>
              <w:rPr>
                <w:rStyle w:val="IndexLink"/>
                <w:rtl w:val="true"/>
              </w:rPr>
              <w:t>:</w:t>
              <w:tab/>
            </w:r>
            <w:r>
              <w:rPr>
                <w:rStyle w:val="IndexLink"/>
              </w:rPr>
              <w:t>738</w:t>
            </w:r>
          </w:hyperlink>
        </w:p>
        <w:p>
          <w:pPr>
            <w:pStyle w:val="Contents6"/>
            <w:tabs>
              <w:tab w:val="clear" w:pos="7609"/>
              <w:tab w:val="right" w:pos="9026" w:leader="dot"/>
            </w:tabs>
            <w:rPr/>
          </w:pPr>
          <w:hyperlink w:anchor="__RefHeading___Toc1805074_1280447820">
            <w:r>
              <w:rPr>
                <w:webHidden/>
                <w:rStyle w:val="IndexLink"/>
                <w:rtl w:val="true"/>
              </w:rPr>
              <w:t>المبحث الأوّل</w:t>
            </w:r>
            <w:r>
              <w:rPr>
                <w:rStyle w:val="IndexLink"/>
                <w:rtl w:val="true"/>
              </w:rPr>
              <w:t xml:space="preserve">: </w:t>
            </w:r>
            <w:r>
              <w:rPr>
                <w:rStyle w:val="IndexLink"/>
                <w:rtl w:val="true"/>
              </w:rPr>
              <w:t>فيما يتعلّق بالدلو المعتبر في النزح؛</w:t>
            </w:r>
            <w:r>
              <w:rPr>
                <w:rStyle w:val="IndexLink"/>
                <w:rtl w:val="true"/>
              </w:rPr>
              <w:tab/>
            </w:r>
            <w:r>
              <w:rPr>
                <w:rStyle w:val="IndexLink"/>
              </w:rPr>
              <w:t>738</w:t>
            </w:r>
          </w:hyperlink>
        </w:p>
        <w:p>
          <w:pPr>
            <w:pStyle w:val="Contents6"/>
            <w:tabs>
              <w:tab w:val="clear" w:pos="7609"/>
              <w:tab w:val="right" w:pos="9026" w:leader="dot"/>
            </w:tabs>
            <w:rPr/>
          </w:pPr>
          <w:hyperlink w:anchor="__RefHeading___Toc1805076_1280447820">
            <w:r>
              <w:rPr>
                <w:webHidden/>
                <w:rStyle w:val="IndexLink"/>
                <w:rtl w:val="true"/>
              </w:rPr>
              <w:t>اشارة</w:t>
            </w:r>
            <w:r>
              <w:rPr>
                <w:rStyle w:val="IndexLink"/>
                <w:rtl w:val="true"/>
              </w:rPr>
              <w:tab/>
            </w:r>
            <w:r>
              <w:rPr>
                <w:rStyle w:val="IndexLink"/>
              </w:rPr>
              <w:t>738</w:t>
            </w:r>
          </w:hyperlink>
        </w:p>
        <w:p>
          <w:pPr>
            <w:pStyle w:val="Contents6"/>
            <w:tabs>
              <w:tab w:val="clear" w:pos="7609"/>
              <w:tab w:val="right" w:pos="9026" w:leader="dot"/>
            </w:tabs>
            <w:rPr/>
          </w:pPr>
          <w:hyperlink w:anchor="__RefHeading___Toc1805078_1280447820">
            <w:r>
              <w:rPr>
                <w:webHidden/>
                <w:rStyle w:val="IndexLink"/>
                <w:rtl w:val="true"/>
              </w:rPr>
              <w:t>الاولى</w:t>
            </w:r>
            <w:r>
              <w:rPr>
                <w:rStyle w:val="IndexLink"/>
                <w:rtl w:val="true"/>
              </w:rPr>
              <w:t xml:space="preserve">: </w:t>
            </w:r>
            <w:r>
              <w:rPr>
                <w:rStyle w:val="IndexLink"/>
                <w:rtl w:val="true"/>
              </w:rPr>
              <w:t xml:space="preserve">في أنّ </w:t>
            </w:r>
            <w:r>
              <w:rPr>
                <w:rStyle w:val="IndexLink"/>
                <w:rtl w:val="true"/>
              </w:rPr>
              <w:t>«</w:t>
            </w:r>
            <w:r>
              <w:rPr>
                <w:rStyle w:val="IndexLink"/>
                <w:rtl w:val="true"/>
              </w:rPr>
              <w:t>الدلو</w:t>
            </w:r>
            <w:r>
              <w:rPr>
                <w:rStyle w:val="IndexLink"/>
                <w:rtl w:val="true"/>
              </w:rPr>
              <w:t xml:space="preserve">» </w:t>
            </w:r>
            <w:r>
              <w:rPr>
                <w:rStyle w:val="IndexLink"/>
                <w:rtl w:val="true"/>
              </w:rPr>
              <w:t>المعتبر في الروايات آلة للنزح ليس ممّا ثبت له معنى شرعي،</w:t>
            </w:r>
            <w:r>
              <w:rPr>
                <w:rStyle w:val="IndexLink"/>
                <w:rtl w:val="true"/>
              </w:rPr>
              <w:tab/>
            </w:r>
            <w:r>
              <w:rPr>
                <w:rStyle w:val="IndexLink"/>
              </w:rPr>
              <w:t>738</w:t>
            </w:r>
          </w:hyperlink>
        </w:p>
        <w:p>
          <w:pPr>
            <w:pStyle w:val="Contents6"/>
            <w:tabs>
              <w:tab w:val="clear" w:pos="7609"/>
              <w:tab w:val="right" w:pos="9026" w:leader="dot"/>
            </w:tabs>
            <w:rPr/>
          </w:pPr>
          <w:hyperlink w:anchor="__RefHeading___Toc1805080_1280447820">
            <w:r>
              <w:rPr>
                <w:webHidden/>
                <w:rStyle w:val="IndexLink"/>
                <w:rtl w:val="true"/>
              </w:rPr>
              <w:t>المسألة الثانية</w:t>
            </w:r>
            <w:r>
              <w:rPr>
                <w:rStyle w:val="IndexLink"/>
                <w:rtl w:val="true"/>
              </w:rPr>
              <w:t xml:space="preserve">: </w:t>
            </w:r>
            <w:r>
              <w:rPr>
                <w:rStyle w:val="IndexLink"/>
                <w:rtl w:val="true"/>
              </w:rPr>
              <w:t xml:space="preserve">عن العلاّمة </w:t>
            </w:r>
            <w:r>
              <w:rPr>
                <w:rStyle w:val="IndexLink"/>
                <w:rtl w:val="true"/>
              </w:rPr>
              <w:t>[</w:t>
            </w:r>
            <w:r>
              <w:rPr>
                <w:rStyle w:val="IndexLink"/>
                <w:rtl w:val="true"/>
              </w:rPr>
              <w:t>و غيره بأنّه لو نزح البئر بإناء عظيم يسع العدد و مقدار الدلاء المقدّرة دفعة أو دفعات كان مجزيا</w:t>
            </w:r>
            <w:r>
              <w:rPr>
                <w:rStyle w:val="IndexLink"/>
                <w:rtl w:val="true"/>
              </w:rPr>
              <w:t>]</w:t>
              <w:tab/>
            </w:r>
            <w:r>
              <w:rPr>
                <w:rStyle w:val="IndexLink"/>
              </w:rPr>
              <w:t>743</w:t>
            </w:r>
          </w:hyperlink>
        </w:p>
        <w:p>
          <w:pPr>
            <w:pStyle w:val="Contents6"/>
            <w:tabs>
              <w:tab w:val="clear" w:pos="7609"/>
              <w:tab w:val="right" w:pos="9026" w:leader="dot"/>
            </w:tabs>
            <w:rPr/>
          </w:pPr>
          <w:hyperlink w:anchor="__RefHeading___Toc1805082_1280447820">
            <w:r>
              <w:rPr>
                <w:webHidden/>
                <w:rStyle w:val="IndexLink"/>
                <w:rtl w:val="true"/>
              </w:rPr>
              <w:t>[</w:t>
            </w:r>
            <w:r>
              <w:rPr>
                <w:rStyle w:val="IndexLink"/>
                <w:rtl w:val="true"/>
              </w:rPr>
              <w:t>المسألة</w:t>
            </w:r>
            <w:r>
              <w:rPr>
                <w:rStyle w:val="IndexLink"/>
                <w:rtl w:val="true"/>
              </w:rPr>
              <w:t xml:space="preserve">] </w:t>
            </w:r>
            <w:r>
              <w:rPr>
                <w:rStyle w:val="IndexLink"/>
                <w:rtl w:val="true"/>
              </w:rPr>
              <w:t>الثالثة</w:t>
            </w:r>
            <w:r>
              <w:rPr>
                <w:rStyle w:val="IndexLink"/>
                <w:rtl w:val="true"/>
              </w:rPr>
              <w:t xml:space="preserve">: </w:t>
            </w:r>
            <w:r>
              <w:rPr>
                <w:rStyle w:val="IndexLink"/>
                <w:rtl w:val="true"/>
              </w:rPr>
              <w:t>إذا غار ماء البئر قبل النزح ثمّ عاد فعلى القول بالوجوب تعبّدا لا إشكال في سقوط الأمر بالنزح ما دام غائرا،</w:t>
            </w:r>
            <w:r>
              <w:rPr>
                <w:rStyle w:val="IndexLink"/>
                <w:rtl w:val="true"/>
              </w:rPr>
              <w:tab/>
            </w:r>
            <w:r>
              <w:rPr>
                <w:rStyle w:val="IndexLink"/>
              </w:rPr>
              <w:t>745</w:t>
            </w:r>
          </w:hyperlink>
        </w:p>
        <w:p>
          <w:pPr>
            <w:pStyle w:val="Contents6"/>
            <w:tabs>
              <w:tab w:val="clear" w:pos="7609"/>
              <w:tab w:val="right" w:pos="9026" w:leader="dot"/>
            </w:tabs>
            <w:rPr/>
          </w:pPr>
          <w:hyperlink w:anchor="__RefHeading___Toc1805084_1280447820">
            <w:r>
              <w:rPr>
                <w:webHidden/>
                <w:rStyle w:val="IndexLink"/>
                <w:rtl w:val="true"/>
              </w:rPr>
              <w:t>المبحث الثاني</w:t>
            </w:r>
            <w:r>
              <w:rPr>
                <w:rStyle w:val="IndexLink"/>
                <w:rtl w:val="true"/>
              </w:rPr>
              <w:t xml:space="preserve">: </w:t>
            </w:r>
            <w:r>
              <w:rPr>
                <w:rStyle w:val="IndexLink"/>
                <w:rtl w:val="true"/>
              </w:rPr>
              <w:t>فيما يتعلّق بالنزح و آلاته، و النازح و ما يجب فيه و ما لا يجب،</w:t>
            </w:r>
            <w:r>
              <w:rPr>
                <w:rStyle w:val="IndexLink"/>
                <w:rtl w:val="true"/>
              </w:rPr>
              <w:tab/>
            </w:r>
            <w:r>
              <w:rPr>
                <w:rStyle w:val="IndexLink"/>
              </w:rPr>
              <w:t>747</w:t>
            </w:r>
          </w:hyperlink>
        </w:p>
        <w:p>
          <w:pPr>
            <w:pStyle w:val="Contents6"/>
            <w:tabs>
              <w:tab w:val="clear" w:pos="7609"/>
              <w:tab w:val="right" w:pos="9026" w:leader="dot"/>
            </w:tabs>
            <w:rPr/>
          </w:pPr>
          <w:hyperlink w:anchor="__RefHeading___Toc1805086_1280447820">
            <w:r>
              <w:rPr>
                <w:webHidden/>
                <w:rStyle w:val="IndexLink"/>
                <w:rtl w:val="true"/>
              </w:rPr>
              <w:t>اشارة</w:t>
            </w:r>
            <w:r>
              <w:rPr>
                <w:rStyle w:val="IndexLink"/>
                <w:rtl w:val="true"/>
              </w:rPr>
              <w:tab/>
            </w:r>
            <w:r>
              <w:rPr>
                <w:rStyle w:val="IndexLink"/>
              </w:rPr>
              <w:t>747</w:t>
            </w:r>
          </w:hyperlink>
        </w:p>
        <w:p>
          <w:pPr>
            <w:pStyle w:val="Contents6"/>
            <w:tabs>
              <w:tab w:val="clear" w:pos="7609"/>
              <w:tab w:val="right" w:pos="9026" w:leader="dot"/>
            </w:tabs>
            <w:rPr/>
          </w:pPr>
          <w:hyperlink w:anchor="__RefHeading___Toc1805088_1280447820">
            <w:r>
              <w:rPr>
                <w:webHidden/>
                <w:rStyle w:val="IndexLink"/>
                <w:rtl w:val="true"/>
              </w:rPr>
              <w:t>الاولى</w:t>
            </w:r>
            <w:r>
              <w:rPr>
                <w:rStyle w:val="IndexLink"/>
                <w:rtl w:val="true"/>
              </w:rPr>
              <w:t xml:space="preserve">: </w:t>
            </w:r>
            <w:r>
              <w:rPr>
                <w:rStyle w:val="IndexLink"/>
                <w:rtl w:val="true"/>
              </w:rPr>
              <w:t>أطلق غير واحد القول بوجوب إخراج النجاسة قبل النزح،</w:t>
            </w:r>
            <w:r>
              <w:rPr>
                <w:rStyle w:val="IndexLink"/>
                <w:rtl w:val="true"/>
              </w:rPr>
              <w:tab/>
            </w:r>
            <w:r>
              <w:rPr>
                <w:rStyle w:val="IndexLink"/>
              </w:rPr>
              <w:t>747</w:t>
            </w:r>
          </w:hyperlink>
        </w:p>
        <w:p>
          <w:pPr>
            <w:pStyle w:val="Contents6"/>
            <w:tabs>
              <w:tab w:val="clear" w:pos="7609"/>
              <w:tab w:val="right" w:pos="9026" w:leader="dot"/>
            </w:tabs>
            <w:rPr/>
          </w:pPr>
          <w:hyperlink w:anchor="__RefHeading___Toc1805090_1280447820">
            <w:r>
              <w:rPr>
                <w:webHidden/>
                <w:rStyle w:val="IndexLink"/>
                <w:rtl w:val="true"/>
              </w:rPr>
              <w:t>الثانية</w:t>
            </w:r>
            <w:r>
              <w:rPr>
                <w:rStyle w:val="IndexLink"/>
                <w:rtl w:val="true"/>
              </w:rPr>
              <w:t xml:space="preserve">: </w:t>
            </w:r>
            <w:r>
              <w:rPr>
                <w:rStyle w:val="IndexLink"/>
                <w:rtl w:val="true"/>
              </w:rPr>
              <w:t>قال في الدروس</w:t>
            </w:r>
            <w:r>
              <w:rPr>
                <w:rStyle w:val="IndexLink"/>
                <w:rtl w:val="true"/>
              </w:rPr>
              <w:t>: «</w:t>
            </w:r>
            <w:r>
              <w:rPr>
                <w:rStyle w:val="IndexLink"/>
                <w:rtl w:val="true"/>
              </w:rPr>
              <w:t>و يعفى عن المتساقط من الدلو و عن جوانبها و حماتها</w:t>
            </w:r>
            <w:r>
              <w:rPr>
                <w:rStyle w:val="IndexLink"/>
                <w:rtl w:val="true"/>
              </w:rPr>
              <w:t>»</w:t>
              <w:tab/>
            </w:r>
            <w:r>
              <w:rPr>
                <w:rStyle w:val="IndexLink"/>
              </w:rPr>
              <w:t>750</w:t>
            </w:r>
          </w:hyperlink>
        </w:p>
        <w:p>
          <w:pPr>
            <w:pStyle w:val="Contents6"/>
            <w:tabs>
              <w:tab w:val="clear" w:pos="7609"/>
              <w:tab w:val="right" w:pos="9026" w:leader="dot"/>
            </w:tabs>
            <w:rPr/>
          </w:pPr>
          <w:hyperlink w:anchor="__RefHeading___Toc1805092_1280447820">
            <w:r>
              <w:rPr>
                <w:webHidden/>
                <w:rStyle w:val="IndexLink"/>
                <w:rtl w:val="true"/>
              </w:rPr>
              <w:t>الثالثة</w:t>
            </w:r>
            <w:r>
              <w:rPr>
                <w:rStyle w:val="IndexLink"/>
                <w:rtl w:val="true"/>
              </w:rPr>
              <w:t xml:space="preserve">: </w:t>
            </w:r>
            <w:r>
              <w:rPr>
                <w:rStyle w:val="IndexLink"/>
                <w:rtl w:val="true"/>
              </w:rPr>
              <w:t>جعل في شرح الدروس المتساقط الخارج عن المعتاد أعمّ من أن ينصبّ جميع الدلو المنزوح في الماء و عدمه،</w:t>
            </w:r>
            <w:r>
              <w:rPr>
                <w:rStyle w:val="IndexLink"/>
                <w:rtl w:val="true"/>
              </w:rPr>
              <w:tab/>
            </w:r>
            <w:r>
              <w:rPr>
                <w:rStyle w:val="IndexLink"/>
              </w:rPr>
              <w:t>752</w:t>
            </w:r>
          </w:hyperlink>
        </w:p>
        <w:p>
          <w:pPr>
            <w:pStyle w:val="Contents6"/>
            <w:tabs>
              <w:tab w:val="clear" w:pos="7609"/>
              <w:tab w:val="right" w:pos="9026" w:leader="dot"/>
            </w:tabs>
            <w:rPr/>
          </w:pPr>
          <w:hyperlink w:anchor="__RefHeading___Toc1805094_1280447820">
            <w:r>
              <w:rPr>
                <w:webHidden/>
                <w:rStyle w:val="IndexLink"/>
                <w:rtl w:val="true"/>
              </w:rPr>
              <w:t>الرابعة</w:t>
            </w:r>
            <w:r>
              <w:rPr>
                <w:rStyle w:val="IndexLink"/>
                <w:rtl w:val="true"/>
              </w:rPr>
              <w:t xml:space="preserve">: </w:t>
            </w:r>
            <w:r>
              <w:rPr>
                <w:rStyle w:val="IndexLink"/>
                <w:rtl w:val="true"/>
              </w:rPr>
              <w:t>قال في الدروس</w:t>
            </w:r>
            <w:r>
              <w:rPr>
                <w:rStyle w:val="IndexLink"/>
                <w:rtl w:val="true"/>
              </w:rPr>
              <w:t>: «</w:t>
            </w:r>
            <w:r>
              <w:rPr>
                <w:rStyle w:val="IndexLink"/>
                <w:rtl w:val="true"/>
              </w:rPr>
              <w:t>و بطهرها يطهر المباشر و الرشاء</w:t>
            </w:r>
            <w:r>
              <w:rPr>
                <w:rStyle w:val="IndexLink"/>
                <w:rtl w:val="true"/>
              </w:rPr>
              <w:t>»</w:t>
              <w:tab/>
            </w:r>
            <w:r>
              <w:rPr>
                <w:rStyle w:val="IndexLink"/>
              </w:rPr>
              <w:t>754</w:t>
            </w:r>
          </w:hyperlink>
        </w:p>
        <w:p>
          <w:pPr>
            <w:pStyle w:val="Contents6"/>
            <w:tabs>
              <w:tab w:val="clear" w:pos="7609"/>
              <w:tab w:val="right" w:pos="9026" w:leader="dot"/>
            </w:tabs>
            <w:rPr/>
          </w:pPr>
          <w:hyperlink w:anchor="__RefHeading___Toc1805096_1280447820">
            <w:r>
              <w:rPr>
                <w:webHidden/>
                <w:rStyle w:val="IndexLink"/>
                <w:rtl w:val="true"/>
              </w:rPr>
              <w:t>الخامسة</w:t>
            </w:r>
            <w:r>
              <w:rPr>
                <w:rStyle w:val="IndexLink"/>
                <w:rtl w:val="true"/>
              </w:rPr>
              <w:t xml:space="preserve">: </w:t>
            </w:r>
            <w:r>
              <w:rPr>
                <w:rStyle w:val="IndexLink"/>
                <w:rtl w:val="true"/>
              </w:rPr>
              <w:t>وجوب النزح على القولين توصّلي و لو من جهة الأصل فيه،</w:t>
            </w:r>
            <w:r>
              <w:rPr>
                <w:rStyle w:val="IndexLink"/>
                <w:rtl w:val="true"/>
              </w:rPr>
              <w:tab/>
            </w:r>
            <w:r>
              <w:rPr>
                <w:rStyle w:val="IndexLink"/>
              </w:rPr>
              <w:t>754</w:t>
            </w:r>
          </w:hyperlink>
        </w:p>
        <w:p>
          <w:pPr>
            <w:pStyle w:val="Contents6"/>
            <w:tabs>
              <w:tab w:val="clear" w:pos="7609"/>
              <w:tab w:val="right" w:pos="9026" w:leader="dot"/>
            </w:tabs>
            <w:rPr/>
          </w:pPr>
          <w:hyperlink w:anchor="__RefHeading___Toc1805098_1280447820">
            <w:r>
              <w:rPr>
                <w:webHidden/>
                <w:rStyle w:val="IndexLink"/>
                <w:rtl w:val="true"/>
              </w:rPr>
              <w:t>المبحث الثالث</w:t>
            </w:r>
            <w:r>
              <w:rPr>
                <w:rStyle w:val="IndexLink"/>
                <w:rtl w:val="true"/>
              </w:rPr>
              <w:t xml:space="preserve">: </w:t>
            </w:r>
            <w:r>
              <w:rPr>
                <w:rStyle w:val="IndexLink"/>
                <w:rtl w:val="true"/>
              </w:rPr>
              <w:t>فيما يتعلّق بما ينزح له من النجاسات الموجبة له،</w:t>
            </w:r>
            <w:r>
              <w:rPr>
                <w:rStyle w:val="IndexLink"/>
                <w:rtl w:val="true"/>
              </w:rPr>
              <w:tab/>
            </w:r>
            <w:r>
              <w:rPr>
                <w:rStyle w:val="IndexLink"/>
              </w:rPr>
              <w:t>755</w:t>
            </w:r>
          </w:hyperlink>
        </w:p>
        <w:p>
          <w:pPr>
            <w:pStyle w:val="Contents6"/>
            <w:tabs>
              <w:tab w:val="clear" w:pos="7609"/>
              <w:tab w:val="right" w:pos="9026" w:leader="dot"/>
            </w:tabs>
            <w:rPr/>
          </w:pPr>
          <w:hyperlink w:anchor="__RefHeading___Toc1805100_1280447820">
            <w:r>
              <w:rPr>
                <w:webHidden/>
                <w:rStyle w:val="IndexLink"/>
                <w:rtl w:val="true"/>
              </w:rPr>
              <w:t>اشارة</w:t>
            </w:r>
            <w:r>
              <w:rPr>
                <w:rStyle w:val="IndexLink"/>
                <w:rtl w:val="true"/>
              </w:rPr>
              <w:tab/>
            </w:r>
            <w:r>
              <w:rPr>
                <w:rStyle w:val="IndexLink"/>
              </w:rPr>
              <w:t>755</w:t>
            </w:r>
          </w:hyperlink>
        </w:p>
        <w:p>
          <w:pPr>
            <w:pStyle w:val="Contents6"/>
            <w:tabs>
              <w:tab w:val="clear" w:pos="7609"/>
              <w:tab w:val="right" w:pos="9026" w:leader="dot"/>
            </w:tabs>
            <w:rPr/>
          </w:pPr>
          <w:hyperlink w:anchor="__RefHeading___Toc1805102_1280447820">
            <w:r>
              <w:rPr>
                <w:webHidden/>
                <w:rStyle w:val="IndexLink"/>
                <w:rtl w:val="true"/>
              </w:rPr>
              <w:t>الاولى</w:t>
            </w:r>
            <w:r>
              <w:rPr>
                <w:rStyle w:val="IndexLink"/>
                <w:rtl w:val="true"/>
              </w:rPr>
              <w:t xml:space="preserve">: </w:t>
            </w:r>
            <w:r>
              <w:rPr>
                <w:rStyle w:val="IndexLink"/>
                <w:rtl w:val="true"/>
              </w:rPr>
              <w:t>قال المحقّق في شرائعه</w:t>
            </w:r>
            <w:r>
              <w:rPr>
                <w:rStyle w:val="IndexLink"/>
                <w:rtl w:val="true"/>
              </w:rPr>
              <w:t>: «</w:t>
            </w:r>
            <w:r>
              <w:rPr>
                <w:rStyle w:val="IndexLink"/>
                <w:rtl w:val="true"/>
              </w:rPr>
              <w:t>حكم صغير الحيوان في النزح حكم كبيره في النزح</w:t>
            </w:r>
            <w:r>
              <w:rPr>
                <w:rStyle w:val="IndexLink"/>
                <w:rtl w:val="true"/>
              </w:rPr>
              <w:t>»</w:t>
              <w:tab/>
            </w:r>
            <w:r>
              <w:rPr>
                <w:rStyle w:val="IndexLink"/>
              </w:rPr>
              <w:t>755</w:t>
            </w:r>
          </w:hyperlink>
        </w:p>
        <w:p>
          <w:pPr>
            <w:pStyle w:val="Contents6"/>
            <w:tabs>
              <w:tab w:val="clear" w:pos="7609"/>
              <w:tab w:val="right" w:pos="9026" w:leader="dot"/>
            </w:tabs>
            <w:rPr/>
          </w:pPr>
          <w:hyperlink w:anchor="__RefHeading___Toc1805104_1280447820">
            <w:r>
              <w:rPr>
                <w:webHidden/>
                <w:rStyle w:val="IndexLink"/>
                <w:rtl w:val="true"/>
              </w:rPr>
              <w:t>الثانية</w:t>
            </w:r>
            <w:r>
              <w:rPr>
                <w:rStyle w:val="IndexLink"/>
                <w:rtl w:val="true"/>
              </w:rPr>
              <w:t xml:space="preserve">: </w:t>
            </w:r>
            <w:r>
              <w:rPr>
                <w:rStyle w:val="IndexLink"/>
                <w:rtl w:val="true"/>
              </w:rPr>
              <w:t>قال في المنتهى</w:t>
            </w:r>
            <w:r>
              <w:rPr>
                <w:rStyle w:val="IndexLink"/>
                <w:rtl w:val="true"/>
              </w:rPr>
              <w:t>: «</w:t>
            </w:r>
            <w:r>
              <w:rPr>
                <w:rStyle w:val="IndexLink"/>
                <w:rtl w:val="true"/>
              </w:rPr>
              <w:t>لو وقع جزء الحيوان في البئر، كيده و رجله، يلحق بحكمه،</w:t>
            </w:r>
            <w:r>
              <w:rPr>
                <w:rStyle w:val="IndexLink"/>
                <w:rtl w:val="true"/>
              </w:rPr>
              <w:tab/>
            </w:r>
            <w:r>
              <w:rPr>
                <w:rStyle w:val="IndexLink"/>
              </w:rPr>
              <w:t>755</w:t>
            </w:r>
          </w:hyperlink>
        </w:p>
        <w:p>
          <w:pPr>
            <w:pStyle w:val="Contents6"/>
            <w:tabs>
              <w:tab w:val="clear" w:pos="7609"/>
              <w:tab w:val="right" w:pos="9026" w:leader="dot"/>
            </w:tabs>
            <w:rPr/>
          </w:pPr>
          <w:hyperlink w:anchor="__RefHeading___Toc1805106_1280447820">
            <w:r>
              <w:rPr>
                <w:webHidden/>
                <w:rStyle w:val="IndexLink"/>
                <w:rtl w:val="true"/>
              </w:rPr>
              <w:t>الثالثة</w:t>
            </w:r>
            <w:r>
              <w:rPr>
                <w:rStyle w:val="IndexLink"/>
                <w:rtl w:val="true"/>
              </w:rPr>
              <w:t xml:space="preserve">: </w:t>
            </w:r>
            <w:r>
              <w:rPr>
                <w:rStyle w:val="IndexLink"/>
                <w:rtl w:val="true"/>
              </w:rPr>
              <w:t>قال في الدروس</w:t>
            </w:r>
            <w:r>
              <w:rPr>
                <w:rStyle w:val="IndexLink"/>
                <w:rtl w:val="true"/>
              </w:rPr>
              <w:t>: «</w:t>
            </w:r>
            <w:r>
              <w:rPr>
                <w:rStyle w:val="IndexLink"/>
                <w:rtl w:val="true"/>
              </w:rPr>
              <w:t>و لو تضاعف المنجّس تضاعف النزح، تخالف أو تماثل في الاسم أو في المقدّر</w:t>
            </w:r>
            <w:r>
              <w:rPr>
                <w:rStyle w:val="IndexLink"/>
                <w:rtl w:val="true"/>
              </w:rPr>
              <w:t>»</w:t>
              <w:tab/>
            </w:r>
            <w:r>
              <w:rPr>
                <w:rStyle w:val="IndexLink"/>
              </w:rPr>
              <w:t>756</w:t>
            </w:r>
          </w:hyperlink>
        </w:p>
        <w:p>
          <w:pPr>
            <w:pStyle w:val="Contents5"/>
            <w:tabs>
              <w:tab w:val="clear" w:pos="7892"/>
              <w:tab w:val="right" w:pos="9026" w:leader="dot"/>
            </w:tabs>
            <w:rPr/>
          </w:pPr>
          <w:hyperlink w:anchor="__RefHeading___Toc1805108_1280447820">
            <w:r>
              <w:rPr>
                <w:webHidden/>
                <w:rStyle w:val="IndexLink"/>
                <w:rtl w:val="true"/>
              </w:rPr>
              <w:t>و بقي في المقام امور ينبغي الإشارة إليها من باب التفريع</w:t>
            </w:r>
            <w:r>
              <w:rPr>
                <w:rStyle w:val="IndexLink"/>
                <w:rtl w:val="true"/>
              </w:rPr>
              <w:t>.</w:t>
              <w:tab/>
            </w:r>
            <w:r>
              <w:rPr>
                <w:rStyle w:val="IndexLink"/>
              </w:rPr>
              <w:t>765</w:t>
            </w:r>
          </w:hyperlink>
        </w:p>
        <w:p>
          <w:pPr>
            <w:pStyle w:val="Contents6"/>
            <w:tabs>
              <w:tab w:val="clear" w:pos="7609"/>
              <w:tab w:val="right" w:pos="9026" w:leader="dot"/>
            </w:tabs>
            <w:rPr/>
          </w:pPr>
          <w:hyperlink w:anchor="__RefHeading___Toc1805110_1280447820">
            <w:r>
              <w:rPr>
                <w:webHidden/>
                <w:rStyle w:val="IndexLink"/>
                <w:rtl w:val="true"/>
              </w:rPr>
              <w:t>أحدها</w:t>
            </w:r>
            <w:r>
              <w:rPr>
                <w:rStyle w:val="IndexLink"/>
                <w:rtl w:val="true"/>
              </w:rPr>
              <w:t xml:space="preserve">: </w:t>
            </w:r>
            <w:r>
              <w:rPr>
                <w:rStyle w:val="IndexLink"/>
                <w:rtl w:val="true"/>
              </w:rPr>
              <w:t>قضيّة الدليل المذكور عدم الفرق في المنجّس بين النوعين المختلفين في الاسم و الحكم معا، أو في الاسم فقط،</w:t>
            </w:r>
            <w:r>
              <w:rPr>
                <w:rStyle w:val="IndexLink"/>
                <w:rtl w:val="true"/>
              </w:rPr>
              <w:tab/>
            </w:r>
            <w:r>
              <w:rPr>
                <w:rStyle w:val="IndexLink"/>
              </w:rPr>
              <w:t>765</w:t>
            </w:r>
          </w:hyperlink>
        </w:p>
        <w:p>
          <w:pPr>
            <w:pStyle w:val="Contents6"/>
            <w:tabs>
              <w:tab w:val="clear" w:pos="7609"/>
              <w:tab w:val="right" w:pos="9026" w:leader="dot"/>
            </w:tabs>
            <w:rPr/>
          </w:pPr>
          <w:hyperlink w:anchor="__RefHeading___Toc1805112_1280447820">
            <w:r>
              <w:rPr>
                <w:webHidden/>
                <w:rStyle w:val="IndexLink"/>
                <w:rtl w:val="true"/>
              </w:rPr>
              <w:t>و ثانيها</w:t>
            </w:r>
            <w:r>
              <w:rPr>
                <w:rStyle w:val="IndexLink"/>
                <w:rtl w:val="true"/>
              </w:rPr>
              <w:t xml:space="preserve">: </w:t>
            </w:r>
            <w:r>
              <w:rPr>
                <w:rStyle w:val="IndexLink"/>
                <w:rtl w:val="true"/>
              </w:rPr>
              <w:t>عن أهل القول بعدم التداخل أنّه استثنوا من ذلك ما إذا تبدّل موضوع حكم بسبب تعاقب الفردين من ماهيّة فصاعدا بموضوع حكم آخر،</w:t>
            </w:r>
            <w:r>
              <w:rPr>
                <w:rStyle w:val="IndexLink"/>
                <w:rtl w:val="true"/>
              </w:rPr>
              <w:tab/>
            </w:r>
            <w:r>
              <w:rPr>
                <w:rStyle w:val="IndexLink"/>
              </w:rPr>
              <w:t>768</w:t>
            </w:r>
          </w:hyperlink>
        </w:p>
        <w:p>
          <w:pPr>
            <w:pStyle w:val="Contents6"/>
            <w:tabs>
              <w:tab w:val="clear" w:pos="7609"/>
              <w:tab w:val="right" w:pos="9026" w:leader="dot"/>
            </w:tabs>
            <w:rPr/>
          </w:pPr>
          <w:hyperlink w:anchor="__RefHeading___Toc1805114_1280447820">
            <w:r>
              <w:rPr>
                <w:webHidden/>
                <w:rStyle w:val="IndexLink"/>
                <w:rtl w:val="true"/>
              </w:rPr>
              <w:t>و ثالثها</w:t>
            </w:r>
            <w:r>
              <w:rPr>
                <w:rStyle w:val="IndexLink"/>
                <w:rtl w:val="true"/>
              </w:rPr>
              <w:t xml:space="preserve">: </w:t>
            </w:r>
            <w:r>
              <w:rPr>
                <w:rStyle w:val="IndexLink"/>
                <w:rtl w:val="true"/>
              </w:rPr>
              <w:t>قضيّة إطلاقهم في عدم التداخل مع إطلاق قولهم فيما تقدّم بلحوق الجزء بالكلّ تضاعف النجاسة فيما لو وقع فيه جزءان من حيوان،</w:t>
            </w:r>
            <w:r>
              <w:rPr>
                <w:rStyle w:val="IndexLink"/>
                <w:rtl w:val="true"/>
              </w:rPr>
              <w:tab/>
            </w:r>
            <w:r>
              <w:rPr>
                <w:rStyle w:val="IndexLink"/>
              </w:rPr>
              <w:t>770</w:t>
            </w:r>
          </w:hyperlink>
        </w:p>
        <w:p>
          <w:pPr>
            <w:pStyle w:val="Contents6"/>
            <w:tabs>
              <w:tab w:val="clear" w:pos="7609"/>
              <w:tab w:val="right" w:pos="9026" w:leader="dot"/>
            </w:tabs>
            <w:rPr/>
          </w:pPr>
          <w:hyperlink w:anchor="__RefHeading___Toc1805116_1280447820">
            <w:r>
              <w:rPr>
                <w:webHidden/>
                <w:rStyle w:val="IndexLink"/>
                <w:rtl w:val="true"/>
              </w:rPr>
              <w:t>و رابعها</w:t>
            </w:r>
            <w:r>
              <w:rPr>
                <w:rStyle w:val="IndexLink"/>
                <w:rtl w:val="true"/>
              </w:rPr>
              <w:t xml:space="preserve">: </w:t>
            </w:r>
            <w:r>
              <w:rPr>
                <w:rStyle w:val="IndexLink"/>
                <w:rtl w:val="true"/>
              </w:rPr>
              <w:t>عن الشهيد في الذكرى أنّه ألحق الحيوان الحامل و ذا الرجيع النجس بغيرهما،</w:t>
            </w:r>
            <w:r>
              <w:rPr>
                <w:rStyle w:val="IndexLink"/>
                <w:rtl w:val="true"/>
              </w:rPr>
              <w:tab/>
            </w:r>
            <w:r>
              <w:rPr>
                <w:rStyle w:val="IndexLink"/>
              </w:rPr>
              <w:t>771</w:t>
            </w:r>
          </w:hyperlink>
        </w:p>
        <w:p>
          <w:pPr>
            <w:pStyle w:val="Contents6"/>
            <w:tabs>
              <w:tab w:val="clear" w:pos="7609"/>
              <w:tab w:val="right" w:pos="9026" w:leader="dot"/>
            </w:tabs>
            <w:rPr/>
          </w:pPr>
          <w:hyperlink w:anchor="__RefHeading___Toc1805118_1280447820">
            <w:r>
              <w:rPr>
                <w:webHidden/>
                <w:rStyle w:val="IndexLink"/>
                <w:rtl w:val="true"/>
              </w:rPr>
              <w:t>و خامسها</w:t>
            </w:r>
            <w:r>
              <w:rPr>
                <w:rStyle w:val="IndexLink"/>
                <w:rtl w:val="true"/>
              </w:rPr>
              <w:t xml:space="preserve">: </w:t>
            </w:r>
            <w:r>
              <w:rPr>
                <w:rStyle w:val="IndexLink"/>
                <w:rtl w:val="true"/>
              </w:rPr>
              <w:t>عن صاحب المعالم أنّه بعد ذكر المسألة قال</w:t>
            </w:r>
            <w:r>
              <w:rPr>
                <w:rStyle w:val="IndexLink"/>
                <w:rtl w:val="true"/>
              </w:rPr>
              <w:t>: «</w:t>
            </w:r>
            <w:r>
              <w:rPr>
                <w:rStyle w:val="IndexLink"/>
                <w:rtl w:val="true"/>
              </w:rPr>
              <w:t>إذا تقرّر هذا، فاعلم أنّ الحكم على تقدير سعة ماء البئر لنزح المقادير المتعدّدة واضح</w:t>
            </w:r>
            <w:r>
              <w:rPr>
                <w:rStyle w:val="IndexLink"/>
                <w:rtl w:val="true"/>
              </w:rPr>
              <w:t>.</w:t>
              <w:tab/>
            </w:r>
            <w:r>
              <w:rPr>
                <w:rStyle w:val="IndexLink"/>
              </w:rPr>
              <w:t>772</w:t>
            </w:r>
          </w:hyperlink>
        </w:p>
        <w:p>
          <w:pPr>
            <w:pStyle w:val="Contents3"/>
            <w:tabs>
              <w:tab w:val="clear" w:pos="8459"/>
              <w:tab w:val="right" w:pos="9026" w:leader="dot"/>
            </w:tabs>
            <w:rPr/>
          </w:pPr>
          <w:hyperlink w:anchor="__RefHeading___Toc1805120_1280447820">
            <w:r>
              <w:rPr>
                <w:webHidden/>
                <w:rStyle w:val="IndexLink"/>
                <w:rtl w:val="true"/>
              </w:rPr>
              <w:t xml:space="preserve">ينبوع </w:t>
            </w:r>
            <w:r>
              <w:rPr>
                <w:rStyle w:val="IndexLink"/>
                <w:rtl w:val="true"/>
              </w:rPr>
              <w:t>[</w:t>
            </w:r>
            <w:r>
              <w:rPr>
                <w:rStyle w:val="IndexLink"/>
                <w:rtl w:val="true"/>
              </w:rPr>
              <w:t>في المسألة البئر و البالوعة</w:t>
            </w:r>
            <w:r>
              <w:rPr>
                <w:rStyle w:val="IndexLink"/>
                <w:rtl w:val="true"/>
              </w:rPr>
              <w:t>]</w:t>
              <w:tab/>
            </w:r>
            <w:r>
              <w:rPr>
                <w:rStyle w:val="IndexLink"/>
              </w:rPr>
              <w:t>775</w:t>
            </w:r>
          </w:hyperlink>
        </w:p>
        <w:p>
          <w:pPr>
            <w:pStyle w:val="Contents3"/>
            <w:tabs>
              <w:tab w:val="clear" w:pos="8459"/>
              <w:tab w:val="right" w:pos="9026" w:leader="dot"/>
            </w:tabs>
            <w:rPr/>
          </w:pPr>
          <w:hyperlink w:anchor="__RefHeading___Toc1805122_1280447820">
            <w:r>
              <w:rPr>
                <w:webHidden/>
                <w:rStyle w:val="IndexLink"/>
                <w:rtl w:val="true"/>
              </w:rPr>
              <w:t xml:space="preserve">ينبوع </w:t>
            </w:r>
            <w:r>
              <w:rPr>
                <w:rStyle w:val="IndexLink"/>
                <w:rtl w:val="true"/>
              </w:rPr>
              <w:t>[</w:t>
            </w:r>
            <w:r>
              <w:rPr>
                <w:rStyle w:val="IndexLink"/>
                <w:rtl w:val="true"/>
              </w:rPr>
              <w:t>في الماء المضاف</w:t>
            </w:r>
            <w:r>
              <w:rPr>
                <w:rStyle w:val="IndexLink"/>
                <w:rtl w:val="true"/>
              </w:rPr>
              <w:t>]</w:t>
              <w:tab/>
            </w:r>
            <w:r>
              <w:rPr>
                <w:rStyle w:val="IndexLink"/>
              </w:rPr>
              <w:t>789</w:t>
            </w:r>
          </w:hyperlink>
        </w:p>
        <w:p>
          <w:pPr>
            <w:pStyle w:val="Contents4"/>
            <w:tabs>
              <w:tab w:val="clear" w:pos="8176"/>
              <w:tab w:val="right" w:pos="9026" w:leader="dot"/>
            </w:tabs>
            <w:rPr/>
          </w:pPr>
          <w:hyperlink w:anchor="__RefHeading___Toc1805124_1280447820">
            <w:r>
              <w:rPr>
                <w:webHidden/>
                <w:rStyle w:val="IndexLink"/>
                <w:rtl w:val="true"/>
              </w:rPr>
              <w:t>اشارة</w:t>
            </w:r>
            <w:r>
              <w:rPr>
                <w:rStyle w:val="IndexLink"/>
                <w:rtl w:val="true"/>
              </w:rPr>
              <w:tab/>
            </w:r>
            <w:r>
              <w:rPr>
                <w:rStyle w:val="IndexLink"/>
              </w:rPr>
              <w:t>789</w:t>
            </w:r>
          </w:hyperlink>
        </w:p>
        <w:p>
          <w:pPr>
            <w:pStyle w:val="Contents4"/>
            <w:tabs>
              <w:tab w:val="clear" w:pos="8176"/>
              <w:tab w:val="right" w:pos="9026" w:leader="dot"/>
            </w:tabs>
            <w:rPr/>
          </w:pPr>
          <w:hyperlink w:anchor="__RefHeading___Toc1805126_1280447820">
            <w:r>
              <w:rPr>
                <w:webHidden/>
                <w:rStyle w:val="IndexLink"/>
                <w:rtl w:val="true"/>
              </w:rPr>
              <w:t>فينبغي إيراد الكلام في مباحث</w:t>
            </w:r>
            <w:r>
              <w:rPr>
                <w:rStyle w:val="IndexLink"/>
                <w:rtl w:val="true"/>
              </w:rPr>
              <w:t>:</w:t>
              <w:tab/>
            </w:r>
            <w:r>
              <w:rPr>
                <w:rStyle w:val="IndexLink"/>
              </w:rPr>
              <w:t>793</w:t>
            </w:r>
          </w:hyperlink>
        </w:p>
        <w:p>
          <w:pPr>
            <w:pStyle w:val="Contents5"/>
            <w:tabs>
              <w:tab w:val="clear" w:pos="7892"/>
              <w:tab w:val="right" w:pos="9026" w:leader="dot"/>
            </w:tabs>
            <w:rPr/>
          </w:pPr>
          <w:hyperlink w:anchor="__RefHeading___Toc1805128_1280447820">
            <w:r>
              <w:rPr>
                <w:webHidden/>
                <w:rStyle w:val="IndexLink"/>
                <w:rtl w:val="true"/>
              </w:rPr>
              <w:t>المبحث الأوّل</w:t>
            </w:r>
            <w:r>
              <w:rPr>
                <w:rStyle w:val="IndexLink"/>
                <w:rtl w:val="true"/>
              </w:rPr>
              <w:t xml:space="preserve">: </w:t>
            </w:r>
            <w:r>
              <w:rPr>
                <w:rStyle w:val="IndexLink"/>
                <w:rtl w:val="true"/>
              </w:rPr>
              <w:t>المشهور القريب من الإجماع أنّ المضاف مطلقا لا يرفع حدثا مطلقا اختيارا و لا اضطرارا،</w:t>
            </w:r>
            <w:r>
              <w:rPr>
                <w:rStyle w:val="IndexLink"/>
                <w:rtl w:val="true"/>
              </w:rPr>
              <w:tab/>
            </w:r>
            <w:r>
              <w:rPr>
                <w:rStyle w:val="IndexLink"/>
              </w:rPr>
              <w:t>793</w:t>
            </w:r>
          </w:hyperlink>
        </w:p>
        <w:p>
          <w:pPr>
            <w:pStyle w:val="Contents5"/>
            <w:tabs>
              <w:tab w:val="clear" w:pos="7892"/>
              <w:tab w:val="right" w:pos="9026" w:leader="dot"/>
            </w:tabs>
            <w:rPr/>
          </w:pPr>
          <w:hyperlink w:anchor="__RefHeading___Toc1805130_1280447820">
            <w:r>
              <w:rPr>
                <w:webHidden/>
                <w:rStyle w:val="IndexLink"/>
                <w:rtl w:val="true"/>
              </w:rPr>
              <w:t>المبحث الثاني</w:t>
            </w:r>
            <w:r>
              <w:rPr>
                <w:rStyle w:val="IndexLink"/>
                <w:rtl w:val="true"/>
              </w:rPr>
              <w:t xml:space="preserve">: </w:t>
            </w:r>
            <w:r>
              <w:rPr>
                <w:rStyle w:val="IndexLink"/>
                <w:rtl w:val="true"/>
              </w:rPr>
              <w:t>المشهور أنّ المضاف كما لا يرفع الحدث لا يرفع الخبث أيضا،</w:t>
            </w:r>
            <w:r>
              <w:rPr>
                <w:rStyle w:val="IndexLink"/>
                <w:rtl w:val="true"/>
              </w:rPr>
              <w:tab/>
            </w:r>
            <w:r>
              <w:rPr>
                <w:rStyle w:val="IndexLink"/>
              </w:rPr>
              <w:t>796</w:t>
            </w:r>
          </w:hyperlink>
        </w:p>
        <w:p>
          <w:pPr>
            <w:pStyle w:val="Contents5"/>
            <w:tabs>
              <w:tab w:val="clear" w:pos="7892"/>
              <w:tab w:val="right" w:pos="9026" w:leader="dot"/>
            </w:tabs>
            <w:rPr/>
          </w:pPr>
          <w:hyperlink w:anchor="__RefHeading___Toc1805132_1280447820">
            <w:r>
              <w:rPr>
                <w:webHidden/>
                <w:rStyle w:val="IndexLink"/>
                <w:rtl w:val="true"/>
              </w:rPr>
              <w:t>المبحث الثالث</w:t>
            </w:r>
            <w:r>
              <w:rPr>
                <w:rStyle w:val="IndexLink"/>
                <w:rtl w:val="true"/>
              </w:rPr>
              <w:t xml:space="preserve">: </w:t>
            </w:r>
            <w:r>
              <w:rPr>
                <w:rStyle w:val="IndexLink"/>
                <w:rtl w:val="true"/>
              </w:rPr>
              <w:t>المعروف من مذهب الأصحاب المنقول فيه الإجماع في كلام غير واحد أنّ المضاف ينفعل بملاقاة النجاسة</w:t>
            </w:r>
            <w:r>
              <w:rPr>
                <w:rStyle w:val="IndexLink"/>
                <w:rtl w:val="true"/>
              </w:rPr>
              <w:tab/>
            </w:r>
            <w:r>
              <w:rPr>
                <w:rStyle w:val="IndexLink"/>
              </w:rPr>
              <w:t>804</w:t>
            </w:r>
          </w:hyperlink>
        </w:p>
        <w:p>
          <w:pPr>
            <w:pStyle w:val="Contents5"/>
            <w:tabs>
              <w:tab w:val="clear" w:pos="7892"/>
              <w:tab w:val="right" w:pos="9026" w:leader="dot"/>
            </w:tabs>
            <w:rPr/>
          </w:pPr>
          <w:hyperlink w:anchor="__RefHeading___Toc1805134_1280447820">
            <w:r>
              <w:rPr>
                <w:webHidden/>
                <w:rStyle w:val="IndexLink"/>
                <w:rtl w:val="true"/>
              </w:rPr>
              <w:t>المبحث الرابع</w:t>
            </w:r>
            <w:r>
              <w:rPr>
                <w:rStyle w:val="IndexLink"/>
                <w:rtl w:val="true"/>
              </w:rPr>
              <w:t xml:space="preserve">: </w:t>
            </w:r>
            <w:r>
              <w:rPr>
                <w:rStyle w:val="IndexLink"/>
                <w:rtl w:val="true"/>
              </w:rPr>
              <w:t>لا خلاف بين الأصحاب في طهر المضاف المتنجّس بصيرورته مطلقا بسبب اختلاطه بما زاد على الكثير من المياه المطلقة،</w:t>
            </w:r>
            <w:r>
              <w:rPr>
                <w:rStyle w:val="IndexLink"/>
                <w:rtl w:val="true"/>
              </w:rPr>
              <w:tab/>
            </w:r>
            <w:r>
              <w:rPr>
                <w:rStyle w:val="IndexLink"/>
              </w:rPr>
              <w:t>810</w:t>
            </w:r>
          </w:hyperlink>
        </w:p>
        <w:p>
          <w:pPr>
            <w:pStyle w:val="Contents5"/>
            <w:tabs>
              <w:tab w:val="clear" w:pos="7892"/>
              <w:tab w:val="right" w:pos="9026" w:leader="dot"/>
            </w:tabs>
            <w:rPr/>
          </w:pPr>
          <w:hyperlink w:anchor="__RefHeading___Toc1805136_1280447820">
            <w:r>
              <w:rPr>
                <w:webHidden/>
                <w:rStyle w:val="IndexLink"/>
                <w:rtl w:val="true"/>
              </w:rPr>
              <w:t>المبحث الخامس</w:t>
            </w:r>
            <w:r>
              <w:rPr>
                <w:rStyle w:val="IndexLink"/>
                <w:rtl w:val="true"/>
              </w:rPr>
              <w:t xml:space="preserve">: </w:t>
            </w:r>
            <w:r>
              <w:rPr>
                <w:rStyle w:val="IndexLink"/>
                <w:rtl w:val="true"/>
              </w:rPr>
              <w:t>إذا اختلط المضاف بالمطلق فلا إشكال في أنّ الأحكام تتبع في ترتّبها إطلاق الاسم عرفا،</w:t>
            </w:r>
            <w:r>
              <w:rPr>
                <w:rStyle w:val="IndexLink"/>
                <w:rtl w:val="true"/>
              </w:rPr>
              <w:tab/>
            </w:r>
            <w:r>
              <w:rPr>
                <w:rStyle w:val="IndexLink"/>
              </w:rPr>
              <w:t>822</w:t>
            </w:r>
          </w:hyperlink>
        </w:p>
        <w:p>
          <w:pPr>
            <w:pStyle w:val="Contents5"/>
            <w:tabs>
              <w:tab w:val="clear" w:pos="7892"/>
              <w:tab w:val="right" w:pos="9026" w:leader="dot"/>
            </w:tabs>
            <w:rPr/>
          </w:pPr>
          <w:hyperlink w:anchor="__RefHeading___Toc1805138_1280447820">
            <w:r>
              <w:rPr>
                <w:webHidden/>
                <w:rStyle w:val="IndexLink"/>
                <w:rtl w:val="true"/>
              </w:rPr>
              <w:t>المبحث السادس</w:t>
            </w:r>
            <w:r>
              <w:rPr>
                <w:rStyle w:val="IndexLink"/>
                <w:rtl w:val="true"/>
              </w:rPr>
              <w:t xml:space="preserve">: </w:t>
            </w:r>
            <w:r>
              <w:rPr>
                <w:rStyle w:val="IndexLink"/>
                <w:rtl w:val="true"/>
              </w:rPr>
              <w:t>لو كان مع المكلّف من المطلق ما لا يكفيه للطهارة و أمكن إتمامه بمضاف على وجه لا يسلبه الإطلاق،</w:t>
            </w:r>
            <w:r>
              <w:rPr>
                <w:rStyle w:val="IndexLink"/>
                <w:rtl w:val="true"/>
              </w:rPr>
              <w:tab/>
            </w:r>
            <w:r>
              <w:rPr>
                <w:rStyle w:val="IndexLink"/>
              </w:rPr>
              <w:t>829</w:t>
            </w:r>
          </w:hyperlink>
        </w:p>
        <w:p>
          <w:pPr>
            <w:pStyle w:val="Contents3"/>
            <w:tabs>
              <w:tab w:val="clear" w:pos="8459"/>
              <w:tab w:val="right" w:pos="9026" w:leader="dot"/>
            </w:tabs>
            <w:rPr/>
          </w:pPr>
          <w:hyperlink w:anchor="__RefHeading___Toc1805140_1280447820">
            <w:r>
              <w:rPr>
                <w:webHidden/>
                <w:rStyle w:val="IndexLink"/>
                <w:rtl w:val="true"/>
              </w:rPr>
              <w:t xml:space="preserve">ينبوع </w:t>
            </w:r>
            <w:r>
              <w:rPr>
                <w:rStyle w:val="IndexLink"/>
                <w:rtl w:val="true"/>
              </w:rPr>
              <w:t>[</w:t>
            </w:r>
            <w:r>
              <w:rPr>
                <w:rStyle w:val="IndexLink"/>
                <w:rtl w:val="true"/>
              </w:rPr>
              <w:t>في الماء المشتبه بالنجس</w:t>
            </w:r>
            <w:r>
              <w:rPr>
                <w:rStyle w:val="IndexLink"/>
                <w:rtl w:val="true"/>
              </w:rPr>
              <w:t>]</w:t>
              <w:tab/>
            </w:r>
            <w:r>
              <w:rPr>
                <w:rStyle w:val="IndexLink"/>
              </w:rPr>
              <w:t>833</w:t>
            </w:r>
          </w:hyperlink>
        </w:p>
        <w:p>
          <w:pPr>
            <w:pStyle w:val="Contents4"/>
            <w:tabs>
              <w:tab w:val="clear" w:pos="8176"/>
              <w:tab w:val="right" w:pos="9026" w:leader="dot"/>
            </w:tabs>
            <w:rPr/>
          </w:pPr>
          <w:hyperlink w:anchor="__RefHeading___Toc1805142_1280447820">
            <w:r>
              <w:rPr>
                <w:webHidden/>
                <w:rStyle w:val="IndexLink"/>
                <w:rtl w:val="true"/>
              </w:rPr>
              <w:t>اشارة</w:t>
            </w:r>
            <w:r>
              <w:rPr>
                <w:rStyle w:val="IndexLink"/>
                <w:rtl w:val="true"/>
              </w:rPr>
              <w:tab/>
            </w:r>
            <w:r>
              <w:rPr>
                <w:rStyle w:val="IndexLink"/>
              </w:rPr>
              <w:t>833</w:t>
            </w:r>
          </w:hyperlink>
        </w:p>
        <w:p>
          <w:pPr>
            <w:pStyle w:val="Contents4"/>
            <w:tabs>
              <w:tab w:val="clear" w:pos="8176"/>
              <w:tab w:val="right" w:pos="9026" w:leader="dot"/>
            </w:tabs>
            <w:rPr/>
          </w:pPr>
          <w:hyperlink w:anchor="__RefHeading___Toc1805144_1280447820">
            <w:r>
              <w:rPr>
                <w:webHidden/>
                <w:rStyle w:val="IndexLink"/>
                <w:rtl w:val="true"/>
              </w:rPr>
              <w:t>المقام الأوّل</w:t>
            </w:r>
            <w:r>
              <w:rPr>
                <w:rStyle w:val="IndexLink"/>
                <w:rtl w:val="true"/>
              </w:rPr>
              <w:t xml:space="preserve">: </w:t>
            </w:r>
            <w:r>
              <w:rPr>
                <w:rStyle w:val="IndexLink"/>
                <w:rtl w:val="true"/>
              </w:rPr>
              <w:t>في الماء المشتبه بالنجس، المعنون في كلام بعضهم بالإناءين أحدهما طاهر و الآخر نجس فاشتبها،</w:t>
            </w:r>
            <w:r>
              <w:rPr>
                <w:rStyle w:val="IndexLink"/>
                <w:rtl w:val="true"/>
              </w:rPr>
              <w:tab/>
            </w:r>
            <w:r>
              <w:rPr>
                <w:rStyle w:val="IndexLink"/>
              </w:rPr>
              <w:t>833</w:t>
            </w:r>
          </w:hyperlink>
        </w:p>
        <w:p>
          <w:pPr>
            <w:pStyle w:val="Contents5"/>
            <w:tabs>
              <w:tab w:val="clear" w:pos="7892"/>
              <w:tab w:val="right" w:pos="9026" w:leader="dot"/>
            </w:tabs>
            <w:rPr/>
          </w:pPr>
          <w:hyperlink w:anchor="__RefHeading___Toc1805146_1280447820">
            <w:r>
              <w:rPr>
                <w:webHidden/>
                <w:rStyle w:val="IndexLink"/>
                <w:rtl w:val="true"/>
              </w:rPr>
              <w:t>اشارة</w:t>
            </w:r>
            <w:r>
              <w:rPr>
                <w:rStyle w:val="IndexLink"/>
                <w:rtl w:val="true"/>
              </w:rPr>
              <w:tab/>
            </w:r>
            <w:r>
              <w:rPr>
                <w:rStyle w:val="IndexLink"/>
              </w:rPr>
              <w:t>833</w:t>
            </w:r>
          </w:hyperlink>
        </w:p>
        <w:p>
          <w:pPr>
            <w:pStyle w:val="Contents5"/>
            <w:tabs>
              <w:tab w:val="clear" w:pos="7892"/>
              <w:tab w:val="right" w:pos="9026" w:leader="dot"/>
            </w:tabs>
            <w:rPr/>
          </w:pPr>
          <w:hyperlink w:anchor="__RefHeading___Toc1805148_1280447820">
            <w:r>
              <w:rPr>
                <w:webHidden/>
                <w:rStyle w:val="IndexLink"/>
                <w:rtl w:val="true"/>
              </w:rPr>
              <w:t>ثمّ إنّ هاهنا فروعا ينبغي التعرّض لبيانها لما فيها من عموم النفع</w:t>
            </w:r>
            <w:r>
              <w:rPr>
                <w:rStyle w:val="IndexLink"/>
                <w:rtl w:val="true"/>
              </w:rPr>
              <w:t>.</w:t>
              <w:tab/>
            </w:r>
            <w:r>
              <w:rPr>
                <w:rStyle w:val="IndexLink"/>
              </w:rPr>
              <w:t>846</w:t>
            </w:r>
          </w:hyperlink>
        </w:p>
        <w:p>
          <w:pPr>
            <w:pStyle w:val="Contents6"/>
            <w:tabs>
              <w:tab w:val="clear" w:pos="7609"/>
              <w:tab w:val="right" w:pos="9026" w:leader="dot"/>
            </w:tabs>
            <w:rPr/>
          </w:pPr>
          <w:hyperlink w:anchor="__RefHeading___Toc1805150_1280447820">
            <w:r>
              <w:rPr>
                <w:webHidden/>
                <w:rStyle w:val="IndexLink"/>
                <w:rtl w:val="true"/>
              </w:rPr>
              <w:t>أحدها</w:t>
            </w:r>
            <w:r>
              <w:rPr>
                <w:rStyle w:val="IndexLink"/>
                <w:rtl w:val="true"/>
              </w:rPr>
              <w:t xml:space="preserve">: </w:t>
            </w:r>
            <w:r>
              <w:rPr>
                <w:rStyle w:val="IndexLink"/>
                <w:rtl w:val="true"/>
              </w:rPr>
              <w:t>إذا اتّفق ملاقاة طاهر للمشتبه، فهناك صور</w:t>
            </w:r>
            <w:r>
              <w:rPr>
                <w:rStyle w:val="IndexLink"/>
                <w:rtl w:val="true"/>
              </w:rPr>
              <w:t>.</w:t>
              <w:tab/>
            </w:r>
            <w:r>
              <w:rPr>
                <w:rStyle w:val="IndexLink"/>
              </w:rPr>
              <w:t>846</w:t>
            </w:r>
          </w:hyperlink>
        </w:p>
        <w:p>
          <w:pPr>
            <w:pStyle w:val="Contents6"/>
            <w:tabs>
              <w:tab w:val="clear" w:pos="7609"/>
              <w:tab w:val="right" w:pos="9026" w:leader="dot"/>
            </w:tabs>
            <w:rPr/>
          </w:pPr>
          <w:hyperlink w:anchor="__RefHeading___Toc1805152_1280447820">
            <w:r>
              <w:rPr>
                <w:webHidden/>
                <w:rStyle w:val="IndexLink"/>
                <w:rtl w:val="true"/>
              </w:rPr>
              <w:t>و ثانيها</w:t>
            </w:r>
            <w:r>
              <w:rPr>
                <w:rStyle w:val="IndexLink"/>
                <w:rtl w:val="true"/>
              </w:rPr>
              <w:t xml:space="preserve">: </w:t>
            </w:r>
            <w:r>
              <w:rPr>
                <w:rStyle w:val="IndexLink"/>
                <w:rtl w:val="true"/>
              </w:rPr>
              <w:t>لو انصبّ أحد الإنائين بعد ملاقاة النجاسة و قبل العلم بها،</w:t>
            </w:r>
            <w:r>
              <w:rPr>
                <w:rStyle w:val="IndexLink"/>
                <w:rtl w:val="true"/>
              </w:rPr>
              <w:tab/>
            </w:r>
            <w:r>
              <w:rPr>
                <w:rStyle w:val="IndexLink"/>
              </w:rPr>
              <w:t>850</w:t>
            </w:r>
          </w:hyperlink>
        </w:p>
        <w:p>
          <w:pPr>
            <w:pStyle w:val="Contents6"/>
            <w:tabs>
              <w:tab w:val="clear" w:pos="7609"/>
              <w:tab w:val="right" w:pos="9026" w:leader="dot"/>
            </w:tabs>
            <w:rPr/>
          </w:pPr>
          <w:hyperlink w:anchor="__RefHeading___Toc1805154_1280447820">
            <w:r>
              <w:rPr>
                <w:webHidden/>
                <w:rStyle w:val="IndexLink"/>
                <w:rtl w:val="true"/>
              </w:rPr>
              <w:t>و ثالثها</w:t>
            </w:r>
            <w:r>
              <w:rPr>
                <w:rStyle w:val="IndexLink"/>
                <w:rtl w:val="true"/>
              </w:rPr>
              <w:t xml:space="preserve">: </w:t>
            </w:r>
            <w:r>
              <w:rPr>
                <w:rStyle w:val="IndexLink"/>
                <w:rtl w:val="true"/>
              </w:rPr>
              <w:t>إذا تمكّن المكلّف عن ماء آخر غير المشتبهين لصلاته حدثا أو خبثا تعيّن بلا إشكال و لا خلاف،</w:t>
            </w:r>
            <w:r>
              <w:rPr>
                <w:rStyle w:val="IndexLink"/>
                <w:rtl w:val="true"/>
              </w:rPr>
              <w:tab/>
            </w:r>
            <w:r>
              <w:rPr>
                <w:rStyle w:val="IndexLink"/>
              </w:rPr>
              <w:t>851</w:t>
            </w:r>
          </w:hyperlink>
        </w:p>
        <w:p>
          <w:pPr>
            <w:pStyle w:val="Contents6"/>
            <w:tabs>
              <w:tab w:val="clear" w:pos="7609"/>
              <w:tab w:val="right" w:pos="9026" w:leader="dot"/>
            </w:tabs>
            <w:rPr/>
          </w:pPr>
          <w:hyperlink w:anchor="__RefHeading___Toc1805156_1280447820">
            <w:r>
              <w:rPr>
                <w:webHidden/>
                <w:rStyle w:val="IndexLink"/>
                <w:rtl w:val="true"/>
              </w:rPr>
              <w:t>و رابعها</w:t>
            </w:r>
            <w:r>
              <w:rPr>
                <w:rStyle w:val="IndexLink"/>
                <w:rtl w:val="true"/>
              </w:rPr>
              <w:t xml:space="preserve">: </w:t>
            </w:r>
            <w:r>
              <w:rPr>
                <w:rStyle w:val="IndexLink"/>
                <w:rtl w:val="true"/>
              </w:rPr>
              <w:t>ما تقدّم من الكلام إنّما هو في استعمال أحد الماءين أو كليهما للطهارة عن الحدث،</w:t>
            </w:r>
            <w:r>
              <w:rPr>
                <w:rStyle w:val="IndexLink"/>
                <w:rtl w:val="true"/>
              </w:rPr>
              <w:tab/>
            </w:r>
            <w:r>
              <w:rPr>
                <w:rStyle w:val="IndexLink"/>
              </w:rPr>
              <w:t>855</w:t>
            </w:r>
          </w:hyperlink>
        </w:p>
        <w:p>
          <w:pPr>
            <w:pStyle w:val="Contents4"/>
            <w:tabs>
              <w:tab w:val="clear" w:pos="8176"/>
              <w:tab w:val="right" w:pos="9026" w:leader="dot"/>
            </w:tabs>
            <w:rPr/>
          </w:pPr>
          <w:hyperlink w:anchor="__RefHeading___Toc1805158_1280447820">
            <w:r>
              <w:rPr>
                <w:webHidden/>
                <w:rStyle w:val="IndexLink"/>
                <w:rtl w:val="true"/>
              </w:rPr>
              <w:t>المقام الثاني</w:t>
            </w:r>
            <w:r>
              <w:rPr>
                <w:rStyle w:val="IndexLink"/>
                <w:rtl w:val="true"/>
              </w:rPr>
              <w:t xml:space="preserve">: </w:t>
            </w:r>
            <w:r>
              <w:rPr>
                <w:rStyle w:val="IndexLink"/>
                <w:rtl w:val="true"/>
              </w:rPr>
              <w:t>في الماء المشتبه بالمغصوب،</w:t>
            </w:r>
            <w:r>
              <w:rPr>
                <w:rStyle w:val="IndexLink"/>
                <w:rtl w:val="true"/>
              </w:rPr>
              <w:tab/>
            </w:r>
            <w:r>
              <w:rPr>
                <w:rStyle w:val="IndexLink"/>
              </w:rPr>
              <w:t>858</w:t>
            </w:r>
          </w:hyperlink>
        </w:p>
        <w:p>
          <w:pPr>
            <w:pStyle w:val="Contents4"/>
            <w:tabs>
              <w:tab w:val="clear" w:pos="8176"/>
              <w:tab w:val="right" w:pos="9026" w:leader="dot"/>
            </w:tabs>
            <w:rPr/>
          </w:pPr>
          <w:hyperlink w:anchor="__RefHeading___Toc1805160_1280447820">
            <w:r>
              <w:rPr>
                <w:webHidden/>
                <w:rStyle w:val="IndexLink"/>
                <w:rtl w:val="true"/>
              </w:rPr>
              <w:t>و المقام الثالث</w:t>
            </w:r>
            <w:r>
              <w:rPr>
                <w:rStyle w:val="IndexLink"/>
                <w:rtl w:val="true"/>
              </w:rPr>
              <w:t xml:space="preserve">: </w:t>
            </w:r>
            <w:r>
              <w:rPr>
                <w:rStyle w:val="IndexLink"/>
                <w:rtl w:val="true"/>
              </w:rPr>
              <w:t>في الماء المشتبه بالمضاف،</w:t>
            </w:r>
            <w:r>
              <w:rPr>
                <w:rStyle w:val="IndexLink"/>
                <w:rtl w:val="true"/>
              </w:rPr>
              <w:tab/>
            </w:r>
            <w:r>
              <w:rPr>
                <w:rStyle w:val="IndexLink"/>
              </w:rPr>
              <w:t>859</w:t>
            </w:r>
          </w:hyperlink>
        </w:p>
        <w:p>
          <w:pPr>
            <w:pStyle w:val="Contents3"/>
            <w:tabs>
              <w:tab w:val="clear" w:pos="8459"/>
              <w:tab w:val="right" w:pos="9026" w:leader="dot"/>
            </w:tabs>
            <w:rPr/>
          </w:pPr>
          <w:hyperlink w:anchor="__RefHeading___Toc1805162_1280447820">
            <w:r>
              <w:rPr>
                <w:webHidden/>
                <w:rStyle w:val="IndexLink"/>
                <w:rtl w:val="true"/>
              </w:rPr>
              <w:t xml:space="preserve">ينبوع </w:t>
            </w:r>
            <w:r>
              <w:rPr>
                <w:rStyle w:val="IndexLink"/>
                <w:rtl w:val="true"/>
              </w:rPr>
              <w:t>[</w:t>
            </w:r>
            <w:r>
              <w:rPr>
                <w:rStyle w:val="IndexLink"/>
                <w:rtl w:val="true"/>
              </w:rPr>
              <w:t>في الأسآر</w:t>
            </w:r>
            <w:r>
              <w:rPr>
                <w:rStyle w:val="IndexLink"/>
                <w:rtl w:val="true"/>
              </w:rPr>
              <w:t>]</w:t>
              <w:tab/>
            </w:r>
            <w:r>
              <w:rPr>
                <w:rStyle w:val="IndexLink"/>
              </w:rPr>
              <w:t>864</w:t>
            </w:r>
          </w:hyperlink>
        </w:p>
        <w:p>
          <w:pPr>
            <w:pStyle w:val="Contents4"/>
            <w:tabs>
              <w:tab w:val="clear" w:pos="8176"/>
              <w:tab w:val="right" w:pos="9026" w:leader="dot"/>
            </w:tabs>
            <w:rPr/>
          </w:pPr>
          <w:hyperlink w:anchor="__RefHeading___Toc1805164_1280447820">
            <w:r>
              <w:rPr>
                <w:webHidden/>
                <w:rStyle w:val="IndexLink"/>
                <w:rtl w:val="true"/>
              </w:rPr>
              <w:t>اشارة</w:t>
            </w:r>
            <w:r>
              <w:rPr>
                <w:rStyle w:val="IndexLink"/>
                <w:rtl w:val="true"/>
              </w:rPr>
              <w:tab/>
            </w:r>
            <w:r>
              <w:rPr>
                <w:rStyle w:val="IndexLink"/>
              </w:rPr>
              <w:t>864</w:t>
            </w:r>
          </w:hyperlink>
        </w:p>
        <w:p>
          <w:pPr>
            <w:pStyle w:val="Contents4"/>
            <w:tabs>
              <w:tab w:val="clear" w:pos="8176"/>
              <w:tab w:val="right" w:pos="9026" w:leader="dot"/>
            </w:tabs>
            <w:rPr/>
          </w:pPr>
          <w:hyperlink w:anchor="__RefHeading___Toc1805166_1280447820">
            <w:r>
              <w:rPr>
                <w:webHidden/>
                <w:rStyle w:val="IndexLink"/>
                <w:rtl w:val="true"/>
              </w:rPr>
              <w:t>ثمّ تمام البحث في أحكام هذا المعنى العامّ يقع في طيّ مسائل</w:t>
            </w:r>
            <w:r>
              <w:rPr>
                <w:rStyle w:val="IndexLink"/>
                <w:rtl w:val="true"/>
              </w:rPr>
              <w:t>:</w:t>
              <w:tab/>
            </w:r>
            <w:r>
              <w:rPr>
                <w:rStyle w:val="IndexLink"/>
              </w:rPr>
              <w:t>870</w:t>
            </w:r>
          </w:hyperlink>
        </w:p>
        <w:p>
          <w:pPr>
            <w:pStyle w:val="Contents5"/>
            <w:tabs>
              <w:tab w:val="clear" w:pos="7892"/>
              <w:tab w:val="right" w:pos="9026" w:leader="dot"/>
            </w:tabs>
            <w:rPr/>
          </w:pPr>
          <w:hyperlink w:anchor="__RefHeading___Toc1805168_1280447820">
            <w:r>
              <w:rPr>
                <w:webHidden/>
                <w:rStyle w:val="IndexLink"/>
                <w:rtl w:val="true"/>
              </w:rPr>
              <w:t>المسألة الاولى</w:t>
            </w:r>
            <w:r>
              <w:rPr>
                <w:rStyle w:val="IndexLink"/>
                <w:rtl w:val="true"/>
              </w:rPr>
              <w:t xml:space="preserve">: </w:t>
            </w:r>
            <w:r>
              <w:rPr>
                <w:rStyle w:val="IndexLink"/>
                <w:rtl w:val="true"/>
              </w:rPr>
              <w:t>لا خلاف عند أصحابنا في نجاسة سؤر ما حكم بنجاسته شرعا</w:t>
            </w:r>
            <w:r>
              <w:rPr>
                <w:rStyle w:val="IndexLink"/>
                <w:rtl w:val="true"/>
              </w:rPr>
              <w:tab/>
            </w:r>
            <w:r>
              <w:rPr>
                <w:rStyle w:val="IndexLink"/>
              </w:rPr>
              <w:t>870</w:t>
            </w:r>
          </w:hyperlink>
        </w:p>
        <w:p>
          <w:pPr>
            <w:pStyle w:val="Contents5"/>
            <w:tabs>
              <w:tab w:val="clear" w:pos="7892"/>
              <w:tab w:val="right" w:pos="9026" w:leader="dot"/>
            </w:tabs>
            <w:rPr/>
          </w:pPr>
          <w:hyperlink w:anchor="__RefHeading___Toc1805170_1280447820">
            <w:r>
              <w:rPr>
                <w:webHidden/>
                <w:rStyle w:val="IndexLink"/>
                <w:rtl w:val="true"/>
              </w:rPr>
              <w:t>المسألة الثانية</w:t>
            </w:r>
            <w:r>
              <w:rPr>
                <w:rStyle w:val="IndexLink"/>
                <w:rtl w:val="true"/>
              </w:rPr>
              <w:t xml:space="preserve">: </w:t>
            </w:r>
            <w:r>
              <w:rPr>
                <w:rStyle w:val="IndexLink"/>
                <w:rtl w:val="true"/>
              </w:rPr>
              <w:t>المشهور المدّعى عليه الإجماع أنّ كلّما حكم عليه بالطهارة شرعا من الحيوانات فسؤره طاهر،</w:t>
            </w:r>
            <w:r>
              <w:rPr>
                <w:rStyle w:val="IndexLink"/>
                <w:rtl w:val="true"/>
              </w:rPr>
              <w:tab/>
            </w:r>
            <w:r>
              <w:rPr>
                <w:rStyle w:val="IndexLink"/>
              </w:rPr>
              <w:t>871</w:t>
            </w:r>
          </w:hyperlink>
        </w:p>
        <w:p>
          <w:pPr>
            <w:pStyle w:val="Contents5"/>
            <w:tabs>
              <w:tab w:val="clear" w:pos="7892"/>
              <w:tab w:val="right" w:pos="9026" w:leader="dot"/>
            </w:tabs>
            <w:rPr/>
          </w:pPr>
          <w:hyperlink w:anchor="__RefHeading___Toc1805172_1280447820">
            <w:r>
              <w:rPr>
                <w:webHidden/>
                <w:rStyle w:val="IndexLink"/>
                <w:rtl w:val="true"/>
              </w:rPr>
              <w:t>المسألة الثالثة</w:t>
            </w:r>
            <w:r>
              <w:rPr>
                <w:rStyle w:val="IndexLink"/>
                <w:rtl w:val="true"/>
              </w:rPr>
              <w:t xml:space="preserve">: </w:t>
            </w:r>
            <w:r>
              <w:rPr>
                <w:rStyle w:val="IndexLink"/>
                <w:rtl w:val="true"/>
              </w:rPr>
              <w:t>لا فرق فيما حقّقناه من طهارة سؤر الحيوان الطاهر العين لطهارة ذيه بين كون الحيوان مأكول اللحم أو غيره،</w:t>
            </w:r>
            <w:r>
              <w:rPr>
                <w:rStyle w:val="IndexLink"/>
                <w:rtl w:val="true"/>
              </w:rPr>
              <w:tab/>
            </w:r>
            <w:r>
              <w:rPr>
                <w:rStyle w:val="IndexLink"/>
              </w:rPr>
              <w:t>876</w:t>
            </w:r>
          </w:hyperlink>
        </w:p>
        <w:p>
          <w:pPr>
            <w:pStyle w:val="Contents5"/>
            <w:tabs>
              <w:tab w:val="clear" w:pos="7892"/>
              <w:tab w:val="right" w:pos="9026" w:leader="dot"/>
            </w:tabs>
            <w:rPr/>
          </w:pPr>
          <w:hyperlink w:anchor="__RefHeading___Toc1805174_1280447820">
            <w:r>
              <w:rPr>
                <w:webHidden/>
                <w:rStyle w:val="IndexLink"/>
                <w:rtl w:val="true"/>
              </w:rPr>
              <w:t>المسألة الرابعة</w:t>
            </w:r>
            <w:r>
              <w:rPr>
                <w:rStyle w:val="IndexLink"/>
                <w:rtl w:val="true"/>
              </w:rPr>
              <w:t xml:space="preserve">: </w:t>
            </w:r>
            <w:r>
              <w:rPr>
                <w:rStyle w:val="IndexLink"/>
                <w:rtl w:val="true"/>
              </w:rPr>
              <w:t>بالنظر في بعض ما تقدّم يعلم الحكم في سؤر الجلاّل أيضا،</w:t>
            </w:r>
            <w:r>
              <w:rPr>
                <w:rStyle w:val="IndexLink"/>
                <w:rtl w:val="true"/>
              </w:rPr>
              <w:tab/>
            </w:r>
            <w:r>
              <w:rPr>
                <w:rStyle w:val="IndexLink"/>
              </w:rPr>
              <w:t>877</w:t>
            </w:r>
          </w:hyperlink>
        </w:p>
        <w:p>
          <w:pPr>
            <w:pStyle w:val="Contents5"/>
            <w:tabs>
              <w:tab w:val="clear" w:pos="7892"/>
              <w:tab w:val="right" w:pos="9026" w:leader="dot"/>
            </w:tabs>
            <w:rPr/>
          </w:pPr>
          <w:hyperlink w:anchor="__RefHeading___Toc1805176_1280447820">
            <w:r>
              <w:rPr>
                <w:webHidden/>
                <w:rStyle w:val="IndexLink"/>
                <w:rtl w:val="true"/>
              </w:rPr>
              <w:t>المسألة الخامسة</w:t>
            </w:r>
            <w:r>
              <w:rPr>
                <w:rStyle w:val="IndexLink"/>
                <w:rtl w:val="true"/>
              </w:rPr>
              <w:t xml:space="preserve">: </w:t>
            </w:r>
            <w:r>
              <w:rPr>
                <w:rStyle w:val="IndexLink"/>
                <w:rtl w:val="true"/>
              </w:rPr>
              <w:t>و الظاهر أنّه لا خلاف عندهم في كراهة سؤر الجلاّل و آكل الجيف،</w:t>
            </w:r>
            <w:r>
              <w:rPr>
                <w:rStyle w:val="IndexLink"/>
                <w:rtl w:val="true"/>
              </w:rPr>
              <w:tab/>
            </w:r>
            <w:r>
              <w:rPr>
                <w:rStyle w:val="IndexLink"/>
              </w:rPr>
              <w:t>880</w:t>
            </w:r>
          </w:hyperlink>
        </w:p>
        <w:p>
          <w:pPr>
            <w:pStyle w:val="Contents5"/>
            <w:tabs>
              <w:tab w:val="clear" w:pos="7892"/>
              <w:tab w:val="right" w:pos="9026" w:leader="dot"/>
            </w:tabs>
            <w:rPr/>
          </w:pPr>
          <w:hyperlink w:anchor="__RefHeading___Toc1805178_1280447820">
            <w:r>
              <w:rPr>
                <w:webHidden/>
                <w:rStyle w:val="IndexLink"/>
                <w:rtl w:val="true"/>
              </w:rPr>
              <w:t>المسألة السادسة</w:t>
            </w:r>
            <w:r>
              <w:rPr>
                <w:rStyle w:val="IndexLink"/>
                <w:rtl w:val="true"/>
              </w:rPr>
              <w:t xml:space="preserve">: </w:t>
            </w:r>
            <w:r>
              <w:rPr>
                <w:rStyle w:val="IndexLink"/>
                <w:rtl w:val="true"/>
              </w:rPr>
              <w:t>في كلام غير واحد كالمحقّق و العلاّمة و الشهيد تقييد كراهة سؤر الجلاّل آكل الجيف المتضمّنة لطهارته بصورة خلوّ موضع الملاقاة عن عين النجاسة</w:t>
            </w:r>
            <w:r>
              <w:rPr>
                <w:rStyle w:val="IndexLink"/>
                <w:rtl w:val="true"/>
              </w:rPr>
              <w:t>.</w:t>
              <w:tab/>
            </w:r>
            <w:r>
              <w:rPr>
                <w:rStyle w:val="IndexLink"/>
              </w:rPr>
              <w:t>881</w:t>
            </w:r>
          </w:hyperlink>
        </w:p>
        <w:p>
          <w:pPr>
            <w:pStyle w:val="Contents5"/>
            <w:tabs>
              <w:tab w:val="clear" w:pos="7892"/>
              <w:tab w:val="right" w:pos="9026" w:leader="dot"/>
            </w:tabs>
            <w:rPr/>
          </w:pPr>
          <w:hyperlink w:anchor="__RefHeading___Toc1805180_1280447820">
            <w:r>
              <w:rPr>
                <w:webHidden/>
                <w:rStyle w:val="IndexLink"/>
                <w:rtl w:val="true"/>
              </w:rPr>
              <w:t>المسألة السابعة</w:t>
            </w:r>
            <w:r>
              <w:rPr>
                <w:rStyle w:val="IndexLink"/>
                <w:rtl w:val="true"/>
              </w:rPr>
              <w:t xml:space="preserve">: </w:t>
            </w:r>
            <w:r>
              <w:rPr>
                <w:rStyle w:val="IndexLink"/>
                <w:rtl w:val="true"/>
              </w:rPr>
              <w:t xml:space="preserve">المشهور محصّلا و محكيّا </w:t>
            </w:r>
            <w:r>
              <w:rPr>
                <w:rStyle w:val="IndexLink"/>
                <w:rtl w:val="true"/>
              </w:rPr>
              <w:t xml:space="preserve">- </w:t>
            </w:r>
            <w:r>
              <w:rPr>
                <w:rStyle w:val="IndexLink"/>
                <w:rtl w:val="true"/>
              </w:rPr>
              <w:t xml:space="preserve">كما صرّح به غير واحد </w:t>
            </w:r>
            <w:r>
              <w:rPr>
                <w:rStyle w:val="IndexLink"/>
                <w:rtl w:val="true"/>
              </w:rPr>
              <w:t xml:space="preserve">- </w:t>
            </w:r>
            <w:r>
              <w:rPr>
                <w:rStyle w:val="IndexLink"/>
                <w:rtl w:val="true"/>
              </w:rPr>
              <w:t>كراهة سؤر البغال و الحمير،</w:t>
            </w:r>
            <w:r>
              <w:rPr>
                <w:rStyle w:val="IndexLink"/>
                <w:rtl w:val="true"/>
              </w:rPr>
              <w:tab/>
            </w:r>
            <w:r>
              <w:rPr>
                <w:rStyle w:val="IndexLink"/>
              </w:rPr>
              <w:t>891</w:t>
            </w:r>
          </w:hyperlink>
        </w:p>
        <w:p>
          <w:pPr>
            <w:pStyle w:val="Contents5"/>
            <w:tabs>
              <w:tab w:val="clear" w:pos="7892"/>
              <w:tab w:val="right" w:pos="9026" w:leader="dot"/>
            </w:tabs>
            <w:rPr/>
          </w:pPr>
          <w:hyperlink w:anchor="__RefHeading___Toc1805182_1280447820">
            <w:r>
              <w:rPr>
                <w:webHidden/>
                <w:rStyle w:val="IndexLink"/>
                <w:rtl w:val="true"/>
              </w:rPr>
              <w:t>المسألة الثامنة</w:t>
            </w:r>
            <w:r>
              <w:rPr>
                <w:rStyle w:val="IndexLink"/>
                <w:rtl w:val="true"/>
              </w:rPr>
              <w:t xml:space="preserve">: </w:t>
            </w:r>
            <w:r>
              <w:rPr>
                <w:rStyle w:val="IndexLink"/>
                <w:rtl w:val="true"/>
              </w:rPr>
              <w:t xml:space="preserve">المعروف من المذهب </w:t>
            </w:r>
            <w:r>
              <w:rPr>
                <w:rStyle w:val="IndexLink"/>
                <w:rtl w:val="true"/>
              </w:rPr>
              <w:t xml:space="preserve">- </w:t>
            </w:r>
            <w:r>
              <w:rPr>
                <w:rStyle w:val="IndexLink"/>
                <w:rtl w:val="true"/>
              </w:rPr>
              <w:t xml:space="preserve">كما حكي </w:t>
            </w:r>
            <w:r>
              <w:rPr>
                <w:rStyle w:val="IndexLink"/>
                <w:rtl w:val="true"/>
              </w:rPr>
              <w:t xml:space="preserve">- </w:t>
            </w:r>
            <w:r>
              <w:rPr>
                <w:rStyle w:val="IndexLink"/>
                <w:rtl w:val="true"/>
              </w:rPr>
              <w:t>كراهة سؤر الفأرة،</w:t>
            </w:r>
            <w:r>
              <w:rPr>
                <w:rStyle w:val="IndexLink"/>
                <w:rtl w:val="true"/>
              </w:rPr>
              <w:tab/>
            </w:r>
            <w:r>
              <w:rPr>
                <w:rStyle w:val="IndexLink"/>
              </w:rPr>
              <w:t>895</w:t>
            </w:r>
          </w:hyperlink>
        </w:p>
        <w:p>
          <w:pPr>
            <w:pStyle w:val="Contents5"/>
            <w:tabs>
              <w:tab w:val="clear" w:pos="7892"/>
              <w:tab w:val="right" w:pos="9026" w:leader="dot"/>
            </w:tabs>
            <w:rPr/>
          </w:pPr>
          <w:hyperlink w:anchor="__RefHeading___Toc1805184_1280447820">
            <w:r>
              <w:rPr>
                <w:webHidden/>
                <w:rStyle w:val="IndexLink"/>
                <w:rtl w:val="true"/>
              </w:rPr>
              <w:t>المسألة التاسعة</w:t>
            </w:r>
            <w:r>
              <w:rPr>
                <w:rStyle w:val="IndexLink"/>
                <w:rtl w:val="true"/>
              </w:rPr>
              <w:t xml:space="preserve">: </w:t>
            </w:r>
            <w:r>
              <w:rPr>
                <w:rStyle w:val="IndexLink"/>
                <w:rtl w:val="true"/>
              </w:rPr>
              <w:t>عن المعتبر أنّه حكي عن الشيخ أنّه قال</w:t>
            </w:r>
            <w:r>
              <w:rPr>
                <w:rStyle w:val="IndexLink"/>
                <w:rtl w:val="true"/>
              </w:rPr>
              <w:t>: «</w:t>
            </w:r>
            <w:r>
              <w:rPr>
                <w:rStyle w:val="IndexLink"/>
                <w:rtl w:val="true"/>
              </w:rPr>
              <w:t>يكره سؤر الدجاج على كلّ حال</w:t>
            </w:r>
            <w:r>
              <w:rPr>
                <w:rStyle w:val="IndexLink"/>
                <w:rtl w:val="true"/>
              </w:rPr>
              <w:t>»</w:t>
              <w:tab/>
            </w:r>
            <w:r>
              <w:rPr>
                <w:rStyle w:val="IndexLink"/>
              </w:rPr>
              <w:t>897</w:t>
            </w:r>
          </w:hyperlink>
        </w:p>
        <w:p>
          <w:pPr>
            <w:pStyle w:val="Contents5"/>
            <w:tabs>
              <w:tab w:val="clear" w:pos="7892"/>
              <w:tab w:val="right" w:pos="9026" w:leader="dot"/>
            </w:tabs>
            <w:rPr/>
          </w:pPr>
          <w:hyperlink w:anchor="__RefHeading___Toc1805186_1280447820">
            <w:r>
              <w:rPr>
                <w:webHidden/>
                <w:rStyle w:val="IndexLink"/>
                <w:rtl w:val="true"/>
              </w:rPr>
              <w:t>المسألة العاشرة</w:t>
            </w:r>
            <w:r>
              <w:rPr>
                <w:rStyle w:val="IndexLink"/>
                <w:rtl w:val="true"/>
              </w:rPr>
              <w:t xml:space="preserve">: </w:t>
            </w:r>
            <w:r>
              <w:rPr>
                <w:rStyle w:val="IndexLink"/>
                <w:rtl w:val="true"/>
              </w:rPr>
              <w:t>نصّ المحقّق في الشرائع و الشهيد في الدروس بكراهية سؤر الحيّة،</w:t>
            </w:r>
            <w:r>
              <w:rPr>
                <w:rStyle w:val="IndexLink"/>
                <w:rtl w:val="true"/>
              </w:rPr>
              <w:tab/>
            </w:r>
            <w:r>
              <w:rPr>
                <w:rStyle w:val="IndexLink"/>
              </w:rPr>
              <w:t>898</w:t>
            </w:r>
          </w:hyperlink>
        </w:p>
        <w:p>
          <w:pPr>
            <w:pStyle w:val="Contents5"/>
            <w:tabs>
              <w:tab w:val="clear" w:pos="7892"/>
              <w:tab w:val="right" w:pos="9026" w:leader="dot"/>
            </w:tabs>
            <w:rPr/>
          </w:pPr>
          <w:hyperlink w:anchor="__RefHeading___Toc1805188_1280447820">
            <w:r>
              <w:rPr>
                <w:webHidden/>
                <w:rStyle w:val="IndexLink"/>
                <w:rtl w:val="true"/>
              </w:rPr>
              <w:t>المسألة الحادية عشرة</w:t>
            </w:r>
            <w:r>
              <w:rPr>
                <w:rStyle w:val="IndexLink"/>
                <w:rtl w:val="true"/>
              </w:rPr>
              <w:t xml:space="preserve">: </w:t>
            </w:r>
            <w:r>
              <w:rPr>
                <w:rStyle w:val="IndexLink"/>
                <w:rtl w:val="true"/>
              </w:rPr>
              <w:t>اختلفت كلمتهم في الوزغة،</w:t>
            </w:r>
            <w:r>
              <w:rPr>
                <w:rStyle w:val="IndexLink"/>
                <w:rtl w:val="true"/>
              </w:rPr>
              <w:tab/>
            </w:r>
            <w:r>
              <w:rPr>
                <w:rStyle w:val="IndexLink"/>
              </w:rPr>
              <w:t>900</w:t>
            </w:r>
          </w:hyperlink>
        </w:p>
        <w:p>
          <w:pPr>
            <w:pStyle w:val="Contents5"/>
            <w:tabs>
              <w:tab w:val="clear" w:pos="7892"/>
              <w:tab w:val="right" w:pos="9026" w:leader="dot"/>
            </w:tabs>
            <w:rPr/>
          </w:pPr>
          <w:hyperlink w:anchor="__RefHeading___Toc1805190_1280447820">
            <w:r>
              <w:rPr>
                <w:webHidden/>
                <w:rStyle w:val="IndexLink"/>
                <w:rtl w:val="true"/>
              </w:rPr>
              <w:t>المسألة الثانية عشرة</w:t>
            </w:r>
            <w:r>
              <w:rPr>
                <w:rStyle w:val="IndexLink"/>
                <w:rtl w:val="true"/>
              </w:rPr>
              <w:t xml:space="preserve">: </w:t>
            </w:r>
            <w:r>
              <w:rPr>
                <w:rStyle w:val="IndexLink"/>
                <w:rtl w:val="true"/>
              </w:rPr>
              <w:t>ذهب من عدا الشيخ في النهاية و ابن البرّاج و أبي الصلاح إلى طهارة ما مات فيه العقرب، و جواز استعماله على كراهية</w:t>
            </w:r>
            <w:r>
              <w:rPr>
                <w:rStyle w:val="IndexLink"/>
                <w:rtl w:val="true"/>
              </w:rPr>
              <w:t>.</w:t>
              <w:tab/>
            </w:r>
            <w:r>
              <w:rPr>
                <w:rStyle w:val="IndexLink"/>
              </w:rPr>
              <w:t>906</w:t>
            </w:r>
          </w:hyperlink>
        </w:p>
        <w:p>
          <w:pPr>
            <w:pStyle w:val="Contents5"/>
            <w:tabs>
              <w:tab w:val="clear" w:pos="7892"/>
              <w:tab w:val="right" w:pos="9026" w:leader="dot"/>
            </w:tabs>
            <w:rPr/>
          </w:pPr>
          <w:hyperlink w:anchor="__RefHeading___Toc1805192_1280447820">
            <w:r>
              <w:rPr>
                <w:webHidden/>
                <w:rStyle w:val="IndexLink"/>
                <w:rtl w:val="true"/>
              </w:rPr>
              <w:t>المسألة الثالثة عشر</w:t>
            </w:r>
            <w:r>
              <w:rPr>
                <w:rStyle w:val="IndexLink"/>
                <w:rtl w:val="true"/>
              </w:rPr>
              <w:t xml:space="preserve">: </w:t>
            </w:r>
            <w:r>
              <w:rPr>
                <w:rStyle w:val="IndexLink"/>
                <w:rtl w:val="true"/>
              </w:rPr>
              <w:t>في سؤر الحائض الّذي اختلفت كلمتهم فيه حكما و إطلاقا، و تقييدا و قيدا،</w:t>
            </w:r>
            <w:r>
              <w:rPr>
                <w:rStyle w:val="IndexLink"/>
                <w:rtl w:val="true"/>
              </w:rPr>
              <w:tab/>
            </w:r>
            <w:r>
              <w:rPr>
                <w:rStyle w:val="IndexLink"/>
              </w:rPr>
              <w:t>909</w:t>
            </w:r>
          </w:hyperlink>
        </w:p>
        <w:p>
          <w:pPr>
            <w:pStyle w:val="Contents6"/>
            <w:tabs>
              <w:tab w:val="clear" w:pos="7609"/>
              <w:tab w:val="right" w:pos="9026" w:leader="dot"/>
            </w:tabs>
            <w:rPr/>
          </w:pPr>
          <w:hyperlink w:anchor="__RefHeading___Toc1805194_1280447820">
            <w:r>
              <w:rPr>
                <w:webHidden/>
                <w:rStyle w:val="IndexLink"/>
                <w:rtl w:val="true"/>
              </w:rPr>
              <w:t>اشارة</w:t>
            </w:r>
            <w:r>
              <w:rPr>
                <w:rStyle w:val="IndexLink"/>
                <w:rtl w:val="true"/>
              </w:rPr>
              <w:tab/>
            </w:r>
            <w:r>
              <w:rPr>
                <w:rStyle w:val="IndexLink"/>
              </w:rPr>
              <w:t>909</w:t>
            </w:r>
          </w:hyperlink>
        </w:p>
        <w:p>
          <w:pPr>
            <w:pStyle w:val="Contents6"/>
            <w:tabs>
              <w:tab w:val="clear" w:pos="7609"/>
              <w:tab w:val="right" w:pos="9026" w:leader="dot"/>
            </w:tabs>
            <w:rPr/>
          </w:pPr>
          <w:hyperlink w:anchor="__RefHeading___Toc1805196_1280447820">
            <w:r>
              <w:rPr>
                <w:webHidden/>
                <w:rStyle w:val="IndexLink"/>
                <w:rtl w:val="true"/>
              </w:rPr>
              <w:t>ثمّ يبقى ممّا يتعلّق بالمسألة امور</w:t>
            </w:r>
            <w:r>
              <w:rPr>
                <w:rStyle w:val="IndexLink"/>
                <w:rtl w:val="true"/>
              </w:rPr>
              <w:t>:</w:t>
              <w:tab/>
            </w:r>
            <w:r>
              <w:rPr>
                <w:rStyle w:val="IndexLink"/>
              </w:rPr>
              <w:t>913</w:t>
            </w:r>
          </w:hyperlink>
        </w:p>
        <w:p>
          <w:pPr>
            <w:pStyle w:val="Contents6"/>
            <w:tabs>
              <w:tab w:val="clear" w:pos="7609"/>
              <w:tab w:val="right" w:pos="9026" w:leader="dot"/>
            </w:tabs>
            <w:rPr/>
          </w:pPr>
          <w:hyperlink w:anchor="__RefHeading___Toc1805198_1280447820">
            <w:r>
              <w:rPr>
                <w:webHidden/>
                <w:rStyle w:val="IndexLink"/>
                <w:rtl w:val="true"/>
              </w:rPr>
              <w:t>الأوّل</w:t>
            </w:r>
            <w:r>
              <w:rPr>
                <w:rStyle w:val="IndexLink"/>
                <w:rtl w:val="true"/>
              </w:rPr>
              <w:t xml:space="preserve">: </w:t>
            </w:r>
            <w:r>
              <w:rPr>
                <w:rStyle w:val="IndexLink"/>
                <w:rtl w:val="true"/>
              </w:rPr>
              <w:t>قد عرفت أنّ مقتضى الجمع بين الأخبار اختصاص الكراهة بالحائض الغير المأمونة،</w:t>
            </w:r>
            <w:r>
              <w:rPr>
                <w:rStyle w:val="IndexLink"/>
                <w:rtl w:val="true"/>
              </w:rPr>
              <w:tab/>
            </w:r>
            <w:r>
              <w:rPr>
                <w:rStyle w:val="IndexLink"/>
              </w:rPr>
              <w:t>913</w:t>
            </w:r>
          </w:hyperlink>
        </w:p>
        <w:p>
          <w:pPr>
            <w:pStyle w:val="Contents6"/>
            <w:tabs>
              <w:tab w:val="clear" w:pos="7609"/>
              <w:tab w:val="right" w:pos="9026" w:leader="dot"/>
            </w:tabs>
            <w:rPr/>
          </w:pPr>
          <w:hyperlink w:anchor="__RefHeading___Toc1805200_1280447820">
            <w:r>
              <w:rPr>
                <w:webHidden/>
                <w:rStyle w:val="IndexLink"/>
                <w:rtl w:val="true"/>
              </w:rPr>
              <w:t>الأمر الثاني</w:t>
            </w:r>
            <w:r>
              <w:rPr>
                <w:rStyle w:val="IndexLink"/>
                <w:rtl w:val="true"/>
              </w:rPr>
              <w:t xml:space="preserve">: </w:t>
            </w:r>
            <w:r>
              <w:rPr>
                <w:rStyle w:val="IndexLink"/>
                <w:rtl w:val="true"/>
              </w:rPr>
              <w:t>قد عرفت بملاحظة ما تقدّم أنّ المأخوذ في موضوع حكم الكراهة إنّما هو الوضوء بسؤر الحائض مطلقة أو مقيّدة،</w:t>
            </w:r>
            <w:r>
              <w:rPr>
                <w:rStyle w:val="IndexLink"/>
                <w:rtl w:val="true"/>
              </w:rPr>
              <w:tab/>
            </w:r>
            <w:r>
              <w:rPr>
                <w:rStyle w:val="IndexLink"/>
              </w:rPr>
              <w:t>916</w:t>
            </w:r>
          </w:hyperlink>
        </w:p>
        <w:p>
          <w:pPr>
            <w:pStyle w:val="Contents6"/>
            <w:tabs>
              <w:tab w:val="clear" w:pos="7609"/>
              <w:tab w:val="right" w:pos="9026" w:leader="dot"/>
            </w:tabs>
            <w:rPr/>
          </w:pPr>
          <w:hyperlink w:anchor="__RefHeading___Toc1805202_1280447820">
            <w:r>
              <w:rPr>
                <w:webHidden/>
                <w:rStyle w:val="IndexLink"/>
                <w:rtl w:val="true"/>
              </w:rPr>
              <w:t>الأمر الثالث</w:t>
            </w:r>
            <w:r>
              <w:rPr>
                <w:rStyle w:val="IndexLink"/>
                <w:rtl w:val="true"/>
              </w:rPr>
              <w:t xml:space="preserve">: </w:t>
            </w:r>
            <w:r>
              <w:rPr>
                <w:rStyle w:val="IndexLink"/>
                <w:rtl w:val="true"/>
              </w:rPr>
              <w:t>مقتضى بعض الروايات المتقدّمة كون سؤر الجنب أيضا في حكم سؤر الحائض،</w:t>
            </w:r>
            <w:r>
              <w:rPr>
                <w:rStyle w:val="IndexLink"/>
                <w:rtl w:val="true"/>
              </w:rPr>
              <w:tab/>
            </w:r>
            <w:r>
              <w:rPr>
                <w:rStyle w:val="IndexLink"/>
              </w:rPr>
              <w:t>917</w:t>
            </w:r>
          </w:hyperlink>
        </w:p>
        <w:p>
          <w:pPr>
            <w:pStyle w:val="Contents3"/>
            <w:tabs>
              <w:tab w:val="clear" w:pos="8459"/>
              <w:tab w:val="right" w:pos="9026" w:leader="dot"/>
            </w:tabs>
            <w:rPr/>
          </w:pPr>
          <w:hyperlink w:anchor="__RefHeading___Toc1805204_1280447820">
            <w:r>
              <w:rPr>
                <w:webHidden/>
                <w:rStyle w:val="IndexLink"/>
                <w:rtl w:val="true"/>
              </w:rPr>
              <w:t xml:space="preserve">ينبوع </w:t>
            </w:r>
            <w:r>
              <w:rPr>
                <w:rStyle w:val="IndexLink"/>
                <w:rtl w:val="true"/>
              </w:rPr>
              <w:t>[</w:t>
            </w:r>
            <w:r>
              <w:rPr>
                <w:rStyle w:val="IndexLink"/>
                <w:rtl w:val="true"/>
              </w:rPr>
              <w:t>الماء المسخن بالشمس</w:t>
            </w:r>
            <w:r>
              <w:rPr>
                <w:rStyle w:val="IndexLink"/>
                <w:rtl w:val="true"/>
              </w:rPr>
              <w:t>]</w:t>
              <w:tab/>
            </w:r>
            <w:r>
              <w:rPr>
                <w:rStyle w:val="IndexLink"/>
              </w:rPr>
              <w:t>918</w:t>
            </w:r>
          </w:hyperlink>
        </w:p>
        <w:p>
          <w:pPr>
            <w:pStyle w:val="Contents4"/>
            <w:tabs>
              <w:tab w:val="clear" w:pos="8176"/>
              <w:tab w:val="right" w:pos="9026" w:leader="dot"/>
            </w:tabs>
            <w:rPr/>
          </w:pPr>
          <w:hyperlink w:anchor="__RefHeading___Toc1805206_1280447820">
            <w:r>
              <w:rPr>
                <w:webHidden/>
                <w:rStyle w:val="IndexLink"/>
                <w:rtl w:val="true"/>
              </w:rPr>
              <w:t>اشارة</w:t>
            </w:r>
            <w:r>
              <w:rPr>
                <w:rStyle w:val="IndexLink"/>
                <w:rtl w:val="true"/>
              </w:rPr>
              <w:tab/>
            </w:r>
            <w:r>
              <w:rPr>
                <w:rStyle w:val="IndexLink"/>
              </w:rPr>
              <w:t>918</w:t>
            </w:r>
          </w:hyperlink>
        </w:p>
        <w:p>
          <w:pPr>
            <w:pStyle w:val="Contents4"/>
            <w:tabs>
              <w:tab w:val="clear" w:pos="8176"/>
              <w:tab w:val="right" w:pos="9026" w:leader="dot"/>
            </w:tabs>
            <w:rPr/>
          </w:pPr>
          <w:hyperlink w:anchor="__RefHeading___Toc1805208_1280447820">
            <w:r>
              <w:rPr>
                <w:webHidden/>
                <w:rStyle w:val="IndexLink"/>
                <w:rtl w:val="true"/>
              </w:rPr>
              <w:t>ثمّ في المقام فروع ينبغي التعرّض لها</w:t>
            </w:r>
            <w:r>
              <w:rPr>
                <w:rStyle w:val="IndexLink"/>
                <w:rtl w:val="true"/>
              </w:rPr>
              <w:t>.</w:t>
              <w:tab/>
            </w:r>
            <w:r>
              <w:rPr>
                <w:rStyle w:val="IndexLink"/>
              </w:rPr>
              <w:t>919</w:t>
            </w:r>
          </w:hyperlink>
        </w:p>
        <w:p>
          <w:pPr>
            <w:pStyle w:val="Contents5"/>
            <w:tabs>
              <w:tab w:val="clear" w:pos="7892"/>
              <w:tab w:val="right" w:pos="9026" w:leader="dot"/>
            </w:tabs>
            <w:rPr/>
          </w:pPr>
          <w:hyperlink w:anchor="__RefHeading___Toc1805210_1280447820">
            <w:r>
              <w:rPr>
                <w:webHidden/>
                <w:rStyle w:val="IndexLink"/>
                <w:rtl w:val="true"/>
              </w:rPr>
              <w:t>الأوّل</w:t>
            </w:r>
            <w:r>
              <w:rPr>
                <w:rStyle w:val="IndexLink"/>
                <w:rtl w:val="true"/>
              </w:rPr>
              <w:t xml:space="preserve">: </w:t>
            </w:r>
            <w:r>
              <w:rPr>
                <w:rStyle w:val="IndexLink"/>
                <w:rtl w:val="true"/>
              </w:rPr>
              <w:t xml:space="preserve">أنّه يستفاد من المحقّق في ظاهر الشرائع </w:t>
            </w:r>
            <w:r>
              <w:rPr>
                <w:rStyle w:val="IndexLink"/>
                <w:rtl w:val="true"/>
              </w:rPr>
              <w:t>[</w:t>
            </w:r>
            <w:r>
              <w:rPr>
                <w:rStyle w:val="IndexLink"/>
                <w:rtl w:val="true"/>
              </w:rPr>
              <w:t>اعتبار قصد التسخين في موضوع حكم الكراهة</w:t>
            </w:r>
            <w:r>
              <w:rPr>
                <w:rStyle w:val="IndexLink"/>
                <w:rtl w:val="true"/>
              </w:rPr>
              <w:t>]</w:t>
              <w:tab/>
            </w:r>
            <w:r>
              <w:rPr>
                <w:rStyle w:val="IndexLink"/>
              </w:rPr>
              <w:t>919</w:t>
            </w:r>
          </w:hyperlink>
        </w:p>
        <w:p>
          <w:pPr>
            <w:pStyle w:val="Contents5"/>
            <w:tabs>
              <w:tab w:val="clear" w:pos="7892"/>
              <w:tab w:val="right" w:pos="9026" w:leader="dot"/>
            </w:tabs>
            <w:rPr/>
          </w:pPr>
          <w:hyperlink w:anchor="__RefHeading___Toc1805212_1280447820">
            <w:r>
              <w:rPr>
                <w:webHidden/>
                <w:rStyle w:val="IndexLink"/>
                <w:rtl w:val="true"/>
              </w:rPr>
              <w:t>الثاني</w:t>
            </w:r>
            <w:r>
              <w:rPr>
                <w:rStyle w:val="IndexLink"/>
                <w:rtl w:val="true"/>
              </w:rPr>
              <w:t xml:space="preserve">: </w:t>
            </w:r>
            <w:r>
              <w:rPr>
                <w:rStyle w:val="IndexLink"/>
                <w:rtl w:val="true"/>
              </w:rPr>
              <w:t>و ممّا يستفاد من عبارة الخلاف المتقدّمة اختصاص الكراهة بالوضوء،</w:t>
            </w:r>
            <w:r>
              <w:rPr>
                <w:rStyle w:val="IndexLink"/>
                <w:rtl w:val="true"/>
              </w:rPr>
              <w:tab/>
            </w:r>
            <w:r>
              <w:rPr>
                <w:rStyle w:val="IndexLink"/>
              </w:rPr>
              <w:t>920</w:t>
            </w:r>
          </w:hyperlink>
        </w:p>
        <w:p>
          <w:pPr>
            <w:pStyle w:val="Contents5"/>
            <w:tabs>
              <w:tab w:val="clear" w:pos="7892"/>
              <w:tab w:val="right" w:pos="9026" w:leader="dot"/>
            </w:tabs>
            <w:rPr/>
          </w:pPr>
          <w:hyperlink w:anchor="__RefHeading___Toc1805214_1280447820">
            <w:r>
              <w:rPr>
                <w:webHidden/>
                <w:rStyle w:val="IndexLink"/>
                <w:rtl w:val="true"/>
              </w:rPr>
              <w:t>و الثالث</w:t>
            </w:r>
            <w:r>
              <w:rPr>
                <w:rStyle w:val="IndexLink"/>
                <w:rtl w:val="true"/>
              </w:rPr>
              <w:t xml:space="preserve">: </w:t>
            </w:r>
            <w:r>
              <w:rPr>
                <w:rStyle w:val="IndexLink"/>
                <w:rtl w:val="true"/>
              </w:rPr>
              <w:t xml:space="preserve">المستفاد من عبارة السرائر و الشرائع المتقدّمتين، و كذلك النافع </w:t>
            </w:r>
            <w:r>
              <w:rPr>
                <w:rStyle w:val="IndexLink"/>
                <w:rtl w:val="true"/>
              </w:rPr>
              <w:t>[</w:t>
            </w:r>
            <w:r>
              <w:rPr>
                <w:rStyle w:val="IndexLink"/>
                <w:rtl w:val="true"/>
              </w:rPr>
              <w:t>اختصاص الحكم بالآنية و انتفاؤه عن غيرها</w:t>
            </w:r>
            <w:r>
              <w:rPr>
                <w:rStyle w:val="IndexLink"/>
                <w:rtl w:val="true"/>
              </w:rPr>
              <w:t>]</w:t>
              <w:tab/>
            </w:r>
            <w:r>
              <w:rPr>
                <w:rStyle w:val="IndexLink"/>
              </w:rPr>
              <w:t>920</w:t>
            </w:r>
          </w:hyperlink>
        </w:p>
        <w:p>
          <w:pPr>
            <w:pStyle w:val="Contents4"/>
            <w:tabs>
              <w:tab w:val="clear" w:pos="8176"/>
              <w:tab w:val="right" w:pos="9026" w:leader="dot"/>
            </w:tabs>
            <w:rPr/>
          </w:pPr>
          <w:hyperlink w:anchor="__RefHeading___Toc1805216_1280447820">
            <w:r>
              <w:rPr>
                <w:webHidden/>
                <w:rStyle w:val="IndexLink"/>
                <w:rtl w:val="true"/>
              </w:rPr>
              <w:t>و لنختم الكتاب بذكر امور اخر تلحق بهذا الباب</w:t>
            </w:r>
            <w:r>
              <w:rPr>
                <w:rStyle w:val="IndexLink"/>
                <w:rtl w:val="true"/>
              </w:rPr>
              <w:t>.</w:t>
              <w:tab/>
            </w:r>
            <w:r>
              <w:rPr>
                <w:rStyle w:val="IndexLink"/>
              </w:rPr>
              <w:t>922</w:t>
            </w:r>
          </w:hyperlink>
        </w:p>
        <w:p>
          <w:pPr>
            <w:pStyle w:val="Contents5"/>
            <w:tabs>
              <w:tab w:val="clear" w:pos="7892"/>
              <w:tab w:val="right" w:pos="9026" w:leader="dot"/>
            </w:tabs>
            <w:rPr/>
          </w:pPr>
          <w:hyperlink w:anchor="__RefHeading___Toc1805218_1280447820">
            <w:r>
              <w:rPr>
                <w:webHidden/>
                <w:rStyle w:val="IndexLink"/>
                <w:rtl w:val="true"/>
              </w:rPr>
              <w:t>أحدها</w:t>
            </w:r>
            <w:r>
              <w:rPr>
                <w:rStyle w:val="IndexLink"/>
                <w:rtl w:val="true"/>
              </w:rPr>
              <w:t xml:space="preserve">: </w:t>
            </w:r>
            <w:r>
              <w:rPr>
                <w:rStyle w:val="IndexLink"/>
                <w:rtl w:val="true"/>
              </w:rPr>
              <w:t>أنّه يكره استعمال ما اسخن بالنار في تغسيل الموتى ما دام الغاسل متمكّنا من استعمال الماء البارد،</w:t>
            </w:r>
            <w:r>
              <w:rPr>
                <w:rStyle w:val="IndexLink"/>
                <w:rtl w:val="true"/>
              </w:rPr>
              <w:tab/>
            </w:r>
            <w:r>
              <w:rPr>
                <w:rStyle w:val="IndexLink"/>
              </w:rPr>
              <w:t>922</w:t>
            </w:r>
          </w:hyperlink>
        </w:p>
        <w:p>
          <w:pPr>
            <w:pStyle w:val="Contents5"/>
            <w:tabs>
              <w:tab w:val="clear" w:pos="7892"/>
              <w:tab w:val="right" w:pos="9026" w:leader="dot"/>
            </w:tabs>
            <w:rPr/>
          </w:pPr>
          <w:hyperlink w:anchor="__RefHeading___Toc1805220_1280447820">
            <w:r>
              <w:rPr>
                <w:webHidden/>
                <w:rStyle w:val="IndexLink"/>
                <w:rtl w:val="true"/>
              </w:rPr>
              <w:t>و ثانيها</w:t>
            </w:r>
            <w:r>
              <w:rPr>
                <w:rStyle w:val="IndexLink"/>
                <w:rtl w:val="true"/>
              </w:rPr>
              <w:t xml:space="preserve">: </w:t>
            </w:r>
            <w:r>
              <w:rPr>
                <w:rStyle w:val="IndexLink"/>
                <w:rtl w:val="true"/>
              </w:rPr>
              <w:t>لا يكره استعمال الماء المتسخّن بالنار في غير تغسيل الأموات،</w:t>
            </w:r>
            <w:r>
              <w:rPr>
                <w:rStyle w:val="IndexLink"/>
                <w:rtl w:val="true"/>
              </w:rPr>
              <w:tab/>
            </w:r>
            <w:r>
              <w:rPr>
                <w:rStyle w:val="IndexLink"/>
              </w:rPr>
              <w:t>923</w:t>
            </w:r>
          </w:hyperlink>
        </w:p>
        <w:p>
          <w:pPr>
            <w:pStyle w:val="Contents5"/>
            <w:tabs>
              <w:tab w:val="clear" w:pos="7892"/>
              <w:tab w:val="right" w:pos="9026" w:leader="dot"/>
            </w:tabs>
            <w:rPr/>
          </w:pPr>
          <w:hyperlink w:anchor="__RefHeading___Toc1805222_1280447820">
            <w:r>
              <w:rPr>
                <w:webHidden/>
                <w:rStyle w:val="IndexLink"/>
                <w:rtl w:val="true"/>
              </w:rPr>
              <w:t>و ثالثها</w:t>
            </w:r>
            <w:r>
              <w:rPr>
                <w:rStyle w:val="IndexLink"/>
                <w:rtl w:val="true"/>
              </w:rPr>
              <w:t xml:space="preserve">: </w:t>
            </w:r>
            <w:r>
              <w:rPr>
                <w:rStyle w:val="IndexLink"/>
                <w:rtl w:val="true"/>
              </w:rPr>
              <w:t xml:space="preserve">في المنتهى </w:t>
            </w:r>
            <w:r>
              <w:rPr>
                <w:rStyle w:val="IndexLink"/>
                <w:rtl w:val="true"/>
              </w:rPr>
              <w:t xml:space="preserve">- </w:t>
            </w:r>
            <w:r>
              <w:rPr>
                <w:rStyle w:val="IndexLink"/>
                <w:rtl w:val="true"/>
              </w:rPr>
              <w:t xml:space="preserve">عن ابن بابويه رحمه اللّه </w:t>
            </w:r>
            <w:r>
              <w:rPr>
                <w:rStyle w:val="IndexLink"/>
                <w:rtl w:val="true"/>
              </w:rPr>
              <w:t>-: «</w:t>
            </w:r>
            <w:r>
              <w:rPr>
                <w:rStyle w:val="IndexLink"/>
                <w:rtl w:val="true"/>
              </w:rPr>
              <w:t>و يكره التداوي بالمياه الحارّة من الجبال الّتي يشمّ منها رائحة الكبريت،</w:t>
            </w:r>
            <w:r>
              <w:rPr>
                <w:rStyle w:val="IndexLink"/>
                <w:rtl w:val="true"/>
              </w:rPr>
              <w:tab/>
            </w:r>
            <w:r>
              <w:rPr>
                <w:rStyle w:val="IndexLink"/>
              </w:rPr>
              <w:t>924</w:t>
            </w:r>
          </w:hyperlink>
        </w:p>
        <w:p>
          <w:pPr>
            <w:pStyle w:val="Contents2"/>
            <w:tabs>
              <w:tab w:val="clear" w:pos="8743"/>
              <w:tab w:val="right" w:pos="9026" w:leader="dot"/>
            </w:tabs>
            <w:rPr/>
          </w:pPr>
          <w:hyperlink w:anchor="__RefHeading___Toc1805224_1280447820">
            <w:r>
              <w:rPr>
                <w:webHidden/>
                <w:rStyle w:val="IndexLink"/>
                <w:rtl w:val="true"/>
              </w:rPr>
              <w:t>الفهرس</w:t>
            </w:r>
            <w:r>
              <w:rPr>
                <w:rStyle w:val="IndexLink"/>
                <w:rtl w:val="true"/>
              </w:rPr>
              <w:tab/>
            </w:r>
            <w:r>
              <w:rPr>
                <w:rStyle w:val="IndexLink"/>
              </w:rPr>
              <w:t>926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4_232934"/>
      <w:bookmarkStart w:id="1" w:name="pg16144_232934"/>
      <w:bookmarkEnd w:id="1"/>
    </w:p>
    <w:p>
      <w:pPr>
        <w:pStyle w:val="Heading2"/>
        <w:numPr>
          <w:ilvl w:val="1"/>
          <w:numId w:val="1"/>
        </w:numPr>
        <w:rPr/>
      </w:pPr>
      <w:bookmarkStart w:id="2" w:name="pg16144_232934"/>
      <w:bookmarkStart w:id="3" w:name="__RefHeading___Toc180434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قزویني، علي‌بن اسماعیل،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ینابیع‌الاحکام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علي الموسوي القزویني ؛ تحقیق علي العلوي القزویني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في الحوزة العلمیه بقم، موسسه النشر‌الاسلامي،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النشر‌الاسلامي التابعه لجماعة المدرسین بقم المشرفه؛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جلد پنجم عبدالرحیم الجزمئی‌القزوینی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قزویني، علي، محقق</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جزمئي قزویني، عبدالرحیم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المدرسین في الحوزة العلمیه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النشر‌الاسلامي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434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ینابیع‌الاحکام فی معرفه‌الحلال و‌الحرام</w:t>
      </w:r>
    </w:p>
    <w:p>
      <w:pPr>
        <w:pStyle w:val="BookText"/>
        <w:rPr/>
      </w:pPr>
      <w:r>
        <w:rPr>
          <w:rFonts w:ascii="IRNazanin" w:hAnsi="IRNazanin" w:eastAsia="IRNazanin"/>
          <w:color w:val="111111"/>
          <w:sz w:val="28"/>
          <w:sz w:val="28"/>
          <w:szCs w:val="28"/>
          <w:rtl w:val="true"/>
          <w:lang w:bidi="fa-IR"/>
        </w:rPr>
        <w:t>تالیف علی الموسوی‌القزوینی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علی العلوی‌القزوینی</w:t>
      </w:r>
      <w:r>
        <w:rPr>
          <w:rFonts w:eastAsia="IRNazanin" w:cs="IRNazanin"/>
          <w:color w:val="111111"/>
          <w:sz w:val="28"/>
          <w:szCs w:val="28"/>
          <w:rtl w:val="true"/>
          <w:lang w:bidi="fa-IR"/>
        </w:rPr>
        <w:t xml:space="preserve">. </w:t>
      </w:r>
      <w:bookmarkStart w:id="7" w:name="pg16144_232936"/>
    </w:p>
    <w:p>
      <w:pPr>
        <w:pStyle w:val="Heading2"/>
        <w:numPr>
          <w:ilvl w:val="1"/>
          <w:numId w:val="1"/>
        </w:numPr>
        <w:rPr/>
      </w:pPr>
      <w:bookmarkStart w:id="8" w:name="__RefHeading___Toc1804344_128044782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على رسول اللّه، و على آله المعصومين ينابيع أحكام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من نعم اللّه الكبرى على هذه الامّة المرحومة أن هيّأ لها في كلّ عصر و زمان رجالا أفذاذا و علماء عدولا يذبّون عن حوزة الدين و يدافعون عن شريعة سيّد المرسلين بفكرهم الوقّاد و بيانهم النقّاد، فكتبوا في مختلف الميادين، و ثبّتوا في قلوب الناس اسس الحكمة و اليقين، و وقفوا بحقّ وقفة الاسود في الدفاع عن الثقلين المقدّسين الأكبر و الأصغر، بعد أن بيّنوا المجملات، و أوضحوا المبهمات، و فسّروا الآيات، و شرحوا الأخبار و ما اعضل من الروايات، و عرّفوا الناس الحلال من الحرام، و أرشدوهم إلى ما به سعادتهم في الدنيا و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آثارهم تشهد لهم بالحسنى، و ها هي كتبهم تدلّ على مدى الإخلاص الّذي انطوت عليه سرائرهم، و صلاح النوايا الّتي انعقدت عليه ضمائرهم، فشروا أنفسهم ابتغاء مرضاة اللّه فأثابهم و أكرمهم بأفضل حلل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سبحانه درّهم و عليه تعالى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الأنجم الزاهرة و الأعلام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العصر و اعجوبة الدهر سماحة العلاّمة السيّد عليّ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على المعالم و القوانين و مؤلّفات ثمينة اخرى، منها هذه الموسوعة الفقهيّة المنيفة، يأتي وصفها في تقدمة حفيده الفاضل سماحة الحجّة السيّد علي العلوي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نباهي بهذا التوفيق الغالي الّذي توفّقت مؤسّستنا في طريق إحياء هذا التراث القيّم، شاكرين الخلف الصالح للمؤلّف و حفيده العالم سماحة حجّة الإسلام و المسلمين الحاج السيّد جواد الموسوي العلوي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ما تفضّل به من النسخة الأصلية؛ و نشكر أيضا لنجله الفاضل المحقّق على ما بذل من الجهود في تصحيح و تحقيق الكتاب، مزدانا بتخريجات نافعة و تعاليق لائقة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bookmarkStart w:id="10" w:name="pg16144_232937"/>
    </w:p>
    <w:p>
      <w:pPr>
        <w:pStyle w:val="Heading2"/>
        <w:numPr>
          <w:ilvl w:val="1"/>
          <w:numId w:val="1"/>
        </w:numPr>
        <w:rPr/>
      </w:pPr>
      <w:bookmarkStart w:id="11" w:name="__RefHeading___Toc1804346_1280447820"/>
      <w:bookmarkStart w:id="12" w:name="_Toc4"/>
      <w:bookmarkEnd w:id="10"/>
      <w:bookmarkEnd w:id="11"/>
      <w:r>
        <w:rPr>
          <w:rtl w:val="true"/>
        </w:rPr>
        <w:t>نبذة من حياة المؤلّف</w:t>
      </w:r>
      <w:r>
        <w:rPr>
          <w:rtl w:val="true"/>
        </w:rPr>
        <w:t>:</w:t>
      </w:r>
      <w:bookmarkEnd w:id="12"/>
    </w:p>
    <w:p>
      <w:pPr>
        <w:pStyle w:val="Heading3"/>
        <w:numPr>
          <w:ilvl w:val="2"/>
          <w:numId w:val="1"/>
        </w:numPr>
        <w:rPr/>
      </w:pPr>
      <w:bookmarkStart w:id="13" w:name="__RefHeading___Toc1804348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الّذي رفع درجات العلماء، و جعلهم ورثة الأنبياء، و فضّل مدادهم على دماء الشهداء، و الصلاة و السلام على الصادع بالشريعة الغرّاء، و مؤسّس الملّة البيضاء، شمس فلك الاصطفاء، محمّد المصطفى و آله الطيّبين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نبذة حول حياة أحد الشخصيّات العلميّة الخالدة، و النوابغ القلائل اللامعة، ذي النفس الزاكية، و الآراء الراقية، و التصانيف العالية، الّذي يضنّ بأمثاله الدهر إلاّ في المجالات المتقطّعة و الفترات النادرة، بحر الفواضل و الفضائل، و فخر الأواخر و الأوائل، قدوة المحقّقين و نخبة المدقّقين و اسوة العلماء الراسخين، سلالة المصطفين، المحرز لقصبات السبق في مضمار الفضل، وحيد عصره و فريد دهره، سيّد الفقهاء و المجتهدين، جدّ جدّنا الأمجد، و سمي مولانا الممجّد فخر الأساطين، صاحب الحاشية على القوانين، السيّد عليّ بن إسماعيل الموسوي القزويني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لم يصل إلينا من تاريخ حياته و تفصيل مجاري أحواله إلاّ ما ذكره بعض أصحاب التراجم و الفهرستات، و ما كتبه والدي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رسالة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المطبوعة بقم المشرّفة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العلاّمة رحمه اللّه و لم يتيسّر لنا مزيد تتبّع و فحص إلاّ اليسير، فنكتفي بنقل ما ذكروه و ما تيسّر لنا من الإضافات، فنقول و من اللّه التوفيق</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804350_1280447820"/>
      <w:bookmarkStart w:id="16" w:name="_Toc6"/>
      <w:bookmarkEnd w:id="15"/>
      <w:r>
        <w:rPr>
          <w:rtl w:val="true"/>
        </w:rPr>
        <w:t>مولده و اسرته و هجرته</w:t>
      </w:r>
      <w:r>
        <w:rPr>
          <w:rtl w:val="true"/>
        </w:rPr>
        <w:t>:</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ميلاده الشريف في شهر ربيع المولود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مدينة قزوين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حسب ما يستفاد من وصيّته الّتي أرّخ فيها زمن بلوغه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من از قيمت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أوّل زمان تكليف من كه ربيع المولود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دويست و پنجاه و دو باشد، إلى يوم وفاة استيجار صوم و صلاة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أمّه من أرحام السيّد إبراهيم الموسوي القزويني صاحب ضوابط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الطهراني في ذيل ترجمة السيّد رضي الدين القزويني خال سيّدنا المترجم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الأعلام و المراجع في التدريس و نشر الأحكام و كان زاهدا مرتاضا، و هو خال السيّد عليّ القزويني صاحب حاشية القوانين، و قد قرأ عليه ابن اخته المذكور في الأوائل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والد المترجم له السيّد علي أكبر و أنّه كان ابن عمّ السيّد إبراهيم بن محمّد باقر الموسوي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أجل ذا كان يعبّر سيّدنا المترجم له عنه كثيرا في مختلف مجالات هذا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عمّنا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عمّنا السيّد في ضوابطه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أبوه السيّد إسماعيل فلم يصل إلينا شيء من أحواله غير ما ذكره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المظنون أنّ مسقط رأس والده كان في قرية خوئين من قرى زنجان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ذكره العلاّمة الطهراني في ترجمة السيّد رضي الدين المتقدّم ذكره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أصلهم من خوئين لكن جدّهم سكن قزوين فتعاقبوا من بعده و نسبوا </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مات أبوه و هو لم يبلغ الحلم، فعاش في كنف خاله العلاّمة السيّد رضي الدين القزويني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تعزّز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حدب خاله العلاّمة على تربيته تربية علميّة صالحة، و مهّد له السبيل إلى تحصيل العلم فظهرت معالم النبوغ الفطري على هذا الطفل المؤمّل من أوائل أمره حتّى فرغ من تحصيل مقدّمات العلوم في حداثة سنّه و بداية أمره، ثمّ هاجر في طلب العلم و تكميل مباني الفقاهة و الاجتهاد إلى حائر الحسين عليه السّلام في شهر شعبان المعظّم سنة مائتين و اثنين و ستّين بعد الألف من الهجرة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سجّل ذلك بخطّ يده الشريفة على ظهر حاشية السيّد الشريف على الرسالة الوضعيّة العضديّة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المالك بالاستحقاق، كيف أقول هذا ملكي و أنا مملوك ربّي، بل هو من عواري الدهر عندي استعرتها بالمبايعة الشرعيّة تحت قبّة سيّدي الحسين عليه و على أولاده المعصومين ألف تحيّة و سلام، و كان ذلك في شهر رمضان المبارك من شهور مائتين و اثنتين و ستّين بعد الألف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هاجرها ألف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الشهر المزبور الثاني من السنة الاولى من ورودي في هذه الأرض الأقدس، و إنّي أقلّ الخليفة بل ليس موجودا في الحقيقة، عبده العاصي عليّ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الهجرتين إلى الأرض الأقدس النجف الأشرف لائذا بمنبع العلم و الفضيلة مولى الموحّدين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نعثر على تاريخ هجرته الثانية، و لا يبعد كونها بعد وفاة السيّد إبراهيم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يساعده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تاريخ عوده إلى موطنه قزوين فلم نقف على تفصيله في مظانّه، عدا ما قاله </w:t>
      </w:r>
      <w:bookmarkStart w:id="17" w:name="pg16144_232940"/>
    </w:p>
    <w:p>
      <w:pPr>
        <w:pStyle w:val="BookText"/>
        <w:rPr/>
      </w:pPr>
      <w:bookmarkEnd w:id="17"/>
      <w:r>
        <w:rPr>
          <w:rFonts w:ascii="IRNazanin" w:hAnsi="IRNazanin" w:eastAsia="IRNazanin"/>
          <w:color w:val="111111"/>
          <w:sz w:val="28"/>
          <w:sz w:val="28"/>
          <w:szCs w:val="28"/>
          <w:rtl w:val="true"/>
          <w:lang w:bidi="fa-IR"/>
        </w:rPr>
        <w:t xml:space="preserve">كيوان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عاصر سيّدنا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سيد على از شاگردان شريف العلماء بود و قدرى هم نزد شيخ أنصارى درس خوانده بود و هنوز شيخ انصارى زنده بود كه او آمد قزوين و بساط رياستش گسترده شد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804352_1280447820"/>
      <w:bookmarkStart w:id="19" w:name="_Toc7"/>
      <w:bookmarkEnd w:id="18"/>
      <w:r>
        <w:rPr>
          <w:rtl w:val="true"/>
        </w:rPr>
        <w:t>بعض مشايخه</w:t>
      </w:r>
      <w:r>
        <w:rPr>
          <w:rtl w:val="true"/>
        </w:rPr>
        <w:t>:</w:t>
      </w:r>
      <w:bookmarkEnd w:id="19"/>
    </w:p>
    <w:p>
      <w:pPr>
        <w:pStyle w:val="BookText"/>
        <w:rPr/>
      </w:pPr>
      <w:r>
        <w:rPr>
          <w:rFonts w:ascii="Amiri" w:hAnsi="Amiri" w:eastAsia="Amiri" w:cs="Amiri"/>
          <w:color w:val="111111"/>
          <w:sz w:val="28"/>
          <w:sz w:val="28"/>
          <w:szCs w:val="28"/>
          <w:rtl w:val="true"/>
          <w:lang w:bidi="ar-SA"/>
        </w:rPr>
        <w:t>كان سيّدنا قدّس سرّه قد ترعرع في أحضان أساتذة عظام، و تتلمذ عند أساطين العلم و عباقرة الفضل في عصره،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خاله العلاّمة السيّد رضي الدين القزويني، كما قال العلاّمة الطهراني في ذيل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خال السيّد عليّ القزويني صاحب حاشية القوانين، و قد قرأ عليه ابن اخته المذكور في الأوائل قليلا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الميرزا محمّد التنكابني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فقير را تلامذۀ چنديست كه أرباب كمالند، و بعضى از اين فقير اجازه دارند،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سيّد علي كه مسلّم بلد است، و از خويشان استاد آقا إبراهيم است</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الجليل و الاستاذ النبيل السيّد إبراهيم الموسوي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مستدركات أعيان الشيعة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العراق قاصدا الحوزة العلميّة الكبرى و سكن كربلاء و التحق بحوزة السيّد إبراهيم الموسوي الذي كان يرتبط به بصلة القرابة و لكن لم تطل أيّامه و توفّي السيّد في نفس العام فتوجّه المترجم له إلى النجف الأشرف</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ساعد عليه الاعتبار، و لكنّا لم نقف على ما يدلّ عليه صراحة من خلال كلماته و عباراته، نعم يؤيّده ما أورده في تقريرات بعض مشايخه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ذكره السيّد الاستاذ عن استاذه الشريف</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المشايخ، استاذ الفقهاء و المجتهدين الشيخ محمّد حسن النجفي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ذلك من صريح كلامه في مواضع عديدة من كتابه الكبير في الفقه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 في معرفة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في جواهره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مبحث استحباب مسح الرأس بمقدار ثلاث أصابع،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مقالة الشهيد قدّس سرّه في المسالك 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المندوب مقدار ثلاث أصابع عرضا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تبعه على ذلك شيخنا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 المستحبّ مقدار عرض ثلاث أصابع لأنّه المتبادر من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قدوة المحقّقين و فخر المجتهدين وحيد عصره و فريد دهره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يبدو من مجالات متعدّدة من مؤلّفاته في الفقه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المجلد الخامس من التعليقة على المعالم عند ختام البحث عن حجّية ظواهر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ينبغي ختم المسألة بذكر امور،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شيخنا قدّس سرّه من أنّه ربّما يتوهّم أنّ الخلاف في اعتبار ظواهر الكتاب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مبحث حرمة العمل بالظنّ،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المحقّق البهبهاني رحمه اللّه بداهة عدم جواز العمل بالظنّ عند العوام فضلا عن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الضرورة ربّما يكون أقوى من نقل الإجماع كما نبّه عليه شيخنا الاستاذ عند تتلمذنا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بتتلمذه عند شريف العلماء المازندراني الحائري رحمه اللّه، و لكنّه أمر لا يساعده الاعتبار، لأنّ الاستاذ الشريف مات بكربلاء بمرض الطاعون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قعدة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بحمد اللّه خوب است لكن خلق بسيار مردند، و جناب شريف العلماء ملا شريف مازندرانى ملقّب به آخوند مطلق اليوم مرد با يك زنش و يك دختر و يك پسرش به چند يوم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آنذاك لم يكمل عشر سنين و من البعيد جدّا تتلمذه</w:t>
      </w:r>
      <w:bookmarkStart w:id="20" w:name="pg16144_232942"/>
    </w:p>
    <w:p>
      <w:pPr>
        <w:pStyle w:val="BookText"/>
        <w:rPr/>
      </w:pPr>
      <w:bookmarkEnd w:id="20"/>
      <w:r>
        <w:rPr>
          <w:rFonts w:ascii="Amiri" w:hAnsi="Amiri" w:eastAsia="Amiri" w:cs="Amiri"/>
          <w:color w:val="111111"/>
          <w:sz w:val="28"/>
          <w:sz w:val="28"/>
          <w:szCs w:val="28"/>
          <w:rtl w:val="true"/>
          <w:lang w:bidi="ar-SA"/>
        </w:rPr>
        <w:t xml:space="preserve">عنده، هذا مضافا إلى أنّ وروده بكربلاء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عدّ صاحب مستدركات أعيان الشيعة</w:t>
      </w:r>
      <w:r>
        <w:rPr>
          <w:rStyle w:val="FootnoteAnchor"/>
          <w:rtl w:val="true"/>
        </w:rPr>
        <w:footnoteReference w:id="15"/>
      </w:r>
      <w:r>
        <w:rPr>
          <w:rFonts w:ascii="Amiri" w:hAnsi="Amiri" w:eastAsia="Amiri" w:cs="Amiri"/>
          <w:color w:val="111111"/>
          <w:sz w:val="28"/>
          <w:sz w:val="28"/>
          <w:szCs w:val="28"/>
          <w:rtl w:val="true"/>
          <w:lang w:bidi="ar-SA"/>
        </w:rPr>
        <w:t xml:space="preserve">جملة من العلماء الأعلام القاطنين آنذاك بقزوين في زمرة مشايخه كالشهيد الثالث المولى محمّد تقي البرغاني، و المولى آغا الحكمي، و الشيخ ميرزا عبد الوهّاب البرغاني،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مع شدّة فحصنا في آثاره رحمه اللّه لم نعثر على ما يدلّ عليه صراحة أو ظهورا، و لا تكفي فيه المعاصرة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لم يصرّح به في كلمات غيره من أصحاب الفهارس و التراجم، و لم نقف على مستنده في ذلك</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04354_1280447820"/>
      <w:bookmarkStart w:id="22" w:name="_Toc8"/>
      <w:bookmarkEnd w:id="21"/>
      <w:r>
        <w:rPr>
          <w:rtl w:val="true"/>
        </w:rPr>
        <w:t>بعض تلامذته</w:t>
      </w:r>
      <w:r>
        <w:rPr>
          <w:rtl w:val="true"/>
        </w:rPr>
        <w:t>:</w:t>
      </w:r>
      <w:bookmarkEnd w:id="22"/>
    </w:p>
    <w:p>
      <w:pPr>
        <w:pStyle w:val="BookText"/>
        <w:rPr/>
      </w:pPr>
      <w:r>
        <w:rPr>
          <w:rFonts w:ascii="Amiri" w:hAnsi="Amiri" w:eastAsia="Amiri" w:cs="Amiri"/>
          <w:color w:val="111111"/>
          <w:sz w:val="28"/>
          <w:sz w:val="28"/>
          <w:szCs w:val="28"/>
          <w:rtl w:val="true"/>
          <w:lang w:bidi="ar-SA"/>
        </w:rPr>
        <w:t>قد ارتوى من منهل علمه العذب كثير من الأجلّة الأفاضل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الحكيم الحاج مولى محمّد المدعوّ بالهيدجي ابن الحاج معصوم علي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حدود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المحقّق و الفقيه الاصولي الشيخ عبد اللّه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الهمام فخر المحقّقين الحاج الشيخ جواد بن مولى محرّمعلى الطارمي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 w:name="pg16144_232943"/>
    </w:p>
    <w:p>
      <w:pPr>
        <w:pStyle w:val="BookText"/>
        <w:rPr/>
      </w:pPr>
      <w:bookmarkEnd w:id="2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و الفاضل الجليل السيّد حسين الاشكوري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المحقّق الشيخ شعبان الجيلاني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الفقهاء الأعلام و مراجع التقليد في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الزاهد السيّد حسين الزرآبادي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السيّد مهدي بن حسن ابن السيّد أحمد القزويني النجفي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مشاهير علماء 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جعفر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فتحعلي بن الحاج ولي بن علي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البارع المولى علي أصغر بن غلامعلي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الفقيه الميرزا نصر اللّه شيخ الإسلام والد الميرزا فضل اللّه المعروف بشيخ الإسلام الزنجاني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السيّد أبو الحسن بن هادي بن محمّد رضا الحسيني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هناك كثيرا ممّن لم نعثر على أساميهم، الّتي قد اهملت أسماؤهم و لم يضبط أحوالهم في كتب التراجم فلم نقف عليها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04356_1280447820"/>
      <w:bookmarkStart w:id="25" w:name="_Toc9"/>
      <w:bookmarkEnd w:id="24"/>
      <w:r>
        <w:rPr>
          <w:rtl w:val="true"/>
        </w:rPr>
        <w:t>تأليفاته</w:t>
      </w:r>
      <w:r>
        <w:rPr>
          <w:rtl w:val="true"/>
        </w:rPr>
        <w:t>:</w:t>
      </w:r>
      <w:bookmarkEnd w:id="25"/>
    </w:p>
    <w:p>
      <w:pPr>
        <w:pStyle w:val="BookText"/>
        <w:rPr/>
      </w:pPr>
      <w:r>
        <w:rPr>
          <w:rFonts w:ascii="Amiri" w:hAnsi="Amiri" w:eastAsia="Amiri" w:cs="Amiri"/>
          <w:color w:val="111111"/>
          <w:sz w:val="28"/>
          <w:sz w:val="28"/>
          <w:szCs w:val="28"/>
          <w:rtl w:val="true"/>
          <w:lang w:bidi="ar-SA"/>
        </w:rPr>
        <w:t>ترك سيّدنا الجدّ قدّس سرّه آثارا جليلة، أهمّها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الكتاب الّذي نال به مؤلّفه شهرته الخالدة في علم الاصول حتّى صار يعرّف المؤلّف بالمؤلّف و يوصف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الحاشية على القوانين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من أشهر حواشي القوانين و أحسنها تنقيحا و أجودها توضيحا و أمتنها تعبيرا و تحريرا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روابط ايران و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محمّد صالح المازندراني السمناني في شأن هذا الكتاب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سيد على بر قوانين و حاشيه ميرزا محمّد على مدرّس رشتى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دقت و تحقيق علم اصول از شاهكارهاى علمى در قرون اخير بشمار مى روند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أحسن الوديعة في ذيل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حاشية صاحب العنوان في هامش القوانين و مستقلاّ و عندنا نسخة منها و لعمري أنّها تكشف عن غاية مهارته في الاصول و نهاية بارعيّته الخ</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طبعت هذه الحاشية المباركة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عاصمة طهران و طبعت أيضا بهامش القوانين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معالم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السفر الجليل أبسط تعليقة علّقت على المعالم، و هذه التعليقة المباركة منذ تأليفه كانت حبيسة في زوايا المكتبات يعلوها التراب، و لم يطّلع عليها إلاّ بعض النابهين من الأعلام ممّن يفتّشون عن النفائس دون الزخارف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في أحسن هيئة و أجمل اسلوب إلى الحوزات العلميّة و الملأ العلمي، و للّه الحمد على ما أنعم و الشكر على ما ألهم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حقيقة المفرد المحلّى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أقسام الواجب و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تداخل الأسباب و المسبّبات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قاعدة نفي الضرر و الضرار، و قد أحال إليها في مبحث البراءة من حاشيته على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الولاية و قد أشار إليها في حاشية القوانين في مبحث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قاعدة ما يضمن بصحيحه يضمن بفاسده، طبعت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العدالة، و قد فرغ من تأليفها في محرّم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حمل فعل المسلم على الصحّة، قد فرغ منها في إحدى و عشرين من شهر 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الأصل في المعاملات الصحّة أو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فارسيّة في الاجتهاد و التقليد و الطهارة و الصلاة و الزكاة و الخمس و الصوم و الرضاع طبعت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فارسيّة في أنواع التكسّب و البيع و الخيارات و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فارسيّة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 و شرح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العاصمة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سؤال و جواب بالفارسية، المشتملة على أجوبة الاستفتاءات و غيرها من المسائل الفقهيّة، و فيها بيان لمعاني بعض الأخبار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أشار المحقّق الطهراني إلى تلك الرسائل في الذريعة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الكثيرة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التجارة إلى الاجرة على الأذان، و من أوّل الفصل الثاني في عقد البيع إلى بيع السمك في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على كتاب الصيد و الذباحة من أوّله إلى مسألة القطعة المبانة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على كتاب الصوم من أوّله إلى إيصال الغبار و الدخان إلى الحلق، و يلحق به البحث عن شرائط المتعاقدين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البيع من أوّله إلى آخره، و يشتمل على البحث من جملة من المشتركات بين المسلمين، كالمساجد و المدارس و الربط و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كتاب الرضاع للشيخ مرتضى الأنصاري رحمه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الرضاع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مفتتح هذا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چون أقلّ عباد اللّه سابق بر اين رساله رضاعيّة منسوب به شيخ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كرده و بر بعض مواضع آن حاشيه نوشته بودم و مقلّدين را اذن در رجوع به آن و عمل </w:t>
      </w:r>
      <w:bookmarkStart w:id="26" w:name="pg16144_232946"/>
    </w:p>
    <w:p>
      <w:pPr>
        <w:pStyle w:val="BookText"/>
        <w:rPr/>
      </w:pPr>
      <w:bookmarkEnd w:id="26"/>
      <w:r>
        <w:rPr>
          <w:rFonts w:ascii="Amiri" w:hAnsi="Amiri" w:eastAsia="Amiri" w:cs="Amiri"/>
          <w:color w:val="111111"/>
          <w:sz w:val="28"/>
          <w:sz w:val="28"/>
          <w:szCs w:val="28"/>
          <w:rtl w:val="true"/>
          <w:lang w:bidi="ar-SA"/>
        </w:rPr>
        <w:t>كردن بر مسائل آن داده بودم و مسائل آن نيز در ميان مردم كثير الحاجة و عامّ البلوى است خواستم آن را هم جزء اين رساله قرار داده باشم، حواشى آن را داخل در متن نموده و مجموع را جزء اين رسالة قرار دادم كه مردم در مسائل رضاع نيز كه محتاج به آنها مى شوند معطّل نباشند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تفسير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الأحكام في معرفة الحلال و الحرام</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التراث الفقهيّ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تآليفه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منذ تأليفه حتّى اليوم مخطوطة عند اسرته الشريفة حتّى انتهت النوبة إلينا و قد منّ اللّه علينا حيث وفّقنا لإحيائها بالتحقيق و 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في وسعنا و طاقتنا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السفر الجليل يشتمل على خمس مجلّدات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 و هذا هو الكتاب الماثل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الطهارات الثلاث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أحال إليه في مبحث اجتماع الأمر و النهي من حاشيته على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04358_1280447820"/>
      <w:bookmarkStart w:id="28" w:name="_Toc10"/>
      <w:bookmarkEnd w:id="27"/>
      <w:r>
        <w:rPr>
          <w:rtl w:val="true"/>
        </w:rPr>
        <w:t>منزلته العلميّة و زهده و مرجعيّته</w:t>
      </w:r>
      <w:r>
        <w:rPr>
          <w:rtl w:val="true"/>
        </w:rPr>
        <w:t>:</w:t>
      </w:r>
      <w:bookmarkEnd w:id="28"/>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الشخصيّات النادرة في تاريخ الفقه و الاصول، و قد آتاه اللّه فكرا قويّا ثاقبا و ذوقا سليما سويّا في التفكير و الاستدلال، كما يكشف عنه حاشيته المعروفة على القوانين بما فيها من الكنوز الثمينة من الآراء الناضجة و التحقيقات الراقية، و هذا يجعلنا في غنى و كفاية عن تبيين موقفه العلمي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قدّس سرّه دائم التفكير لا يفارقه العمل العلمي تدريسا أو تأليفا إلاّ في أوقات العبادة </w:t>
      </w:r>
      <w:bookmarkStart w:id="29" w:name="pg16144_232947"/>
    </w:p>
    <w:p>
      <w:pPr>
        <w:pStyle w:val="BookText"/>
        <w:rPr/>
      </w:pPr>
      <w:bookmarkEnd w:id="29"/>
      <w:r>
        <w:rPr>
          <w:rFonts w:ascii="Amiri" w:hAnsi="Amiri" w:eastAsia="Amiri" w:cs="Amiri"/>
          <w:color w:val="111111"/>
          <w:sz w:val="28"/>
          <w:sz w:val="28"/>
          <w:szCs w:val="28"/>
          <w:rtl w:val="true"/>
          <w:lang w:bidi="ar-SA"/>
        </w:rPr>
        <w:t>و الراحة كما يومئ إليه ما كتبه في ختام المجلّد الأوّل من ينابيعه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من تسويده مؤلّفه الفقير إلى اللّه الغني عليّ بن إسماعيل المرحوم الموسوي عند طلوع الفجر من يوم الثلاثاء الاثنى عشر من شهر رجب المرجب من شهور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كان من مراجع عصره قد رجع إليه جمع من المؤمنين، و طبعت رسالته العمليّة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امور المقلّدين الّذين يرجعون إليه في التقليد، و قد علّق عليه فقيه الطائفة المحقّة السيّد محمّد كاظم اليزدي صاحب العروة الوثقى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جانب آخر كان في حياته الشخصيّة زاهدا قانعا معرضا عن الدنيا و أربابها و رئاساتها الفانية، كما أشار إليه كلّ من تصدّى لترجمته من أصحاب التراجم و الفهرستات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الإشارة إليه هنا، ما حكى بعض المعاصرين</w:t>
      </w:r>
      <w:r>
        <w:rPr>
          <w:rStyle w:val="FootnoteAnchor"/>
          <w:rtl w:val="true"/>
        </w:rPr>
        <w:footnoteReference w:id="28"/>
      </w:r>
      <w:r>
        <w:rPr>
          <w:rFonts w:ascii="Amiri" w:hAnsi="Amiri" w:eastAsia="Amiri" w:cs="Amiri"/>
          <w:color w:val="111111"/>
          <w:sz w:val="28"/>
          <w:sz w:val="28"/>
          <w:szCs w:val="28"/>
          <w:rtl w:val="true"/>
          <w:lang w:bidi="ar-SA"/>
        </w:rPr>
        <w:t>عن بعض من عاصره رحمه اللّه في شأنه رحمه اللّه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پيشنمازى و وثوق قلبى و حتّى تقليد بعضى منحصر به آقا سيّد علي بود، و لو قضاوت نمى كرد، مراوده با أعيان و اشراف هم نداشت، خمس و زكاة و مظالم مى گرفت و فورا تقسيم مى كرد ميان علماء و طلاّب، و از اين جهت روى دل طلاّب 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آقا سيّد على هركه اقتداء مى نمود هيچ مقيّد نبود كه خود را به او نشان دهد زيرا به هركه چيزى مى داد توقّع اقتداء از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آقا سيّد علي چنان پر از مأمومين مى شد كه غالبا جا نبود با آنكه مسجد بزرگى بود جنب خانه اش، در ماه رمضان مسجد آقا سيّد علي براى نماز جا خريده مى شد و هر واعظى آرزو داشت كه در آنجا منبر رود</w:t>
      </w:r>
      <w:r>
        <w:rPr>
          <w:rFonts w:eastAsia="IRNazanin" w:cs="IRNazanin"/>
          <w:color w:val="111111"/>
          <w:sz w:val="28"/>
          <w:szCs w:val="28"/>
          <w:rtl w:val="true"/>
          <w:lang w:bidi="fa-IR"/>
        </w:rPr>
        <w:t>...»</w:t>
      </w:r>
    </w:p>
    <w:p>
      <w:pPr>
        <w:pStyle w:val="Heading3"/>
        <w:numPr>
          <w:ilvl w:val="2"/>
          <w:numId w:val="1"/>
        </w:numPr>
        <w:rPr/>
      </w:pPr>
      <w:bookmarkStart w:id="30" w:name="__RefHeading___Toc1804360_1280447820"/>
      <w:bookmarkStart w:id="31" w:name="_Toc11"/>
      <w:bookmarkEnd w:id="30"/>
      <w:r>
        <w:rPr>
          <w:rtl w:val="true"/>
        </w:rPr>
        <w:t>أولاده</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أنجب قدّس سرّه ابنا و أربع بنات، و أمّا ابنه فهو</w:t>
      </w:r>
      <w:r>
        <w:rPr>
          <w:rFonts w:eastAsia="IRNazanin" w:cs="IRNazanin"/>
          <w:color w:val="111111"/>
          <w:sz w:val="28"/>
          <w:szCs w:val="28"/>
          <w:rtl w:val="true"/>
          <w:lang w:bidi="fa-IR"/>
        </w:rPr>
        <w:t xml:space="preserve">: </w:t>
      </w:r>
      <w:bookmarkStart w:id="32" w:name="pg16144_232948"/>
    </w:p>
    <w:p>
      <w:pPr>
        <w:pStyle w:val="BookText"/>
        <w:rPr/>
      </w:pPr>
      <w:bookmarkEnd w:id="32"/>
      <w:r>
        <w:rPr>
          <w:rFonts w:ascii="Amiri" w:hAnsi="Amiri" w:eastAsia="Amiri" w:cs="Amiri"/>
          <w:color w:val="111111"/>
          <w:sz w:val="28"/>
          <w:sz w:val="28"/>
          <w:szCs w:val="28"/>
          <w:rtl w:val="true"/>
          <w:lang w:bidi="ar-SA"/>
        </w:rPr>
        <w:t xml:space="preserve">العالم الفقيه الاصولي السيّد محمّد باقر الموسوي القزويني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أجلاّء عصره و مشاهير دهره، ولد في أرض الغري و تخرّج على الميرزا حبيب اللّه الرشتي و الشيخ محمّد حسن بن عبد اللّه الممقاني، و له إجازات من أعلام عصره كالفاضل الشربياني و السيّد المجدّد آية اللّه السيّد محمّد حسن الشيرازي و غيرهما من الأعلام، و برز منه تأليفات كثيرة و توفّي يوم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المشرّفة و دفن في جوار مولانا الحسين عليه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بناته فهنّ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الورع الميرزا حسين بن المولى آغا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العلاّمة الطهراني في الكرام البررة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الفقيه السيّد أبو القاسم الحسيني القزويني، و هي أمّ العالم الأورع و الفقيه الزاهد السيّد محمّد الحسيني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زوجة السيّد زين العابدين التنكابني رحمه اللّه، و هي أمّ العالم الفقيه السيّد أبو الحسن التنكابني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الجليل السيّد خليل بن السيّد رفيع القزويني، و هي أمّ الحكيم الإلهي و الفيلسوف الربّاني، فقيه الطائفة آية اللّه السيّد أبو الحسن الرفيعي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804362_1280447820"/>
      <w:bookmarkStart w:id="34" w:name="_Toc12"/>
      <w:bookmarkEnd w:id="33"/>
      <w:r>
        <w:rPr>
          <w:rtl w:val="true"/>
        </w:rPr>
        <w:t>الثناء عليه</w:t>
      </w:r>
      <w:r>
        <w:rPr>
          <w:rtl w:val="true"/>
        </w:rPr>
        <w:t>:</w:t>
      </w:r>
      <w:bookmarkEnd w:id="34"/>
    </w:p>
    <w:p>
      <w:pPr>
        <w:pStyle w:val="BookText"/>
        <w:rPr/>
      </w:pPr>
      <w:r>
        <w:rPr>
          <w:rFonts w:ascii="Amiri" w:hAnsi="Amiri" w:eastAsia="Amiri" w:cs="Amiri"/>
          <w:color w:val="111111"/>
          <w:sz w:val="28"/>
          <w:sz w:val="28"/>
          <w:szCs w:val="28"/>
          <w:rtl w:val="true"/>
          <w:lang w:bidi="ar-SA"/>
        </w:rPr>
        <w:t>تعرّض لوصفه ببالغ المديح و الثناء كثير من العلماء العظام و أصحاب التراجم و الفهرستات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طليعتهم ما أثنى عليه السيّد المجدّد آية اللّه الميرزا محمّد حسن الشيرازي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إجازته لولده العالم السيّد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 والده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معلوم من سيرته </w:t>
      </w:r>
    </w:p>
    <w:p>
      <w:pPr>
        <w:pStyle w:val="BookText"/>
        <w:rPr/>
      </w:pPr>
      <w:r>
        <w:rPr>
          <w:rFonts w:ascii="Amiri" w:hAnsi="Amiri" w:eastAsia="Amiri" w:cs="Amiri"/>
          <w:color w:val="111111"/>
          <w:sz w:val="28"/>
          <w:sz w:val="28"/>
          <w:szCs w:val="28"/>
          <w:rtl w:val="true"/>
          <w:lang w:bidi="ar-SA"/>
        </w:rPr>
        <w:t>و طريقته من شدّة تجنّبه عن بذل العناوين و الألقاب إلى غير أهلها، و هذا يكشف جليّا عن جلالة قدر سيّدنا المترجم له و علوّ شأنه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الأحقر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المآثر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على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أعاظم مجتهدين و أجلّۀ حفظۀ شريعت و دين بود و در علم فقه مقام تحقيق او را از معاصرين إحدى انكار نداشت ولى در اين اصول مسلّم تر مى نمود، غالب اوقات قوانين محقّق قمى را عنوان افادت قرار مى داد و به آن كتاب كريم اعتقادى عظيم داشت و هم بر قوانين حاشيه نگاشته كه به طبع رسيده و نيز بر معالم الاصول تعليقۀ مبسوطى پرداخته است، به زهد و تقوى و قدس او كمتر كسى ديده شده و آن علامۀ عهد و زاهد عصر همشيره زادۀ حاج سيد رضى الدين مجتهد قزوينى است رضوان اللّه عليهما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محمّد على المدرّس الخياباني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قزويني سيّد على بن اسماعيل موسوى عالمى است فاضل، عابد، زاهد، فقيه، اصولى، محدّث، رجالى، مفسّر، معقولى، منقولى، از فحول علماى أواخر قرن سيزدهم هجرت كه اغلب اوقات قوانين الاصول ميرزاى قمى را تدريس مى كرده و از تأليفات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حاشيۀ قوانين مذكور كه بسيار مرغوب و بين العلماء محلّ توجه و مطلوب و از تبحّر و رشاقت بيان مؤلّف خود حاكى است و در تهران 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حاشيۀ معالم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قاعدۀ لا ضرر، و در سال هزار و دويست و نود و هشت هجرت وفات يافته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نقباء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bookmarkStart w:id="35" w:name="pg16144_232950"/>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الفضلاء الأجلّة و العلماء الكاملين، و من أرحام السيّد إبراهيم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أجازه العلاّمة الميرزا محمّد التنكابني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أحسن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المحقّق و الفقيه المدقّق المجتهد الاصوليّ مولانا الآقا سيد على ابن السيّد اسماعيل القزويني مولدا و مسكنا، كان رحمه اللّه عالما فاضلا و محقّقا كاملا، شهد له اعيان الرجال بالكمال في الفقه و الاصول و الحديث و التفسير و الرجال و كان بيته في قزوين مجمع الفضلاء و محطّ رحال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ذكره في الذريعة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هكذا تصدّى لترجمته غيرهم من أصحاب التراجم كما جاء في نجوم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باب الجنّة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804364_1280447820"/>
      <w:bookmarkStart w:id="37" w:name="_Toc13"/>
      <w:bookmarkEnd w:id="36"/>
      <w:r>
        <w:rPr>
          <w:rtl w:val="true"/>
        </w:rPr>
        <w:t>وفاته و مدفنه</w:t>
      </w:r>
      <w:r>
        <w:rPr>
          <w:rtl w:val="true"/>
        </w:rPr>
        <w:t>:</w:t>
      </w:r>
      <w:bookmarkEnd w:id="37"/>
    </w:p>
    <w:p>
      <w:pPr>
        <w:pStyle w:val="BookText"/>
        <w:rPr/>
      </w:pPr>
      <w:r>
        <w:rPr>
          <w:rFonts w:ascii="Amiri" w:hAnsi="Amiri" w:eastAsia="Amiri" w:cs="Amiri"/>
          <w:color w:val="111111"/>
          <w:sz w:val="28"/>
          <w:sz w:val="28"/>
          <w:szCs w:val="28"/>
          <w:rtl w:val="true"/>
          <w:lang w:bidi="ar-SA"/>
        </w:rPr>
        <w:t xml:space="preserve">قد جرى عليه قضاء اللّه و لبّى نداء ربّه في يوم الثلاثاء أربع مضين من شهر محرم الحرام سنة مائتين و ثمان و تسعين بعد الألف من الهجرة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ساعتين من النهار في بلدة قزوين، و حمل جثمانه الشريف إلى حائر الحسين عليه السّلام و دفن في بقعة فيها مرقد السيّد إبراهيم القزويني صاحب ضوابط الاصول و خاليه السيّد تقي و الحاج السيّد رضي الدين القزويني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تاريخ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پيغمبريه</w:t>
      </w:r>
      <w:r>
        <w:rPr>
          <w:rStyle w:val="FootnoteAnchor"/>
          <w:rtl w:val="true"/>
        </w:rPr>
        <w:footnoteReference w:id="32"/>
      </w:r>
      <w:r>
        <w:rPr>
          <w:rFonts w:ascii="IRNazanin" w:hAnsi="IRNazanin" w:eastAsia="IRNazanin"/>
          <w:color w:val="111111"/>
          <w:sz w:val="28"/>
          <w:sz w:val="28"/>
          <w:szCs w:val="28"/>
          <w:rtl w:val="true"/>
          <w:lang w:bidi="fa-IR"/>
        </w:rPr>
        <w:t xml:space="preserve">آسمان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ترابا</w:t>
      </w:r>
    </w:p>
    <w:p>
      <w:pPr>
        <w:pStyle w:val="BookText"/>
        <w:rPr/>
      </w:pPr>
      <w:r>
        <w:rPr>
          <w:rFonts w:ascii="IRNazanin" w:hAnsi="IRNazanin" w:eastAsia="IRNazanin"/>
          <w:color w:val="111111"/>
          <w:sz w:val="28"/>
          <w:sz w:val="28"/>
          <w:szCs w:val="28"/>
          <w:rtl w:val="true"/>
          <w:lang w:bidi="fa-IR"/>
        </w:rPr>
        <w:t xml:space="preserve">پى تاريخ ديدم بر مزارى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سيد على رضوان مآبا</w:t>
      </w:r>
    </w:p>
    <w:p>
      <w:pPr>
        <w:pStyle w:val="BookText"/>
        <w:rPr/>
      </w:pPr>
      <w:r>
        <w:rPr>
          <w:rFonts w:ascii="Amiri" w:hAnsi="Amiri" w:eastAsia="Amiri" w:cs="Amiri"/>
          <w:color w:val="111111"/>
          <w:sz w:val="28"/>
          <w:sz w:val="28"/>
          <w:szCs w:val="28"/>
          <w:rtl w:val="true"/>
          <w:lang w:bidi="ar-SA"/>
        </w:rPr>
        <w:t>فسلام عليه يوم ولد و يوم مات و يوم يبعث حيّا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804366_1280447820"/>
      <w:bookmarkStart w:id="39" w:name="_Toc14"/>
      <w:bookmarkEnd w:id="38"/>
      <w:r>
        <w:rPr>
          <w:rtl w:val="true"/>
        </w:rPr>
        <w:t>منهجيّة التحقيق</w:t>
      </w:r>
      <w:r>
        <w:rPr>
          <w:rtl w:val="true"/>
        </w:rPr>
        <w:t>:</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المتتبّع ما يواجهه المحقّق من مصاعب شتّى في مسيرة عمله </w:t>
      </w:r>
    </w:p>
    <w:p>
      <w:pPr>
        <w:pStyle w:val="BookText"/>
        <w:rPr/>
      </w:pPr>
      <w:r>
        <w:rPr>
          <w:rFonts w:ascii="Amiri" w:hAnsi="Amiri" w:eastAsia="Amiri" w:cs="Amiri"/>
          <w:color w:val="111111"/>
          <w:sz w:val="28"/>
          <w:sz w:val="28"/>
          <w:szCs w:val="28"/>
          <w:rtl w:val="true"/>
          <w:lang w:bidi="ar-SA"/>
        </w:rPr>
        <w:t>التحقيقي، و بالخصوص فيما لو عزّت عليه النسخ لأجل تثبيت المواضع المضطربة أو تشخيص المقاطع المبهمة، ممّا يضعه في دوّامة لا محيص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دعانا إلى اتّباع الدقّة و الانتباه بقدر الممكن لابتغاء المطلوب الذي جهدنا على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فقد بادرنا إلى تشكيل برنامج عمل يتّخذ ما يلي أساسا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اعتمدنا في مراحل عملنا على النسخة الوحيدة المدوّنة بخطّ المؤلّف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بتقويم النصّ، و قد آلينا الدقّة المطلوبة فيها، و تلخّص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النصّ إلى عدّة فقرات حسب ما تقتضيه المطالب، و وضع العلامات الإملائيّة بين العبائر لغرض تسهيل القراءة و الإعانة على فهم المطالب المذكورة، و توضيح المبهمات، و شرح الكلمات الغريبة و إدراجها في ذيل صفحات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بذلنا ما في الوسع لتخريج الآيات الكريمة و الروايات الشريفة و الأقوال الفقهيّة الّتي أوردها المصنّف و استدلّ بها أو ناقشها أثناء بحثه، و إرجاعها إلى مصادرها الاصليّة و الاشارة إلى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أضفنا إلى المتن بعض الكلمات الّتي نراها مناسبة لمقتضى السياق، حرصا منّا على توضيح المراد، و إعانة للقارئ الكريم على الوصول إلى بغيته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حرصنا على أن نجعل الإضافة الواردة بين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منّا على الأصل الّذي هو أمانة في أعناقنا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يجب علينا أن نتقدّم بالشكر و الامتنان إلى الأخ الأعزّ الفاضل سبط المؤلّف سماحة الحجّة السيد عبد الرحيم الحسيني الجزمئي الّذي ساعدني في إنجاح هذا المأمول بما تيسّر له من الجهود المشكورة، جزاه اللّه عن سلفه الصالحين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أن يتقبّل منّا هذا المجهود القليل خالصا لوجهه الكريم، و يجعلنا من محيي تراث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يجعلنا نعم الخلف لأولئك الماضين من علمائنا الّذي كانوا نعم السلف لنا إن شاء اللّه، و نسأل اللّه تعالى التوفيق و التسديد في إخراج بقيّة الأجزاء الاخر بالشكل المطلوب إن شاء اللّه تعالى،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دعوانا أن الحمد للّه ربّ العالمين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المؤلّف السيّد عليّ العلوي القزويني </w:t>
      </w:r>
      <w:bookmarkStart w:id="40" w:name="pg16144_232952"/>
    </w:p>
    <w:p>
      <w:pPr>
        <w:pStyle w:val="Heading3"/>
        <w:numPr>
          <w:ilvl w:val="2"/>
          <w:numId w:val="1"/>
        </w:numPr>
        <w:rPr/>
      </w:pPr>
      <w:bookmarkStart w:id="41" w:name="__RefHeading___Toc1804368_1280447820"/>
      <w:bookmarkStart w:id="42" w:name="_Toc15"/>
      <w:bookmarkEnd w:id="40"/>
      <w:bookmarkEnd w:id="41"/>
      <w:r>
        <w:rPr>
          <w:rtl w:val="true"/>
        </w:rPr>
        <w:t>مصادر الترجمة</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آغابزرگ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العلماء، لميرزا محمّد التنكابني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نجوم السماء، لميرزا محمّد مهدي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الوديعة، للسيّد مهدي بن السيّد محمّد الموسوي الخوانساري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روابط ايران و عراق، لمرتضى مدرسى چهاردهى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سيماى تاريخ و فرهنگ قزوين، للدكتور پرويز ورجاوند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على رسالة في العدالة، للسيّد جواد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اختلافيه كيوان، لعباس على كيوان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كيوان نامه، لعباس على كيوان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المآثر و الآثار، لاعتماد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لميرزا محمّد علي مدرّس الخياباني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القوانين، للسيّد علي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مشاهير علماء زنجان، للشيخ موسى الزنجاني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سياحت شرق، لآقا نجفى قوچاني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أعيان الشيعة، للسيّد حسن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مينودر يا باب الجنّة، لمحمّد علي گلريز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 للعلاّمة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معالم الاصول، للسيّد علي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الأحكام في معرفة الحلال و الحرام، للسيّد علي القزويني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الآثار، لميرزا محمّد علي معلّم حبيب آبادي</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144_232954"/>
      <w:bookmarkStart w:id="44" w:name="pg16144_232954"/>
      <w:bookmarkEnd w:id="44"/>
    </w:p>
    <w:p>
      <w:pPr>
        <w:pStyle w:val="Heading2"/>
        <w:numPr>
          <w:ilvl w:val="1"/>
          <w:numId w:val="1"/>
        </w:numPr>
        <w:rPr/>
      </w:pPr>
      <w:bookmarkStart w:id="45" w:name="pg16144_232954"/>
      <w:bookmarkStart w:id="46" w:name="__RefHeading___Toc1804370_1280447820"/>
      <w:bookmarkStart w:id="47" w:name="_Toc16"/>
      <w:bookmarkEnd w:id="45"/>
      <w:bookmarkEnd w:id="46"/>
      <w:r>
        <w:rPr>
          <w:rtl w:val="true"/>
        </w:rPr>
        <w:t>كتاب الطهارة قسم المياه</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804372_1280447820"/>
      <w:bookmarkStart w:id="49" w:name="_Toc17"/>
      <w:bookmarkEnd w:id="48"/>
      <w:r>
        <w:rPr>
          <w:rtl w:val="true"/>
        </w:rPr>
        <w:t>اشارة</w:t>
      </w:r>
      <w:bookmarkStart w:id="50" w:name="pg16144_232955"/>
      <w:bookmarkEnd w:id="49"/>
    </w:p>
    <w:p>
      <w:pPr>
        <w:pStyle w:val="BookText"/>
        <w:rPr/>
      </w:pPr>
      <w:bookmarkEnd w:id="50"/>
      <w:r>
        <w:rPr>
          <w:rFonts w:ascii="Amiri" w:hAnsi="Amiri" w:eastAsia="Amiri" w:cs="Amiri"/>
          <w:color w:val="111111"/>
          <w:sz w:val="28"/>
          <w:sz w:val="28"/>
          <w:szCs w:val="28"/>
          <w:rtl w:val="true"/>
          <w:lang w:bidi="ar-SA"/>
        </w:rPr>
        <w:t>بِسْمِ اللّٰهِ اَلرَّحْمٰنِ اَلرَّحِيمِ الحمد للّه ربّ العالمين، و الصلاة على خير خلقه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فهذه أوراق سوّدتها روما لشكره على إفاضة الإنعام،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 في معرفة الحلال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أسأله أن يتّخذها من فضله ذخيرة لي في يوم القيام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804374_1280447820"/>
      <w:bookmarkStart w:id="52" w:name="_Toc18"/>
      <w:bookmarkEnd w:id="51"/>
      <w:r>
        <w:rPr>
          <w:rtl w:val="true"/>
        </w:rPr>
        <w:t xml:space="preserve">ينبوع </w:t>
      </w:r>
      <w:r>
        <w:rPr>
          <w:rtl w:val="true"/>
        </w:rPr>
        <w:t>[</w:t>
      </w:r>
      <w:r>
        <w:rPr>
          <w:rtl w:val="true"/>
        </w:rPr>
        <w:t>في أقسام الماء</w:t>
      </w:r>
      <w:r>
        <w:rPr>
          <w:rtl w:val="true"/>
        </w:rPr>
        <w:t>]</w:t>
      </w:r>
      <w:bookmarkEnd w:id="52"/>
    </w:p>
    <w:p>
      <w:pPr>
        <w:pStyle w:val="BookText"/>
        <w:rPr/>
      </w:pPr>
      <w:r>
        <w:rPr>
          <w:rFonts w:ascii="Amiri" w:hAnsi="Amiri" w:eastAsia="Amiri" w:cs="Amiri"/>
          <w:color w:val="111111"/>
          <w:sz w:val="28"/>
          <w:sz w:val="28"/>
          <w:szCs w:val="28"/>
          <w:rtl w:val="true"/>
          <w:lang w:bidi="ar-SA"/>
        </w:rPr>
        <w:t>الماء ينقسم عندهم إلى مطلق و مضاف، ثمّ المطلق إلى جار و غيره، ثمّ غير الجاري إلى غيث و غيره، ثمّ غير الغيث إلى بئر و غيرها، ثمّ غير البئر إلى كثير و غيره، ثمّ غير الكثير إلى سؤر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أنّ غير السؤر إنّما يلحقه البحث هنا باعتبار حكمه الوضعي المعبّر عنه بالطهارة و النجاسة، و إن كان المقصود بالأصالة من ذلك البحث التوصّل إلى الأحكام التكليفيّة المترتبة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السؤر الّذي يبحث فيه هنا عن حكم تكليفي، من كراهة شربه أو مطلق استعماله و عدمها، و إن كان قد يلحقه البحث عن حكمه الوضعي أيضا استطرادا، كما في سؤر الكافر و أخويه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دخول المضاف في تقسيمات الأصحاب، أو ما عنون به باب الطهارة إن لم يكن هناك تقسيم صريحا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اللفظ لا يتناول بظاهره إلاّ المطلق، فيكون </w:t>
      </w:r>
    </w:p>
    <w:p>
      <w:pPr>
        <w:pStyle w:val="BookText"/>
        <w:rPr/>
      </w:pPr>
      <w:r>
        <w:rPr>
          <w:rFonts w:ascii="Amiri" w:hAnsi="Amiri" w:eastAsia="Amiri" w:cs="Amiri"/>
          <w:color w:val="111111"/>
          <w:sz w:val="28"/>
          <w:sz w:val="28"/>
          <w:szCs w:val="28"/>
          <w:rtl w:val="true"/>
          <w:lang w:bidi="ar-SA"/>
        </w:rPr>
        <w:t>البحث عن غيره واردا من باب الاستطراد لعدم كونه فردا منه، و من أنّ المضاف يلحقه أحكام مقصودة أصالة كغيره من الأقسام فيبعد كون البحث عنه استطرادا، و لازمه كونه داخلا في المقسم، أو ما عنون به الباب، و إن توقّفت صحّته على نحو تجوّز في الإطلاق بإرادة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يساعد عليه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المقام ممّا يختلف فيه الحال باختلاف مشارب الأعلام، فمن تعرّض منهم لذكره صريحا في أصل التقسيم أو العنوان كما في نافع المحقّق</w:t>
      </w:r>
      <w:r>
        <w:rPr>
          <w:rStyle w:val="FootnoteAnchor"/>
          <w:rtl w:val="true"/>
        </w:rPr>
        <w:footnoteReference w:id="33"/>
      </w:r>
      <w:r>
        <w:rPr>
          <w:rFonts w:ascii="Amiri" w:hAnsi="Amiri" w:eastAsia="Amiri" w:cs="Amiri"/>
          <w:color w:val="111111"/>
          <w:sz w:val="28"/>
          <w:sz w:val="28"/>
          <w:szCs w:val="28"/>
          <w:rtl w:val="true"/>
          <w:lang w:bidi="ar-SA"/>
        </w:rPr>
        <w:t>، فلا محيص من الحكم عليه بالتجوّز و اعتبار عموم المجاز، و من أعرض منهم عن ذلك كما في شرائعه</w:t>
      </w:r>
      <w:r>
        <w:rPr>
          <w:rStyle w:val="FootnoteAnchor"/>
          <w:rtl w:val="true"/>
        </w:rPr>
        <w:footnoteReference w:id="34"/>
      </w:r>
      <w:r>
        <w:rPr>
          <w:rFonts w:ascii="Amiri" w:hAnsi="Amiri" w:eastAsia="Amiri" w:cs="Amiri"/>
          <w:color w:val="111111"/>
          <w:sz w:val="28"/>
          <w:sz w:val="28"/>
          <w:szCs w:val="28"/>
          <w:rtl w:val="true"/>
          <w:lang w:bidi="ar-SA"/>
        </w:rPr>
        <w:t>، فليس الحكم عليه بارتكاب التجوّز ممّا ينبغي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قرّرناه من الاستبعاد في منع الاستطراد لا يصلح بمجرّده قرينة على العدول عن الأصل و الظاهر، خصوصا مع ملاحظة أنّ الاستطراد ليس بعادم النظير، بل واقع في كافّة المسائل و الأبواب</w:t>
      </w:r>
      <w:r>
        <w:rPr>
          <w:rFonts w:eastAsia="Amiri" w:cs="Amiri" w:ascii="Amiri" w:hAnsi="Amiri"/>
          <w:color w:val="111111"/>
          <w:sz w:val="28"/>
          <w:szCs w:val="28"/>
          <w:rtl w:val="true"/>
          <w:lang w:bidi="ar-SA"/>
        </w:rPr>
        <w:t xml:space="preserve">. </w:t>
      </w:r>
      <w:bookmarkStart w:id="53" w:name="pg16144_232957"/>
    </w:p>
    <w:p>
      <w:pPr>
        <w:pStyle w:val="Heading3"/>
        <w:numPr>
          <w:ilvl w:val="2"/>
          <w:numId w:val="1"/>
        </w:numPr>
        <w:rPr/>
      </w:pPr>
      <w:bookmarkStart w:id="54" w:name="__RefHeading___Toc1804376_1280447820"/>
      <w:bookmarkStart w:id="55" w:name="_Toc19"/>
      <w:bookmarkEnd w:id="53"/>
      <w:bookmarkEnd w:id="54"/>
      <w:r>
        <w:rPr>
          <w:rtl w:val="true"/>
        </w:rPr>
        <w:t xml:space="preserve">ينبوع </w:t>
      </w:r>
      <w:r>
        <w:rPr>
          <w:rtl w:val="true"/>
        </w:rPr>
        <w:t>[</w:t>
      </w:r>
      <w:r>
        <w:rPr>
          <w:rtl w:val="true"/>
        </w:rPr>
        <w:t>تعريف الماء المطلق</w:t>
      </w:r>
      <w:r>
        <w:rPr>
          <w:rtl w:val="true"/>
        </w:rPr>
        <w:t>]</w:t>
      </w:r>
      <w:bookmarkEnd w:id="55"/>
    </w:p>
    <w:p>
      <w:pPr>
        <w:pStyle w:val="BookText"/>
        <w:rPr/>
      </w:pPr>
      <w:r>
        <w:rPr>
          <w:rFonts w:ascii="Amiri" w:hAnsi="Amiri" w:eastAsia="Amiri" w:cs="Amiri"/>
          <w:color w:val="111111"/>
          <w:sz w:val="28"/>
          <w:sz w:val="28"/>
          <w:szCs w:val="28"/>
          <w:rtl w:val="true"/>
          <w:lang w:bidi="ar-SA"/>
        </w:rPr>
        <w:t>كون الماء من أظهر المفاهيم تناولا و أشيعها عند العرف تداولا ممّا يغنينا عن التعرّض لشرحه، بإيراد ما يتعلّق به من الضوابط المعمولة في تشخيص الموضوعات، لغويّة أم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باعتبار وصف كونه مطلقا في مقابلة المضاف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يستحقّ إطلاق اسم الماء عليه من غير إضافة، على معنى كونه بحيث لو أطلق عليه الاسم بلا قيد و لا إضافة كان ذلك الإطلاق باعتبار استناده إلى الوضع اللغوي أو العرفي في محلّه، الّذي يكشف عنه عدم اشتماله على الغرابة في لحاظ الاستعمال، و لا صحّة سلب الاسم عنه في نظر العرف، و إن فرض وقوعه في بعض الأحيان مقرونا بالقيد و الإضافة، فخرج عنه ماء الورد و العنب و اللحم و نظراؤه، كما دخل فيه ماء البحر و الكوز و الملح و أشباهه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وضوح كون ذلك التفسير من مقولة التعريف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 تفسير اللفظ لخفاء مسمّاه بأظهر ما يرادفه ممّا علم فيه بذلك المسمّى، كالأسد بالقياس إلى الليث مثلا، و على قياسه ما عليه طريقة نقلة متون اللغة في ذكر معاني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يدفع حزازة اشتماله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نظرا إلى أنّ الماهيّة لمكان البينونة بينها و بين الأفراد لا تعرّف بما لا يدلّ إلاّ على الأفراد، و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بملاحظة أدائه إلى الدور، المستحيل معه حصول المعرفة، فإنّ كلّ ذلك إنّما يمنع عنه في التعاريف الحقيقيّة المعبّر عنها بالحدود و الرسوم، التفاتا إلى أنّ المقصود فيها الكشف عن الماهيّة و التوصّل من معلوم تصوّري تفصيلا إلى مجهوله، و هو ممّا لا يتأتّى بما يباين الماهيّة </w:t>
      </w:r>
    </w:p>
    <w:p>
      <w:pPr>
        <w:pStyle w:val="BookText"/>
        <w:rPr/>
      </w:pPr>
      <w:r>
        <w:rPr>
          <w:rFonts w:ascii="Amiri" w:hAnsi="Amiri" w:eastAsia="Amiri" w:cs="Amiri"/>
          <w:color w:val="111111"/>
          <w:sz w:val="28"/>
          <w:sz w:val="28"/>
          <w:szCs w:val="28"/>
          <w:rtl w:val="true"/>
          <w:lang w:bidi="ar-SA"/>
        </w:rPr>
        <w:t>و لا بإعادة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اللفظي إنّما يقصد به بيان ما يطلق عليه اللفظ في اصطلاح التخاطب و لو كان مجهولا باعتبار الماهيّة، و هو ممّا يتأتّى بكلّ ما يوجبه، بخلاف الحدّ و الرسم المقصود بهما بيان أصل الماهيّة و تمييزها عمّا عداها من الماهيّات المردّد فيها، فلا يتأتّى بما يدلّ على الأفراد، و لا بلفظ المعرّف أو مرادفه، و إنّما اقتصروا في المقام على مجرّد التعريف اللفظي بينها، على أنّ الفقيه لا يتعلّق غرضه في التعاريف إلاّ بتحصيل ما هو من موضوع بحثه؛ لضابطة أنّ الأحكام تدور مدار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 و ذلك يحصل</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بالتعريف اللفظي أيضا؛ لكون موضوعات الأحكام منوطة بصدق الاسم عرفا أو لغة، و لذا تراهم يقتصرون في تحصيل الموضوعات اللغويّة على مجرّد ما ذكره أئمّة اللغة، فالماء الّذي علّق عليه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و لا يحصى ما يطلق عليه الاسم على جهة الاستحقاق، و يصدق عليه اللفظ عرفا على وجه يأبى عن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علم فيه بذلك فلا إشكال في إجراء الأحكام عليه، كما أنّ ما علم فيه بخلاف ذلك فلا إشكال في عدم إجراء الأحكام عليه، بل في إجراء أحكام المضاف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اشتبه حاله فيرجع فيه إلى الاصول، مثل أنّه لو كان ذلك الاشتباه عن حالة سابقة معلومة من الإطلاق و الإضافة، يلحق المشكوك فيه بأحد الأوّلين استصحابا لما كان عليه سابقا، من غير فرق بين ما لو كان الشكّ ناشيا عن زوال وصف، أو حدوثه مشابها بما هو من أوصاف الطرف المقابل، أو مشكوكا حاله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عن حالة سابقة، فبالنسبة إلى انفعال نفسه بمجرّد الملاقاة أو تطهّره باتّصال الكرّ أو الجاري ما دام الوصف باقيا يحكم بالعدم، مع تأمّل في الأوّل يأتي وجهه في مباحث المضاف، كما أنّه بالنسبة إلى رفعه الحدث أو الخبث عن غيره يحكم بالعدم؛ للأصل في كلّ منهما، مضافا إلى أنّ الشرط في مشروط بالماء و لو من جهة نذر معلّق عليه ممّا لا يحرز بالشكّ، فسبيله من هذه الجهة سبيل المضاف، و إن لم يكن منه بحسب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عند الشكّ في إباحة استعماله في غير مشروط بالماء من شرب و نحوه، كما لو دار بين الماء و المضافات النجسة كالخمر و نحوها، كان سبيله سبيل الماء، و إن لم يكن ماء في الواقع، من غير فرق في كلّ ذلك بين ما لو كانت الشبهة مصداقيّة، أو ناشئة عن الشكّ في الاندراج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مع اشتراكهما في الشكّ في الصدق، أنّ الشبهة في الثاني تنشأ عن الجهل بتفصيل المسمّى، و في الأوّل تنشأ عن أمر خارج وجودي أو عدمي غير مناف للعلم بالمسمّى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الأوّل نظير الشكّ في الصغرى بعد إحراز الكبرى، و في الثاني نظير الشكّ في الكبرى بعد إحراز الصغرى، و المراد بالكبرى المشكوك فيها ما كان محموله شيئا معلوم الوصف مشكوكا في كونه ماء، كالمياه الكبريتيّة و النفطيّة، و بالصغرى المشكوك فيها ما كان محموله شيئا مشتملا على وصف وجودي أو عدمي شبيه بوصف المضاف، مع العلم بكونه ماء على فرض عدم الوصف، كمائع فيه رائحة الجلاّب، مشكوك في كونه جلاّبا في الواقع أو ماء قد اكتسب الرائحة بالمجاورة و نحوها، أو مائع ليس فيه رائحة الجلاّب، مشكوك في كونه ماء أو جلاّبا زال رائحته لعارض</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الصورتين هنا راجع إلى كون الوصف الموجود من الوجودي أو العدمي أصليّا، ليكون المائع جلاّبا في الصورة الاولى و ماء في الصورة الثانية، أو عرضيّا ليكون ماء في الصورة الاولى و جلاّبا في الصورة الثانية</w:t>
      </w:r>
      <w:r>
        <w:rPr>
          <w:rFonts w:eastAsia="Amiri" w:cs="Amiri" w:ascii="Amiri" w:hAnsi="Amiri"/>
          <w:color w:val="111111"/>
          <w:sz w:val="28"/>
          <w:szCs w:val="28"/>
          <w:rtl w:val="true"/>
          <w:lang w:bidi="ar-SA"/>
        </w:rPr>
        <w:t xml:space="preserve">. </w:t>
      </w:r>
      <w:bookmarkStart w:id="56" w:name="pg16144_232960"/>
    </w:p>
    <w:p>
      <w:pPr>
        <w:pStyle w:val="Heading3"/>
        <w:numPr>
          <w:ilvl w:val="2"/>
          <w:numId w:val="1"/>
        </w:numPr>
        <w:rPr/>
      </w:pPr>
      <w:bookmarkStart w:id="57" w:name="__RefHeading___Toc1804378_1280447820"/>
      <w:bookmarkStart w:id="58" w:name="_Toc20"/>
      <w:bookmarkEnd w:id="56"/>
      <w:bookmarkEnd w:id="57"/>
      <w:r>
        <w:rPr>
          <w:rtl w:val="true"/>
        </w:rPr>
        <w:t xml:space="preserve">ينبوع </w:t>
      </w:r>
      <w:r>
        <w:rPr>
          <w:rtl w:val="true"/>
        </w:rPr>
        <w:t>[</w:t>
      </w:r>
      <w:r>
        <w:rPr>
          <w:rtl w:val="true"/>
        </w:rPr>
        <w:t>طهارة الماء المطلق في نفسه و مطهريته لغيره</w:t>
      </w:r>
      <w:r>
        <w:rPr>
          <w:rtl w:val="true"/>
        </w:rPr>
        <w:t>]</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بعنوانه الكلّي المتحقّق في ضمن جميع الأقسام المتقدّمة حتّى ما كان منه مذابا من الثلج أو البرد أو كان ماء بحر، ما دام باقيا على خلقته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مصادفة ما يوجب فيه سلب الإطلاق، أو التنجّس و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في نفسه مطهّر لغيره 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الحالة المانعة من الصلاة المتوقّف رفعها على النيّة، أو ما كان منشأ لتلك الحالة من الأسباب الآتي تفاصيلها، فيراد برفعها رفع الأثر المتعقّب لها المعبّر عنه بالحالة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النجاسة الّتي تفارق عن الحدث بما ذكر فيه من القيد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في ماء البحر لسعيد بن المسيّب</w:t>
      </w:r>
      <w:r>
        <w:rPr>
          <w:rStyle w:val="FootnoteAnchor"/>
          <w:rtl w:val="true"/>
        </w:rPr>
        <w:footnoteReference w:id="36"/>
      </w:r>
      <w:r>
        <w:rPr>
          <w:rFonts w:ascii="Amiri" w:hAnsi="Amiri" w:eastAsia="Amiri" w:cs="Amiri"/>
          <w:color w:val="111111"/>
          <w:sz w:val="28"/>
          <w:sz w:val="28"/>
          <w:szCs w:val="28"/>
          <w:rtl w:val="true"/>
          <w:lang w:bidi="ar-SA"/>
        </w:rPr>
        <w:t>المانع من الوضوء به مع وجود الماء، و عبد اللّه بن عمر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التيمّم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عنهما</w:t>
      </w:r>
      <w:r>
        <w:rPr>
          <w:rStyle w:val="FootnoteAnchor"/>
          <w:rtl w:val="true"/>
        </w:rPr>
        <w:footnoteReference w:id="37"/>
      </w:r>
      <w:r>
        <w:rPr>
          <w:rFonts w:ascii="Amiri" w:hAnsi="Amiri" w:eastAsia="Amiri" w:cs="Amiri"/>
          <w:color w:val="111111"/>
          <w:sz w:val="28"/>
          <w:sz w:val="28"/>
          <w:szCs w:val="28"/>
          <w:rtl w:val="true"/>
          <w:lang w:bidi="ar-SA"/>
        </w:rPr>
        <w:t xml:space="preserve">فإنّ خلافهما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تأويله إلى ما لا ينافي ما ادّعيناه من الكلّية، بإرجاعه إلى شبهة في الموضوع، حصلت لهما على حدّ ما فرضناه في مشكوك الحال المردّد بين كونه مطلقا أو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شبهة في مقابلة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كون المحكيّ عن الثاني صريحا في المخالفة، لجواز ابتناء كلامه على الاحتياط الغير اللازم، كما هو ظاهر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ذلك الاحتياط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محجوج عليه بما ستسمعه </w:t>
      </w:r>
    </w:p>
    <w:p>
      <w:pPr>
        <w:pStyle w:val="BookText"/>
        <w:rPr/>
      </w:pPr>
      <w:r>
        <w:rPr>
          <w:rFonts w:ascii="Amiri" w:hAnsi="Amiri" w:eastAsia="Amiri" w:cs="Amiri"/>
          <w:color w:val="111111"/>
          <w:sz w:val="28"/>
          <w:sz w:val="28"/>
          <w:szCs w:val="28"/>
          <w:rtl w:val="true"/>
          <w:lang w:bidi="ar-SA"/>
        </w:rPr>
        <w:t>من الأدلّة القاطعة، مضافا إلى قول النبيّ صلّى اللّه عليه و آله و سلّم حينما سئل عن الوضوء بماء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الكلّية المدّعاة واضح، بعد ملاحظة الإجماع الضروري من العلماء كافّة، و نقله على حدّ الاستفاضة المدّعى كونها قريبة من التواتر الّذي منه ما عن المعتبر</w:t>
      </w:r>
      <w:r>
        <w:rPr>
          <w:rStyle w:val="FootnoteAnchor"/>
          <w:rtl w:val="true"/>
        </w:rPr>
        <w:footnoteReference w:id="39"/>
      </w:r>
      <w:r>
        <w:rPr>
          <w:rFonts w:ascii="IRNazanin" w:hAnsi="IRNazanin" w:eastAsia="IRNazanin"/>
          <w:color w:val="111111"/>
          <w:sz w:val="28"/>
          <w:sz w:val="28"/>
          <w:szCs w:val="28"/>
          <w:rtl w:val="true"/>
          <w:lang w:bidi="fa-IR"/>
        </w:rPr>
        <w:t>و المنتهى</w:t>
      </w:r>
      <w:r>
        <w:rPr>
          <w:rStyle w:val="FootnoteAnchor"/>
          <w:rtl w:val="true"/>
        </w:rPr>
        <w:footnoteReference w:id="40"/>
      </w:r>
      <w:r>
        <w:rPr>
          <w:rFonts w:ascii="Amiri" w:hAnsi="Amiri" w:eastAsia="Amiri" w:cs="Amiri"/>
          <w:color w:val="111111"/>
          <w:sz w:val="28"/>
          <w:sz w:val="28"/>
          <w:szCs w:val="28"/>
          <w:rtl w:val="true"/>
          <w:lang w:bidi="ar-SA"/>
        </w:rPr>
        <w:t>و شرح الدروس للمحقّق الخوانساري</w:t>
      </w:r>
      <w:r>
        <w:rPr>
          <w:rStyle w:val="FootnoteAnchor"/>
          <w:rtl w:val="true"/>
        </w:rPr>
        <w:footnoteReference w:id="41"/>
      </w:r>
      <w:r>
        <w:rPr>
          <w:rFonts w:ascii="Amiri" w:hAnsi="Amiri" w:eastAsia="Amiri" w:cs="Amiri"/>
          <w:color w:val="111111"/>
          <w:sz w:val="28"/>
          <w:sz w:val="28"/>
          <w:szCs w:val="28"/>
          <w:rtl w:val="true"/>
          <w:lang w:bidi="ar-SA"/>
        </w:rPr>
        <w:t>، و نقل كونه من ضروريّات الدين عن المفاتيح</w:t>
      </w:r>
      <w:r>
        <w:rPr>
          <w:rStyle w:val="FootnoteAnchor"/>
          <w:rtl w:val="true"/>
        </w:rPr>
        <w:footnoteReference w:id="42"/>
      </w:r>
      <w:r>
        <w:rPr>
          <w:rFonts w:ascii="Amiri" w:hAnsi="Amiri" w:eastAsia="Amiri" w:cs="Amiri"/>
          <w:color w:val="111111"/>
          <w:sz w:val="28"/>
          <w:sz w:val="28"/>
          <w:szCs w:val="28"/>
          <w:rtl w:val="true"/>
          <w:lang w:bidi="ar-SA"/>
        </w:rPr>
        <w:t>، و لعلّه كذلك، بل ممّا لا يمكن الاسترابة فيه، و الأخبار المتواترة معنا بل البالغة فوق التواتر بألف مرّة الواردة في تطهير النجاسات و تعليم الطهارات، الآمرة بها و بتفاصيلها المتكفّلة لبيان أجزائها و شروطها و موانعها و سائر ما اعتبر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شاع عندهم الاستدلال من الكتاب العزيز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43"/>
      </w:r>
      <w:r>
        <w:rPr>
          <w:rFonts w:ascii="Amiri" w:hAnsi="Amiri" w:eastAsia="Amiri" w:cs="Amiri"/>
          <w:color w:val="111111"/>
          <w:sz w:val="28"/>
          <w:sz w:val="28"/>
          <w:szCs w:val="28"/>
          <w:rtl w:val="true"/>
          <w:lang w:bidi="ar-SA"/>
        </w:rPr>
        <w:t>و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44"/>
      </w:r>
      <w:r>
        <w:rPr>
          <w:rFonts w:ascii="Amiri" w:hAnsi="Amiri" w:eastAsia="Amiri" w:cs="Amiri"/>
          <w:color w:val="111111"/>
          <w:sz w:val="28"/>
          <w:sz w:val="28"/>
          <w:szCs w:val="28"/>
          <w:rtl w:val="true"/>
          <w:lang w:bidi="ar-SA"/>
        </w:rPr>
        <w:t xml:space="preserve">و لا كلام لأحد في دلالة الأوّل على المطهّريّة مطابقة و الطهارة التزاما عرفيّا بل عقليّا؛ لا لأنّ فاقد الشيء لا يعقل معطيا له، فإنّ حكم التطهير مبنيّ على التسبيب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يحكم العقل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بامتناع أن يجعل الشارع شيئا غير طاهر سببا لتطهير الغير، كما في الأرض الّتي تطهّر باطن النعل على القول بعدم اشتراط الطهارة فيها، و مثله ثلاثة أحجار الاستنجاء إن لم نقل باشتراط الطهارة فيها تعبّدا، بل لأنّ الماء إذا كان نجسا فيسري نجاسته إلى المحلّ فلا يزيد فيه إلاّ نجاسة في نجاسة، و معه لا يمكن 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نوقش فيه بل و في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العموم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نكرة في الإثبات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تناوله لمياه الأرض، فيكون الدليل أخصّ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المناقشة أيضا بعدم تناوله رفع الحدث؛ لأنّ كونه تطهيرا إنّما ثبت بالشرع، و اللفظ الوارد في الخطاب إنّما يحمل على ما يتداوله العرف و يساعد عليه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دفعها بناء على القول بثبوت الحقيقة الشرعيّة فيه 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هيّن، و على القول بعدم ثبوتها فيه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المعنى العرفي اللغوي هنا لا يقدح في دخول رفع الحدث في مفهوم التطهير؛ فإنّ النظافة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في نظر العرف شيء و عند الشارع شيء آخر، و لعلّ بينهما عموما من وجه، فيكون الاختلاف بينهما اختلافا في المصداق دون المسمّى، نظير ما لو اختلف زيد 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اتّفاقهما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ابن عمرو هذا الرجل أو ذاك الرجل، فإذا حملنا التطهير الوارد في الآية على التنظيف بالمعنى الشامل لرفع الحدث و الخبث معا، لم يكن منافيا لحمله على معناه العرفي اللغوي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ورود المطلق مورد الامتنان و إظهار الإنعام و الإحسان ممّا يفيد العموم، فيمنع عن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نكرة، بل هو اسم جنس منوّن، على حدّ ما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رجل لا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كان الحكم معلّقا على الماهيّة الجنسيّة، فيسري إلى الأفراد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مياه الأرض كلّها من السماء، كما نطق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وَ 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w:t>
      </w:r>
      <w:r>
        <w:rPr>
          <w:rStyle w:val="FootnoteAnchor"/>
          <w:rtl w:val="true"/>
        </w:rPr>
        <w:footnoteReference w:id="46"/>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أَنْزَلَ مِنَ اَلسَّمٰاءِ مٰاءً لَكُمْ مِنْهُ شَرٰابٌ وَ مِنْهُ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تقضي بذلك صدرا و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في معرض الامتنان، فلو لا جميع مياه الأرض من السماء لما تأتي ذلك الغرض؛ لإمكان التعيّش من الماء بما هو من أصل الأرض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التهديد على كفران النعمة، و العدول عن الطاعة إلى المعصية، فلو لا إذهابه بماء السماء موجبا لخلوّ </w:t>
      </w:r>
    </w:p>
    <w:p>
      <w:pPr>
        <w:pStyle w:val="BookText"/>
        <w:rPr/>
      </w:pPr>
      <w:r>
        <w:rPr>
          <w:rFonts w:ascii="Amiri" w:hAnsi="Amiri" w:eastAsia="Amiri" w:cs="Amiri"/>
          <w:color w:val="111111"/>
          <w:sz w:val="28"/>
          <w:sz w:val="28"/>
          <w:szCs w:val="28"/>
          <w:rtl w:val="true"/>
          <w:lang w:bidi="ar-SA"/>
        </w:rPr>
        <w:t>الأرض عن الماء لما تأتي ذلك الغرض، هذا مضافا إلى ما عن القمّي أنّه روى في تفسيره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الأنهار و العيون و الآبار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واردان أيضا في معرض الامتنان، فلو لا جميع ما في الأرض من الينابيع و ما يحصل به الشراب و الشجر و الزرع و النبات منزلا من السماء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نابعا فعلا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أعطى اللّه سبحانه بكلامه الغرض حقّه، بل كان الامتنان في غير محلّه،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يتأمّل في دلالة الآيتين، أو هما مع ما تقدّم من الرواية في تفسير الآية الاولى، كما أشار إليه في الرياض</w:t>
      </w:r>
      <w:r>
        <w:rPr>
          <w:rStyle w:val="FootnoteAnchor"/>
          <w:rtl w:val="true"/>
        </w:rPr>
        <w:footnoteReference w:id="49"/>
      </w:r>
      <w:r>
        <w:rPr>
          <w:rFonts w:ascii="Amiri" w:hAnsi="Amiri" w:eastAsia="Amiri" w:cs="Amiri"/>
          <w:color w:val="111111"/>
          <w:sz w:val="28"/>
          <w:sz w:val="28"/>
          <w:szCs w:val="28"/>
          <w:rtl w:val="true"/>
          <w:lang w:bidi="ar-SA"/>
        </w:rPr>
        <w:t>، آمرا به بعد ما أوردهما عقيب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قصور الجميع عن إفادة تمام المطلب؛ فإنّ أعظم مياه الأرض إنّما هو ماء البحر، و لا دلالة في شيء من ذلك على كونه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يتّجه لو لم يكن ماء البحر نابعا من الأرض، و إلاّ فيرجع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الرواية و الآية الاولى من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الظاهر، أو بأنّ ماء البحر على ما يشاهد بالحسّ ما يجتمع فيه من الأنهار العظيمة المخرجة إليه عن العيون و الأمطار و الثلوج، فلا يكون خارجا عنها، أو بأنّ المطلب يتمّ بملاحظة عموم الامتنان أيضا، إذ لو كان ماء البحر من نفس الأرض لما احتاج العباد إلى مياه السماء، فيكون الامتنان واردا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مناقشة اخرى واردة على الثاني خاصّة،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إلاّ بوصف الطهارة، و العمدة في المقام إنّما هو إثبات المطهّريّة، و أصل هذه المناقشة عن أبي حنيفة</w:t>
      </w:r>
      <w:r>
        <w:rPr>
          <w:rStyle w:val="FootnoteAnchor"/>
          <w:rtl w:val="true"/>
        </w:rPr>
        <w:footnoteReference w:id="51"/>
      </w:r>
      <w:r>
        <w:rPr>
          <w:rFonts w:ascii="Amiri" w:hAnsi="Amiri" w:eastAsia="Amiri" w:cs="Amiri"/>
          <w:color w:val="111111"/>
          <w:sz w:val="28"/>
          <w:sz w:val="28"/>
          <w:szCs w:val="28"/>
          <w:rtl w:val="true"/>
          <w:lang w:bidi="ar-SA"/>
        </w:rPr>
        <w:t xml:space="preserve">، فإنّه منع عن دلالة الآية على كون الماء مطهّرا، و مستنده إمّا </w:t>
      </w:r>
    </w:p>
    <w:p>
      <w:pPr>
        <w:pStyle w:val="BookText"/>
        <w:rPr/>
      </w:pPr>
      <w:r>
        <w:rPr>
          <w:rFonts w:ascii="Amiri" w:hAnsi="Amiri" w:eastAsia="Amiri" w:cs="Amiri"/>
          <w:color w:val="111111"/>
          <w:sz w:val="28"/>
          <w:sz w:val="28"/>
          <w:szCs w:val="28"/>
          <w:rtl w:val="true"/>
          <w:lang w:bidi="ar-SA"/>
        </w:rPr>
        <w:t>ما حكاه في الرياض</w:t>
      </w:r>
      <w:r>
        <w:rPr>
          <w:rStyle w:val="FootnoteAnchor"/>
          <w:rtl w:val="true"/>
        </w:rPr>
        <w:footnoteReference w:id="52"/>
      </w:r>
      <w:r>
        <w:rPr>
          <w:rFonts w:ascii="IRNazanin" w:hAnsi="IRNazanin" w:eastAsia="IRNazanin"/>
          <w:color w:val="111111"/>
          <w:sz w:val="28"/>
          <w:sz w:val="28"/>
          <w:szCs w:val="28"/>
          <w:rtl w:val="true"/>
          <w:lang w:bidi="fa-IR"/>
        </w:rPr>
        <w:t>و الحدائق</w:t>
      </w:r>
      <w:r>
        <w:rPr>
          <w:rStyle w:val="FootnoteAnchor"/>
          <w:rtl w:val="true"/>
        </w:rPr>
        <w:footnoteReference w:id="53"/>
      </w:r>
      <w:r>
        <w:rPr>
          <w:rFonts w:ascii="Amiri" w:hAnsi="Amiri" w:eastAsia="Amiri" w:cs="Amiri"/>
          <w:color w:val="111111"/>
          <w:sz w:val="28"/>
          <w:sz w:val="28"/>
          <w:szCs w:val="28"/>
          <w:rtl w:val="true"/>
          <w:lang w:bidi="ar-SA"/>
        </w:rPr>
        <w:t xml:space="preserve">من عدم جواز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بابه من المبالغة في أمثاله؛ لأنّ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بزيادة المعنى المصدري و شدّته فيه،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الماء مطهّرا لغيره أمر خارج عن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يراد منه، بل هو حينئذ بمعنى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قرّره الشيخ في التهذيب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كيف يكون الطهور هو المطهّر، و اسم الفاعل منه غير متعدّ، و كلّ فعول ورد في كلام العرب متعدّيا لم يكن متعدّيا إلاّ و فاعله متعدّ، فإذا كان فاعله غير متعدّ ينبغي أن يحكم بأنّ فعوله غير متعدّ أيضا، أ لا ترى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متعدّيا لأنّ الضارب منه متعدّ، و إذا كان اسم الطاهر غير متعدّ يجب أن يكون الطهور أيضا غير متعدّ</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يرجع إلى الوجه الأوّل، لأنّ مبناه على منع دعوى المبالغة في تلك اللفظة بخصوصها رأسا، بتوهّم أنّها مبنى الاستدلال على كون الماء مطهّرا، و محصّله يرجع إلى أنّ المبالغة إنّما هي للدلالة على الزيادة في أصل المعنى المصدري، و هذه الزيادة في خصوص تلك اللفظة إمّا أن تعتبر بالقياس إلى معنى الطهارة، أو بالقياس إلى معنى التطهير، و 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الطهارة في الماء لا تكون إلاّ على نمط واحد، فلا تقبل الزيادة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معنى التطهير عمّا هو معنى مصدري لطهور، فلا يعقل منه الدلالة على المبالغة بالقياس إليه، بخلاف الوجه الثاني الّذي مرجعه إلى منع كون المبالغة في تلك اللفظة بالقياس إلى المعنى المتعدّي، و هو كما ترى لا ينافي كونها للمبالغة بالقياس إلى المعنى اللازم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المبالغة بالقياس إلى ما عدا المعنى اللازم مبنيّة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و هو باطل؛ لمكان التلازم فيما بين الفاعل و الفعول لغة في وصفي التعدية و اللزوم،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فاعله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المسلّم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التفكيك بينهما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و هو كما ترى ممّا لا تعرّض فيه </w:t>
      </w:r>
    </w:p>
    <w:p>
      <w:pPr>
        <w:pStyle w:val="BookText"/>
        <w:rPr/>
      </w:pPr>
      <w:r>
        <w:rPr>
          <w:rFonts w:ascii="Amiri" w:hAnsi="Amiri" w:eastAsia="Amiri" w:cs="Amiri"/>
          <w:color w:val="111111"/>
          <w:sz w:val="28"/>
          <w:sz w:val="28"/>
          <w:szCs w:val="28"/>
          <w:rtl w:val="true"/>
          <w:lang w:bidi="ar-SA"/>
        </w:rPr>
        <w:t>لمنع المبالغة بالقياس إلى المعنى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في دفع هذا الوجه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أهل النحو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للمبالغة و تكرّر الصفة، أ 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منه ذلك و كثر، و إذا كان كون الماء طاهرا ليس ممّا يتكرّر و يتزايد، فينبغي أن يعتبر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 ذلك، و ليس بعد ذلك إلاّ أنّه مطهّر، و لو حملناه على ما حملنا عليه لفظة الفاعل لم تكن فيه زيادة فائدة</w:t>
      </w:r>
      <w:r>
        <w:rPr>
          <w:rStyle w:val="FootnoteAnchor"/>
          <w:rtl w:val="true"/>
        </w:rPr>
        <w:footnoteReference w:id="55"/>
      </w:r>
      <w:r>
        <w:rPr>
          <w:rFonts w:ascii="Amiri" w:hAnsi="Amiri" w:eastAsia="Amiri" w:cs="Amiri"/>
          <w:color w:val="111111"/>
          <w:sz w:val="28"/>
          <w:sz w:val="28"/>
          <w:szCs w:val="28"/>
          <w:rtl w:val="true"/>
          <w:lang w:bidi="ar-SA"/>
        </w:rPr>
        <w:t>، ليس ممّا يتوجّه إليه بل هو بظاهره أجنبيّ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إلى الوجه الأوّل الّذي سمعته عن الرياض</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كلام الشيخ رحمه اللّه خلو عن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يتوجّه إليه ما قرّره من العلاوة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قاله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اسم للفاعل إذا لم يكن متعدّيا فالفعول منه غير متعدّ فغلط أيضا، لأنّا وجدنا كثيرا ما يعتبرون في أسماء المبالغة التعدية، و إن كان اسم الفاعل منه غير متعدّ، أ لا ترى إلى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شآها كليل موهنا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طرابا و بات الليل لم ينم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موضوعا للمبالغة، و إن كان اسم الفاعل منه غير متعدّ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بعد الغضّ عمّا ذكرناه، فالّذي يقتضيه التدبّر و يساعد عليه النظر، ورود كلّ من الوجهين على خلاف التحقيق؛ لا لما قرّره في المدارك</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المعالم</w:t>
      </w:r>
      <w:r>
        <w:rPr>
          <w:rStyle w:val="FootnoteAnchor"/>
          <w:rtl w:val="true"/>
        </w:rPr>
        <w:footnoteReference w:id="6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الوجه الأوّل، من أنّ ذلك إثبات للّغة بالاستدلال، و ترجيح لها بالعقل، فإنّ ذلك أيضا وارد في غير محلّه؛ لما تنبّه عليه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إليه </w:t>
      </w:r>
    </w:p>
    <w:p>
      <w:pPr>
        <w:pStyle w:val="BookText"/>
        <w:rPr/>
      </w:pPr>
      <w:r>
        <w:rPr>
          <w:rFonts w:ascii="Amiri" w:hAnsi="Amiri" w:eastAsia="Amiri" w:cs="Amiri"/>
          <w:color w:val="111111"/>
          <w:sz w:val="28"/>
          <w:sz w:val="28"/>
          <w:szCs w:val="28"/>
          <w:rtl w:val="true"/>
          <w:lang w:bidi="ar-SA"/>
        </w:rPr>
        <w:t>في الرياض</w:t>
      </w:r>
      <w:r>
        <w:rPr>
          <w:rStyle w:val="FootnoteAnchor"/>
          <w:rtl w:val="true"/>
        </w:rPr>
        <w:footnoteReference w:id="61"/>
      </w:r>
      <w:r>
        <w:rPr>
          <w:rFonts w:ascii="Amiri" w:hAnsi="Amiri" w:eastAsia="Amiri" w:cs="Amiri"/>
          <w:color w:val="111111"/>
          <w:sz w:val="28"/>
          <w:sz w:val="28"/>
          <w:szCs w:val="28"/>
          <w:rtl w:val="true"/>
          <w:lang w:bidi="ar-SA"/>
        </w:rPr>
        <w:t>أيضا، بل لابتنائهما على المغالطة و الاشتباه من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 الخصم بصدد إنكار ورود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للمبالغة، حتّى يدفع كلامه بما ذكر من قضيّة عدم الخلاف بين أهل النحو في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للمبالغة و تكرّر الصفة، بل غرضه إنكار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مندرجا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فحينئذ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خلاف بين أهل النحو في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و تكرّر الصفة، فكذلك لا خلاف بينهم في وضعه لمجرّد الوصف قائما مقام الفاعل فيما كان من فعل يفعل بضمّ العين، على قياس ما هو الحال في الصفات المشبّهة، فأيّ شيء يستدعي 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دون الثاني؟ بل قضيّة ما أشرنا إليه من الضابط كونه من الفعول بمعنى الفاعل، لا ممّا هو مبالغة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الغضّ عن ذلك، فالعدول عن جعله للمبالغة في المعنى اللازم إلى جعله لها في المعنى المتعدّي ممّا لا داعي إليه، بعد ملاحظة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النظافة و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يقبل الزيادة و الشدّة و الضعف، كما يشير إليه ما عن الزمخشري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في الطهارة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 تنبّه عليه صاحب المدارك أيضا فأشار إليه في دفع ما حكاه عن الشيخ من الوجه الأوّل،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ابتنائه على ثبوت الحقيقة الشرعيّة للمطهّر على وجه يتناول الأمرين، فهو أولى ممّا ذكره الشيخ في 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لتوجّه المنع إلى ذلك، و عدم ثبوت الوضع بالاستدلال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لتوجّه المنع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مراد منه المنع عن عدم 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المعنى المتعدّي للتكرّر و التزايد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النظافة في الماء باعتبار الصفاء و الكدورة، أو خلوصه عن الأوساخ و الأقذار و عدمه، أو عن الأرياح المنتنة و الألوان المكرهة و عدمه لها مراتب، لأنّ كلاّ من ذلك قد يضعف و قد يتضاعف، و قد يقلّ و قد يتكثّر على وجه ينشأ منه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في ذلك عرفا كما نشاهده بطريق الحسّ و العيان، و بذلك ينقدح أيضا </w:t>
      </w:r>
    </w:p>
    <w:p>
      <w:pPr>
        <w:pStyle w:val="BookText"/>
        <w:rPr/>
      </w:pPr>
      <w:r>
        <w:rPr>
          <w:rFonts w:ascii="Amiri" w:hAnsi="Amiri" w:eastAsia="Amiri" w:cs="Amiri"/>
          <w:color w:val="111111"/>
          <w:sz w:val="28"/>
          <w:sz w:val="28"/>
          <w:szCs w:val="28"/>
          <w:rtl w:val="true"/>
          <w:lang w:bidi="ar-SA"/>
        </w:rPr>
        <w:t xml:space="preserve">فساد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تقدّم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الطهارة بالمعنى الشرعي غير صالحة لهما، لعدم كونها متصوّرة إلاّ على نمط واحد، و كأنّ مبنى كلام الخصم على توهّم إرادته، و هو كما ترى ممّا لا ضرورة في المقام دعت إلى اعتباره، إلاّ على تقدير ثبوت الحقيقة الشرعيّة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ثبوت القرينة على اعتباره مجازا على التقدير الآخر، و 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الغضّ عن ذلك أيضا فاعتبار المبالغة بالنسبة إلى المعنى اللغوي ممّا لا يكاد يعقل بعد فرض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 لمكان كونه مخالفا للقياس و قانون الاشتقاق، فإنّ المشتقّ في تعديته و لزومه تابع لمأخذ اشتقاقه، و المفروض أنّه لازم، و إلاّ كانت التعدية سارية في جميع التصاريف، و هو باطل و مخالف لضرورة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كون الماء طاهرا ممّا لا يتكرّر و لا يتزايد، فينبغي أن يعتبر المبالغة في كونه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الاعتبار لا بدّ و أن يثبت من الواضع، و هو ليس بثابت إن لم نقل بثبوت خلافه، بملاحظة كون الوضع في المشتقّات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وضعه واضع اللغة،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وضعه للمبالغة بدليل مثبت له فلا محالة اعتبر المبالغة في كون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مطهّرا لعدم صلاحية ما عداه للتكرار و الزيادة، بل الّذي تصدّى لوضعه الواضع إنّما هو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خصوصيّات الموادّ الّتي منها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الصيغة إنّما تعتبر مفيدة لما وضعت له من المبالغة في كلّ مادّة تكون صالحة للزيادة و التكرار، و قد فرضتم خلافه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لا محيص عن اعتبار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الفعول الموضوع للمعنى الوصفي، المعبّر به عن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ما يقال في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يصاغ عن مادّة قابلة للتفاضل، و أمّا ما ليس كذلك فالأفعل بالقياس إليه وصفي كما في أعمى و نحوه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ذكرناه من أنّ الواضع لم يتصدّ 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للمبالغة، لا ينافي ما </w:t>
      </w:r>
    </w:p>
    <w:p>
      <w:pPr>
        <w:pStyle w:val="BookText"/>
        <w:rPr/>
      </w:pPr>
      <w:r>
        <w:rPr>
          <w:rFonts w:ascii="Amiri" w:hAnsi="Amiri" w:eastAsia="Amiri" w:cs="Amiri"/>
          <w:color w:val="111111"/>
          <w:sz w:val="28"/>
          <w:sz w:val="28"/>
          <w:szCs w:val="28"/>
          <w:rtl w:val="true"/>
          <w:lang w:bidi="ar-SA"/>
        </w:rPr>
        <w:t xml:space="preserve">يأتي في كلام كثير من أهل اللغة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بالطاهر المطهّر، أو المطهّر فقط؛ لعدم ابتناء كلامهم على دعوى كونه من جهة المبالغة، كيف و لا إشارة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 بذلك</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إن سبق إلى بعض الأوهام كما ستعرفه، بل أقصى ما يقضي به نصّهم إنّما هو كون ذلك من مقتضى الوضع الشخصي الثابت له بإزاء المطهّر، و لعلّه وضع عرفيّ محدث وارد على الوضع اللغوي النوعي، بل الالتزام به في تصحيح كلامهم ممّا لا محيص عنه عند التحقيق،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قرّرناه ينقدح حينئذ فساد الوجه الثاني الّذي ذكره الشيخ، فإنّ ما ذكره مخالف لقانون الاشتقاق، المقتضي لسراية مأخذ الاشتقاق في المشتقّ، المقتضية لكون المشتقّ تابعا لمأخذ اشتقاقه، حتّى في التعدية و اللزوم، و لزوم الفاعل دليل محكم و شاهد عدل على لزوم المأخذ، و هو ملازم للزوم المشتقّ الآخر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حصل التخلّف، و هو كما ترى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استشهد به من كثرة اعتبار التعدية في أسماء المبالغة و إن فرض الفاعل لازما، فليس ممّا يشهد له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هذا الباب، إن أراد به اعتبارها مطلقا و لو على سبيل التجوّز؛ ضرورة أنّ ثبوت التجوّز في موضع لقرينة دلّت عليه لا يقضي بثبوته في سائر المواضع، و لا سيّما في الموضوعات النوعيّة الّتي أشخاصها ألفاظ مستقلّة في حدّ أنفسها تباين بعضها بعضا، فلا ينبغي مقايسة بعضها على بعض في وصفي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اعتبارها على سبيل الحقيقة، فهو يخالف قانون الاشتقاق، مضافا إلى ما ثبت في المشتقّات من الوضع النوعي، هذا مع ما في الاستشهاد بقول الشاعر من الغفلة عن حقيقة الحال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فلتوجّه المنع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المذكور متعدّيا، عاملا على المفعوليّة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عبارة عن ساعات الليل، أو نحو من نصفه، أو ما بعده بساعة، و إن توهّمه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عنه الشارح الرضي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ادّعاه من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فاعلا إذا 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متمسّكا بذلك الشعر،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يساعد عليه الذوق، و نصّ عليه غير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الظرفيّة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ساقها، أو سبقها راجعا ضميره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حمير الوحش، و على فرض كونه معمولا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نصب على الظرفيّة أيضا، و هو على التقديرين لازم مراد منه العجز و التعب، اللذين اعتبرا وصفين للبرق الّذي هو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استلزام ذلك مجازا في الإسناد، من باب الإسناد إلى السبب؛ نظرا إلى أنّهما في الحقيقة وصفان للاتن، و إنّما أسندا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اريد من الكليل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سببا لهما فيها، نظير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سبب القتل، و هذا كما ترى باب وسيع العرض يجري في فنون كثيرة، و لا سيّما المقام الّذي لا بدّ فيه من اعتباره بملاحظة الفقرات الاخر الواردة فيه من باب المجاز في الإسناد،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السوق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يلائم إلاّ كونه من باب التسبيب؛ لعدم كون السوق بالقياس إليه من الأفعال المباشريّة، ضرورة ابتناء المباشرة على الشعور و الإرادة، و 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ذوات الشعور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البيتوتة إلى الليل، فإنّها في الحقيقة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ظرف له، فإسنادها إليه من باب الإسناد إلى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عدم النوم إليه، بناء على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العاطف للضرورة، و 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لو لا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باب المجاز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على تقدير كونه متعدّيا مجازان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منه فيه باعتبار المادّة، من حيث إنّه بالوضع الأصلي اللغوي من الموادّ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منه في تعديته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الإعياء بمعنى الإعجاز و الإتعاب ممّا يقع في الحقيقة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لهما، فيكون الإسناد إليه من باب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أتعبت يومك، و ساهرت 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المجاز الواحد أولى من مجازين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متعدّيا فهو مبالغة في الفاعل بمعنى الفعل، و قضيّة </w:t>
      </w:r>
    </w:p>
    <w:p>
      <w:pPr>
        <w:pStyle w:val="BookText"/>
        <w:rPr/>
      </w:pPr>
      <w:r>
        <w:rPr>
          <w:rFonts w:ascii="Amiri" w:hAnsi="Amiri" w:eastAsia="Amiri" w:cs="Amiri"/>
          <w:color w:val="111111"/>
          <w:sz w:val="28"/>
          <w:sz w:val="28"/>
          <w:szCs w:val="28"/>
          <w:rtl w:val="true"/>
          <w:lang w:bidi="ar-SA"/>
        </w:rPr>
        <w:t xml:space="preserve">ذلك اعتبار التعدية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ما استشهد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كونه مبالغة في الطاهر، إذ لم يقل أحد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المطهّر حتّى في موضع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هنالك، ثبوت استعمال على الوجه المذكور، و لعلّه في هذا الموضع وارد على سبيل المجاز، محافظة على القاعدة النحويّة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المفعول به لا يعمل فيه إلاّ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ذلك اعتبار التجوّز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مجرّدا عن القرينة، و نعم ما قال الشارح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نفي</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من المكلّ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استدلال بالمحتمل و لا سيّما إذا كان بعيدا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ممّا لا ينبغي التفوّه بها في منع الدليل المحكم المطابق للعرف و اللّغة، و القواعد المحكمة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منع كلام الخصم و هدم استدلاله ممّا لا بدّ منه،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ابتناء الدلالة على كون الماء مطهّرا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مرادا منه المبالغة، و سند هذا المنع وجوه جمعناها عن كلام الأصحاب، و إن كان بعضها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صاحب المصباح المنير، في عبارة محكيّة عنه عن بعض العلماء،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69"/>
      </w:r>
      <w:r>
        <w:rPr>
          <w:rFonts w:ascii="Amiri" w:hAnsi="Amiri" w:eastAsia="Amiri" w:cs="Amiri"/>
          <w:color w:val="111111"/>
          <w:sz w:val="28"/>
          <w:sz w:val="28"/>
          <w:szCs w:val="28"/>
          <w:rtl w:val="true"/>
          <w:lang w:bidi="ar-SA"/>
        </w:rPr>
        <w:t>أنّه طاهر في نفسه مطهّر لغيره،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أنّه طاهر، لأنّه ذكره في معرض الامتنان، و لا يكون ذلك إلاّ بما ينتفع به، فيكون ظاهرا في نفسه،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صفة زائدة على الطهارة، و هي الطهوريّة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منه المطهّريّة، بعد ما كانت الطهارة مفهومة من الماء بملاحظة الامتنان، كان ذكره عبثا تعالى اللّه عن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الامتنان و إن كان يقتضي كون الماء ممّا ينتفع به، إلاّ أنّ جهة الانتفاع به لا تنحصر فيما يقتضي الطهارة الشرعيّة، بالمعنى المقابل للنجاسة، بل له جهات اخر كثيرة </w:t>
      </w:r>
    </w:p>
    <w:p>
      <w:pPr>
        <w:pStyle w:val="BookText"/>
        <w:rPr/>
      </w:pPr>
      <w:r>
        <w:rPr>
          <w:rFonts w:ascii="Amiri" w:hAnsi="Amiri" w:eastAsia="Amiri" w:cs="Amiri"/>
          <w:color w:val="111111"/>
          <w:sz w:val="28"/>
          <w:sz w:val="28"/>
          <w:szCs w:val="28"/>
          <w:rtl w:val="true"/>
          <w:lang w:bidi="ar-SA"/>
        </w:rPr>
        <w:t xml:space="preserve">غير متوقّفة على الطهارة بهذا المعنى، كسقي الدوابّ و البساتين و المزارع و الأشجار و اتّخاذ الطين للأبنية و المساكن، و لو سلّم فذكر الوصف بعده لا يقتضي كونه لصفة زائدة، غاية الأمر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إرادة الصفة المفهومة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للتوضيح، و هو ليس ممّا يمنع عنه في الكلام، و إن كان الأصل الناشئ عن الغلبة يقتضي خلافه، و هذا الأصل كما ترى ممّا لا ينبغي إجراؤه في المقام، بعد ملاحظة دوران الأمر فيه بين الأخذ به أو الأخذ بأصالة الحقيقة بالنسبة إلى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العدول عن الحقيقة يستدعي قرينة معتبرة، و الأصل المذكور غير صالح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انفهام المطهّريّة مبنيّا على التجوّز،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في حيّز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الحقيقة كافية في إفادة الحكم المذكور عمّا ذكر من الوجه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عرفته من الزيادة،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فاسد قد هدمنا بنيانه في مباحث المفاهيم من فنّ الاصول</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ذيل قول المصنّف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بأنّه لو ثبت الحكم مع انتفاء الصفة لعرى تعليقه عليها عن الفائدة 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العبث إنّما يثبت إذا لم يوجد للوصف فائدة أخرى، و الفوائد كثيرة غير منحصرة في الاحتراز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يعبأ به، و العجب عن شيخنا في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استوجه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أو احتمله في المدارك،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طاهر، و اسم غير صفة،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يتطهّر به، كالوضوء و الوقود بفتح الواو فيهما لما يتوضّأ به و يوقد به، و إرادة المعنى الثاني هناك أولى، لأنّ الآية مسوقة في معرض الإنعام، فحمل الوصف فيها على الفرد الأكمل أولى و أنسب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رجوعه إلى إثبات الحكم الشرعي بالاستحسان و مجرّد الاعتبار العقليّين، لحصول المقصود من الامتنان بمجرّد الطهارة المقتضي للحمل على المعنى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المعنى الاسمي لا يستقيم إلاّ مع ارتكاب ضرب من التجوّز، كما تنبّه عليه غير واحد من الأصحاب، و هو تجريد اللفظ عمّا يدلّ على الذات المأخوذة في مفهومه، إذ لولاه لما صحّ الوصف به، و هذا التجوّز كما ترى ممّا لا شاهد له في الكلام، </w:t>
      </w:r>
    </w:p>
    <w:p>
      <w:pPr>
        <w:pStyle w:val="BookText"/>
        <w:rPr/>
      </w:pPr>
      <w:r>
        <w:rPr>
          <w:rFonts w:ascii="Amiri" w:hAnsi="Amiri" w:eastAsia="Amiri" w:cs="Amiri"/>
          <w:color w:val="111111"/>
          <w:sz w:val="28"/>
          <w:sz w:val="28"/>
          <w:szCs w:val="28"/>
          <w:rtl w:val="true"/>
          <w:lang w:bidi="ar-SA"/>
        </w:rPr>
        <w:t>و ما ذكر من الأولويّة الاعتباريّة بمجرّده لا يصلح لذلك بعد قيام احتمال معنى غير موجب له، و مرجعه إلى أنّ الاحتمال و لو ساعد عليه الاعتبار لا يعارض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الوصف على المعنى الاسمي بدون التجرّد، فقد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جهة جمود اللفظ بهذا المعنى، و هو أيضا ليس بسديد؛ فإنّ أسماء الآلة يعدّ عندهم كأسماء المكان و الزمان من المشتقّات الاسميّة، فكيف يلائمه 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إرجاع ذلك إلى قاعدة التوقيف، نظرا إلى أنّ الأوضاع مجازيّة أو حقيقيّة، شخصيّة أو نوعيّة، إفراديّة أو تركيبيّة، لا تتلقّى إلاّ من الواضع، و من الأوضاع النوعيّة التركيبيّة توصيف شيء بشيء في الكلام، و هذا ممّا لم يثبت في خصوص أسماء الآلة، كما أنّه لم يثبت في أسماء الزمان و المكان، و الّذي يفصح عنه إنّما هو الاستهجان العرفي فيما لو أخذ شيء من هذه وصفا بلا ارتكاب تجريد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عن شيخ الحدائق</w:t>
      </w:r>
      <w:r>
        <w:rPr>
          <w:rStyle w:val="FootnoteAnchor"/>
          <w:rtl w:val="true"/>
        </w:rPr>
        <w:footnoteReference w:id="73"/>
      </w:r>
      <w:r>
        <w:rPr>
          <w:rFonts w:ascii="Amiri" w:hAnsi="Amiri" w:eastAsia="Amiri" w:cs="Amiri"/>
          <w:color w:val="111111"/>
          <w:sz w:val="28"/>
          <w:sz w:val="28"/>
          <w:szCs w:val="28"/>
          <w:rtl w:val="true"/>
          <w:lang w:bidi="ar-SA"/>
        </w:rPr>
        <w:t>و سيّد الرياض</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تعرّضا لذكر احتمال إرادة المعنى المذكور، و ظاهرهما الارتضاء به، بل ظاهر الثاني الاعتماد عليه، مع أنّه تنبّه على ابتناء ذلك على التأويل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عن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ذلك على ثبوت الحقيقة الشرعيّة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لا خصوصيّة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الدعوى، بل الحقيقة الشرعيّة لو كانت ثابتة فيه فإنّما هو لثبوتها في مبدأ اشتقاقه و هو الطهارة، كما أشار إليه قبل ذلك عند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شرعا،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معناها اللغوي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استعملها الشارع في معنى آخر مناسب للمعنى اللغوي، مناسبة السبب للمسبّب، و صار حقيقة عند الفقهاء، و لا يبعد كونه كذلك عند الشارع أيضا على تفصيل ذكرناه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الدعوى في خصوص تلك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بثبوت الحقيقة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كانت خلافيّة، و لكنّها في غاية الإشكال، و إن قلنا بها في غيرها؛ لعدم جريان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قرّرناه في محلّه</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الحقيقة الشرعيّة نوعا في خصوص هذه اللفظة؛ إذ لم يثبت من الشارع الاستعمال في معنى مغاير للمعنى اللغوي و لو مجازا، بل لو استعمله في المعنى اللغوي لم يكن منافيا للمعنى الشرعي، بل غاية ما حصل من الاختلاف بينهما هو الاختلاف في مصاديق هذا المعنى؛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اللغة تصدق على شيء، و عند الشارع على شيء آخر مغاير له كشف عنه الأدلّة الخارجيّة، و لا ريب أنّ الاختلاف في المصداق لا يوجب الاختلاف في أصل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كلام الشارع حملناها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نراجع الأدلّة الشرعيّة في استعلام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كما أنّه لو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كلام الشارع حملناه على المنظّف، فنراجع الأدلّة الشرعيّة لمعرفة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الشارع، و معه لا داعي إلى التزام النقل الشرعي، كما هو لازم القول بثبوت الحقيقة الشرعيّة، مع كونه في حدّ ذاته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دعوى الحقيقة الشرعيّة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المطهّر، لا لأجل ضابطنا المقرّر في محلّه، بل بملاحظة كثرة ما استعمله الشارع في هذا المعنى، كما يكشف عنه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أمّتي أراد الصلاة فلم يجد ماء و وجد الأرض، لقد جعلت له مسجدا و طهورا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الوضوء بماء البحر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الطهور ماؤه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بنوا إسرائيل إذا أصابتهم قطرة من بول، قرضوا لحومهم بالمقاريض، و قد وسّع اللّه عليكم بما بين السماء و الأرض، و جعل لكم الماء </w:t>
      </w:r>
    </w:p>
    <w:p>
      <w:pPr>
        <w:pStyle w:val="BookText"/>
        <w:rPr/>
      </w:pPr>
      <w:r>
        <w:rPr>
          <w:rFonts w:ascii="Amiri" w:hAnsi="Amiri" w:eastAsia="Amiri" w:cs="Amiri"/>
          <w:color w:val="111111"/>
          <w:sz w:val="28"/>
          <w:sz w:val="28"/>
          <w:szCs w:val="28"/>
          <w:rtl w:val="true"/>
          <w:lang w:bidi="ar-SA"/>
        </w:rPr>
        <w:t>طهورا، فانظروا كيف تكونون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ايتني بإناء من ماء أتوضّأ للصلاة، فأتاه محمّد بالماء، فأكفاه بيده اليسرى على يده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الّذي جعل الماء طهورا و لم يجعله نجسا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81"/>
      </w:r>
      <w:r>
        <w:rPr>
          <w:rFonts w:ascii="Amiri" w:hAnsi="Amiri" w:eastAsia="Amiri" w:cs="Amiri"/>
          <w:color w:val="111111"/>
          <w:sz w:val="28"/>
          <w:sz w:val="28"/>
          <w:szCs w:val="28"/>
          <w:rtl w:val="true"/>
          <w:lang w:bidi="ar-SA"/>
        </w:rPr>
        <w:t>بناء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 المطهّر، مستندا إلى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من أهل الجنّة تقسّم له شهوة مائة رجل من أهل الدنيا، فيأكل ما شاء، ثمّ يسقى شرابا طهورا، فيطهّر باطنه، و يصير ما أكله رشحا يخرج من جلده أطيب ريحا من المسك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كثرة الاستعمال في معنى مغاير للمعنى الأصلي لا تكشف عن النقل و حدوث الوضع ما لم تبلغ الاستعمالات في الكثرة حدّا يستغني معها عن مراعاة القرينة، فكيف بها إذا وجدت مع القرينة كما في المقام، لاقتران اللفظ في جميع الروايات المذكورة بالقرينة، كما لا يخفى على المتدرّب، و لا سيّما مع ملاحظة تحقّق تلك الكثرة في الطرف المقابل أيضا،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إثبات الوضع الشرعي المخالف للأصل بمجرّد الاستعمالات المذكورة ممّا لا سبيل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يستكشف ببعض تلك الاستعمالات عن إرادة هذا المعنى من اللفظ الوارد في الآية، بأن يجعل ذلك قرينة كاشفة عن المراد كما في الروايتين الأخيرتين؛ فإنّ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وسّع اللّه عليكم بما بين السماء و الأرض، و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للشكر و قبول للامتنان الّذي أخذه اللّه تعالى على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83"/>
      </w:r>
      <w:r>
        <w:rPr>
          <w:rFonts w:ascii="Amiri" w:hAnsi="Amiri" w:eastAsia="Amiri" w:cs="Amiri"/>
          <w:color w:val="111111"/>
          <w:sz w:val="28"/>
          <w:sz w:val="28"/>
          <w:szCs w:val="28"/>
          <w:rtl w:val="true"/>
          <w:lang w:bidi="ar-SA"/>
        </w:rPr>
        <w:t xml:space="preserve">، أو حثّ و تحريص على قبوله و إظهار الشكر على تلك النعمة </w:t>
      </w:r>
    </w:p>
    <w:p>
      <w:pPr>
        <w:pStyle w:val="BookText"/>
        <w:rPr/>
      </w:pPr>
      <w:r>
        <w:rPr>
          <w:rFonts w:ascii="Amiri" w:hAnsi="Amiri" w:eastAsia="Amiri" w:cs="Amiri"/>
          <w:color w:val="111111"/>
          <w:sz w:val="28"/>
          <w:sz w:val="28"/>
          <w:szCs w:val="28"/>
          <w:rtl w:val="true"/>
          <w:lang w:bidi="ar-SA"/>
        </w:rPr>
        <w:t>العظمى، و مثله قول الأمير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فإنّه أيضا يرشد إلى أنّه خروج عن عهدة ما اقتضاه الامتنان الوارد في الآية،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غير واحد من أصحابنا المتأخّرين، من نقل أئمّة اللغة و تفسيرهم للطهور بالطاهر المطهّر، أو المطهّر وحده، كما عن الفاضل الفيّومي في كتاب المصباح المنير،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و أنّه بمعنى طاهر، و الأكثر أنّه لوصف زائد،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الطهور هو الطاهر في نفسه المطهّر لغيره، و قال الأزهري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في اللغة هو الطاهر المطهّر، و فعول في كلام العرب لمعان، منها فعول لما يفعل به، مثل الطهور لما يتطهّر به، و الوضوء لما يتوضّأ به، و الفطور لما يفطر عليه، و الغسول لما يغتسل به، أو يغسل به الشيء،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الطاهر المطهّر قاله 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مطهّرا فليس بطهور، قال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في الطهارة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 ، أنّه طاهر في نفسه مطهّر لغيره،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منه أنّه طاهر، لأنّه ذكره في معرض الامتنان على العباد، و لا يكون ذلك إلاّ فيما ينتفع به، فيكون طاهرا في نفسه،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منه صفة زائدة على الطهارة و هي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إنكار أبي حنيفة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الطاهر المطهّر غيره، و أنّه لمعنى الطاهر فقط، و أنّ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بزيادة المعنى المصدري كالأكول لكثير الأكل لا يلتفت إليه، بعد مجيء النصّ من أكثر أهل اللغة، و الاحتجاج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ريقهنّ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بعدم اطّراده، و أنّه في البيت للمبالغة في الوصف، أو واقع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الوزن، لأنّ كلّ طاهر</w:t>
      </w:r>
      <w:r>
        <w:rPr>
          <w:rStyle w:val="FootnoteAnchor"/>
          <w:rtl w:val="true"/>
        </w:rPr>
        <w:footnoteReference w:id="86"/>
      </w:r>
      <w:r>
        <w:rPr>
          <w:rFonts w:ascii="Amiri" w:hAnsi="Amiri" w:eastAsia="Amiri" w:cs="Amiri"/>
          <w:color w:val="111111"/>
          <w:sz w:val="28"/>
          <w:sz w:val="28"/>
          <w:szCs w:val="28"/>
          <w:rtl w:val="true"/>
          <w:lang w:bidi="ar-SA"/>
        </w:rPr>
        <w:t xml:space="preserve">طهور و لا عكس،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لقيل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 طهور، و خشب طهور، و نحو ذلك و 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عبارة المصباح المنير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 اسم ما يتطهّر به، و الطاهر المطهّر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عن الترمذي و هو من أئمّة اللغة،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بالفتح من الأسماء المتعدّية و هو المطهّر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الشافعيّة نقلت ذلك عن أهل 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نقله عن الترمذي، و عن المعتبر أنّه نقله عن بعض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المشهور بين المفسّرين و الفقهاء و أئمّة اللغة أنّه بمعنى المطهّر أو الطاهر المطهّر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 على ما وقع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المطهّر في لغة العرب، فيجب أن يعتبر كلّما يقع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طاهر مطهّر إلاّ ما قام الدليل على تغيّر حكمه،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في لغة العرب كونه مطهّرا، لأنّ هذا خلاف على أهل اللغة، لأنّهم لا يفرّقون بين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طهور، و هذا ماء مطهّر إلى آخر ما حكينا عنه آنفا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غرض الشيخ من أهل اللغة هنا ليس همّ النقلة للمتون، الذين عرفت ذكر جملتهم، ليكون مقصوده فيما ادّعاه الاستناد إلى قولهم، بل مراده به أهل لسان العرب،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لا يفرّقون بين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طهور، و هذا 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عدم الفرق بين اللفظين بحسب الاستعمال العرفي، و انفهام العرف عند الإطلاق، لأنّه إنّما يعلم بالاستعمال دون النصّ اللغوي كما لا يخفى، فيكون قوله المذكور كقول غيره نصّا في أمر لغوي، فيكون بنفسه مثبتا للّغة معتبرا في حقّ غيره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ما تقدّم عنه في دفع كلام من أنكر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المعنى، استنادا إلى ما سبق ذكره من إناطة كونه لهذا المعنى بعلّة فاسدة و هو كونه من مقتضى الوضع المبالغي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استناده في أصل الدعوى إلى هذه العلّة، كما فهمه صاحب </w:t>
      </w:r>
    </w:p>
    <w:p>
      <w:pPr>
        <w:pStyle w:val="BookText"/>
        <w:rPr/>
      </w:pPr>
      <w:r>
        <w:rPr>
          <w:rFonts w:ascii="Amiri" w:hAnsi="Amiri" w:eastAsia="Amiri" w:cs="Amiri"/>
          <w:color w:val="111111"/>
          <w:sz w:val="28"/>
          <w:sz w:val="28"/>
          <w:szCs w:val="28"/>
          <w:rtl w:val="true"/>
          <w:lang w:bidi="ar-SA"/>
        </w:rPr>
        <w:t>المدارك</w:t>
      </w:r>
      <w:r>
        <w:rPr>
          <w:rStyle w:val="FootnoteAnchor"/>
          <w:rtl w:val="true"/>
        </w:rPr>
        <w:footnoteReference w:id="91"/>
      </w:r>
      <w:r>
        <w:rPr>
          <w:rFonts w:ascii="IRNazanin" w:hAnsi="IRNazanin" w:eastAsia="IRNazanin"/>
          <w:color w:val="111111"/>
          <w:sz w:val="28"/>
          <w:sz w:val="28"/>
          <w:szCs w:val="28"/>
          <w:rtl w:val="true"/>
          <w:lang w:bidi="fa-IR"/>
        </w:rPr>
        <w:t>و المعالم</w:t>
      </w:r>
      <w:r>
        <w:rPr>
          <w:rStyle w:val="FootnoteAnchor"/>
          <w:rtl w:val="true"/>
        </w:rPr>
        <w:footnoteReference w:id="92"/>
      </w:r>
      <w:r>
        <w:rPr>
          <w:rFonts w:ascii="Amiri" w:hAnsi="Amiri" w:eastAsia="Amiri" w:cs="Amiri"/>
          <w:color w:val="111111"/>
          <w:sz w:val="28"/>
          <w:sz w:val="28"/>
          <w:szCs w:val="28"/>
          <w:rtl w:val="true"/>
          <w:lang w:bidi="ar-SA"/>
        </w:rPr>
        <w:t>، و أوردا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إثباتا للّغة بالاستدلال، بل مستنده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صاحب الحدائق</w:t>
      </w:r>
      <w:r>
        <w:rPr>
          <w:rStyle w:val="FootnoteAnchor"/>
          <w:rtl w:val="true"/>
        </w:rPr>
        <w:footnoteReference w:id="93"/>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العرف، و طريقة أهل اللسان الّذين عبّر عنهم بأهل اللغة، و إنّما ذكر ذلك حكمة لكونه لهذا المعنى و علّة له بعد الوقوع، هدما لإنكار من أنكره، غاية الأمر خطؤه في فهم ما ذكره من الحكمة، و لا ريب أنّ خطأه في ذلك لا يقضي بخطئه في فهم أصل المعنى عن العرف، و نحن نأخذ بفهمه هذا و نطرح فهمه الآخر لعلمنا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ينظر ما ذكره ثاني الشهيدين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التعريف الّذي ذكره الشهيد الأوّل للطهارة شرعا،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طهور مشروط بالنيّة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الطهور مبالغة في الطاهر، و المراد منه هنا الطاهر في نفسه المطهّر لغيره، جعل بحسب الاستعمال متعدّيا، و إن كان بحسب الوضع اللغوي لازما كالأكول</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فإنّ مراده بالاستعمال إنّما هو الاستعمال العرفي، فيكون كلامه في موضع دعوى تحقّق النقل في تلك اللفظة عرفا عن المعنى اللازم اللغوي المبالغي إلى المعنى المتعدّي، فهو أيضا نصّ في اللغة، حكمه حكم نصّ من تقدّم من أئمّة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في تلك الدعوى ما عن المعتبر</w:t>
      </w:r>
      <w:r>
        <w:rPr>
          <w:rStyle w:val="FootnoteAnchor"/>
          <w:rtl w:val="true"/>
        </w:rPr>
        <w:footnoteReference w:id="95"/>
      </w:r>
      <w:r>
        <w:rPr>
          <w:rFonts w:ascii="Amiri" w:hAnsi="Amiri" w:eastAsia="Amiri" w:cs="Amiri"/>
          <w:color w:val="111111"/>
          <w:sz w:val="28"/>
          <w:sz w:val="28"/>
          <w:szCs w:val="28"/>
          <w:rtl w:val="true"/>
          <w:lang w:bidi="ar-SA"/>
        </w:rPr>
        <w:t>و كنز العرفان</w:t>
      </w:r>
      <w:r>
        <w:rPr>
          <w:rStyle w:val="FootnoteAnchor"/>
          <w:rtl w:val="true"/>
        </w:rPr>
        <w:footnoteReference w:id="96"/>
      </w:r>
      <w:r>
        <w:rPr>
          <w:rFonts w:ascii="Amiri" w:hAnsi="Amiri" w:eastAsia="Amiri" w:cs="Amiri"/>
          <w:color w:val="111111"/>
          <w:sz w:val="28"/>
          <w:sz w:val="28"/>
          <w:szCs w:val="28"/>
          <w:rtl w:val="true"/>
          <w:lang w:bidi="ar-SA"/>
        </w:rPr>
        <w:t>من أنّ كلام أبي حنيفة موافق لمقتضى القياس غير موافق لمقتضى الاستعمال، فإنّ ظاهر هما إرادة الاستعمال الحقيقي، لأنّ الاستعمال المجازي في هذا المعنى ليس ممّا ينكره أحد، حتّى أبي حنيفة الّذي ظاهر كلامه فيما أنكره إنّما هو الجري على مقتضى الأصل، كما هو مناط حمل اللفظ المجرّد عن القرينة، و لا ريب أنّ الاستعمال الحقيقي الّذي ادّعياه لا يكون إلاّ من جهة النقل العرفي، لاعترافهما بكون القياس اللغوي على خلافه، فهو منهما أيضا بمنزلة النصّ اللغوي، فيكون مسموعا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كلام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النقل لا يخالف كلام من تقدّم من أئمّة اللغة، فإنّ كلامهم و إن كان خاليا عن تلك الدعوى، </w:t>
      </w:r>
    </w:p>
    <w:p>
      <w:pPr>
        <w:pStyle w:val="BookText"/>
        <w:rPr/>
      </w:pPr>
      <w:r>
        <w:rPr>
          <w:rFonts w:ascii="Amiri" w:hAnsi="Amiri" w:eastAsia="Amiri" w:cs="Amiri"/>
          <w:color w:val="111111"/>
          <w:sz w:val="28"/>
          <w:sz w:val="28"/>
          <w:szCs w:val="28"/>
          <w:rtl w:val="true"/>
          <w:lang w:bidi="ar-SA"/>
        </w:rPr>
        <w:t xml:space="preserve">غير أنّه لا محيص من تنزيله إليها، أو دعوى ابتنائه على تحقّق النقل؛ لعدم انطباق المعنى المذكور على ما هو مقتضى القياس اللغوي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ثبت فيه من الوضع النوعي بإزاء المعنى المبالغي، أو المعنى الوصفي المعبّر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الوجه ما تقدّم، فلا بدّ و أن يستند هذا المعنى بوضع آخر لاحق بالوضع الأوّل النوعي، متعلّق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مدلولها المادّي، لصيرورته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مدلولها الهيئي بالنظر إلى المعنى الوصفي أو المبالغى،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مدلولها الهيئي أيضا بالنسبة إلى ما أخذ فيه من النسبة؛ لأنّ نسبة التطهير إنّما هي للمكلّف فاعتبرت هنا بالنقل للماء الّذي هو آلة بين المكلّف و التطهير،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بالخصوص، و لا نعني من النقل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يذكره أهل اللغة ليس ممّا يتلقّونه عن الواضع الأوّل، بل إنّما يأخذونه عن عرف أهل زمانهم، بملاحظة الاستعمالات الدائرة فيما بينهم، و مراجعة الأمارات الكاشفة عن أوضاعهم، فيكون ذلك الّذي ذكروه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عرفيّا مستفادا عن أهل اللسان، لا معنى أصليّا مستفادا عن واضع أصل اللغة، و لا ينافيه ما في تعبيرات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اللغة لها إطلاقات و هي في كلامهم عبارة عن عرف أهل اللسان، أو الألفاظ المتداولة فيما بينهم المستعملة في محاوراتهم، و النسبة بينها بهذا المعنى و بينها بمعنى عرف الواضع، أو الألفاظ الموضوعة الّتي وصل وضعها منه عموم من وجه،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كلامهم على هذا المعنى، و التزام ابتنائه على تحقّق النقل، ينفيه الأصل، و قضيّة ذلك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 اصلا عن الواضع، و معه لا معنى لدعوى النقل في تلك اللفظة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التزام النقل بملاحظة ما ذكرناه ممّا لا محيص عنه، و إن قلنا بأنّ المتصدّي لوضعها بإزاء هذا المعنى هو الواضع؛ لأنّ المفروض لحوق هذا الوضع بالوضع الأوّلي المتعلّق بالفعول نوعا، فيكون اللفظ مخرجة عن مقتضى الوضع الأوّلي النوعي إلى المقتضى الوضع الثانوي، من غير فرق بين كونه صادرا عن الواضع أو أهل العرف على </w:t>
      </w:r>
    </w:p>
    <w:p>
      <w:pPr>
        <w:pStyle w:val="BookText"/>
        <w:rPr/>
      </w:pPr>
      <w:r>
        <w:rPr>
          <w:rFonts w:ascii="Amiri" w:hAnsi="Amiri" w:eastAsia="Amiri" w:cs="Amiri"/>
          <w:color w:val="111111"/>
          <w:sz w:val="28"/>
          <w:sz w:val="28"/>
          <w:szCs w:val="28"/>
          <w:rtl w:val="true"/>
          <w:lang w:bidi="ar-SA"/>
        </w:rPr>
        <w:t>سبيل التعيين أو التعيّن، و إن كان أصالة التأخّر تقتضي كونه عن غير الواضع، فالأصل المشار إليه ليس في محلّه، فبما قرّرناه نجمع بين القياس اللغوي الجاري في تلك اللفظة، و نصّ أئمّة اللغة الوارد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يضعّف ما عن الزمخشري في الكشّاف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 أي بليغا في طهارته، و عن أحمد بن يحيى هو ما كان طاهرا في نفسه مطهّرا لغيره، فإن كان ما قاله شرحا لبلاغته في الطهارة، كان سديدا، و يعضده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98"/>
      </w:r>
      <w:r>
        <w:rPr>
          <w:rFonts w:ascii="Amiri" w:hAnsi="Amiri" w:eastAsia="Amiri" w:cs="Amiri"/>
          <w:color w:val="111111"/>
          <w:sz w:val="28"/>
          <w:sz w:val="28"/>
          <w:szCs w:val="28"/>
          <w:rtl w:val="true"/>
          <w:lang w:bidi="ar-SA"/>
        </w:rPr>
        <w:t xml:space="preserve">، و إلاّ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التفعيل في شيء</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 ما عن صاحب المغرب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حكي عن ثعلب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طاهرا في نفسه مطهّرا لغيره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إن كان مراده بيان النهاية في الطهارة فصواب حسن، و إلاّ فليس فعول من التفعيل في شيء، و قياس هذا على ما هو مشتقّ من الأفعال المتعدّية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الطراز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فعولا ليس من التفعيل في شيء، و قياسه على ما هو مشتقّ عن الأفعال المتعدّية كمنوع و قطوع غير سديد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إلاّ أن يكون المراد بذلك بيان كونه بليغا في الطهارة فهو حسن صواب، إذا كانت الطهارة بنفسها غير قابلة للزيادة، لترجع الزيادة إلى انضمام التطهير، لا أنّ اللازم قد جاء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انحصار طريق الجمع بين القياس و ما ذكروه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المعنى 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ذلك لبيان البلاغة في الطهارة، و منع ابتنائه على القياس على ما اشتقّ عن الأفعال المتعدّية أيضا، بل هاهنا شقّ آخر و هو الابتناء على ما ذكرناه من الوضع الثانوي، فإنّه هو الّذي لا محيص عن التزامه دون غيره من الاحتمالات السخيفة الغير المستقيمة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يضعّف أيضا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ذكر أنّه يراد بالطهور المطهّر، أخذه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يتطهّر به، لا أنّ المراد بالطهور المطهّر وضعا، إذ لا ريب في استفادة المطهّريّة منه على تقدير كونه اسما للآلة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ينافي كلماتهم المؤدّاة بطريق الحمل، الظاهر في كون ذلك من مقتضى الوضع كما قرّر في محلّه، كيف و هو ينافي تصريح كلام جملة منهم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يتطهّر به مقابلا له بمعنى الطاهر المطهّر، كما عرفته عن القاموس</w:t>
      </w:r>
      <w:r>
        <w:rPr>
          <w:rStyle w:val="FootnoteAnchor"/>
          <w:rtl w:val="true"/>
        </w:rPr>
        <w:footnoteReference w:id="102"/>
      </w:r>
      <w:r>
        <w:rPr>
          <w:rFonts w:ascii="Amiri" w:hAnsi="Amiri" w:eastAsia="Amiri" w:cs="Amiri"/>
          <w:color w:val="111111"/>
          <w:sz w:val="28"/>
          <w:sz w:val="28"/>
          <w:szCs w:val="28"/>
          <w:rtl w:val="true"/>
          <w:lang w:bidi="ar-SA"/>
        </w:rPr>
        <w:t>و عن الأزهري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في اللغة هو الطاهر المطهّر، و فعول في كلام العرب لمعان منها فعول لما يفعل به الخ</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عن شيخنا في الجواهر في تقويته هذا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فلا يخلو القول بإنكار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المطهّر وضعا من قوّة، نعم هو يستفاد من كونه اسما لما يتطهّر به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يشكل تتميم الاستدلال بحمل الآية على هذا المعنى، من جهة كون المقام بالنظر إلى ما قرّرناه من مسألة تعارض العرف و اللغة كما لا يخفى، و لا يضرّه احتمال كون الوضع الطاري أيضا من واضع اللغة، بعد ملاحظة أصالة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يتطهّر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الحمل على المعنى العرفي؛ لكونهما متلازمين، فلا تعارض بينهما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المعنى اللغوي غير منحصر في ذلك، بعد ملاحظة المعنى المبالغي و المعنى الوصفي، فلا يتعيّن الحمل على ما لا ينافي المعنى العرفي على تقدير عدم الحمل عليه، فما ذكرناه من الإشكال في محلّه، إلاّ أن يستفاد عن أهل اللغة أنّهم إنّما ذكروا هذا المعنى باعتقاد ثبوته عن قديم الأيّام، و أقلّه ثبوته في زمن الشارع، و ليس ببعيد لو ادّعينا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المعنى على تقدير ثبوته هل المطهّر أو الطاهر المطهّر؟ و هذا و إن لم يتعلّق به فائدة، لرجوع كلّ إلى الآخر، غير أنّ الظاهر كونه موضع خلاف، و أقلّه اختلاف كلمات أهل اللغة في ذلك، كما يظهر بالمراجعة إلى ما تقدّم، و لكن لا يبعد ترجيح الثاني بملاحظة الغلبة في المنقولات العرفيّة، فإنّ النقل على الأوّل من باب النقل عن اللازم إلى الملزوم، و على الثاني من باب النقل عن العامّ إلى الخاصّ، نظرا إلى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مطهّرا و قد يكون غير مطهّر، فيكون الطاهر المطهّر فردا من الطاهر المطلق،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في الرياض بعد الاعتماد على نصوص أهل اللغة، فتمسّك في إثبات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 ببعض الأخبار،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إنكار وروده في كلام أهل اللغة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لجماعة من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ملاحظة ما ذكرنا، و خصوص صحيحة داود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بنو إسرائيل إذا أصاب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الماء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05"/>
      </w:r>
      <w:r>
        <w:rPr>
          <w:rFonts w:ascii="Amiri" w:hAnsi="Amiri" w:eastAsia="Amiri" w:cs="Amiri"/>
          <w:color w:val="111111"/>
          <w:sz w:val="28"/>
          <w:sz w:val="28"/>
          <w:szCs w:val="28"/>
          <w:rtl w:val="true"/>
          <w:lang w:bidi="ar-SA"/>
        </w:rPr>
        <w:t xml:space="preserve">، مضافا إلى قولهم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الأمر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ضعفه، فإنّ ورود لفظ في خطاب الشرع لا يصلح دليلا على المطلب المتعلّق باللغة، كيف و أنّ قضيّة عدم دلالة الاستعمال على الحقيقة عندهم واضحة، و لا سيّما في المتعدّد المعنى، بل فيما ثبت له معنى حقيقي على التعيين و شكّ في غيره، و إن أراد به الكشف عن المراد في الآية،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يظهر عن سياق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أيضا، لأنّ مجرّد استعمال لفظ في معنى لقرينة بل و كثرته أيضا لا يصلح قرينة على كونه مستعملا في هذا المعنى عند فقد القرينة، إلاّ أن يرجع إلى ما استظهرناه و قرّرناه سابقا، فإنّه ليس بذلك البعيد، كما يشهد به الذوق السليم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خالي العلاّمة دام ظلّه</w:t>
      </w:r>
      <w:r>
        <w:rPr>
          <w:rStyle w:val="FootnoteAnchor"/>
          <w:rtl w:val="true"/>
        </w:rPr>
        <w:footnoteReference w:id="108"/>
      </w:r>
      <w:r>
        <w:rPr>
          <w:rFonts w:ascii="Amiri" w:hAnsi="Amiri" w:eastAsia="Amiri" w:cs="Amiri"/>
          <w:color w:val="111111"/>
          <w:sz w:val="28"/>
          <w:sz w:val="28"/>
          <w:szCs w:val="28"/>
          <w:rtl w:val="true"/>
          <w:lang w:bidi="ar-SA"/>
        </w:rPr>
        <w:t xml:space="preserve">، بعد ما اعتمد على النصّ اللغوي، من أنّه يظهر أيضا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الطاهر المطهّر من تتبّع أغلب موارد استعمال هذا اللفظ في الكتاب و السنّة، فإنّ المراد منه في أغلب ما تكلّم الشارع به إنّما هو </w:t>
      </w:r>
    </w:p>
    <w:p>
      <w:pPr>
        <w:pStyle w:val="BookText"/>
        <w:rPr/>
      </w:pPr>
      <w:r>
        <w:rPr>
          <w:rFonts w:ascii="Amiri" w:hAnsi="Amiri" w:eastAsia="Amiri" w:cs="Amiri"/>
          <w:color w:val="111111"/>
          <w:sz w:val="28"/>
          <w:sz w:val="28"/>
          <w:szCs w:val="28"/>
          <w:rtl w:val="true"/>
          <w:lang w:bidi="ar-SA"/>
        </w:rPr>
        <w:t>الطاهر المطهّر، و إن كان مع قرينة تدلّ عليه، فيظنّ باعتبار تلك الغلبة أنّ المراد منه في الآية أيضا هو هذا المعنى، و إن كان بلا قرينة،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أصل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الخروج عن الظواهر عند العرف إنّما هو على القرائن المعتبرة لديهم، و لم يظهر منهم أنّ مجرّد غلبة استعمال لفظ في معنى مع القرينة قرينة على إرادة هذا المعنى في موضع التجرّد عن القرينة، بل الظاهر خلافه كما هو المصرّح به في كلام أهل الاصول، فإنّ ظاهر اللفظ هو الحجّة المحكّمة نوعا ما لم يقم ظنّ معتبر بخلافه، و الظنّ الحاصل عن الغلبة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الظنون المعتبرة، كيف و أنّ مجرّد الغلبة المتحقّقة في الكتاب و السنّة غير كافية في إفادة الظنّ، بل العبرة فيه بالغلبة المتحقّقة في قاطبة الاستعمالات الصادرة من الشارع في كافّة محاوراته، لا في خصوص الكتاب و السنّة، و أيّ طريق إلى إحراز تلك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ثبوت هذه الغلبة، فإن أفادت الظنّ بحيث أوجب إجمال اللفظ في نظر العرف و سقوطه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المجاز المشهور 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يوجب إلاّ التوقّف، و إلاّ فلا يترتّب عليه أثر أصلا في العدول عن الظاهر، و لا سقوطه عن الظهور، و على التقديرين لا وجه للعدول إلى خلاف الظاهر و حمل اللفظ عليه، كما هو المطلوب و لعلّ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شيخنا في الجواهر</w:t>
      </w:r>
      <w:r>
        <w:rPr>
          <w:rStyle w:val="FootnoteAnchor"/>
          <w:rtl w:val="true"/>
        </w:rPr>
        <w:footnoteReference w:id="109"/>
      </w:r>
      <w:r>
        <w:rPr>
          <w:rFonts w:ascii="Amiri" w:hAnsi="Amiri" w:eastAsia="Amiri" w:cs="Amiri"/>
          <w:color w:val="111111"/>
          <w:sz w:val="28"/>
          <w:sz w:val="28"/>
          <w:szCs w:val="28"/>
          <w:rtl w:val="true"/>
          <w:lang w:bidi="ar-SA"/>
        </w:rPr>
        <w:t xml:space="preserve">، من القول بأنّه يراد المطهّريّة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مجازا،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110"/>
      </w:r>
      <w:r>
        <w:rPr>
          <w:rFonts w:ascii="Amiri" w:hAnsi="Amiri" w:eastAsia="Amiri" w:cs="Amiri"/>
          <w:color w:val="111111"/>
          <w:sz w:val="28"/>
          <w:sz w:val="28"/>
          <w:szCs w:val="28"/>
          <w:rtl w:val="true"/>
          <w:lang w:bidi="ar-SA"/>
        </w:rPr>
        <w:t>، و هو كما ترى أضعف الوجوه، فإنّ الكلام المنفصل عن اللفظ لا يعدّ عندهم صارفة عن الظاهر، إلاّ إذا كان بظاهره معارضا لظاهر ذلك اللفظ، و أيّ منافاة بين الآيتين إذا اريد بإحداهما إفادة حكم الطهارة المحضة، و بالاخرى حكم المطهّريّة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يترجّح في النظر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جميع ما قرّرناه من النقوض و الإبرامات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مطهّريّة الماء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إليه، إلاّ على ما قرّرناه </w:t>
      </w:r>
    </w:p>
    <w:p>
      <w:pPr>
        <w:pStyle w:val="BookText"/>
        <w:rPr/>
      </w:pPr>
      <w:r>
        <w:rPr>
          <w:rFonts w:ascii="Amiri" w:hAnsi="Amiri" w:eastAsia="Amiri" w:cs="Amiri"/>
          <w:color w:val="111111"/>
          <w:sz w:val="28"/>
          <w:sz w:val="28"/>
          <w:szCs w:val="28"/>
          <w:rtl w:val="true"/>
          <w:lang w:bidi="ar-SA"/>
        </w:rPr>
        <w:t xml:space="preserve">من جعل الخبرين المتقدّمين قرينة كاشفة، بتقريب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عداه من الامور المذكورة فليس شيء منها صالحا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نصّ أهل اللغة في نفسه دليل محكم، غير أنّ حاله في خصوص المقام كما عرفت، إلاّ على ما أشرنا إليه أيضا من استظهار كونهم فيما نصّوا به معتقدين بثبوته عن قديم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شاع الاستدلال على أصل المطلب بعد الفراغ عن الاستدلال بالكتاب الاستدلال بجملة من الأخبار، فعلى كون الماء طاهرا، بما رواه المشايخ الثلاث بأسانيدهم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ما لم تعلم أنّه قذر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 على كونه مطهّرا، بما تقدّم من رواية داود بن فرقد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من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ذكره</w:t>
      </w:r>
      <w:r>
        <w:rPr>
          <w:rStyle w:val="FootnoteAnchor"/>
          <w:rtl w:val="true"/>
        </w:rPr>
        <w:footnoteReference w:id="112"/>
      </w:r>
      <w:r>
        <w:rPr>
          <w:rFonts w:ascii="Amiri" w:hAnsi="Amiri" w:eastAsia="Amiri" w:cs="Amiri"/>
          <w:color w:val="111111"/>
          <w:sz w:val="28"/>
          <w:sz w:val="28"/>
          <w:szCs w:val="28"/>
          <w:rtl w:val="true"/>
          <w:lang w:bidi="ar-SA"/>
        </w:rPr>
        <w:t>، و هذا كما ترى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يكثر الاستدلال بما في الكافي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يعلّل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لا يطهّر لأنّه إن غلب على النجاسة حتّى استهلكت فيه طهّرها و لم ينجّس حتّى يحتاج إلى التطهير، و إن غلبت عليه النجاسة حتّى استهلك فيها صار في حكم تلك النجاسة، و لم يقبل التطهير إلاّ بالاستهلاك في الماء الطاهر، و حينئذ لم يبق منه شيء، كذا عن الوافي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قليل الماء إذا تنجّس كان تطهيره بالكثير من الجاري و الراكد، فلم يصدق أنّه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يطهّر غيره و لا يطهّره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يطهّر كلّ شيء حتّى نفسه، و لا يطهّر من شيء إلاّ من نفسه، فيعلّل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التعميم في الأوّل أولى،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يخطر بالبال أنّه يمكن أن يستدلّ بهذا </w:t>
      </w:r>
    </w:p>
    <w:p>
      <w:pPr>
        <w:pStyle w:val="BookText"/>
        <w:rPr/>
      </w:pPr>
      <w:r>
        <w:rPr>
          <w:rFonts w:ascii="Amiri" w:hAnsi="Amiri" w:eastAsia="Amiri" w:cs="Amiri"/>
          <w:color w:val="111111"/>
          <w:sz w:val="28"/>
          <w:sz w:val="28"/>
          <w:szCs w:val="28"/>
          <w:rtl w:val="true"/>
          <w:lang w:bidi="ar-SA"/>
        </w:rPr>
        <w:t>الخبر على عدم نجاسة البئر بالملاقاة، لأنّه لو نجس لكان طهره بالنزح، و القول بأنّ الطهر بالماء النابع بعد النزح 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التوجيه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إطلاقه غير مستقيم، لانتقاضه بالبئر، فإنّ تطهيرها بالنزح، و الماء النجس يطهّر باستحالته ملحا، و الماء القليل إذا كان نجسا و تمّم كرّا بمضاف لم يسلبه الإطلاق، فإنّه في جميع هذه الصور قد طهّر الماء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أنّ مطهّر البئر حقيقة هو النزح، بل هو في الحقيقة الماء النابع منها شيئا فشيئا، بعد إخراج الماء المنزوح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يختلج بالبال أنّه لا حاجة في دفع ما ذكر من الإشكال إلى هذا التكلّف، بل يسهل دفعه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التطهير إلى الماء عند التحقيق مجاز، لأنّه فعل يباشره المكلّف، و الماء آلة شرعيّة، فحاصل معناه الحقيقي الّذي يباشره المكلّف و يخاطب به استعمال الماء على الكيفيّة المقرّرة في الشريعة، و لا ريب أنّ استعمال الماء أعمّ من صبّه على النهج المعهود الّذي يسمّى بالغسل، أو تقليله الّذي يعبّر عنه بالنزح، فيصدق عليه أنّه تطهير، و من هنا يمكن توجيه الرواية بقراءة الاولى مشدّدا بصيغة المجهول، و الثانية كذلك بصيغة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فهمه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يقع عليه التطهير، و لا يصدر عنه التطهير، لأنّ التطهير فعل يصدر من المكلّف بواسطته، لا أنّه يصدر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نجاسة البئر بالملاقاة حينئذ، فأصل الاعتراض ساقط، كذا حقّقه في الحدائق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قد عدم بالكلّيّة، فلم يبق هناك ماء مطهّر بغيره، و مثله أيضا الماء النجس إذا شربه حيوان مأكول اللحم و استحال بولا، فإنّه يخرج عن الحقيقة الاولى إلى حقيقة اخرى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في العرف تطهيرا لاضمحلال </w:t>
      </w:r>
    </w:p>
    <w:p>
      <w:pPr>
        <w:pStyle w:val="BookText"/>
        <w:rPr/>
      </w:pPr>
      <w:r>
        <w:rPr>
          <w:rFonts w:ascii="Amiri" w:hAnsi="Amiri" w:eastAsia="Amiri" w:cs="Amiri"/>
          <w:color w:val="111111"/>
          <w:sz w:val="28"/>
          <w:sz w:val="28"/>
          <w:szCs w:val="28"/>
          <w:rtl w:val="true"/>
          <w:lang w:bidi="ar-SA"/>
        </w:rPr>
        <w:t>النجس حينئذ، فيصدق حينئذ أنّ الماء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ضعيف لأنّ المراد بالاضمحلال إن كان الانعدام الصرف أو استهلاك الماء في جنب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ينافي الحسّ، و يمتنع الانعدام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فرضه المورد؛ لأنّه قيّد مورد النقض بماء لم يكن المضاف المتمّم له كرّا موجبا لسلب الإطلاق عنه، و معه لا معنى لفرض الانعدام أو الاستهلاك، لصيرورة الجميع حينئذ مضافا صرفا، و إن كان المراد ما عدا ذلك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طاهر في ضمن الجميع أو غير طاهر، و الأوّل محقّق للاعتراض، و الثاني خلاف فرض المعترض من كون التتميم بالمضاف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أصل التمسّك بالرواية من حيث إنّها بنفسها معارضة لنفسها، لمنافاة صدرها لذيلها، بملاحظة العموم المستفاد من حذف المتعلّق فيها، فمفادها صدرا و ذيلا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الماء يطهّر كلّ شيء حتّى نفسه، و لا يطهّر بشيء حتّى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عمومان من وجه تعارضا، فلا بدّ من التصرّف في أحدهما،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كلّ شيء إلاّ نفسه، أو أنّه لا يطهّر بشيء إلاّ بنفسه، و لا ريب أنّ ارتكاب التخصيص في أحد العامّين ليس بأولى من ارتكابه في الآخر، فيصير سبيل الرواية سبيل ما يطرؤه الإجمال، و معه يسقط بها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أنّ حذف المتعلّق ممّا 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يفيده في موضع يليق به و ليس المقام منه، فإنّ الرواية بقرينة ما فيها من الجمع بين السلب و الإيجاب واردة مورد الإهمال، و مراد منها أداء المطلب على طريق الإجمال، فقرينة المقام قائمة بعدم اعتبار العموم في كلّ من الجانبين، و شاهدة باعتبار جزئيّة فيها إمّا في الإيجاب أو في السلب، فلا تعارض فيها بين صدرها و ذيلها، حيث لا ظهور لها بالنسبة إلى أحد العمومين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ما اعتبر فيه الجزئيّة غير متعيّن، و هو غير قادح فيما هو الغرض الأصلي هنا من الاستدلال بها، و هو إثبات مطهّريّة الماء في الجملة، لكن بالنسبة إلى ما يقبل التطهير لا بالنسبة إلى أفراد الماء، حتّى ينافي ما تقدّم من عنوان المسألة، حيث اعتبرناه على طريق الإيجاب الكلّي بالنسبة إلى المياه؛ ضرورة أنّ هذا الغرض يتأتّى بكلّ من الاحتمالين إن أحرزنا العموم فيها بالنسبة إلى الماء، و لو بقي عندك مناقشة في </w:t>
      </w:r>
    </w:p>
    <w:p>
      <w:pPr>
        <w:pStyle w:val="BookText"/>
        <w:rPr/>
      </w:pPr>
      <w:r>
        <w:rPr>
          <w:rFonts w:ascii="Amiri" w:hAnsi="Amiri" w:eastAsia="Amiri" w:cs="Amiri"/>
          <w:color w:val="111111"/>
          <w:sz w:val="28"/>
          <w:sz w:val="28"/>
          <w:szCs w:val="28"/>
          <w:rtl w:val="true"/>
          <w:lang w:bidi="ar-SA"/>
        </w:rPr>
        <w:t>هذا العموم فهو كلام آخر لا مدخل له فيما ذكرته من المناقشة المقتضية لرميها بالإجمال المسقط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بملاحظة ورودها مورد الإهمال، بإرادة المهملة في إحدى قضيّتيها الّتي هي في قوّة الجزئيّة محتملة لوجوه كثيرة، تبلغ إلى ستّة عشر وجها، حاصلة بملاحظة الأربع الجارية في الصدر، من جهة احتمالي التخفيف و التشديد، في احتمالي المعلوم و المجهول في نفس تلك الأربع الجارية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كلاّ من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ذكرناه من 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إرادته من دون أن ينشأ منه محذور، غاية ما في الباب أنّها في بعض تلك الوجوه تصير من أدلّة مطهّريّة الماء، و في بعضها الآخر تصير من أدلّة طهارته أو قبوله الطهارة بعد ما تنجّس، و المفروض كون كلّ من الحكمين مطلوبا في المسألة، فعلى أيّهما دلّت كانت دالّة على ما هو المقصود، و إن كانت دلالتها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الحمل على الوجوه المناسبة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تمام المقصود، و لو من جهة اعتبارها تارة من حيث المطابقة، و اخرى من حيث الالتزام، و عليك باستخراج تلك الوجوه مفصّلة، و استفادة المعنى عن كلّ وجه على حسب ما يقتضيه القواعد العرفيّة في مثل هذه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نشير إلى بعض تلك القواعد، لتكون بمراعاتها على بصيرة و تدبّر، فلو قيل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مجيئك إيّاي، و لا احبّ مجيئك إيّاي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يقال به و بنظائره عرفا في كلّ موضع يكون موضوع القضيّة ذا حيثيّتين، تعلّق به الإيجاب بالنظر إلى إحداهما و السلب بالنظر إلى الاخرى، على نحو يكون مفاد المثال المذكور فرضا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احبّ مجيئك لأنّي مشتاق إلى لقائك، أو لأن أتبرّك بحضورك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ممّا يمكن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احبّ مجيئك لأنّه تعب عليك، أو مانعك عمّا هو أهمّ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على هذا القياس باعتبارات شتّى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يأكل و لا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يشتغل و لا يشتغل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و لا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أشبه ذلك إلى ما لا يعدّ و لا يحصى، كما يظهر لمن تأمّل في العرفيّات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حملنا الصدر و الذيل في الرواية على كونهما معلومين مشدّدين كان الحكمان المختلفان من جهة اختلاف الحيثيّة في أصل الموضوع، و ذلك الاختلاف إمّا باعتبار اختلاف مواضع التطهير، فإنّ منها ما يقبله و منها ما لا يقبله، أو من جهة اختلاف </w:t>
      </w:r>
    </w:p>
    <w:p>
      <w:pPr>
        <w:pStyle w:val="BookText"/>
        <w:rPr/>
      </w:pPr>
      <w:r>
        <w:rPr>
          <w:rFonts w:ascii="Amiri" w:hAnsi="Amiri" w:eastAsia="Amiri" w:cs="Amiri"/>
          <w:color w:val="111111"/>
          <w:sz w:val="28"/>
          <w:sz w:val="28"/>
          <w:szCs w:val="28"/>
          <w:rtl w:val="true"/>
          <w:lang w:bidi="ar-SA"/>
        </w:rPr>
        <w:t>كيفيّات التطهير، فإنّ كلّ كيفيّة قرّرها الشارع تطهّر، و كلّ كيفيّة يخالفها لا تطهّر، أو باعتبار اختلاف الخصوصيّات العارضة للماء من الخارج، كالإباحة و الغصبيّة بالقياس إلى رفع الحدث، فإنّ المباح يرفعه و المغصوب لا يرفعه، و هكذا إلى آخر ما فرض، هذا على احتمال التشديد فيهما و مثله تجري على احتمال التخفيف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إمّا أن يرجع الطهر و عدمه إلى نفس الماء فلا حذف معه، أو إلى شيء آخر بواسطته فيلزمه الحذف، و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به الشيء و لا يطهّر به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الاحتمالين يجري فيهما من القاعدة نظير ما فرضناه فلاحظ، و افرض ما شئت هذا على قراءة المعلومين، و كذلك على قراءة المجهولين مع التشديد أو التخفيف، و أمّا على الاختلاف في المعلوميّة و المجهوليّة فمفاد القضيّة عرفا نظير ما تقدّم الإشارة إليه عنهم في دفع الإيراد الأوّل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أشرنا إليه سابقا، بناء على هذا الاحتمال من كون ذلك لبيان اختلاف النسبة في الحقيقيّة و المجازيّة، و لكنّه مبنيّ على فرض الأوّل مجهولا و الثاني معلوما كما عرفت، فإنّ النسبة في الأوّل حقيقيّة و في الثاني مجازيّة واردة من باب الإسناد إلى السبب بتقريب ما تقدّم، مع ما يحتمل في عكس هذا الفرض من كون القضيّة في الثاني من باب السالبة المنتفية الموضوع، مرادا بها بيان طهارة الماء بحسب الخلقة الأصليّة، فليس ينجّس حتّى يطهّر أو يحتاج</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مفاد الرواية من حيث اشتمالها على النفي و الإثبات الواردين على موضوع واحد، فلا وجه لرميها بالإجمال من هذه الجهة، كما لا وجه للحكم عليها بالمطروحيّة كما في رياض السيّد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الإشكال من جهة اخرى، كقصورها عن إفادة العموم في أفراد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شيء آخر غير ما ذكروه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ما عرفت من الأدلّة على مطهّريّة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الطهور إن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تنهض دليلا على نفس المطهّريّة و لو في جميع أفراد الماء، و أمّا </w:t>
      </w:r>
    </w:p>
    <w:p>
      <w:pPr>
        <w:pStyle w:val="BookText"/>
        <w:rPr/>
      </w:pPr>
      <w:r>
        <w:rPr>
          <w:rFonts w:ascii="Amiri" w:hAnsi="Amiri" w:eastAsia="Amiri" w:cs="Amiri"/>
          <w:color w:val="111111"/>
          <w:sz w:val="28"/>
          <w:sz w:val="28"/>
          <w:szCs w:val="28"/>
          <w:rtl w:val="true"/>
          <w:lang w:bidi="ar-SA"/>
        </w:rPr>
        <w:t xml:space="preserve">موضع التطهير و ما يرتفع به من النجاسة و كيفيّته و شروطه و آدابه فتبقى مستفادة من الخارج؛ لكون تلك الأدلّة ساكتة عن التعرّض لها نفيا و إثباتا، و ورودها مورد حكم آخر، فلو شكّ حينئذ في شيء أنّه هل يقبل التطهير بالماء كالأدهان المتنجّسة؟ أو في نجاسة أنّها هل ترتفع بالماء وحده كولوغ الكلب؟ أو في تطهير نجاسة أنّه هل يعتبر فيه التعدّد كالبول؟ أو يعتبر فيه النيّة أو إباحة الماء أو المباشرة؟ كغسل الثوب للصلاة، فلا يمكن التمسّك لاستعلامه بالآية و لا غيرها عموما و لا إطلاقا، إذ لم يؤخذ شيء ممّا ذكر عنوانا فيها، فلا يعقل معه بالنسبة إليه حينئذ عموم أو إطلاق، و إنّما الّذي عنون في صريح تلك الأدلّة هو حكم المطهّريّة القائمة بالماء، و العموم بالقياس إليه ثابت، فحينئذ لو شكّ في فرد من أفراده بعد إحراز الفرديّة و صدق الاسم عليه أنّه هل يصلح لكونه مطهّرا و رافعا للخبث أو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المستعمل في رفع الحدث من وضوء أو غسل، أو في رفع الخبث كما في الاستنجاء على القول بعدم انفعاله، كما هو المجمع عليه بشروطه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بصلوحه له، استنادا إلى عموم الآية أو إطلاقها أو غيرها من الأدلّة المتقدّمة بلا إشكال فيه و لا شبهة تعتريه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فتقرّر عندنا بما أثبتناه من الحكمين قاعدتان كلّيّتان يجدي الرجوع إليهما في مواضع الشك و الشبهة،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بجميع أفراده عدا ما خرج منها بالدليل، 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مطهّريّته كذلك إلاّ ما أخرجه الدليل، فليكن ذلك على ذكر منك ليجديك في كلّ موضع وجدتنا نتمسّك بالأصل على الطهارة أو المطهّريّة في شيء، فإنّ مرادنا به إنّما هو إحدى القاعدتين</w:t>
      </w:r>
      <w:r>
        <w:rPr>
          <w:rFonts w:eastAsia="Amiri" w:cs="Amiri" w:ascii="Amiri" w:hAnsi="Amiri"/>
          <w:color w:val="111111"/>
          <w:sz w:val="28"/>
          <w:szCs w:val="28"/>
          <w:rtl w:val="true"/>
          <w:lang w:bidi="ar-SA"/>
        </w:rPr>
        <w:t>.</w:t>
      </w:r>
      <w:bookmarkStart w:id="59" w:name="pg16144_232989"/>
    </w:p>
    <w:p>
      <w:pPr>
        <w:pStyle w:val="Heading3"/>
        <w:numPr>
          <w:ilvl w:val="2"/>
          <w:numId w:val="1"/>
        </w:numPr>
        <w:rPr/>
      </w:pPr>
      <w:bookmarkStart w:id="60" w:name="__RefHeading___Toc1804380_1280447820"/>
      <w:bookmarkStart w:id="61" w:name="_Toc21"/>
      <w:bookmarkEnd w:id="59"/>
      <w:bookmarkEnd w:id="60"/>
      <w:r>
        <w:rPr>
          <w:rtl w:val="true"/>
        </w:rPr>
        <w:t xml:space="preserve">ينبوع </w:t>
      </w:r>
      <w:r>
        <w:rPr>
          <w:rtl w:val="true"/>
        </w:rPr>
        <w:t>[</w:t>
      </w:r>
      <w:r>
        <w:rPr>
          <w:rtl w:val="true"/>
        </w:rPr>
        <w:t>في التغير</w:t>
      </w:r>
      <w:r>
        <w:rPr>
          <w:rtl w:val="true"/>
        </w:rPr>
        <w:t>]</w:t>
      </w:r>
      <w:bookmarkEnd w:id="61"/>
    </w:p>
    <w:p>
      <w:pPr>
        <w:pStyle w:val="Heading4"/>
        <w:numPr>
          <w:ilvl w:val="3"/>
          <w:numId w:val="1"/>
        </w:numPr>
        <w:rPr/>
      </w:pPr>
      <w:bookmarkStart w:id="62" w:name="__RefHeading___Toc1804382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ما عرفت من الحكمين الكلّيّين إنّما يلحقان الماء ما دام باقيا على خلقته الأصليّة و صفاته الأوّليّة كما تقدّم الإشارة إليه، و السرّ في هذا القيد أنّه قد يطرؤه بعنوانه الكلّي على النهج المتقدّم من غير استثناء شيء ما يقابل الحكمين لعارض التغيّر من جهة النجاسة، فيحكم بنجاسته حينئذ و عدم صلوحه للمطهّريّة إلى أن يثبت لها مزيل شرعي، و كان ذلك أصل ثانوي ورد على الأصل الأوّلي الدائر بين الحكمين، و لا تعارض بينهما لورود كلّ موضوعا غير موضوع الآخر كما عرفت، و فائدتهما أنّه لو شكّ في نجاسة فرد من المتغيّر يلحق بالثاني لانتفاء موضوع الأوّل، كما أنّه لو شكّ في فرديّة شيء للمتغيّر يلحق بالأوّل لعدم كون موضوع الثاني محرزا، و كيف كان فتحقيق القول في هذا العنوان يستدعي رسم مطالب</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804384_1280447820"/>
      <w:bookmarkStart w:id="65" w:name="_Toc23"/>
      <w:bookmarkEnd w:id="64"/>
      <w:r>
        <w:rPr>
          <w:rtl w:val="true"/>
        </w:rPr>
        <w:t>المطلب الأوّل</w:t>
      </w:r>
      <w:r>
        <w:rPr>
          <w:rtl w:val="true"/>
        </w:rPr>
        <w:t xml:space="preserve">: </w:t>
      </w:r>
      <w:r>
        <w:rPr>
          <w:rtl w:val="true"/>
        </w:rPr>
        <w:t>إذا تغيّر الماء مطلقا بسبب النجاسة في أحد أوصافه الثلاثة، أعني اللون و الطعم و الرائحة،</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ينجّس، و عليه نقل الإجماعات فوق حدّ الكثرة، و في الدلائل</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 فوق حدّ 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كادت تكون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الحدائق</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الخلاف و الإشكال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الرياض</w:t>
      </w:r>
      <w:r>
        <w:rPr>
          <w:rStyle w:val="FootnoteAnchor"/>
          <w:rtl w:val="true"/>
        </w:rPr>
        <w:footnoteReference w:id="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بالإجماع </w:t>
      </w:r>
    </w:p>
    <w:p>
      <w:pPr>
        <w:pStyle w:val="BookText"/>
        <w:rPr/>
      </w:pPr>
      <w:r>
        <w:rPr>
          <w:rFonts w:ascii="Amiri" w:hAnsi="Amiri" w:eastAsia="Amiri" w:cs="Amiri"/>
          <w:color w:val="111111"/>
          <w:sz w:val="28"/>
          <w:sz w:val="28"/>
          <w:szCs w:val="28"/>
          <w:rtl w:val="true"/>
          <w:lang w:bidi="ar-SA"/>
        </w:rPr>
        <w:t>و النصوص المستفيضة العاميّة و الخاصّيّة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كلّ من يحفظ عنه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المعتبر</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أهل العلم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السيّد في الناصريّات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الشيعة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في الأخيرين متواترة و في الأوّل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يؤيّد الإجماع أنّ المسألة غير معنونة في مختلف العلاّمة مع أنّه موضوع لذكر خلافيّات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فيه خلاف لا من العامّة و لا من الخاصّة، عدا ما يظهر من سيّد المدارك من التشكيك في الأوّل في مسألة عدم انفعال البئر بالملاقاة، محتجّا عليه بما يأتي من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أجوبته عن الاعتراض على الحجّة المذكورة بأنّ الحصر المستفاد منه متروك الظاهر، للقطع بنجاسة الماء مطلقا بتغيّر لونه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لم نقف في روايات الأصحاب على ما يدلّ على نجاسة الماء بتغيّر لونه، و إنّما الموجود فيها نجاسته بتغيّر ريحه أو طعمه كما في صحيحتي أبي خالد القمّاط</w:t>
      </w:r>
      <w:r>
        <w:rPr>
          <w:rStyle w:val="FootnoteAnchor"/>
          <w:rtl w:val="true"/>
        </w:rPr>
        <w:footnoteReference w:id="127"/>
      </w:r>
      <w:r>
        <w:rPr>
          <w:rFonts w:ascii="Amiri" w:hAnsi="Amiri" w:eastAsia="Amiri" w:cs="Amiri"/>
          <w:color w:val="111111"/>
          <w:sz w:val="28"/>
          <w:sz w:val="28"/>
          <w:szCs w:val="28"/>
          <w:rtl w:val="true"/>
          <w:lang w:bidi="ar-SA"/>
        </w:rPr>
        <w:t>، و حريز بن عبد اللّه عن الصادق عليه السّلام</w:t>
      </w:r>
      <w:r>
        <w:rPr>
          <w:rStyle w:val="FootnoteAnchor"/>
          <w:rtl w:val="true"/>
        </w:rPr>
        <w:footnoteReference w:id="128"/>
      </w:r>
      <w:r>
        <w:rPr>
          <w:rFonts w:ascii="Amiri" w:hAnsi="Amiri" w:eastAsia="Amiri" w:cs="Amiri"/>
          <w:color w:val="111111"/>
          <w:sz w:val="28"/>
          <w:sz w:val="28"/>
          <w:szCs w:val="28"/>
          <w:rtl w:val="true"/>
          <w:lang w:bidi="ar-SA"/>
        </w:rPr>
        <w:t>، و ما تضمّن ذلك عامّي مرسل، فإن لم يثبت ما ذكرناه من الملازمة أو الأولويّة أمكن المناقشة في هذا الحكم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تضمّن ذلك عاميّ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إلى ما يأتي من النبوي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انجباره بالعمل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 مراده بالملازمة و الأولويّة ما أشار إليهما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جملة الأجوبة عن الاعتراض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تغيّر اللون مقتض لتغيّر الطعم، و مع ثبوت الملازمة ينتفي المحذور،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نجاسة الماء بتغيّر طعمه أو ريحه وجب القطع </w:t>
      </w:r>
    </w:p>
    <w:p>
      <w:pPr>
        <w:pStyle w:val="BookText"/>
        <w:rPr/>
      </w:pPr>
      <w:r>
        <w:rPr>
          <w:rFonts w:ascii="Amiri" w:hAnsi="Amiri" w:eastAsia="Amiri" w:cs="Amiri"/>
          <w:color w:val="111111"/>
          <w:sz w:val="28"/>
          <w:sz w:val="28"/>
          <w:szCs w:val="28"/>
          <w:rtl w:val="true"/>
          <w:lang w:bidi="ar-SA"/>
        </w:rPr>
        <w:t>بنجاسته بتغيّر لونه لأنّه أظهر في الانفعال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بعده في تلك المقالة شيخنا البهائي في كلام محكيّ عنه في حبل المتين،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تضمّنه الحديث الثاني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بهما الصحيحتين اللتين أشار إليهما السيّد من نجاسة الماء بتغيّر ريحه أو طعمه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و يدور على ألسنة الأصحاب أنّ تغيّر لونه أيضا كذلك؛ و لم أظفر به في أخبارنا صريحا، و ما ينقل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فخبر عامّي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إنّ تغيّر اللون بذي طعم أو ريح لا ينفكّ عن التغيّر بأحدهما لم يكن بعيدا، بل ربّما يدّعى أنّ انفعال الماء بلون النجاسة متأخّر في المرتبة عن انفعاله بريحها أو طعمها فاستغنى بذكرهما عن ذكره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تبعهما في ذلك كلّه المحقّق الخوانساري في شرح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الروايات المتقدّمة خالية عن التعرّض للّون، سوى رواية العلاء بن الفضيل</w:t>
      </w:r>
      <w:r>
        <w:rPr>
          <w:rStyle w:val="FootnoteAnchor"/>
          <w:rtl w:val="true"/>
        </w:rPr>
        <w:footnoteReference w:id="134"/>
      </w:r>
      <w:r>
        <w:rPr>
          <w:rFonts w:ascii="Amiri" w:hAnsi="Amiri" w:eastAsia="Amiri" w:cs="Amiri"/>
          <w:color w:val="111111"/>
          <w:sz w:val="28"/>
          <w:sz w:val="28"/>
          <w:szCs w:val="28"/>
          <w:rtl w:val="true"/>
          <w:lang w:bidi="ar-SA"/>
        </w:rPr>
        <w:t xml:space="preserve">، فإنّها بمفهومها تدلّ على نجاسته بتغيّر اللون، لكنّها ضعيفة بمحمّد بن سنان، و نقلوا رواية عن الجمهور أيضا متضمّنة لذكر اللون و لا يصلح أيضا للتعويل، و ذكر بعضهم أنّ تغيّر الريح و الطعم أسرع من تغيّر اللون، إذ لا ينفكّ تغيّر اللون عن تغيّرهما، فلا ثمرة في التعرّض له و وجهه غير ظاهر، و قد يستنبط اعتبار اللون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أو تغيّر الطعم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إشكال، و قد يتمسّك فيه بما قاله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تواتر عن الصادق و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طاهر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 الظاهر أنّ انضمام هذه الامور بعضها مع بعض مع اعتضادها بالإجماع يكفي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محصّل ما أفاده رحمه اللّه أنّه وافق السيّد و الشيخ في القدح في سند النبويّة المرسلة،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نقلوا رواية عن الجمهور أيضا متضمّنة لذكر اللون و لا يصلح أيضا للتعويل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خالفهما في استظهار الحكم ممّا ذكره أخيرا، و حذا حذوه صاحب الحدائق و إن خالفه في الاستناد للحكم إلى جملة من أخبار أصحابنا، فإنّه بعد ما نقل كلام السيّد المتقدّم في القدح على سند الرواية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أنّه كذلك، فإنّا لم نقف عليه في شيء من كتب أخبارنا بعد الفحص التامّ، و بذلك صرّح أيضا جمع ممّن تقدّمنا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الأجلاّء متّفقون على القدح في الرواية المذكورة و إن اختلفوا في المذهب، فالأخيران وافقا المعظم في أصل الحكم، غير أنّ الأوّل منهما قال به على سبيل الظنّ، و الثاني على سبيل الجزم كما لا يخفى على من لاحظ عبارته في الحدائق، و أمّا الأوّلان فظاهر هما إنكار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لا يظهر منه المخالفة بناء على ما ادّعاه من الأولويّة، و إن كان ما قرّره من الملازمة يدعوه إلى المخالفة، و كيف كان فقد تقرّر بجميع ما ذكر أنّ هاهنا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تغيّر اللون و غيره، و بعدها دعوى الأولويّة اللتين عرفتهما من السيّد، و وافقه شيخنا البهائي على الاولى، و إليهما ينظر ما في الحدائق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السرّ في اشتمال أكثر الأخبار على التغيّر الطعمي أو الريحي دون اللوني أنّ تغيّر الطعم و الريح أسرع من تغيّر اللون، إذ لا ينفكّ تغيّر اللون من تغيّرهما، و لا ثمرة في التعرّض له حينئذ</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على سند النبوي المشار إليه، و ينبغي النظر في صحّة هذين الكلامين و سقمهما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يمكن أن يقال في 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عذرا لخلوّ الأخبار أو أكثرها عن التعرّض لذكر تغيّر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تغيّر اللون بالقياس إلى أخويه بمنزلة الخاصّ في مقابلة العامّ، فبينه و بينهما عموم و خصوص مطلق و لكن من حيث </w:t>
      </w:r>
    </w:p>
    <w:p>
      <w:pPr>
        <w:pStyle w:val="BookText"/>
        <w:rPr/>
      </w:pPr>
      <w:r>
        <w:rPr>
          <w:rFonts w:ascii="Amiri" w:hAnsi="Amiri" w:eastAsia="Amiri" w:cs="Amiri"/>
          <w:color w:val="111111"/>
          <w:sz w:val="28"/>
          <w:sz w:val="28"/>
          <w:szCs w:val="28"/>
          <w:rtl w:val="true"/>
          <w:lang w:bidi="ar-SA"/>
        </w:rPr>
        <w:t>المورد لا المفهوم؛ فإنّ تغيّر اللون حيثما وجد فقد وجد معه تغيّر الطعم و الرائحة أيضا، فهو لا ينفكّ عنهما بخلافهما لانفكاكهما عنه، فلهما فردان،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اقترن منهما مع تغيّر اللون،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 منهما عن تغيّر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اريد بهما في الأخبار ما يعمّ القسمين كان تغيّر اللون ممّا استغنى عن ذكره، كما أنّ ذكر العامّ ممّا يستغني به عن ذكر الخاصّ لتناوله الخاصّ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فتاوي الأصحاب الظاهرة بل الصريحة في استقلال كلّ من الثلاثة في السببيّة لتنجّس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تغيّر الطعم و الريح إذا صادفهما تغيّر اللون أيضا فإمّا أن يستند السببيّة إلى المجموع على نحو الشركة، أو إلى تغيّر الطعم و الريح فقط و كان تغيّر اللون كالحجر في جنب الإنسان، أو إلى تغيّر اللون وحده و كان تغيّر الطعم و الريح كما ذكر، و لا سبيل إلى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فتاوي الأصحاب في الدلالة على كون كلّ سببا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يراه مدّعي الملازمة من كون تغيّر الطعم و الريح مستقلّين في السببيّة، و لذا يقول بجواز انفكاكهما عن تغيّر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صريح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صريح الفتاوي، و ما يراه مدّعي الملازمة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النسبة بينه و بينهما كما ذكر، بل الّذي يقتضيه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كلّ مع الآخر عموم من وجه، فإنّ النجاسات مختلفة في الاشتمال على الأوصاف الثلاثة وحدانيّا و ثنائيّا و ثلاثيّا، و الصور المتصوّرة سبع، فإنّ منها ما هو ذو اللون فقط، و منها ما هو ذو الطعم فقط، و منها ما هو ذو الرائحة فقط، و منها ما هو ذو اللون و الطعم دون الرائحة، و منها ما هو ذو اللون و الرائحة دون الطعم، و منها ما هو ذو الطعم و الرائحة دون اللون، و منها ما هو ذو اللون و الطعم و الرائحة، فكلّ يفترق عن صاحبه، و أكثر تلك الصفات تتلاحق البول باختلاف أحواله على ما هو المشاهد، و أظهر أفراد افتراق ذي </w:t>
      </w:r>
    </w:p>
    <w:p>
      <w:pPr>
        <w:pStyle w:val="BookText"/>
        <w:rPr/>
      </w:pPr>
      <w:r>
        <w:rPr>
          <w:rFonts w:ascii="Amiri" w:hAnsi="Amiri" w:eastAsia="Amiri" w:cs="Amiri"/>
          <w:color w:val="111111"/>
          <w:sz w:val="28"/>
          <w:sz w:val="28"/>
          <w:szCs w:val="28"/>
          <w:rtl w:val="true"/>
          <w:lang w:bidi="ar-SA"/>
        </w:rPr>
        <w:t>اللون عن ذي الطعم و الرائحة إنّما هو في الدم، إذ ليس فيه طعم و رائحة فاحشين على وجه يستدعي استناد التغيّر إليهما، بل الغالب فيه التغيّر اللوني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كالمتغيّر في سائر الصفات غير الثلاثة من الحرارة و البرودة و نحوهما فلا حكم له في إيراث النجاسة، أو أنّ الشارع قد أهمل فيه حيث لم يتعرّض لذكره فيما بين أقسام ما يوجب نجاسة الماء من التغيّر، و لا يصغى إلى شيء من ذلك، مع منافاته لدعوى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قرّره السيّد من الأولويّة فهو أهون من الملازمة المدّعاة، إمّا لمنع أصل الأولويّة، أو لمنع اعتبارها لكونها ظنّيّة، و ذلك لأنّه لو أراد بكون تغيّر اللون أظهر في الانفعال كونه أظهر في نظر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الانفعال ممّا لا يدرك بالحسّ، إلاّ أن يراد به الانفعال الوصفي،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بأظهر من انفعال الرائحة بل الطعم أيضا، و لو أراد به كونه أظهر في نظر العقل، فمع أنّه ممنوع لا عبرة به، لعدم جزم العقل به فيكون ظنّيّا، و هو لا يوجب إلاّ أولويّة ظنّيّة و هو كما ترى، و لو أراد به كونه كذلك في نظر الشرع فهو أوضح فسادا، بملاحظة أنّ الشرع ليس فيه ما يقضي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الطعن في النبوي فقد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الصحيح قد تبلغ بالجبر مرتبة الصحيح، و قد يقرّر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 بالإجماع و الشهرة و الإجماعات المحكيّة، و أنت إذا تأمّلت في عباراتهم لوجدتها مملوّة من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الشبهة إذا كانت في السند فالإجماع و الشهرة لا يجديان في جبران ضعفه إلاّ في موضع الاستناد، على معنى كون ما شكّ في سنده مستندا للمجمعين أو المعظم، فإنّ استنادهم إليه يكشف عن سلامة سنده في الواقع، و لو بأن يبلغهم من الخارج ما أفادهم الوثوق به، و لم يظهر منهم ما يقضي بذلك، بل نرى كلام كثير منهم خاليا عن ذكر هذا الحديث و الاستناد إليه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غاية ما يترتّب على هذه الامور أنّها تكشف عن صدق المضمون و مطابقته للواقع، و هو كما ترى ليس من تصحيح السند في شيء، و لا رفع الشبهة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رفعها بطريق آخر، و هو التشبّث في خصوصه بما ادّعي من التواتر أو الاستفاضة و لو في غير جهة إسناده إلى النبيّ صلّى اللّه عليه و آله، أو الاتّفاق على روايته، فعن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احتجاجاته على عدم انفعال الماء الراكد بملاقاة النجاسة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تواتر عن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طاهر لا ينجّسه إلاّ ما غيّر لونه أو طعمه أو رائحته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قول الرسول صلّى اللّه عليه و آله المتّفق على روايته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 عن 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متواترا عنهم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طهور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عن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استفاض روايته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رواه أيضا</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المنتهى</w:t>
      </w:r>
      <w:r>
        <w:rPr>
          <w:rStyle w:val="FootnoteAnchor"/>
          <w:rtl w:val="true"/>
        </w:rPr>
        <w:footnoteReference w:id="145"/>
      </w:r>
      <w:r>
        <w:rPr>
          <w:rFonts w:ascii="Amiri" w:hAnsi="Amiri" w:eastAsia="Amiri" w:cs="Amiri"/>
          <w:color w:val="111111"/>
          <w:sz w:val="28"/>
          <w:sz w:val="28"/>
          <w:szCs w:val="28"/>
          <w:rtl w:val="true"/>
          <w:lang w:bidi="ar-SA"/>
        </w:rPr>
        <w:t>روى الجمهور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عمل الامّة بمدلوله و قبلوه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نقل التواتر إذا بلغ حدّ التواتر كنفس التواتر، فيفيد العلم بصدور هذا اللفظ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فأقلّ مراتبه الظنّ بالصدور، و الظاهر أنّه كاف في أسانيد الأخبار على ما قرّر في محلّه، كيف و هو لا يقصر عن رواية عدلين أو عدل واحد إذا كان عن ناقل واحد فضلا عن ناقلين متعدّدين، حيث إنّ كلاّ منهما يخبر عن علم، غايته أنّه في ناقل التواتر علم مع الواسطة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 التنزّل عن ذلك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المطلب غير منوط بثبوت اعتبار سند هذا الحديث، إن كان العذر في عدم المصير إليه عدم ورود خبر في أخبار أصحابنا، لتظافر الروايات عن أئمّتنا في خصوص التغيّر اللوني، فإنّها كثيرة جدّا إن لم نقل بتواترها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دعائم الإسلام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الجاري يمرّ بالجيف و العذرة و الدم يتوضّأ منه و يشرب، و ليس ينجّسه شيء ما لم يتغيّر أوصافه، طعمه و لونه و ريحه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الكتاب المذكور</w:t>
      </w:r>
      <w:r>
        <w:rPr>
          <w:rStyle w:val="FootnoteAnchor"/>
          <w:rtl w:val="true"/>
        </w:rPr>
        <w:footnoteReference w:id="149"/>
      </w:r>
      <w:r>
        <w:rPr>
          <w:rFonts w:ascii="Amiri" w:hAnsi="Amiri" w:eastAsia="Amiri" w:cs="Amiri"/>
          <w:color w:val="111111"/>
          <w:sz w:val="28"/>
          <w:sz w:val="28"/>
          <w:szCs w:val="28"/>
          <w:rtl w:val="true"/>
          <w:lang w:bidi="ar-SA"/>
        </w:rPr>
        <w:t>أيضا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الجنب في الماء و فيه الجيفة أو الميتة، فإن كان قد تغيّر لذلك طعمه أو ريحه أو لونه فلا يشرب منه و لا يتوضّأ و لا يتطهّر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شيخنا في الجواهر مرسلا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غدير فيه من الماء أكثر من كرّ لا ينجّسه ما يقع فيه من النجاسات، إلاّ أن يكون فيه الجيف فتغيّر لونه و طعمه و رائحته، فإن غيّرته لم تشرب منه و لم تتطهّر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مختلف العلاّمة في جملة احتجاجات ابن أبي عقيل على عدم انفعال الماء بالملاقاة، رواه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الصادق عليه السّلام عن القربة و الجرّة</w:t>
      </w:r>
      <w:r>
        <w:rPr>
          <w:rStyle w:val="FootnoteAnchor"/>
          <w:rtl w:val="true"/>
        </w:rPr>
        <w:footnoteReference w:id="152"/>
      </w:r>
      <w:r>
        <w:rPr>
          <w:rFonts w:ascii="Amiri" w:hAnsi="Amiri" w:eastAsia="Amiri" w:cs="Amiri"/>
          <w:color w:val="111111"/>
          <w:sz w:val="28"/>
          <w:sz w:val="28"/>
          <w:szCs w:val="28"/>
          <w:rtl w:val="true"/>
          <w:lang w:bidi="ar-SA"/>
        </w:rPr>
        <w:t>من الماء سقط فيهما فأرة أو جرذ أو غير ذلك فيموتون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رائحته على طعم الماء أو لونه فأرقه، و إن لم يغلب عليه فاشرب منه و توضّأ و اطرح الميتة إذا أخرجتها رطبة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في نسخة اخرى 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الثقة الجليل محمّد ابن الحسن الصفّار في كتاب بصائر الدرجات، عن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 السّلام أسأله 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اسأل يا شهاب و إن شئت أخبرناك بما جئت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تسألني عن الغدير تكون في جانبه الجيفة أتوضّأ منه أو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توضّأ من الجانب الآخر، إلاّ أن يغلب الماء الريح فينتن، و جئت تسأل عن الماء الراكد، فإن لم تكن فيه تغيّر و ريح غالبة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فتوضّأ منه</w:t>
      </w:r>
      <w:r>
        <w:rPr>
          <w:rStyle w:val="FootnoteAnchor"/>
          <w:rtl w:val="true"/>
        </w:rPr>
        <w:footnoteReference w:id="154"/>
      </w:r>
      <w:r>
        <w:rPr>
          <w:rFonts w:ascii="Amiri" w:hAnsi="Amiri" w:eastAsia="Amiri" w:cs="Amiri"/>
          <w:color w:val="111111"/>
          <w:sz w:val="28"/>
          <w:sz w:val="28"/>
          <w:szCs w:val="28"/>
          <w:rtl w:val="true"/>
          <w:lang w:bidi="ar-SA"/>
        </w:rPr>
        <w:t xml:space="preserve">، و كلّما </w:t>
      </w:r>
    </w:p>
    <w:p>
      <w:pPr>
        <w:pStyle w:val="BookText"/>
        <w:rPr/>
      </w:pPr>
      <w:r>
        <w:rPr>
          <w:rFonts w:ascii="Amiri" w:hAnsi="Amiri" w:eastAsia="Amiri" w:cs="Amiri"/>
          <w:color w:val="111111"/>
          <w:sz w:val="28"/>
          <w:sz w:val="28"/>
          <w:szCs w:val="28"/>
          <w:rtl w:val="true"/>
          <w:lang w:bidi="ar-SA"/>
        </w:rPr>
        <w:t>غلب كثرة الماء فهو طاهر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زيادات التهذيب عن العلاء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الحياض يبال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نوادر الكافي في الصحيح 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بعض ذلك الدم قطعا صغارا فأصاب إناءه، هل يصلح له الوضوء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 و إن كان شيئا بيّنا فلا تتوضّأ منه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بناء على أنّ المراد باستبانة الدم في الماء استبانة أثره، و لا يكون إلاّ باللون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ممّا لا مدخل له في المقام بعد ملاحظة أنّ السؤال وقع عن كون إصابة الدم الإناء صالحا للحكم بتنجّس الماء و عدمه، فأجابه الإمام عليه السّلام بأنّ المعيار في ذلك تبيّن الدم في الإناء، أي الماء الّذي فيه، بمعنى العلم بوقوعه فيه و مجرّد العلم بإصابته الإناء غير كاف لكونه أعمّ، فلعلّه لم يتعدّ عن خارج الإناء إلى داخله، و الّذي يرشد إليه وقوع السؤال بعد ذلك عن صورة العلم بوقوع الدم 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رجل رعف و هو يتوضّأ، فقطر قطرة في إنائه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 من هنا ضعف ما فهمه الشيخ عن تلك الرواية من عدم انفعال القليل بما لا يدركه الطرف من الدم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عدا ذلك فالكلّ صريح في الدلالة على المطلب، و ما فيها من التكاثر و التظافر إن لم يفد العلم بالصدق فلا أقلّ من إفادته الوثوق، مضافا إلى أنّ فيها ما 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و منه رواية علاء بن الفضيل</w:t>
      </w:r>
      <w:r>
        <w:rPr>
          <w:rStyle w:val="FootnoteAnchor"/>
          <w:rtl w:val="true"/>
        </w:rPr>
        <w:footnoteReference w:id="159"/>
      </w:r>
      <w:r>
        <w:rPr>
          <w:rFonts w:ascii="Amiri" w:hAnsi="Amiri" w:eastAsia="Amiri" w:cs="Amiri"/>
          <w:color w:val="111111"/>
          <w:sz w:val="28"/>
          <w:sz w:val="28"/>
          <w:szCs w:val="28"/>
          <w:rtl w:val="true"/>
          <w:lang w:bidi="ar-SA"/>
        </w:rPr>
        <w:t xml:space="preserve">و رميها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المحقّق الخوانساري</w:t>
      </w:r>
      <w:r>
        <w:rPr>
          <w:rStyle w:val="FootnoteAnchor"/>
          <w:rtl w:val="true"/>
        </w:rPr>
        <w:footnoteReference w:id="160"/>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اشتمال سندها </w:t>
      </w:r>
    </w:p>
    <w:p>
      <w:pPr>
        <w:pStyle w:val="BookText"/>
        <w:rPr/>
      </w:pPr>
      <w:r>
        <w:rPr>
          <w:rFonts w:ascii="Amiri" w:hAnsi="Amiri" w:eastAsia="Amiri" w:cs="Amiri"/>
          <w:color w:val="111111"/>
          <w:sz w:val="28"/>
          <w:sz w:val="28"/>
          <w:szCs w:val="28"/>
          <w:rtl w:val="true"/>
          <w:lang w:bidi="ar-SA"/>
        </w:rPr>
        <w:t>على محمّد بن سنان ممّا لا وجه له؛ فإنّ هذا الرجل و إن كان ممّن ضعّفه النجاشي</w:t>
      </w:r>
      <w:r>
        <w:rPr>
          <w:rStyle w:val="FootnoteAnchor"/>
          <w:rtl w:val="true"/>
        </w:rPr>
        <w:footnoteReference w:id="161"/>
      </w:r>
      <w:r>
        <w:rPr>
          <w:rFonts w:ascii="IRNazanin" w:hAnsi="IRNazanin" w:eastAsia="IRNazanin"/>
          <w:color w:val="111111"/>
          <w:sz w:val="28"/>
          <w:sz w:val="28"/>
          <w:szCs w:val="28"/>
          <w:rtl w:val="true"/>
          <w:lang w:bidi="fa-IR"/>
        </w:rPr>
        <w:t>و الفضل بن شاذان</w:t>
      </w:r>
      <w:r>
        <w:rPr>
          <w:rStyle w:val="FootnoteAnchor"/>
          <w:rtl w:val="true"/>
        </w:rPr>
        <w:footnoteReference w:id="162"/>
      </w:r>
      <w:r>
        <w:rPr>
          <w:rFonts w:ascii="Amiri" w:hAnsi="Amiri" w:eastAsia="Amiri" w:cs="Amiri"/>
          <w:color w:val="111111"/>
          <w:sz w:val="28"/>
          <w:sz w:val="28"/>
          <w:szCs w:val="28"/>
          <w:rtl w:val="true"/>
          <w:lang w:bidi="ar-SA"/>
        </w:rPr>
        <w:t>و غيره</w:t>
      </w:r>
      <w:r>
        <w:rPr>
          <w:rStyle w:val="FootnoteAnchor"/>
          <w:rtl w:val="true"/>
        </w:rPr>
        <w:footnoteReference w:id="163"/>
      </w:r>
      <w:r>
        <w:rPr>
          <w:rFonts w:ascii="Amiri" w:hAnsi="Amiri" w:eastAsia="Amiri" w:cs="Amiri"/>
          <w:color w:val="111111"/>
          <w:sz w:val="28"/>
          <w:sz w:val="28"/>
          <w:szCs w:val="28"/>
          <w:rtl w:val="true"/>
          <w:lang w:bidi="ar-SA"/>
        </w:rPr>
        <w:t>، غير أنّ الّذي يظهر بملاحظة القرائن الخارجيّة المقرّرة في محالّها وثاقته، و كونه من الأجلاّء الفضلاء، هذا مع ما يأتي من روايات اخر مطلقة تشمل بإطلاقها تغيّر اللون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بملاحظة أكثر ما ذكر يعرف الحكم في تغيّر الطعم و الرائحة أيضا، مضافا إلى روايات اخر كثيرة 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و الاستبصار من الصحيح عن أبي خالد القمّاط،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يمرّ به الرجل و هو نقيع و فيه الميتة و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الميتة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الماء قد تغيّر ريحه و طعمه فلا تشرب و لا تتوضّأ، و إن لم يتغيّر ريحه و طعمه فاشرب و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نسخ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ريحه أو طعمه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أيضا من الصحيح عن حريز بن عبد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كلّما غلب الماء على ريح الجيفة فتوضّأ من الماء و اشرب، فإذا تغيّر الماء أو تغيّر الطعم فلا توضّأ منه و لا تشرب</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 رواه في الكافي أيضا مرسلا عن حمّاد عمّن أخبره عن أبي عبد اللّه عليه السّلام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الظاهر أنّ مراده بمن أخبره هو حريز بن عبد اللّه بقرينة ما سبق، فإنّه هو الّذي روى عنه حمّاد بن عيسى على ما ذكر في الرجال</w:t>
      </w:r>
      <w:r>
        <w:rPr>
          <w:rStyle w:val="FootnoteAnchor"/>
          <w:rtl w:val="true"/>
        </w:rPr>
        <w:footnoteReference w:id="168"/>
      </w:r>
      <w:r>
        <w:rPr>
          <w:rFonts w:ascii="Amiri" w:hAnsi="Amiri" w:eastAsia="Amiri" w:cs="Amiri"/>
          <w:color w:val="111111"/>
          <w:sz w:val="28"/>
          <w:sz w:val="28"/>
          <w:szCs w:val="28"/>
          <w:rtl w:val="true"/>
          <w:lang w:bidi="ar-SA"/>
        </w:rPr>
        <w:t>، فيكون الرواية على طريق الكليني الحسن كالصحيح بإبراهيم بن هاشم، لأنّه يروي عن عليّ بن إبراهيم عن أبيه و محمّد بن إسماعيل عن الفضل بن شاذان جميعا عن حمّاد عمّن أخبره، و لو أخذنا من هذا السند بمحمّد بن إسماعيل كان صحيحا جدّا، لو صحّ ما ذكرنا من أنّ هذا الإرسال بمنزلة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أيضا من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أسئلة أن يسأل أبا الحسن الرضا عليه السّلام أتوضّأ؟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منه حتّى يذهب الريح و يطيب الطعم، لأنّ له مادّة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من الحسن كالصحيح بإبراهيم بن هاشم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أو لم يتفسّخ، إلاّ أن يجيء له ريح يغلب على ريح الماء</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 الظاهر أنّ المرويّ عنه هو أبو جعفر عليه السّلام لوقوع هذا الحديث في ذيل حديث رواه الشيخ في الاستبصار بطريق ضعيف بعليّ بن حديد، و قد رواه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راوية من ماء سقطت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إلخ</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أقوى ما يشهد بذلك أنّ هذا الحديث ما رواه في الكتاب المذكور بعينه عن الكليني مسندا إلى أبي جعفر عليه السّلام، و كان ما عندنا من النسخة فيه غلط من قلم الناسخ</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جالس عن غدير أتوه و فيه جيفة؟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قاهرا و لم يوجد </w:t>
      </w:r>
    </w:p>
    <w:p>
      <w:pPr>
        <w:pStyle w:val="BookText"/>
        <w:rPr/>
      </w:pPr>
      <w:r>
        <w:rPr>
          <w:rFonts w:ascii="Amiri" w:hAnsi="Amiri" w:eastAsia="Amiri" w:cs="Amiri"/>
          <w:color w:val="111111"/>
          <w:sz w:val="28"/>
          <w:sz w:val="28"/>
          <w:szCs w:val="28"/>
          <w:rtl w:val="true"/>
          <w:lang w:bidi="ar-SA"/>
        </w:rPr>
        <w:t>فيه الريح فتوضّأ</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الاستبصار من الصحيح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الثوب و لا تعاد الصلاة ممّا وقع في البئر إلاّ أن أنتن، فإن انتن غسل الثوب و أعاد الصلاة و نزحت البئر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من الصحيح أو الحسن بالحسين بن الحسن بن أبان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بالماء و فيه دابّة ميتة قد أنتنت؟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النتن الغالب على الماء فلا يتوضّأ و لا يشرب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الاستبصار في القويّ أو الصحيح بياسين بن ضرير عن حريز بن عبد اللّه عن أبي بصير عن أبي عبد اللّه عليه السّلام أنّه سئل عن الماء النقيع تبول فيه الدوابّ؟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تغيّر فلا تتوضّأ منه، و إن لم تغيّره أبوالها فتوضّأ منه، و كذلك الدم إذا سال في الماء و أشباهه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حكم اللون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الصحيح عن محمّد بن إسماعيل بن بزيع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شيء إلاّ أن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 مثله ما في التهذيب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الاستبصار في الحسن عن محمّد بن القاسم عن أبي الحسن عليه السّلام في البئر يكون بينها و بين الكنيف خمسة و أقلّ و 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يكره من قرب و لا بعد يتوضّأ منها و يغتسل ما 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مختلف العلاّمة مرسلا في جملة احتجاجات ابن أبي عقيل أيضا،</w:t>
      </w:r>
    </w:p>
    <w:p>
      <w:pPr>
        <w:pStyle w:val="BookText"/>
        <w:rPr/>
      </w:pPr>
      <w:r>
        <w:rPr>
          <w:rFonts w:ascii="Amiri" w:hAnsi="Amiri" w:eastAsia="Amiri" w:cs="Amiri"/>
          <w:color w:val="111111"/>
          <w:sz w:val="28"/>
          <w:sz w:val="28"/>
          <w:szCs w:val="28"/>
          <w:rtl w:val="true"/>
          <w:lang w:bidi="ar-SA"/>
        </w:rPr>
        <w:t>سئل عن الماء النقيع و الغدير و أشباههما فيه الجيف و القذر و ولوغ الكلب، و يشرب منه الدوابّ و تبول فيه أ يتوضّأ منه؟ فقال لسائله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فيه من النجاسة غالبا على الماء فلا تتوضّأ منه، و إن كان الماء غالبا على النجاسة فتوضّأ منه، و اغتسل</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يتّضح طريق الاستدلال بالأخبار المذكورة بعد حمل مطلقاتها على مقيّداتها، و حمل ما ذكر فيه من الأوصاف واحدا أو اثنين على إرادة المثال، أو على أنّه الوصف الغالب ممّا يحصل فيه التغيّر فلا تنافي بينها أصلا، فالمسألة بحمد اللّه سبحانه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 أمران 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يشكل أن يستنبط من تلك الروايات أنّ تغيّر الطعم وحده موجب للنجاسة؛ لأنّ في بعض نسخ التهذيب في صحيحة أبي خالد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تغيّر ريحه أو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النسخة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يؤيّدها آخر الحديث، و التعويل أيضا على الإجماع</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 هو كما ترى أضعف شيء يذكر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انحصار روايات الباب في الصحيحة المذكورة، لما عرفت من أنّ فيها ما اشتمل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اختلاف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ترد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فلتحمل عليها كي 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العكس يأباه اختلاف الروايات في التضمّن على الصفات المذكورة وحدانيّة و ثنائيّة و ثلاثيّة، فإنّ كثيرا منها ما تضمّن واحدا منها، و كلّ ذلك شاهد عدل بأنّ كلاّ من الصفات مستقلّ بانفراده في السببيّة، فيكون ذلك قرينة على ما ذكرناه من التجوّز دون العكس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يوجد في الروايات ما يعارض روايات الباب في الدلالة على كون التغيّر بالنجاسة مقتضيا لنجاسة الماء، كما في الكافي مرسلا عن رجل عن أبي عبد اللّه عليه السّلام </w:t>
      </w:r>
      <w:bookmarkStart w:id="66" w:name="pg16144_233002"/>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الّذي فيه التغيّر و أرى فيه آثار القذر فتقطر القطرات عليّ، و ينتضح عليّ منه، و البيت يتوضّأ على سطحه، فكيف على ثيابنا؟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w:t>
      </w:r>
      <w:r>
        <w:rPr>
          <w:rStyle w:val="FootnoteAnchor"/>
          <w:rtl w:val="true"/>
        </w:rPr>
        <w:footnoteReference w:id="182"/>
      </w:r>
      <w:r>
        <w:rPr>
          <w:rFonts w:ascii="Amiri" w:hAnsi="Amiri" w:eastAsia="Amiri" w:cs="Amiri"/>
          <w:color w:val="111111"/>
          <w:sz w:val="28"/>
          <w:sz w:val="28"/>
          <w:szCs w:val="28"/>
          <w:rtl w:val="true"/>
          <w:lang w:bidi="ar-SA"/>
        </w:rPr>
        <w:t>بأس، لا تغسله، 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أيضا كما ترى كلام ظاهريّ، فإنّ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مرسلة غير صالحة للمعارضة للروايات الكثيرة القريبة من التواتر، بل المتواترة في الحقيقة، الّتي منها ما هو الصحيح و منها ما هو في حكمه من حيث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على ما ينافي مفاد روايات الباب، بل هي عند التحقيق واردة لإعطاء قاعدة كلّيّة مجمع عليها، مدلول عليها بالأخبار الكثيرة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 محصّل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يرشد إليه سياق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لمّا وجد التغيّر في الماء المفروض و مع ذلك وجد فيه القذر أيضا، و لكن لم يتبيّن عنده أنّ هذا التغيّر مستند إلى القذر المفروض، فسأل الإمام عليه السّلام استعلاما، لأنّ وجود القذر مع الماء المتغيّر هل يصلح أمارة على استناد التغيّر إليه أو لا؟ فأجابه الإمام عليه السّلام بما يرجع إلى منع صلوحه لذلك، فنهاه عن غسل الثياب تنبيها على أنّ مدار النجاسة في الشريعة على العلم، و أنت غير عالم بالاستناد فغير عالم بالنجاسة،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آخر تعرّض له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يتوضّأ على سطحه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غرضه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الّتي تتحقّق مع التوضّي على سطح البيت فيه هل تؤثّر في نجاسة ثيابنا بالقطرات الواقعة منه عليها بواسطة ماء المطر؟ فأجاب عنه الإمام عليه السّلام بالعدم تعليلا بما أفاده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804386_1280447820"/>
      <w:bookmarkStart w:id="68" w:name="_Toc24"/>
      <w:bookmarkEnd w:id="67"/>
      <w:r>
        <w:rPr>
          <w:rtl w:val="true"/>
        </w:rPr>
        <w:t>المطلب الثاني</w:t>
      </w:r>
      <w:r>
        <w:rPr>
          <w:rtl w:val="true"/>
        </w:rPr>
        <w:t xml:space="preserve">: </w:t>
      </w:r>
      <w:r>
        <w:rPr>
          <w:rtl w:val="true"/>
        </w:rPr>
        <w:t>في نبذة من الفروع المتعلّقة بالباب</w:t>
      </w:r>
      <w:bookmarkEnd w:id="68"/>
    </w:p>
    <w:p>
      <w:pPr>
        <w:pStyle w:val="Heading5"/>
        <w:numPr>
          <w:ilvl w:val="4"/>
          <w:numId w:val="1"/>
        </w:numPr>
        <w:rPr/>
      </w:pPr>
      <w:bookmarkStart w:id="69" w:name="__RefHeading___Toc1804388_128044782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 w:name="__RefHeading___Toc1804390_1280447820"/>
      <w:bookmarkStart w:id="72" w:name="_Toc26"/>
      <w:bookmarkEnd w:id="71"/>
      <w:r>
        <w:rPr>
          <w:rtl w:val="true"/>
        </w:rPr>
        <w:t>أحدها</w:t>
      </w:r>
      <w:r>
        <w:rPr>
          <w:rtl w:val="true"/>
        </w:rPr>
        <w:t xml:space="preserve">: </w:t>
      </w:r>
      <w:r>
        <w:rPr>
          <w:rtl w:val="true"/>
        </w:rPr>
        <w:t>كلّ واحد من الصفات الثلاث القائمة بالنجاسة قد يكون في اقتضاء تغيّر صفة الماء علّة تامّة، و قد يكون جزء للعلّة</w:t>
      </w:r>
      <w:bookmarkEnd w:id="72"/>
    </w:p>
    <w:p>
      <w:pPr>
        <w:pStyle w:val="BookText"/>
        <w:rPr/>
      </w:pPr>
      <w:r>
        <w:rPr>
          <w:rFonts w:ascii="Amiri" w:hAnsi="Amiri" w:eastAsia="Amiri" w:cs="Amiri"/>
          <w:color w:val="111111"/>
          <w:sz w:val="28"/>
          <w:sz w:val="28"/>
          <w:szCs w:val="28"/>
          <w:rtl w:val="true"/>
          <w:lang w:bidi="ar-SA"/>
        </w:rPr>
        <w:t xml:space="preserve">صفة الماء علّة تامّة، و قد يكون جزء للعلّة، بحيث لو لا انضمام مغيّر خارجي إليه من عمل شمس أو حرارة هواء أو تصرّف غيرها ممّا يتكوّن في الماء من الديدان و نحوها لا يكون صالحا للتأثير، بل يكون التأثير قائما بالمجموع منها على الشركة من دون كفاية كلّ بانفراده في التأثير، ففي كونه كافيا في توجّه الحكم بنجاسة الماء مطلقا، أو عدمه كذلك، أو إناطة الأمر بما يساعد عليه نظر العرف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يسند إلى النجاسة</w:t>
      </w:r>
      <w:r>
        <w:rPr>
          <w:rStyle w:val="FootnoteAnchor"/>
          <w:rtl w:val="true"/>
        </w:rPr>
        <w:footnoteReference w:id="185"/>
      </w:r>
      <w:r>
        <w:rPr>
          <w:rFonts w:ascii="IRNazanin" w:hAnsi="IRNazanin" w:eastAsia="IRNazanin"/>
          <w:color w:val="111111"/>
          <w:sz w:val="28"/>
          <w:sz w:val="28"/>
          <w:szCs w:val="28"/>
          <w:rtl w:val="true"/>
          <w:lang w:bidi="fa-IR"/>
        </w:rPr>
        <w:t>أو وصفها و عدمه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الحكم المخرج في الشرع على خلاف الأصل يجب فيه الاقتصار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إسناد التغيير إلى النجاسة أو وصفها الوارد في روايات الباب ليس على حقيقته، بل هو وارد من باب التسبيب، و ظاهر أنّ هذا الإسناد كما أنّه يصدق عرفا فيما لو اعتبر إلى السبب التامّ كذلك يصدق فيما لو اعتبر إلى جزء السبب كما يفصح عنه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المتّفق على كونه من باب المجاز في الإسناد بالقياس إلى السبب، و الربيع ليس إلاّ أحد أجزاء العلّة، فيكون ما ورد في الروايات شاملا لما يتحقّق مع النجاسة في صورة ما لو كانت سببا تامّا، و ما يتحقّق معها في صورة ما لو كانت جزء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اللفظ الوارد في خطاب الشرع ينزّل على ما يساعد عليه العرف، فإن صحّ عرفا في صورة جزئيّة النجاسة القول بأنّ هذا ما غيّرته النجاسة يتبعه الحكم بالنجاسة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وجوده و عدمه يتبع العنوان الوارد في الأخبار، المعلّق عليه ذلك الحكم، و أنت بملاحظة الأخبار المتقدّمة تعرف أنّ ما أخذ فيها عنوانا لذلك الحكم شيئان، هما عند التحقيق متلازمان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وصف النجاسة على وصف الماء، من ريح أو لون أو طعم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النجاسة أو وصفها المذكور لوصف الماء</w:t>
      </w:r>
      <w:r>
        <w:rPr>
          <w:rFonts w:eastAsia="Amiri" w:cs="Amiri" w:ascii="Amiri" w:hAnsi="Amiri"/>
          <w:color w:val="111111"/>
          <w:sz w:val="28"/>
          <w:szCs w:val="28"/>
          <w:rtl w:val="true"/>
          <w:lang w:bidi="ar-SA"/>
        </w:rPr>
        <w:t xml:space="preserve">. </w:t>
      </w:r>
      <w:bookmarkStart w:id="73" w:name="pg16144_233004"/>
    </w:p>
    <w:p>
      <w:pPr>
        <w:pStyle w:val="BookText"/>
        <w:rPr/>
      </w:pPr>
      <w:bookmarkEnd w:id="73"/>
      <w:r>
        <w:rPr>
          <w:rFonts w:ascii="Amiri" w:hAnsi="Amiri" w:eastAsia="Amiri" w:cs="Amiri"/>
          <w:color w:val="111111"/>
          <w:sz w:val="28"/>
          <w:sz w:val="28"/>
          <w:szCs w:val="28"/>
          <w:rtl w:val="true"/>
          <w:lang w:bidi="ar-SA"/>
        </w:rPr>
        <w:t>و لا ريب أنّ العنوان الأوّل غير متحقّق مع الفرض، لوضوح عدم غلبة لوصف النجاسة في فرض الجزئيّة على وصف الماء، و أمّا ثاني العنوانين فهو و إن كان في نظر العقل ممّا لا مانع من إجرائه في مفروض الكلام غير أنّ العرف يأبى عنه؛ ضرورة أنّ التغيير الوارد في الأخبار بأيّ صيغة كانت لو عرضناه على العرف كان ظاهرا في تمام السببيّة، بحيث لا يكاد الذهن ينصرف إلى صورة الجزئيّة، و لو كان ذلك باعتبار تركيب الكلام المتضمّن لهذا اللفظ، فلاحظ و تأمّل كي يتّضح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اختصاص الحكم بالنجاسة بما لو كان النجاسة أو وصفها علّة تامّة لتغيّر وصف الماء، فيلحق المفروض بالأصل الأوّلي المقتضي للطهارة، مضافا إلى اصول اخر جارية في المقام هذا، و لكنّ الاحتياط ممّا لا ينبغي تركه خصوصا في مشروط بالمائيّة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804392_1280447820"/>
      <w:bookmarkStart w:id="75" w:name="_Toc27"/>
      <w:bookmarkEnd w:id="74"/>
      <w:r>
        <w:rPr>
          <w:rtl w:val="true"/>
        </w:rPr>
        <w:t>و ثانيها</w:t>
      </w:r>
      <w:r>
        <w:rPr>
          <w:rtl w:val="true"/>
        </w:rPr>
        <w:t xml:space="preserve">: </w:t>
      </w:r>
      <w:r>
        <w:rPr>
          <w:rtl w:val="true"/>
        </w:rPr>
        <w:t xml:space="preserve">إذا تغيّر الماء بالنجاسة لا عن وصف النجاسة </w:t>
      </w:r>
      <w:r>
        <w:rPr>
          <w:rtl w:val="true"/>
        </w:rPr>
        <w:t xml:space="preserve">- </w:t>
      </w:r>
      <w:r>
        <w:rPr>
          <w:rtl w:val="true"/>
        </w:rPr>
        <w:t>على معنى تغيّره في وصف مغاير لوصف النجاسة جنسا أو نوعا،</w:t>
      </w:r>
      <w:bookmarkEnd w:id="75"/>
    </w:p>
    <w:p>
      <w:pPr>
        <w:pStyle w:val="BookText"/>
        <w:rPr/>
      </w:pPr>
      <w:r>
        <w:rPr>
          <w:rFonts w:ascii="Amiri" w:hAnsi="Amiri" w:eastAsia="Amiri" w:cs="Amiri"/>
          <w:color w:val="111111"/>
          <w:sz w:val="28"/>
          <w:sz w:val="28"/>
          <w:szCs w:val="28"/>
          <w:rtl w:val="true"/>
          <w:lang w:bidi="ar-SA"/>
        </w:rPr>
        <w:t xml:space="preserve">كتغيّر لونه بذي الطعم أو الرائحة، أو طعمه بذي اللون أو الرائحة، أو رائحته بذي الطعم أو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يقتضي ذلك نجاسة الماء كما يقتضيها لو حصل في الوصف الموافق أو لا؟</w:t>
      </w:r>
    </w:p>
    <w:p>
      <w:pPr>
        <w:pStyle w:val="BookText"/>
        <w:rPr/>
      </w:pPr>
      <w:r>
        <w:rPr>
          <w:rFonts w:ascii="Amiri" w:hAnsi="Amiri" w:eastAsia="Amiri" w:cs="Amiri"/>
          <w:color w:val="111111"/>
          <w:sz w:val="28"/>
          <w:sz w:val="28"/>
          <w:szCs w:val="28"/>
          <w:rtl w:val="true"/>
          <w:lang w:bidi="ar-SA"/>
        </w:rPr>
        <w:t>و الأوّل أولى، عملا بإطلاق الإجماعات و فتاوي الأصحاب، و إطلاق جملة كثيرة من روايات الباب، و خصوص المرسلة الواردة في مختلف العلاّمة المتضمّنة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رائحته على طعم الماء أو لونه فأرقه</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و صحيحة هشام بن عبد ربّه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نظرا إلى أنّ ظاهر السياق بقرينة ما سبق كون السؤال عن الجيفة الّتي تكون وصفها الغالب هو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المعلوم من طريقة الشارع كون مناط الحكم هو التغيّر المستند إلى النجاسة بأيّ نحو اتّفق، و لا ينافي شيئا من ذلك ما في رواية العلاء بن الفضيل من 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لعدم ابتناء روايات الباب على الضبط </w:t>
      </w:r>
      <w:bookmarkStart w:id="76" w:name="pg16144_233005"/>
    </w:p>
    <w:p>
      <w:pPr>
        <w:pStyle w:val="BookText"/>
        <w:rPr/>
      </w:pPr>
      <w:bookmarkEnd w:id="76"/>
      <w:r>
        <w:rPr>
          <w:rFonts w:ascii="Amiri" w:hAnsi="Amiri" w:eastAsia="Amiri" w:cs="Amiri"/>
          <w:color w:val="111111"/>
          <w:sz w:val="28"/>
          <w:sz w:val="28"/>
          <w:szCs w:val="28"/>
          <w:rtl w:val="true"/>
          <w:lang w:bidi="ar-SA"/>
        </w:rPr>
        <w:t>و الحصر، كما يفصح عنه اختلافها زيادة و نقيصة في الاشتمال على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المعتبر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 ينجّس باستيلاء النجاسة عليه، و نريد باستيلاء النجاسة غلبة ريحها على ريح الماء و طعمها على طعمه و لونها على لونه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ليس بسديد إن أراد به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عن شيخنا في الجواهر</w:t>
      </w:r>
      <w:r>
        <w:rPr>
          <w:rStyle w:val="FootnoteAnchor"/>
          <w:rtl w:val="true"/>
        </w:rPr>
        <w:footnoteReference w:id="19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الاحتمالين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الاحتمال الثاني استنادا إلى استصحاب الطهارة، مع الاقتصار فيما خالف الأصل على القدر المتيقّن، فإنّه كما ترى اجتهاد في مقابلة النصّ، و اتّكال بالأصل في موضع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قوّيناه لو وقع في الماء نجاسات متعدّدة مختلفة اللون فحصل له من جهتها لون آخر غير موافق للون شيء منها كان نجسا، و لا يقدح فيه مخالفة لونه لألوانها بحسب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بما عرفت من التحقيق تعرف أنّه لو وقع فيه نجاسة لا وصف لها من حيث الجهات الثلاث المعهودة، فامتزجت معه و أورثت فيه بمقتضى اختلاط مزاجيهما تغيّرا في إحدى من جهاته الثلاث كان نجسا، بل قضيّة بعض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مورد أكثر روايات الباب إنّما هو الميتة أو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ما لو كان الوصف الغالب من النجاسة على وصف الماء من لوازم طبعها و مقتضيات ماهيّتها كحمرة الدم و نحوها، أو من الطوارئ اللاحقة بها بعد انقضاء مدّة مثلا، كنتن الجيفة الّتي أصلها الميتة، و هي ما لم ينقض عنها زمان اقتضى فيها الفساد ممّا ليس لها وصف مغيّر</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804394_1280447820"/>
      <w:bookmarkStart w:id="78" w:name="_Toc28"/>
      <w:bookmarkEnd w:id="77"/>
      <w:r>
        <w:rPr>
          <w:rtl w:val="true"/>
        </w:rPr>
        <w:t>و ثالثها</w:t>
      </w:r>
      <w:r>
        <w:rPr>
          <w:rtl w:val="true"/>
        </w:rPr>
        <w:t xml:space="preserve">: </w:t>
      </w:r>
      <w:r>
        <w:rPr>
          <w:rtl w:val="true"/>
        </w:rPr>
        <w:t>لو وقع في الماء ما يغيّره و كان مردّدا بين الطاهر و النجس لا يخرج الماء عن طهارته الأصليّة،</w:t>
      </w:r>
      <w:bookmarkEnd w:id="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السليم عن المعارض، مع استصحاب الطهارة، كما أنّه كذلك لو ظنّ بكونه نجسا، ما لم يقم على اعتبار هذا الظنّ دليل بالخصوص، و لو وقع فيه من النجس ما يصلح للتغيير فاستعقب تغيّرا في الماء مع عدم العلم باستناده إليه كان باقيا على طهارته، كما أنّه لو وقع فيه ما شكّ في كونه صالحا للتغيير فتعقّبه التغيّر مع </w:t>
      </w:r>
    </w:p>
    <w:p>
      <w:pPr>
        <w:pStyle w:val="BookText"/>
        <w:rPr/>
      </w:pPr>
      <w:r>
        <w:rPr>
          <w:rFonts w:ascii="Amiri" w:hAnsi="Amiri" w:eastAsia="Amiri" w:cs="Amiri"/>
          <w:color w:val="111111"/>
          <w:sz w:val="28"/>
          <w:sz w:val="28"/>
          <w:szCs w:val="28"/>
          <w:rtl w:val="true"/>
          <w:lang w:bidi="ar-SA"/>
        </w:rPr>
        <w:t>احتمال استناده إلى غيره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وقع فيه طاهر و نجس و تعقّبهما التغيّر مع الشكّ في استناده إلى الطاهر أو النجس، نعم لو علم باستناده إلى أحدهما معيّنا يلحقه حكمه من طهارة أو نجاسة، و أمّا لو علم باستناده إليهما معا على نحو الشركة فهو من جزئيّات الفرع الأوّل و قد 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 بعض الزائد على الكرّ فإن كان الباقي كرّا اختصّ النجاسة بالمتغيّر، بخلاف ما لو كان الباقي دون الكرّ فإنّه ينجّس الجميع، أمّا البعض المتغيّر فللتغيّر، و أمّا الباقي فبالملاقاة، و أمّا لو شكّ في كرّيّة الباقي كان محكوما عليه بالطهارة للأصل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يسند إلى بعض الشافعيّة</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بنجاسة الجميع و إن كثر و تباعدت أقطاره، لأنّ المتغيّر نجس فينجّس ما يلاقيه ثمّ ينجّس ملاقي ملاقيه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لأنّ ملاقي النجس إذا كان كثيرا لا ينجّس بالملاقاة إجماعا كما 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 الماء بالنجاسة في غير الصفات الثلاثة، من الحرارة و البرودة أو الخفّة و الغلظة أو الصفاء و الكدورة أو التأثير و الخاصّيّة لم ينجّس قولا واحدا فتوى و عملا؛ لاختصاص أدلّة التنجيس بغير تلك الصفات من الصفات الثلاثة، و لا ينافيه ما فيها من المطلقات بعد إعمال قاعدة حمل المطلق على المقيّد، الّذي هو عبارة عن الحصر المستفاد من ملاحظة مجموع الروايات، حيث لم يقع فيها إشارة إلى اعتبار التغيّر فيما عدا الأوصاف الثلاث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 بالمجاورة و مرور رائحة النجاسة القريبة منه إليه من دون ملاقاتها له لم ينجّس أيضا، و في الحدائق قولا واحدا</w:t>
      </w:r>
      <w:r>
        <w:rPr>
          <w:rStyle w:val="FootnoteAnchor"/>
          <w:rtl w:val="true"/>
        </w:rPr>
        <w:footnoteReference w:id="192"/>
      </w:r>
      <w:r>
        <w:rPr>
          <w:rFonts w:ascii="Amiri" w:hAnsi="Amiri" w:eastAsia="Amiri" w:cs="Amiri"/>
          <w:color w:val="111111"/>
          <w:sz w:val="28"/>
          <w:sz w:val="28"/>
          <w:szCs w:val="28"/>
          <w:rtl w:val="true"/>
          <w:lang w:bidi="ar-SA"/>
        </w:rPr>
        <w:t>لأنّ الرائحة ليست بنجاسة فلا تؤثّر تنجيسا، و هو كما ترى في غاية الجودة، و إن كان لا يخلو عن ضرب من القصور في التأدية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أكثر روايات الباب معلّق على أعيان النجاسات من الدم و البول و الجيفة على فرض وقوعها في الماء و كونها بأعيانها فيه، و لا ريب أنّ اللون في مفروض المسألة ليس بعين نجسة، كما أنّ العين فيها ليست بواقعة في الماء، و معه </w:t>
      </w:r>
    </w:p>
    <w:p>
      <w:pPr>
        <w:pStyle w:val="BookText"/>
        <w:rPr/>
      </w:pPr>
      <w:r>
        <w:rPr>
          <w:rFonts w:ascii="Amiri" w:hAnsi="Amiri" w:eastAsia="Amiri" w:cs="Amiri"/>
          <w:color w:val="111111"/>
          <w:sz w:val="28"/>
          <w:sz w:val="28"/>
          <w:szCs w:val="28"/>
          <w:rtl w:val="true"/>
          <w:lang w:bidi="ar-SA"/>
        </w:rPr>
        <w:t>لا داعي إلى الحكم بالنجاسة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 الروايات ما يوهم في ابتداء النظر عدم الفرق بين ما لو كان التغيّر عن عين النجاسة أو عن مجاورتها و مرور رائحتها، كالنبوي المتقدّم</w:t>
      </w:r>
      <w:r>
        <w:rPr>
          <w:rStyle w:val="FootnoteAnchor"/>
          <w:rtl w:val="true"/>
        </w:rPr>
        <w:footnoteReference w:id="193"/>
      </w:r>
      <w:r>
        <w:rPr>
          <w:rFonts w:ascii="Amiri" w:hAnsi="Amiri" w:eastAsia="Amiri" w:cs="Amiri"/>
          <w:color w:val="111111"/>
          <w:sz w:val="28"/>
          <w:sz w:val="28"/>
          <w:szCs w:val="28"/>
          <w:rtl w:val="true"/>
          <w:lang w:bidi="ar-SA"/>
        </w:rPr>
        <w:t>، و الأولى من روايتي دعائم الإسلام</w:t>
      </w:r>
      <w:r>
        <w:rPr>
          <w:rStyle w:val="FootnoteAnchor"/>
          <w:rtl w:val="true"/>
        </w:rPr>
        <w:footnoteReference w:id="194"/>
      </w:r>
      <w:r>
        <w:rPr>
          <w:rFonts w:ascii="Amiri" w:hAnsi="Amiri" w:eastAsia="Amiri" w:cs="Amiri"/>
          <w:color w:val="111111"/>
          <w:sz w:val="28"/>
          <w:sz w:val="28"/>
          <w:szCs w:val="28"/>
          <w:rtl w:val="true"/>
          <w:lang w:bidi="ar-SA"/>
        </w:rPr>
        <w:t>، و رواية الشهاب</w:t>
      </w:r>
      <w:r>
        <w:rPr>
          <w:rStyle w:val="FootnoteAnchor"/>
          <w:rtl w:val="true"/>
        </w:rPr>
        <w:footnoteReference w:id="195"/>
      </w:r>
      <w:r>
        <w:rPr>
          <w:rFonts w:ascii="Amiri" w:hAnsi="Amiri" w:eastAsia="Amiri" w:cs="Amiri"/>
          <w:color w:val="111111"/>
          <w:sz w:val="28"/>
          <w:sz w:val="28"/>
          <w:szCs w:val="28"/>
          <w:rtl w:val="true"/>
          <w:lang w:bidi="ar-SA"/>
        </w:rPr>
        <w:t>بما في ذيلها، و رواية حريز</w:t>
      </w:r>
      <w:r>
        <w:rPr>
          <w:rStyle w:val="FootnoteAnchor"/>
          <w:rtl w:val="true"/>
        </w:rPr>
        <w:footnoteReference w:id="196"/>
      </w:r>
      <w:r>
        <w:rPr>
          <w:rFonts w:ascii="Amiri" w:hAnsi="Amiri" w:eastAsia="Amiri" w:cs="Amiri"/>
          <w:color w:val="111111"/>
          <w:sz w:val="28"/>
          <w:sz w:val="28"/>
          <w:szCs w:val="28"/>
          <w:rtl w:val="true"/>
          <w:lang w:bidi="ar-SA"/>
        </w:rPr>
        <w:t>، و روايتي محمّد بن إسماعيل</w:t>
      </w:r>
      <w:r>
        <w:rPr>
          <w:rStyle w:val="FootnoteAnchor"/>
          <w:rtl w:val="true"/>
        </w:rPr>
        <w:footnoteReference w:id="197"/>
      </w:r>
      <w:r>
        <w:rPr>
          <w:rFonts w:ascii="Amiri" w:hAnsi="Amiri" w:eastAsia="Amiri" w:cs="Amiri"/>
          <w:color w:val="111111"/>
          <w:sz w:val="28"/>
          <w:sz w:val="28"/>
          <w:szCs w:val="28"/>
          <w:rtl w:val="true"/>
          <w:lang w:bidi="ar-SA"/>
        </w:rPr>
        <w:t>الواردتين في البئر، و لكن ليس شيء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 فللقدح في سنده أوّلا، و دلالته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كونه عامّيّا مرسلا و إن ادّعي كونه متواترا، و لا جابر له في خصوص المقام لما عرفت من ذهاب الأصحاب إلى خلاف ما اقتضاه إطلاقه أو عمومه، بل و لو فرضنا سنده صحيحا لسقط عن الاعتبار في خصوص هذا الحكم، بملاحظة إعراض الأصحاب عنه من هذه الجهة و عدم الاعتناء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عموم أو إطلاق في الرواية بحيث يشمل المبحوث عنه 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 ما يصدق عليه الشيء في الخارج كائنا ما كان، و إن كان عامّا من جهة وقوعه في سياق النفي، بل يراد به بملاحظة تركيب الكلام و تضمّنه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الأفراد ممّا كان من سنخ المتنجّس، كما أنّه لو قال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أكلت اليوم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يتناول ذلك العامّ ما ليس من أفراد المأكول أصلا، بل هو عامّ في خصوص أفراد المأكول، فيكون حاصل تقدير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ينجّسه شيء من المنجّسات،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استثناء عن الشيء بهذا المعنى،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متنجّس غيّر لونه الخ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أنّه بهذا المعنى لا يتناول نظائر المقام و لو فرضناه عامّا، بناء على القول بكون الموصولات من العمومات؛ إذ العامّ إنّما يشمل أفراده بعد الفراغ عن إحراز فرديّتها له، و كون مرور الرائحة إلى الماء من النجاسة و تغيّره بالمجاورة منجّسا له ممّا </w:t>
      </w:r>
    </w:p>
    <w:p>
      <w:pPr>
        <w:pStyle w:val="BookText"/>
        <w:rPr/>
      </w:pPr>
      <w:r>
        <w:rPr>
          <w:rFonts w:ascii="Amiri" w:hAnsi="Amiri" w:eastAsia="Amiri" w:cs="Amiri"/>
          <w:color w:val="111111"/>
          <w:sz w:val="28"/>
          <w:sz w:val="28"/>
          <w:szCs w:val="28"/>
          <w:rtl w:val="true"/>
          <w:lang w:bidi="ar-SA"/>
        </w:rPr>
        <w:t>لم يكن محرزا؛ لعدم قيام دليل من الشرع على أنّه أيضا يوجب نجاسة الماء فيكون مشكوكا في فرديّته، و معه لا يعقل العموم 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دعائم الإسلام فللقدح فيها أيضا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ينجّسه شيء ما لم يتغيّر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الامور المذكورة أوّلا من الجيف و العذرة و الدم، فيكون التغيّر ظاهرا فيما يستند إليها، و هو ظاهر فيما يستند إلى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يصلح مخصّصا للوارد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المذكور ليس من باب التخصيص بل هو عند التحقيق أخذ بما هو من مقتضى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طرأه العموم المصطلح ليس على حدّ غيره من ألفاظ العموم الّتي لمدلولها أفراد مضبوطة معيّنة لا يتجاوزها الألفاظ إلاّ بالتخصيص، بل هو في إفادته العموم و كمّيّة ما يعمّه يتبع المقام، و يأخذ من الأفراد ما يناسبه و يساعد عليه سياق الكلام،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ينصرف عرفا إلى ما سبقه من النجاسات المذكورة، فيكون عامّا في أفرادها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أنّ المراد بالماء الراكد بقرينة ما سبق الماء الراكد الّذي فيه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لكان إضمار السؤال عن أحدهما مغنيا عنه في الآخر لكون كلّ من الغدير و الراكد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موضوعان متغايران و إن كان الثاني أعمّ من الأوّل، فإنّ الغدير هو الماء الّذي تغادره السيول أي تخلّفه، و الراكد هو الماء الساكن الغير الجاري، فلعلّ السائل قد أضمر السؤال عن كليهما لتوهّمه الفرق بينهما في الحكم باعتبار خصوصيّة من الخصوصيّات، لعلمه بأنّ مبنى الشرع على الجمع بين المختلفات و التفريق بين المتّفقات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غلبة وصفه على الجيفة الواقعة فيه الملاصقة له، لا مطلقا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الروايتين إنّما هو الإفساد الشرعي المانع عن استعمال الماء في مشروط بالطهارة و هو التنجيس، فيرجع مفاده إلى ما قرّرناه في </w:t>
      </w:r>
    </w:p>
    <w:p>
      <w:pPr>
        <w:pStyle w:val="BookText"/>
        <w:rPr/>
      </w:pPr>
      <w:r>
        <w:rPr>
          <w:rFonts w:ascii="Amiri" w:hAnsi="Amiri" w:eastAsia="Amiri" w:cs="Amiri"/>
          <w:color w:val="111111"/>
          <w:sz w:val="28"/>
          <w:sz w:val="28"/>
          <w:szCs w:val="28"/>
          <w:rtl w:val="true"/>
          <w:lang w:bidi="ar-SA"/>
        </w:rPr>
        <w:t>النبوي، فلا يتناول عمومه للمجاورة و نحوها لمكان الشكّ في كونها من المنجّسات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تغيّر الماء في أحد أوصافه الثلاثة المعروفة بالمتنجّس دون عين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النجس و ما 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قبوله النجاسة به و عدمه وجهان، بل قولان على ما قيل، فالمعظم إلى الثاني، و 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ظاهر الأكثر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 عن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جميع من عدا الشيخ</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 عن ظاهر الشيخ في المبسوط</w:t>
      </w:r>
      <w:r>
        <w:rPr>
          <w:rStyle w:val="FootnoteAnchor"/>
          <w:rtl w:val="true"/>
        </w:rPr>
        <w:footnoteReference w:id="201"/>
      </w:r>
      <w:r>
        <w:rPr>
          <w:rFonts w:ascii="Amiri" w:hAnsi="Amiri" w:eastAsia="Amiri" w:cs="Amiri"/>
          <w:color w:val="111111"/>
          <w:sz w:val="28"/>
          <w:sz w:val="28"/>
          <w:szCs w:val="28"/>
          <w:rtl w:val="true"/>
          <w:lang w:bidi="ar-SA"/>
        </w:rPr>
        <w:t>الأوّل، فلا فرق في نجاسة الماء بالتغيّر عنده بين ما لو كان التغيّر بعين النجس أو بالمتنجّس، و ربّما يعزى إلى ظاهر السيّد في الجمل</w:t>
      </w:r>
      <w:r>
        <w:rPr>
          <w:rStyle w:val="FootnoteAnchor"/>
          <w:rtl w:val="true"/>
        </w:rPr>
        <w:footnoteReference w:id="202"/>
      </w:r>
      <w:r>
        <w:rPr>
          <w:rFonts w:ascii="Amiri" w:hAnsi="Amiri" w:eastAsia="Amiri" w:cs="Amiri"/>
          <w:color w:val="111111"/>
          <w:sz w:val="28"/>
          <w:sz w:val="28"/>
          <w:szCs w:val="28"/>
          <w:rtl w:val="true"/>
          <w:lang w:bidi="ar-SA"/>
        </w:rPr>
        <w:t>أيضا بل عن المصابيح</w:t>
      </w:r>
      <w:r>
        <w:rPr>
          <w:rStyle w:val="FootnoteAnchor"/>
          <w:rtl w:val="true"/>
        </w:rPr>
        <w:footnoteReference w:id="203"/>
      </w:r>
      <w:r>
        <w:rPr>
          <w:rFonts w:ascii="IRNazanin" w:hAnsi="IRNazanin" w:eastAsia="IRNazanin"/>
          <w:color w:val="111111"/>
          <w:sz w:val="28"/>
          <w:sz w:val="28"/>
          <w:szCs w:val="28"/>
          <w:rtl w:val="true"/>
          <w:lang w:bidi="fa-IR"/>
        </w:rPr>
        <w:t>أنّه استظهره من المعتبر</w:t>
      </w:r>
      <w:r>
        <w:rPr>
          <w:rStyle w:val="FootnoteAnchor"/>
          <w:rtl w:val="true"/>
        </w:rPr>
        <w:footnoteReference w:id="204"/>
      </w:r>
      <w:r>
        <w:rPr>
          <w:rFonts w:ascii="Amiri" w:hAnsi="Amiri" w:eastAsia="Amiri" w:cs="Amiri"/>
          <w:color w:val="111111"/>
          <w:sz w:val="28"/>
          <w:sz w:val="28"/>
          <w:szCs w:val="28"/>
          <w:rtl w:val="true"/>
          <w:lang w:bidi="ar-SA"/>
        </w:rPr>
        <w:t>و التحرير</w:t>
      </w:r>
      <w:r>
        <w:rPr>
          <w:rStyle w:val="FootnoteAnchor"/>
          <w:rtl w:val="true"/>
        </w:rPr>
        <w:footnoteReference w:id="205"/>
      </w:r>
      <w:r>
        <w:rPr>
          <w:rFonts w:ascii="Amiri" w:hAnsi="Amiri" w:eastAsia="Amiri" w:cs="Amiri"/>
          <w:color w:val="111111"/>
          <w:sz w:val="28"/>
          <w:sz w:val="28"/>
          <w:szCs w:val="28"/>
          <w:rtl w:val="true"/>
          <w:lang w:bidi="ar-SA"/>
        </w:rPr>
        <w:t>، و قد يستظهر الموافقة من السرائر</w:t>
      </w:r>
      <w:r>
        <w:rPr>
          <w:rStyle w:val="FootnoteAnchor"/>
          <w:rtl w:val="true"/>
        </w:rPr>
        <w:footnoteReference w:id="206"/>
      </w:r>
      <w:r>
        <w:rPr>
          <w:rFonts w:ascii="Amiri" w:hAnsi="Amiri" w:eastAsia="Amiri" w:cs="Amiri"/>
          <w:color w:val="111111"/>
          <w:sz w:val="28"/>
          <w:sz w:val="28"/>
          <w:szCs w:val="28"/>
          <w:rtl w:val="true"/>
          <w:lang w:bidi="ar-SA"/>
        </w:rPr>
        <w:t>كما في الجواهر</w:t>
      </w:r>
      <w:r>
        <w:rPr>
          <w:rStyle w:val="FootnoteAnchor"/>
          <w:rtl w:val="true"/>
        </w:rPr>
        <w:footnoteReference w:id="207"/>
      </w:r>
      <w:r>
        <w:rPr>
          <w:rFonts w:ascii="Amiri" w:hAnsi="Amiri" w:eastAsia="Amiri" w:cs="Amiri"/>
          <w:color w:val="111111"/>
          <w:sz w:val="28"/>
          <w:sz w:val="28"/>
          <w:szCs w:val="28"/>
          <w:rtl w:val="true"/>
          <w:lang w:bidi="ar-SA"/>
        </w:rPr>
        <w:t>، بل في مناهل السيّد</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يستظهر من الكتب الّتي أطلقت التنجّس بالتغيّر مصرّحة بأنّه لا ينجّس الجاري إلاّ أن يتغيّر لونه أو طعمه أو ريحه، كالمقنعة</w:t>
      </w:r>
      <w:r>
        <w:rPr>
          <w:rStyle w:val="FootnoteAnchor"/>
          <w:rtl w:val="true"/>
        </w:rPr>
        <w:footnoteReference w:id="209"/>
      </w:r>
      <w:r>
        <w:rPr>
          <w:rFonts w:ascii="IRNazanin" w:hAnsi="IRNazanin" w:eastAsia="IRNazanin"/>
          <w:color w:val="111111"/>
          <w:sz w:val="28"/>
          <w:sz w:val="28"/>
          <w:szCs w:val="28"/>
          <w:rtl w:val="true"/>
          <w:lang w:bidi="fa-IR"/>
        </w:rPr>
        <w:t>، و جمل العلم</w:t>
      </w:r>
      <w:r>
        <w:rPr>
          <w:rStyle w:val="FootnoteAnchor"/>
          <w:rtl w:val="true"/>
        </w:rPr>
        <w:footnoteReference w:id="210"/>
      </w:r>
      <w:r>
        <w:rPr>
          <w:rFonts w:ascii="IRNazanin" w:hAnsi="IRNazanin" w:eastAsia="IRNazanin"/>
          <w:color w:val="111111"/>
          <w:sz w:val="28"/>
          <w:sz w:val="28"/>
          <w:szCs w:val="28"/>
          <w:rtl w:val="true"/>
          <w:lang w:bidi="fa-IR"/>
        </w:rPr>
        <w:t>، و الجمل و العقود</w:t>
      </w:r>
      <w:r>
        <w:rPr>
          <w:rStyle w:val="FootnoteAnchor"/>
          <w:rtl w:val="true"/>
        </w:rPr>
        <w:footnoteReference w:id="211"/>
      </w:r>
      <w:r>
        <w:rPr>
          <w:rFonts w:ascii="Amiri" w:hAnsi="Amiri" w:eastAsia="Amiri" w:cs="Amiri"/>
          <w:color w:val="111111"/>
          <w:sz w:val="28"/>
          <w:sz w:val="28"/>
          <w:szCs w:val="28"/>
          <w:rtl w:val="true"/>
          <w:lang w:bidi="ar-SA"/>
        </w:rPr>
        <w:t>، و الغنية</w:t>
      </w:r>
      <w:r>
        <w:rPr>
          <w:rStyle w:val="FootnoteAnchor"/>
          <w:rtl w:val="true"/>
        </w:rPr>
        <w:footnoteReference w:id="212"/>
      </w:r>
      <w:r>
        <w:rPr>
          <w:rFonts w:ascii="Amiri" w:hAnsi="Amiri" w:eastAsia="Amiri" w:cs="Amiri"/>
          <w:color w:val="111111"/>
          <w:sz w:val="28"/>
          <w:sz w:val="28"/>
          <w:szCs w:val="28"/>
          <w:rtl w:val="true"/>
          <w:lang w:bidi="ar-SA"/>
        </w:rPr>
        <w:t>، و التبصرة</w:t>
      </w:r>
      <w:r>
        <w:rPr>
          <w:rStyle w:val="FootnoteAnchor"/>
          <w:rtl w:val="true"/>
        </w:rPr>
        <w:footnoteReference w:id="213"/>
      </w:r>
      <w:r>
        <w:rPr>
          <w:rFonts w:ascii="IRNazanin" w:hAnsi="IRNazanin" w:eastAsia="IRNazanin"/>
          <w:color w:val="111111"/>
          <w:sz w:val="28"/>
          <w:sz w:val="28"/>
          <w:szCs w:val="28"/>
          <w:rtl w:val="true"/>
          <w:lang w:bidi="fa-IR"/>
        </w:rPr>
        <w:t>، و الدروس</w:t>
      </w:r>
      <w:r>
        <w:rPr>
          <w:rStyle w:val="FootnoteAnchor"/>
          <w:rtl w:val="true"/>
        </w:rPr>
        <w:footnoteReference w:id="214"/>
      </w:r>
      <w:r>
        <w:rPr>
          <w:rFonts w:ascii="Amiri" w:hAnsi="Amiri" w:eastAsia="Amiri" w:cs="Amiri"/>
          <w:color w:val="111111"/>
          <w:sz w:val="28"/>
          <w:sz w:val="28"/>
          <w:szCs w:val="28"/>
          <w:rtl w:val="true"/>
          <w:lang w:bidi="ar-SA"/>
        </w:rPr>
        <w:t>، و البيان</w:t>
      </w:r>
      <w:r>
        <w:rPr>
          <w:rStyle w:val="FootnoteAnchor"/>
          <w:rtl w:val="true"/>
        </w:rPr>
        <w:footnoteReference w:id="215"/>
      </w:r>
      <w:r>
        <w:rPr>
          <w:rFonts w:ascii="Amiri" w:hAnsi="Amiri" w:eastAsia="Amiri" w:cs="Amiri"/>
          <w:color w:val="111111"/>
          <w:sz w:val="28"/>
          <w:sz w:val="28"/>
          <w:szCs w:val="28"/>
          <w:rtl w:val="true"/>
          <w:lang w:bidi="ar-SA"/>
        </w:rPr>
        <w:t>، و الجعفريّة</w:t>
      </w:r>
      <w:r>
        <w:rPr>
          <w:rStyle w:val="FootnoteAnchor"/>
          <w:rtl w:val="true"/>
        </w:rPr>
        <w:footnoteReference w:id="216"/>
      </w:r>
      <w:r>
        <w:rPr>
          <w:rFonts w:ascii="Amiri" w:hAnsi="Amiri" w:eastAsia="Amiri" w:cs="Amiri"/>
          <w:color w:val="111111"/>
          <w:sz w:val="28"/>
          <w:sz w:val="28"/>
          <w:szCs w:val="28"/>
          <w:rtl w:val="true"/>
          <w:lang w:bidi="ar-SA"/>
        </w:rPr>
        <w:t>، و مجمع الفائدة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يدّعى استفادته أيضا من الكتب الّتي صرّحت بأنّه لا ينجّس إلاّ باستيلاء النجاسة على أحد أوصافه، كالوسيلة</w:t>
      </w:r>
      <w:r>
        <w:rPr>
          <w:rStyle w:val="FootnoteAnchor"/>
          <w:rtl w:val="true"/>
        </w:rPr>
        <w:footnoteReference w:id="218"/>
      </w:r>
      <w:r>
        <w:rPr>
          <w:rFonts w:ascii="IRNazanin" w:hAnsi="IRNazanin" w:eastAsia="IRNazanin"/>
          <w:color w:val="111111"/>
          <w:sz w:val="28"/>
          <w:sz w:val="28"/>
          <w:szCs w:val="28"/>
          <w:rtl w:val="true"/>
          <w:lang w:bidi="fa-IR"/>
        </w:rPr>
        <w:t>، و المراسم</w:t>
      </w:r>
      <w:r>
        <w:rPr>
          <w:rStyle w:val="FootnoteAnchor"/>
          <w:rtl w:val="true"/>
        </w:rPr>
        <w:footnoteReference w:id="219"/>
      </w:r>
      <w:r>
        <w:rPr>
          <w:rFonts w:ascii="IRNazanin" w:hAnsi="IRNazanin" w:eastAsia="IRNazanin"/>
          <w:color w:val="111111"/>
          <w:sz w:val="28"/>
          <w:sz w:val="28"/>
          <w:szCs w:val="28"/>
          <w:rtl w:val="true"/>
          <w:lang w:bidi="fa-IR"/>
        </w:rPr>
        <w:t>، و النافع</w:t>
      </w:r>
      <w:r>
        <w:rPr>
          <w:rStyle w:val="FootnoteAnchor"/>
          <w:rtl w:val="true"/>
        </w:rPr>
        <w:footnoteReference w:id="220"/>
      </w:r>
      <w:r>
        <w:rPr>
          <w:rFonts w:ascii="IRNazanin" w:hAnsi="IRNazanin" w:eastAsia="IRNazanin"/>
          <w:color w:val="111111"/>
          <w:sz w:val="28"/>
          <w:sz w:val="28"/>
          <w:szCs w:val="28"/>
          <w:rtl w:val="true"/>
          <w:lang w:bidi="fa-IR"/>
        </w:rPr>
        <w:t>، و الشرائع</w:t>
      </w:r>
      <w:r>
        <w:rPr>
          <w:rStyle w:val="FootnoteAnchor"/>
          <w:rtl w:val="true"/>
        </w:rPr>
        <w:footnoteReference w:id="2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حاشيته</w:t>
      </w:r>
      <w:r>
        <w:rPr>
          <w:rStyle w:val="FootnoteAnchor"/>
          <w:rtl w:val="true"/>
        </w:rPr>
        <w:footnoteReference w:id="222"/>
      </w:r>
      <w:r>
        <w:rPr>
          <w:rFonts w:ascii="Amiri" w:hAnsi="Amiri" w:eastAsia="Amiri" w:cs="Amiri"/>
          <w:color w:val="111111"/>
          <w:sz w:val="28"/>
          <w:sz w:val="28"/>
          <w:szCs w:val="28"/>
          <w:rtl w:val="true"/>
          <w:lang w:bidi="ar-SA"/>
        </w:rPr>
        <w:t>، و من الكتب الّتي صرّحت بأنّه لا ينجّس إلاّ بتغيّر لونه أو طعمه أو ريحه بالنجاسة كالنهاية</w:t>
      </w:r>
      <w:r>
        <w:rPr>
          <w:rStyle w:val="FootnoteAnchor"/>
          <w:rtl w:val="true"/>
        </w:rPr>
        <w:footnoteReference w:id="223"/>
      </w:r>
      <w:r>
        <w:rPr>
          <w:rFonts w:ascii="IRNazanin" w:hAnsi="IRNazanin" w:eastAsia="IRNazanin"/>
          <w:color w:val="111111"/>
          <w:sz w:val="28"/>
          <w:sz w:val="28"/>
          <w:szCs w:val="28"/>
          <w:rtl w:val="true"/>
          <w:lang w:bidi="fa-IR"/>
        </w:rPr>
        <w:t>و الإرشاد</w:t>
      </w:r>
      <w:r>
        <w:rPr>
          <w:rStyle w:val="FootnoteAnchor"/>
          <w:rtl w:val="true"/>
        </w:rPr>
        <w:footnoteReference w:id="224"/>
      </w:r>
      <w:r>
        <w:rPr>
          <w:rFonts w:ascii="IRNazanin" w:hAnsi="IRNazanin" w:eastAsia="IRNazanin"/>
          <w:color w:val="111111"/>
          <w:sz w:val="28"/>
          <w:sz w:val="28"/>
          <w:szCs w:val="28"/>
          <w:rtl w:val="true"/>
          <w:lang w:bidi="fa-IR"/>
        </w:rPr>
        <w:t>و القواعد</w:t>
      </w:r>
      <w:r>
        <w:rPr>
          <w:rStyle w:val="FootnoteAnchor"/>
          <w:rtl w:val="true"/>
        </w:rPr>
        <w:footnoteReference w:id="225"/>
      </w:r>
      <w:r>
        <w:rPr>
          <w:rFonts w:ascii="IRNazanin" w:hAnsi="IRNazanin" w:eastAsia="IRNazanin"/>
          <w:color w:val="111111"/>
          <w:sz w:val="28"/>
          <w:sz w:val="28"/>
          <w:szCs w:val="28"/>
          <w:rtl w:val="true"/>
          <w:lang w:bidi="fa-IR"/>
        </w:rPr>
        <w:t>و السرائر</w:t>
      </w:r>
      <w:r>
        <w:rPr>
          <w:rStyle w:val="FootnoteAnchor"/>
          <w:rtl w:val="true"/>
        </w:rPr>
        <w:footnoteReference w:id="226"/>
      </w:r>
      <w:r>
        <w:rPr>
          <w:rFonts w:ascii="Amiri" w:hAnsi="Amiri" w:eastAsia="Amiri" w:cs="Amiri"/>
          <w:color w:val="111111"/>
          <w:sz w:val="28"/>
          <w:sz w:val="28"/>
          <w:szCs w:val="28"/>
          <w:rtl w:val="true"/>
          <w:lang w:bidi="ar-SA"/>
        </w:rPr>
        <w:t>و نهاية الإحكام</w:t>
      </w:r>
      <w:r>
        <w:rPr>
          <w:rStyle w:val="FootnoteAnchor"/>
          <w:rtl w:val="true"/>
        </w:rPr>
        <w:footnoteReference w:id="227"/>
      </w:r>
      <w:r>
        <w:rPr>
          <w:rFonts w:ascii="IRNazanin" w:hAnsi="IRNazanin" w:eastAsia="IRNazanin"/>
          <w:color w:val="111111"/>
          <w:sz w:val="28"/>
          <w:sz w:val="28"/>
          <w:szCs w:val="28"/>
          <w:rtl w:val="true"/>
          <w:lang w:bidi="fa-IR"/>
        </w:rPr>
        <w:t>و الجامع</w:t>
      </w:r>
      <w:r>
        <w:rPr>
          <w:rStyle w:val="FootnoteAnchor"/>
          <w:rtl w:val="true"/>
        </w:rPr>
        <w:footnoteReference w:id="228"/>
      </w:r>
      <w:r>
        <w:rPr>
          <w:rFonts w:ascii="Amiri" w:hAnsi="Amiri" w:eastAsia="Amiri" w:cs="Amiri"/>
          <w:color w:val="111111"/>
          <w:sz w:val="28"/>
          <w:sz w:val="28"/>
          <w:szCs w:val="28"/>
          <w:rtl w:val="true"/>
          <w:lang w:bidi="ar-SA"/>
        </w:rPr>
        <w:t>و اللمعة</w:t>
      </w:r>
      <w:r>
        <w:rPr>
          <w:rStyle w:val="FootnoteAnchor"/>
          <w:rtl w:val="true"/>
        </w:rPr>
        <w:footnoteReference w:id="229"/>
      </w:r>
      <w:r>
        <w:rPr>
          <w:rFonts w:ascii="Amiri" w:hAnsi="Amiri" w:eastAsia="Amiri" w:cs="Amiri"/>
          <w:color w:val="111111"/>
          <w:sz w:val="28"/>
          <w:sz w:val="28"/>
          <w:szCs w:val="28"/>
          <w:rtl w:val="true"/>
          <w:lang w:bidi="ar-SA"/>
        </w:rPr>
        <w:t>و الروضة</w:t>
      </w:r>
      <w:r>
        <w:rPr>
          <w:rStyle w:val="FootnoteAnchor"/>
          <w:rtl w:val="true"/>
        </w:rPr>
        <w:footnoteReference w:id="230"/>
      </w:r>
      <w:r>
        <w:rPr>
          <w:rFonts w:ascii="Amiri" w:hAnsi="Amiri" w:eastAsia="Amiri" w:cs="Amiri"/>
          <w:color w:val="111111"/>
          <w:sz w:val="28"/>
          <w:sz w:val="28"/>
          <w:szCs w:val="28"/>
          <w:rtl w:val="true"/>
          <w:lang w:bidi="ar-SA"/>
        </w:rPr>
        <w:t>، لأنّ النجاسة يعمّ المتنجّس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هذه الاستظهارات وارد على خلاف التحقيق،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ورد في أخبار الباب، و لا أنّه اخذ بهذا العنوان الكلّي عنوانا في أدلّة المسألة، بل هو مفهوم كلّي انتزعه الفقهاء عن الموارد الخاصّة الواردة في الروايات و الأعيان المخصوصة من النجاسات المعلّق عليها الحكم في أخبار الباب، كالبول و الدم و الميتة و الجيفة، بعد إسقاط الخصوصيّة و إلغاء الفارق بينها و بين سائر أنواع النجاسات، و لا ريب أنّ ما ينتزع عن شيء لا يراد منه عند الإطلاق إلاّ ما ينطبق على المنتزع عنه، و ليس المتنجّس من جملته؛ ضرورة عدم وروده في الروايات بهذا اللفظ، و لا أنّ فيها إشارة إليه، و لا أنّ شيئا من مصاديقه مذكور في أسئلتها و لا أجوبتها،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المفهوم الكلّي منتزع عمّا يعمّه و الموارد الخاصّة من أعيان النجاسة، و معه كيف يجترئ على الفقهاء باستظهار كون مرادهم من النجاسة في عناوينهم المطلقة ما يعمّ الأمرين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 لو كانت قضيّة الاستظهار صادقة على النهج المذكور لزم كون القول بنجاسة الماء إذا تغيّر بالمتنجّس مذهبا للمشهور، و هو كما ترى ينافي خلوّ كلامهم كافّة عن التصريح بذكره عنوانا و مثالا، و كأنّ الحال في استظهار هذا القول أيضا من الشيخ و السيّد من هذا القبيل، بل هو كذلك عند التحقيق؛ لقصور العبارة الّتي استظهر منها هذا القول عن إفادته و الدلالة على اختياره،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طريق إلى تطهير المضاف إلاّ بأن يختلط بما زاد على الكرّ من المياه الطاهرة المطلقة، ثمّ ينظر فيه فإن سلبه إطلاق اسم الماء و غيّر أحد أوصافه، إمّا لونه أو طعمه أو رائحته فلا يجوز </w:t>
      </w:r>
    </w:p>
    <w:p>
      <w:pPr>
        <w:pStyle w:val="BookText"/>
        <w:rPr/>
      </w:pPr>
      <w:r>
        <w:rPr>
          <w:rFonts w:ascii="Amiri" w:hAnsi="Amiri" w:eastAsia="Amiri" w:cs="Amiri"/>
          <w:color w:val="111111"/>
          <w:sz w:val="28"/>
          <w:sz w:val="28"/>
          <w:szCs w:val="28"/>
          <w:rtl w:val="true"/>
          <w:lang w:bidi="ar-SA"/>
        </w:rPr>
        <w:t>استعماله بحال، و إن لم يتغيّر أوصافه و لا سلبه إطلاق اسم الماء جاز استعماله في جميع ما يجوز استعمال المياه المطلقة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مفاد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فيما يحكم عليه بعدم جواز الاستعمال باعتبار اجتماع الأمرين من سلب إطلاق الاسم و التغيّر، و فيما يحكم عليه بجواز الاستعمال باعتبار انتفاء الأمرين معا، فيبقى ما انتفى عنه أحد الأمرين واسطة بين القسمين، و هو كما يمكن لحوقه بالقسم الأوّل فكذلك يمكن لحوقه بالقسم الثاني فيكون أعمّ، و من البيّن أنّ العامّ لا يصلح دليلا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كون ما انتفى عنه التغيّر دون عدم سلب إطلاق الاسم ملحقا بالقسم الأوّل في الجملة؛ لأنّه مضاف حينئذ و هو ممّا لا يجوز استعماله في مشروط بالمائيّة، و ما انتفى عنه سلب الإطلاق دون التغيّر ملحقا بالقسم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الظاهر 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سلب إطلاق الاسم عطفا تفسيريّا مرادا به بيان ما يحقّق سلب الإطلاق و يتحقّق معه عدم صدق الاسم، بناء على كون المراد بتغيّر الماء حينئذ اكتسابه شيئا من أوصاف المضاف طعما أو لونا أو رائحة، لا اكتسابه شيئا من صفات النجاسة الواقعة كما هو الظاهر الّذي يساعد عليه الاعتبار، و لا ينافيه الحكم عليه حينئذ بعدم جواز الاستعمال بحال، لأنّه إذا اكتسب شيئا من أوصاف المضاف انقلب مضافا فيلحقه النجاسة، لأنّ المضاف كائنا ما كان ينفعل بملاقاة النجاسة و المتنجّس معا إجماعا، كانفعال الماء القليل الملاقي بهما، فحينئذ يكون عبارته أجنبيّة عمّا فهموه بالمرّة، و لا يعقل معه الاستظهار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أصحابنا من كان قائلا بنجاسة الماء المتغيّر بالمتنجّس صراحة و لا ظهورا، و من هنا يمكن استظهار الإجماع على عدم النجاسة، كيف و أنّه مقتضى الأصل و الاستصحاب كما استند إليه المعظم، و لم يوجد في روايات الباب ما ينافيهما صريحا و لا ظهورا و لا إشعارا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الروايات المطلقة في الحكم بالنجاسة لمجرّد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النبوي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ربّما توهم ذلك، و لكنّه يندفع بملاحظة مجموع روايات الباب من مطلقاتها و مقيّداتها؛ فإنّ الّذي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المطلقات ليست بإطلاقها كما توهّم، بل هي منزّلة على المقيّدات و ناظرة إليها و منطبقة عليها حرفا بحرف و قذّا بقذّ، و كأنّ الوجه في ورودها مطلقة تبيّن الأمر للمشافهين بها من أصحاب النبيّ صلّى اللّه عليه و آله و سلّم و الأئمّة عليهم السّلام باعتبار الخارج من قرينة حال أو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عدم ظهور ذلك، فلا أقلّ من صيرورة الإطلاق الّذي فيها بملاحظة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مصير المعظم إن لم نقل مصير الكلّ إلى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موهونا ساقطا عن درجة الاعتبار و الحجّيّة، و معه يبقى الأصلان المذكوران سليمين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القواعد المقرّرة و الاصول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الحاصل في الماء عند دخول المتنجّس فيه، إمّا أن يعلم كونه من أوصاف نفس المتنجّس كحلاوة الدبس، و رائحة ماء الورد، و حمرة ماء البقّم</w:t>
      </w:r>
      <w:r>
        <w:rPr>
          <w:rStyle w:val="FootnoteAnchor"/>
          <w:rtl w:val="true"/>
        </w:rPr>
        <w:footnoteReference w:id="233"/>
      </w:r>
      <w:r>
        <w:rPr>
          <w:rFonts w:ascii="Amiri" w:hAnsi="Amiri" w:eastAsia="Amiri" w:cs="Amiri"/>
          <w:color w:val="111111"/>
          <w:sz w:val="28"/>
          <w:sz w:val="28"/>
          <w:szCs w:val="28"/>
          <w:rtl w:val="true"/>
          <w:lang w:bidi="ar-SA"/>
        </w:rPr>
        <w:t>مثلا، أو يعلم كونه من أوصاف النجاسة الّتي مع ذلك المتنجّس كحمرة الدم إذا كان المتنجّس متنجّسا من جهته، أو يعلم كونه من وصفيهما معا على معنى استناد تغيّره إليهما على جهة الشركة، أو لا يعلم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فيه عدم النجاسة لعين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فيه النجاسة لصدق كونه متغيّرا بعين النجاسة فيشمله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جزئيّات الفرع الأوّل الّذي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كالأوّل، لسلامة الأصلين بالنسبة إليه عن المعارض</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 يظهر عن غير واحد من متأخّري أصحابنا، منهم ثاني الشهيدين في الروضة،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ينجّس بذلك كما لو تغيّر طعمه بالدبس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من غير أن تؤثّر نجاسته فيه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 إن كان إطلاق القيد يشمل في كلامه ما </w:t>
      </w:r>
      <w:bookmarkStart w:id="79" w:name="pg16144_233013"/>
    </w:p>
    <w:p>
      <w:pPr>
        <w:pStyle w:val="BookText"/>
        <w:rPr/>
      </w:pPr>
      <w:bookmarkEnd w:id="79"/>
      <w:r>
        <w:rPr>
          <w:rFonts w:ascii="Amiri" w:hAnsi="Amiri" w:eastAsia="Amiri" w:cs="Amiri"/>
          <w:color w:val="111111"/>
          <w:sz w:val="28"/>
          <w:sz w:val="28"/>
          <w:szCs w:val="28"/>
          <w:rtl w:val="true"/>
          <w:lang w:bidi="ar-SA"/>
        </w:rPr>
        <w:t>لو كان تأثير النجاسة فيه على سبيل الجزئيّة، فإنّ قضيّة ذلك توجّه الحكم فيه بالنجاسة أيضا و إن كان ذلك خلاف التحقيق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صرّح بهذا التفصيل في الجملة السيّد الطباطبائي في مصابيحه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يتوهّم من إطلاق الأصحاب بعدم نجاسة الماء بتغيّره بالمتنجّس، أنّه لا ينجّس بتغيّره بالنجاسة بواسطة المتنجّس أيضا، بناء على أنّ التغيّر بالواسطة تغيّر بالمتنجّس أيضا لا بالنجاسة، و من ثمّ ترى الأصحاب مثّلوا له بالدبس المتنجّس و نحوه ممّا يوجب التغيّر بصفته الأصليّة دون العارضة بواسطة النجاسة إلخ</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 ظاهر هذه العبارة بل صريحها أنّ هذا التفصيل مذهب للأصحاب أيضا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804396_1280447820"/>
      <w:bookmarkStart w:id="81" w:name="_Toc29"/>
      <w:bookmarkEnd w:id="80"/>
      <w:r>
        <w:rPr>
          <w:rtl w:val="true"/>
        </w:rPr>
        <w:t>المطلب الثالث</w:t>
      </w:r>
      <w:r>
        <w:rPr>
          <w:rtl w:val="true"/>
        </w:rPr>
        <w:t xml:space="preserve">: </w:t>
      </w:r>
      <w:r>
        <w:rPr>
          <w:rtl w:val="true"/>
        </w:rPr>
        <w:t>التغيّر قد يكون حسّيّا و قد يكون تقديريّا،</w:t>
      </w:r>
      <w:bookmarkEnd w:id="81"/>
    </w:p>
    <w:p>
      <w:pPr>
        <w:pStyle w:val="Heading5"/>
        <w:numPr>
          <w:ilvl w:val="4"/>
          <w:numId w:val="1"/>
        </w:numPr>
        <w:rPr/>
      </w:pPr>
      <w:bookmarkStart w:id="82" w:name="__RefHeading___Toc1804398_1280447820"/>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المراد بالأوّل ما من شأنه أن يكون مدركا بإحدى الحواسّ الظاهرة من البصر و الذوق و الشمّ، و بالثاني ما لا يكون كذلك من جهة كون النجاسة الواقعة في الماء مسلوب الصفات الأصليّة موافقة له في صفاته بالعارض، و لكن كانت في المقدار بحيث لو كانت على صفاتها الأصليّة المخالفة لصفات الماء كانت موجبة لتغيّره غالبة صفاتها على صفاته، فهل المعتبر في التغيّر الموجب لتنجّس الماء أن يكون حسّيّا، فلا يكفي فيه مجرّد التقدير ما لم يكن التغيّر ممّا يدركه الحسّ، أو لا؟ بل هو موجب للتنجّس و لو تقديريّا، بحيث لو لم يكن محسوسا يجب تقدير الأوصاف في النجاسة، فلو كانت ممّا يتغيّر بها الماء على تقدير وجودها نجس الماء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فيه الأصحاب على قولين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الأكثر كما في الرياض</w:t>
      </w:r>
      <w:r>
        <w:rPr>
          <w:rStyle w:val="FootnoteAnchor"/>
          <w:rtl w:val="true"/>
        </w:rPr>
        <w:footnoteReference w:id="238"/>
      </w:r>
      <w:r>
        <w:rPr>
          <w:rFonts w:ascii="Amiri" w:hAnsi="Amiri" w:eastAsia="Amiri" w:cs="Amiri"/>
          <w:color w:val="111111"/>
          <w:sz w:val="28"/>
          <w:sz w:val="28"/>
          <w:szCs w:val="28"/>
          <w:rtl w:val="true"/>
          <w:lang w:bidi="ar-SA"/>
        </w:rPr>
        <w:t>، و هو قول أكثر الأصحاب كما عن الذخيرة</w:t>
      </w:r>
      <w:r>
        <w:rPr>
          <w:rStyle w:val="FootnoteAnchor"/>
          <w:rtl w:val="true"/>
        </w:rPr>
        <w:footnoteReference w:id="239"/>
      </w:r>
      <w:r>
        <w:rPr>
          <w:rFonts w:ascii="Amiri" w:hAnsi="Amiri" w:eastAsia="Amiri" w:cs="Amiri"/>
          <w:color w:val="111111"/>
          <w:sz w:val="28"/>
          <w:sz w:val="28"/>
          <w:szCs w:val="28"/>
          <w:rtl w:val="true"/>
          <w:lang w:bidi="ar-SA"/>
        </w:rPr>
        <w:t>، و هو المشهور كما في الحدائق</w:t>
      </w:r>
      <w:r>
        <w:rPr>
          <w:rStyle w:val="FootnoteAnchor"/>
          <w:rtl w:val="true"/>
        </w:rPr>
        <w:footnoteReference w:id="240"/>
      </w:r>
      <w:r>
        <w:rPr>
          <w:rFonts w:ascii="Amiri" w:hAnsi="Amiri" w:eastAsia="Amiri" w:cs="Amiri"/>
          <w:color w:val="111111"/>
          <w:sz w:val="28"/>
          <w:sz w:val="28"/>
          <w:szCs w:val="28"/>
          <w:rtl w:val="true"/>
          <w:lang w:bidi="ar-SA"/>
        </w:rPr>
        <w:t xml:space="preserve">، و هو لظاهر المعظم و ثاني الشهيدين </w:t>
      </w:r>
    </w:p>
    <w:p>
      <w:pPr>
        <w:pStyle w:val="BookText"/>
        <w:rPr/>
      </w:pPr>
      <w:r>
        <w:rPr>
          <w:rFonts w:ascii="Amiri" w:hAnsi="Amiri" w:eastAsia="Amiri" w:cs="Amiri"/>
          <w:color w:val="111111"/>
          <w:sz w:val="28"/>
          <w:sz w:val="28"/>
          <w:szCs w:val="28"/>
          <w:rtl w:val="true"/>
          <w:lang w:bidi="ar-SA"/>
        </w:rPr>
        <w:t>و جماعة من المتأخّرين كما عن المصابيح</w:t>
      </w:r>
      <w:r>
        <w:rPr>
          <w:rStyle w:val="FootnoteAnchor"/>
          <w:rtl w:val="true"/>
        </w:rPr>
        <w:footnoteReference w:id="241"/>
      </w:r>
      <w:r>
        <w:rPr>
          <w:rFonts w:ascii="Amiri" w:hAnsi="Amiri" w:eastAsia="Amiri" w:cs="Amiri"/>
          <w:color w:val="111111"/>
          <w:sz w:val="28"/>
          <w:sz w:val="28"/>
          <w:szCs w:val="28"/>
          <w:rtl w:val="true"/>
          <w:lang w:bidi="ar-SA"/>
        </w:rPr>
        <w:t>، و هو ظاهر المذهب كما عن الذكرى</w:t>
      </w:r>
      <w:r>
        <w:rPr>
          <w:rStyle w:val="FootnoteAnchor"/>
          <w:rtl w:val="true"/>
        </w:rPr>
        <w:footnoteReference w:id="242"/>
      </w:r>
      <w:r>
        <w:rPr>
          <w:rFonts w:ascii="IRNazanin" w:hAnsi="IRNazanin" w:eastAsia="IRNazanin"/>
          <w:color w:val="111111"/>
          <w:sz w:val="28"/>
          <w:sz w:val="28"/>
          <w:szCs w:val="28"/>
          <w:rtl w:val="true"/>
          <w:lang w:bidi="fa-IR"/>
        </w:rPr>
        <w:t>و الروض</w:t>
      </w:r>
      <w:r>
        <w:rPr>
          <w:rStyle w:val="FootnoteAnchor"/>
          <w:rtl w:val="true"/>
        </w:rPr>
        <w:footnoteReference w:id="243"/>
      </w:r>
      <w:r>
        <w:rPr>
          <w:rFonts w:ascii="Amiri" w:hAnsi="Amiri" w:eastAsia="Amiri" w:cs="Amiri"/>
          <w:color w:val="111111"/>
          <w:sz w:val="28"/>
          <w:sz w:val="28"/>
          <w:szCs w:val="28"/>
          <w:rtl w:val="true"/>
          <w:lang w:bidi="ar-SA"/>
        </w:rPr>
        <w:t>، و هو صريح أكثر من تأخّر عن العلاّمة</w:t>
      </w:r>
      <w:r>
        <w:rPr>
          <w:rStyle w:val="FootnoteAnchor"/>
          <w:rtl w:val="true"/>
        </w:rPr>
        <w:footnoteReference w:id="244"/>
      </w:r>
      <w:r>
        <w:rPr>
          <w:rFonts w:ascii="IRNazanin" w:hAnsi="IRNazanin" w:eastAsia="IRNazanin"/>
          <w:color w:val="111111"/>
          <w:sz w:val="28"/>
          <w:sz w:val="28"/>
          <w:szCs w:val="28"/>
          <w:rtl w:val="true"/>
          <w:lang w:bidi="fa-IR"/>
        </w:rPr>
        <w:t>و ظاهر من تقدّمه</w:t>
      </w:r>
      <w:r>
        <w:rPr>
          <w:rStyle w:val="FootnoteAnchor"/>
          <w:rtl w:val="true"/>
        </w:rPr>
        <w:footnoteReference w:id="245"/>
      </w:r>
      <w:r>
        <w:rPr>
          <w:rFonts w:ascii="Amiri" w:hAnsi="Amiri" w:eastAsia="Amiri" w:cs="Amiri"/>
          <w:color w:val="111111"/>
          <w:sz w:val="28"/>
          <w:sz w:val="28"/>
          <w:szCs w:val="28"/>
          <w:rtl w:val="true"/>
          <w:lang w:bidi="ar-SA"/>
        </w:rPr>
        <w:t>، لتعبيرهم بالتغيّر الظاهر في الحسّي كما في الجواهر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العلاّمة في القواعد</w:t>
      </w:r>
      <w:r>
        <w:rPr>
          <w:rStyle w:val="FootnoteAnchor"/>
          <w:rtl w:val="true"/>
        </w:rPr>
        <w:footnoteReference w:id="247"/>
      </w:r>
      <w:r>
        <w:rPr>
          <w:rFonts w:ascii="Amiri" w:hAnsi="Amiri" w:eastAsia="Amiri" w:cs="Amiri"/>
          <w:color w:val="111111"/>
          <w:sz w:val="28"/>
          <w:sz w:val="28"/>
          <w:szCs w:val="28"/>
          <w:rtl w:val="true"/>
          <w:lang w:bidi="ar-SA"/>
        </w:rPr>
        <w:t>، و عنه أيضا في نهاية الإحكام</w:t>
      </w:r>
      <w:r>
        <w:rPr>
          <w:rStyle w:val="FootnoteAnchor"/>
          <w:rtl w:val="true"/>
        </w:rPr>
        <w:footnoteReference w:id="248"/>
      </w:r>
      <w:r>
        <w:rPr>
          <w:rFonts w:ascii="IRNazanin" w:hAnsi="IRNazanin" w:eastAsia="IRNazanin"/>
          <w:color w:val="111111"/>
          <w:sz w:val="28"/>
          <w:sz w:val="28"/>
          <w:szCs w:val="28"/>
          <w:rtl w:val="true"/>
          <w:lang w:bidi="fa-IR"/>
        </w:rPr>
        <w:t>، و المختلف</w:t>
      </w:r>
      <w:r>
        <w:rPr>
          <w:rStyle w:val="FootnoteAnchor"/>
          <w:rtl w:val="true"/>
        </w:rPr>
        <w:footnoteReference w:id="249"/>
      </w:r>
      <w:r>
        <w:rPr>
          <w:rFonts w:ascii="Amiri" w:hAnsi="Amiri" w:eastAsia="Amiri" w:cs="Amiri"/>
          <w:color w:val="111111"/>
          <w:sz w:val="28"/>
          <w:sz w:val="28"/>
          <w:szCs w:val="28"/>
          <w:rtl w:val="true"/>
          <w:lang w:bidi="ar-SA"/>
        </w:rPr>
        <w:t>، و عن ابنه فخر الإسلام في الإيضاح</w:t>
      </w:r>
      <w:r>
        <w:rPr>
          <w:rStyle w:val="FootnoteAnchor"/>
          <w:rtl w:val="true"/>
        </w:rPr>
        <w:footnoteReference w:id="250"/>
      </w:r>
      <w:r>
        <w:rPr>
          <w:rFonts w:ascii="Amiri" w:hAnsi="Amiri" w:eastAsia="Amiri" w:cs="Amiri"/>
          <w:color w:val="111111"/>
          <w:sz w:val="28"/>
          <w:sz w:val="28"/>
          <w:szCs w:val="28"/>
          <w:rtl w:val="true"/>
          <w:lang w:bidi="ar-SA"/>
        </w:rPr>
        <w:t>، و المحقّق الثاني في جامع المقاصد</w:t>
      </w:r>
      <w:r>
        <w:rPr>
          <w:rStyle w:val="FootnoteAnchor"/>
          <w:rtl w:val="true"/>
        </w:rPr>
        <w:footnoteReference w:id="251"/>
      </w:r>
      <w:r>
        <w:rPr>
          <w:rFonts w:ascii="Amiri" w:hAnsi="Amiri" w:eastAsia="Amiri" w:cs="Amiri"/>
          <w:color w:val="111111"/>
          <w:sz w:val="28"/>
          <w:sz w:val="28"/>
          <w:szCs w:val="28"/>
          <w:rtl w:val="true"/>
          <w:lang w:bidi="ar-SA"/>
        </w:rPr>
        <w:t>، و عن المصابيح</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حكاه عن ابن فهد في موجزه</w:t>
      </w:r>
      <w:r>
        <w:rPr>
          <w:rStyle w:val="FootnoteAnchor"/>
          <w:rtl w:val="true"/>
        </w:rPr>
        <w:footnoteReference w:id="253"/>
      </w:r>
      <w:r>
        <w:rPr>
          <w:rFonts w:ascii="Amiri" w:hAnsi="Amiri" w:eastAsia="Amiri" w:cs="Amiri"/>
          <w:color w:val="111111"/>
          <w:sz w:val="28"/>
          <w:sz w:val="28"/>
          <w:szCs w:val="28"/>
          <w:rtl w:val="true"/>
          <w:lang w:bidi="ar-SA"/>
        </w:rPr>
        <w:t>، و في المناهل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عنه البعد في حبل المتين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العمومات و دلالة النصوص و الفتاوي على دوران الحكم بالتنجّس مدار التغيير بالأوصاف الثلاثة، الّذي هو حقيقة في الحسّي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المتبادر منه عند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فلصحّة السلب عن التقديري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فلتصريح جامع المقاصد</w:t>
      </w:r>
      <w:r>
        <w:rPr>
          <w:rStyle w:val="FootnoteAnchor"/>
          <w:rtl w:val="true"/>
        </w:rPr>
        <w:footnoteReference w:id="256"/>
      </w:r>
      <w:r>
        <w:rPr>
          <w:rFonts w:ascii="IRNazanin" w:hAnsi="IRNazanin" w:eastAsia="IRNazanin"/>
          <w:color w:val="111111"/>
          <w:sz w:val="28"/>
          <w:sz w:val="28"/>
          <w:szCs w:val="28"/>
          <w:rtl w:val="true"/>
          <w:lang w:bidi="fa-IR"/>
        </w:rPr>
        <w:t>و الروض</w:t>
      </w:r>
      <w:r>
        <w:rPr>
          <w:rStyle w:val="FootnoteAnchor"/>
          <w:rtl w:val="true"/>
        </w:rPr>
        <w:footnoteReference w:id="257"/>
      </w:r>
      <w:r>
        <w:rPr>
          <w:rFonts w:ascii="Amiri" w:hAnsi="Amiri" w:eastAsia="Amiri" w:cs="Amiri"/>
          <w:color w:val="111111"/>
          <w:sz w:val="28"/>
          <w:sz w:val="28"/>
          <w:szCs w:val="28"/>
          <w:rtl w:val="true"/>
          <w:lang w:bidi="ar-SA"/>
        </w:rPr>
        <w:t>بأنّ التغيّر حقيقة في الحسّي، و هو لا يقصر عن إخبار أهل اللغة بوضع اللفظ بل هو أولى بالقبول، و أنّ اعتبار التقدير في مسلوب الصفة يقتضي اعتباره في فاقدها و في الواجد الضعيف منها، و الإجماع قائم على عدمه كما عن المصابيح</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84" w:name="pg16144_233015"/>
    </w:p>
    <w:p>
      <w:pPr>
        <w:pStyle w:val="Heading5"/>
        <w:numPr>
          <w:ilvl w:val="4"/>
          <w:numId w:val="1"/>
        </w:numPr>
        <w:rPr/>
      </w:pPr>
      <w:bookmarkStart w:id="85" w:name="__RefHeading___Toc1804400_1280447820"/>
      <w:bookmarkStart w:id="86" w:name="_Toc31"/>
      <w:bookmarkEnd w:id="84"/>
      <w:bookmarkEnd w:id="85"/>
      <w:r>
        <w:rPr>
          <w:rtl w:val="true"/>
        </w:rPr>
        <w:t>و للآخرين أيضا وجوه</w:t>
      </w:r>
      <w:r>
        <w:rPr>
          <w:rtl w:val="true"/>
        </w:rPr>
        <w:t>:</w:t>
      </w:r>
      <w:bookmarkEnd w:id="8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الإيضاح من أنّ هذا القول أحوط فيجب المصير إليه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لا يجدي نفعا في إثبات ما هو الغرض الأصلي في المسألة من معرفة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الاحتياط، لسلامة الاصول و عمومات الطهارة عن المعارض؛ إذ المفروض أنّ أدلّة التنجّس بالتغيّر لا تشمل هذا الفرد، كما يظهر الاعتراف به من أصحاب هذا القول، فلذا لا يتمسّكون له إلاّ بوجوه لا ترجع إلى دلالة تلك الأدلّة، فلا معارض لعمومات الطهارة، و المفروض أنّه لا إجمال فيها فيندرج فيها المقام، و يبقى الاصول مؤيّدة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الاحتياط وجوبا لو كانت النجاسة الواقعة في الماء باعتبار الكثرة بحيث أوجبت الشكّ في استهلاك الماء أو خروجه عن الإطلاق، من جهة أنّ ذلك شكّ في الاندراج في عمومات الطهارة، غير أنّ صور المسألة لا تنحصر في ذلك، و من هنا قد يجاب عنه بمنع كونه أحوط في جميع الفروض بل هو كذلك غالبا، و أنت خبير بأنّ دعوى الغلبة أيضا ليست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التغيّر الّذي هو مناط النجاسة دائر مع الأوصاف، فإذا فقدت وجب تقديرها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المقدّمة الاولى و منع الثانية، لكونها إعادة للمدّعى فلا تصلح دليلا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غرضه دعوى استناد النجاسة إلى عين النجاسة و ذاتها، فإنّها المؤثّرة في تنجّس العين دون الوصف، فلهذا لا يحكم به في صورة تغيّر الأوصاف بالمجاورة، فالأوصاف الثابتة في النجاسة ممّا لا مدخل لها في التأثير، غير أنّ الشارع تعالى أناط الحكم بتغيّر الوصف من جهة أنّه كاشف وجودا و عدما عن تحقّق المؤثّر الواقعي، فإذا علم عند فقد الوصف بتحقّق المقدار الّذي يكفي في حصول الأثر على تقدير وجود الوصف كما هو قضيّة القول بالتقدير علم بتحقّق المؤثّر التامّ، و معه لا مناص من الحكم </w:t>
      </w:r>
    </w:p>
    <w:p>
      <w:pPr>
        <w:pStyle w:val="BookText"/>
        <w:rPr/>
      </w:pPr>
      <w:r>
        <w:rPr>
          <w:rFonts w:ascii="Amiri" w:hAnsi="Amiri" w:eastAsia="Amiri" w:cs="Amiri"/>
          <w:color w:val="111111"/>
          <w:sz w:val="28"/>
          <w:sz w:val="28"/>
          <w:szCs w:val="28"/>
          <w:rtl w:val="true"/>
          <w:lang w:bidi="ar-SA"/>
        </w:rPr>
        <w:t>بحصول الأثر استحالة تخلّف الأثر عن مؤثّره التامّ، و لا يقدح فيه فقدان الوصف حينئذ لأنّ فائدة اعتباره ليست إلاّ الكشف عن الواقع و قد حصل بدونه من جهة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دخول تغيّر الوصف في المؤثّر، بل ظاهر الأدلّة إن لم نقل صريحها كون التغيّر مؤثّرا في الحكم داخلا في موضوعه، و معه لا يعقل التفكيك بينه و بين الحكم، سلّمنا عدم ظهور ذلك و لكن ظهور خلافه من الأدلّة في حيّز المنع، و معه يبقى المقام مشكوكا في اندراجه تحت تلك الأدلّة، فيبقى أدلّة الطهارة سليمة عمّا يزاحمها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فخر المحقّقين في الإيضاح،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اختيار المصنّف صيرورة الماء مقهورا؛ لأنّه كلّما لم يصر مقهورا بالنجاسة لم يتغيّر بها على تقدير المخالفة، و ينعكس بعكس النقيض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تغيّر على تقدير المخالفة كان مقهورا، و لا يلزم من عدم أمارة الشيء عدمه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الأصل المستلزم لكذب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للضابطة المقرّرة في محلّه المعتبرة في قاعدة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بمقهوريّة الماء مقهوريّته بحسب الذات، بكون النجاسة الواقعة فيه أكثر منه بحسب الكمّيّة و المقدار، لضرورة قضاء الوجدان المطابق للحسّ و العيان بأنّ النجاسة كثيرا ما تكون بحسب المقدار أقلّ من الماء بمراتب شتّى فتغيّره لو وقعت فيه، و يكفيك في ذلك ملاحظة الدم و الجيفة فإنّ صاعا من الأوّل يغيّر صياعا من الماء، و لا سيّما عند اشتداد لونه و بلوغه في الشداد حدّ السواد، و أنّ دجاجة من الثاني إذا أنتنت تغيّر أكرارا من الماء فضلا عن كرّ واحد أو أقلّ، و عن جيفة الشاة أو ما هو أكبر منها في الجثّة، و لا ندري من أنّ دعوى هذه الكلّيّة القاطعة للضرورة من أيّ شيء نشأت لمثل هذا الفاضل المشتهر بالمحقّق، نعم لو اريد بالمقهوريّة ما هو بحسب الكيف أعني الوصف فكلّيّة الشرطيّة مسلّمة، و لكنّ الشرط كذب و إلاّ كان خارجا عن الفرض فلا نتيجة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المقهوريّة إن اريد بها ما يتحقّق معها الاستهلاك فلا كلام لأحد في التنجّس هنا، بل هو في الحقيقة خارج عن مفروض المسألة، و إن اريد بها ما دون ذلك </w:t>
      </w:r>
    </w:p>
    <w:p>
      <w:pPr>
        <w:pStyle w:val="BookText"/>
        <w:rPr/>
      </w:pPr>
      <w:r>
        <w:rPr>
          <w:rFonts w:ascii="Amiri" w:hAnsi="Amiri" w:eastAsia="Amiri" w:cs="Amiri"/>
          <w:color w:val="111111"/>
          <w:sz w:val="28"/>
          <w:sz w:val="28"/>
          <w:szCs w:val="28"/>
          <w:rtl w:val="true"/>
          <w:lang w:bidi="ar-SA"/>
        </w:rPr>
        <w:t>على وجه يكون الإطلاق معه باقيا، فكونها مع فقد الوصف ملزومة للتنجّس على ما هو النتيجة المقصودة أوّل الكلام، إلاّ إذا ثبت أنّها هو السبب التامّ، و تغيّر الوصف حيثما يوجد إنّما اعتبر كاشفا و الكاشف قد يقوم مقامه غيره، و هو في حيّز المنع كيف و لم يثبت إلاّ خلافه كما تقدّم الإشارة إليه، و نفصّله أيضا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لو كان على الغلبة و المقهوريّة فكيف يصحّ تعليق الحكم على التغيّر الّذي هو وصف مفارق لها، و جعلها دائرة مداره، و أيضا ينبغي القول حينئذ بما إذا كشف عن الغلبة غير التغيّر من الكثرة و نحوها، و أيضا لو كان المدار عليها لوجب القول بالتقدير في فاقد الصفات، و في الواجد الضعيف، و قد نقل الإجماع على خلافه، و بعض هذه الوجوه غير خال عن 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الثاني في شرح القواعد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الاحتجاج بأنّ المضاف المسلوب الأوصاف لو وقع في الماء وجب اعتباره إمّا بقلّة الأجزاء أو كثرتها، أو تقديره مخالفا في الأوصاف على اختلاف القولين، و إذا وجب الاعتبار في الجملة للمضاف فللنجاسة أولى، و لأنّ عدم وجوب التقدير يفضي إلى جواز الاستعمال و إن زادت النجاسة على الماء أضعافا و هو كالمعلوم البطلان، فوجب تقدير الأوصاف لأنّها مناط التنجّس و عدمه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الحكم في المقيس عليه منع الأولويّة في المقيس، لوضوح الفرق بينهما بأنّ الحكم هنا معلّق على أمر واقعي يستلزم المحسوسيّة، فإذا انتفت المحسوسيّة كشف عن انتفاء ذلك الأمر الواقعي المعلّق عليه الحكم، لوضوح استلزام انتفاء اللازم انتفاء الملزوم فينتفي معه الحكم، و ثمّة معلّق على أمر واقعي لا يستلزم المحسوسيّة، فإذا لم يكن مدركا بالحسّ لفقده أوصافه احتمل كونه متحقّقا في الواقع لاحتمال استهلاك الماء به، و احتمل عدم تحقّقه لاحتمال استهلاكه بالماء، فوجب تقدير أوصافه استعلاما لحقيقة الحال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المقصود بالتقدير هنا إحراز ما هو من مقولة المانع و هو التنجّس، بعد الفراغ عن إحراز المقتضي و هو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الإطلاق، و ثمّة إحراز المقتضي باستعلام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الاسم، و لا ريب أنّ المقتضي ممّا لا يحرز إلاّ بطريق </w:t>
      </w:r>
    </w:p>
    <w:p>
      <w:pPr>
        <w:pStyle w:val="BookText"/>
        <w:rPr/>
      </w:pPr>
      <w:r>
        <w:rPr>
          <w:rFonts w:ascii="Amiri" w:hAnsi="Amiri" w:eastAsia="Amiri" w:cs="Amiri"/>
          <w:color w:val="111111"/>
          <w:sz w:val="28"/>
          <w:sz w:val="28"/>
          <w:szCs w:val="28"/>
          <w:rtl w:val="true"/>
          <w:lang w:bidi="ar-SA"/>
        </w:rPr>
        <w:t>رافع للشكّ، فلذا لا يمكن إحرازه بالأصل إلاّ في بعض الفروض النادرة، فلا بدّ من اعتبار التقدير استكشافا عن وجود المقتضي و بقائه أو ارتفاعه ليتوصّل به إلى ترتيب الأحكام المعلّقة عليه وجودا و عدما، و هو لا يقضي بوجوب التقدير فيما لو شكّ في وجود المانع و تحقّقه مع الجزم ببقاء المقتضي؛ لأنّ المانع ممّا ينفي احتماله بالأصل فيترتّب على المقتضي الموجود أحكامه المعلّقة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في العلاوة، فإن أراد به صورة الاستهلاك و عدم بقاء الإطلاق فهو ممّا لا يقول فيه أحد بجواز الاستعمال في مشروط بالمائيّة و لا في مشروط بالطهارة، و إن أراد به غير تلك الصورة حتّى لا يكون زيادة النجاسة على الماء أضعافا منافية 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الاسم عليه عرفا، فدعوى العلم بالبطلان فيه غير واضح الوجه؛ لعدم كونه ممّا يساعد عليه العقل و الشرع و إلاّ ارتفع الإشكال، بل لا نرى ذلك إلاّ استبعادا صرفا هو ممّا لا يصلح للتعويل عليه في استعلام أحكام الشرع، سيّما بعد ملاحظة قيام الدلالة الشرعيّة على الجواز، من أصل و عموم و إطلاق دليل كما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في الحدائق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حقيقة في النفس الأمري لا فيما كان محسوسا ظاهرا، فقد يمنع عن ظهوره مانع، كما اعترفوا به فيما سيأتي ممّا إذا خالفت النجاسة الجاري في الأوصاف لكن منع من ظهورها مانع، فإنّهم هناك قالوا بوجوب التقدير استنادا إلى أنّ التغيّر حصل واقعا و إن منع من ظهوره مانع، و المناط التغيّر في الواقع لا الحسّي، و الفرق بين الموضعين لا يخلو عن خفاء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أنّ الشارع إنّما أناط النجاسة بالتغيّر في هذه الأوصاف لدلالته على غلبة النجاسة و كثرتها واقعا، و إلاّ فالتغيّر لها من حيث هو لا مدخل له في التنجّس، فالتنجيس حقيقة هو غلبة النجاسة و زيادتها، و إن كان مظهره التغيّر المذكور، و حينئذ فلو كانت هذه النجاسة المسلوبة الأوصاف بلغت في الكثرة إلى حدّ يقطع بتغيّر الماء بها لو كانت ذات أوصاف، فقد حصل موجب التنجّس حقيقة الّذي هو غلبة النجاسة و زيادتها على الماء</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الواقعي النفس الأمري قد يستلزم المحسوسيّة لزوما مساويا، خصوصا التغيّر الّذي هو عبارة عن انتقال الشيء عن حالة إلى اخرى، فإذا انتفت المحسوسيّة كشف عن انتفاء ما هو ملزوم لها، فالتغيّر حينئذ معدوم صرف لا أنّه موجود و قد منع عن ظهوره مانع،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يمنع عن ظهوره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بالقياس إلى مفروض المسألة في محلّه جدّا،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اعترفوا به فيما سيأتي ممّا إذا خالفت النجاسة الجاري في الأوصاف لكن منع من ظهورها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إن أراد به مقايسة المقام عليه، كيف و أنّ أصل الحكم في المقيس عليه غير مسلّم إلاّ في بعض الفروض النادرة الّتي هي في الحقيقة خارجة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فيه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تسليم ذلك فالفرق بين المقامين واضح كما بين السماء و الأرض، فإنّ عدم الظهور لوجود مانع غير عدم الظهور لفقد المقتضي؛ إذ الأوّل ربّما لا يكون منافيا لوجود أصل الموجود بحسب الواقع بخلاف الثاني لاستناد عدم الظهور فيه إلى عدم الوجود، فالسالبة فيه إنّما هي بانتفاء الموضوع و في الأوّل بمنع المانع الخارجي مع تحقّق الموضوع، فبطل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المناط التغيّر في الواقع لا الحسّي و الفرق بين الموضعين لا يخلو 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نتيجة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فالمنجّس حقيقة هو غلبة النجاسة و زيادتها إلخ</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ندري أنّ هذا المناط من أيّ شيء حصل له و لمن تقدّمه، فهل هو بما أثبته الإجماع أو أعطاه النصّ أو أنّه استفيد بالاستنباط؟ و ظنّي أنّه و هم نشأ عن ورود التعبير في بعض روايات الباب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أو مضافة إلى عين النجاسة دون وصفها، كما في رواية شهاب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غلب كثرة الماء فهو طاهر</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 رواية أبي بصير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تغيّره أبوالها فتوضّأ منه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 الرواية المرسلة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ما فيه من النجاسة غالبا على الماء فلا توضّأ </w:t>
      </w:r>
    </w:p>
    <w:p>
      <w:pPr>
        <w:pStyle w:val="BookText"/>
        <w:rPr/>
      </w:pPr>
      <w:r>
        <w:rPr>
          <w:rFonts w:ascii="Amiri" w:hAnsi="Amiri" w:eastAsia="Amiri" w:cs="Amiri"/>
          <w:color w:val="111111"/>
          <w:sz w:val="28"/>
          <w:sz w:val="28"/>
          <w:szCs w:val="28"/>
          <w:rtl w:val="true"/>
          <w:lang w:bidi="ar-SA"/>
        </w:rPr>
        <w:t>منه، و إن كان الماء غالبا على النجاسة فتوضّأ منه، و اغتسل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التعويل على مجرّد ذلك ليس على ما ينبغي، مع إمكان حمله على غلبة الوصف على حدّ حذف المضاف، بقرينة سائر الروايات المصرّحة باعتبار الغلبة أو التغيّر في الوصف، كما في رواية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فيه الجيف فتغيّر لونه و طعمه و رائحته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 مرسلة مختلف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رائحته على طعم الماء أو لونه فأرقه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 صدر رواية الشهاب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يغلب الماء الريح فينتن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رواية العلاء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 هكذا إلى آخر الروايات المتقدّمة مع أنّ الاعتماد عليه كما ترى طرح لتلك النصوص أو الظواهر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لو كانت الروايات المذكورة منافية له و ليس كذلك، بعد ملاحظة كون اعتبار الأوصاف فيها واردا من باب الكاشفيّة دون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ينافي ذلك الجمل الشرطيّة الواردة فيها الظاهرة في العلّيّة و ارتباط الجزاء بالشرط ربطا مسبّبيّا بسببه التامّ كما قرّر في محلّه، و قضيّة ما ذكر حمل هذه على إرادة مجرّد الملازمة، كالّتي بين المتلازمين المتساويين أو المختلفين في العموم و الخصوص و هو كما ترى ممّا لا وجه له و لا داعي إليه أصلا، مع ما ذكرنا من احتمال اعتبار الإضمار فيما ذكر، و لا ينبغي لأحد أن يعارض ذلك باحتمال التجوّز في القضايا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أظهر في إفادة السببيّة بمراتب شتّى من ظهور ما ذكر في عدم الإضمار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فلصيرورة هذا الظاهر موهونا بقلّته في الغاية، و إعراض الأكثر الأشهر عنه فلا يعبأ به جدّا، و لا أنّه صالح للمعارضة، مع أنّ ظاهر سياق مجموع الروايات </w:t>
      </w:r>
      <w:bookmarkStart w:id="87" w:name="pg16144_233021"/>
    </w:p>
    <w:p>
      <w:pPr>
        <w:pStyle w:val="BookText"/>
        <w:rPr/>
      </w:pPr>
      <w:bookmarkEnd w:id="87"/>
      <w:r>
        <w:rPr>
          <w:rFonts w:ascii="Amiri" w:hAnsi="Amiri" w:eastAsia="Amiri" w:cs="Amiri"/>
          <w:color w:val="111111"/>
          <w:sz w:val="28"/>
          <w:sz w:val="28"/>
          <w:szCs w:val="28"/>
          <w:rtl w:val="true"/>
          <w:lang w:bidi="ar-SA"/>
        </w:rPr>
        <w:t>بملاحظة العرف يقضي بعدم اعتبار هذا الظاهر و اعتبار ما يقضي بسببيّة الأوصاف و إناطة الحكم بها من غير دخل فيه للغلبة أو الكثرة في الماء أو النجاسة، مضافا إلى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هذه الصفات لو كان لكشفها عن الغلبة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ادّعاه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اعتبار غيرها من الصفات أيضا، لأنّها في الكشف عن الغلبة مثلها، فعلم أنّ المدار على خصوصيّة الصفات المعتبرة فيثبت الحكم بثبوتها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804402_1280447820"/>
      <w:bookmarkStart w:id="89" w:name="_Toc32"/>
      <w:bookmarkEnd w:id="88"/>
      <w:r>
        <w:rPr>
          <w:rtl w:val="true"/>
        </w:rPr>
        <w:t>تنبيه</w:t>
      </w:r>
      <w:r>
        <w:rPr>
          <w:rtl w:val="true"/>
        </w:rPr>
        <w:t>:</w:t>
      </w:r>
      <w:bookmarkEnd w:id="89"/>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وافقنا في المسألة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خالفت النجاسة الجاري في الصفات لكن منع من ظهورها مانع، كما لو وقع في الماء المتغيّر بطاهر أحمر دم مثلا فينبغي القطع بنجاسته لتحقّق التغيّر حقيقة، غاية الأمر أنّه مستور عن الحسّ،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 على ذلك الشهيد رحمه اللّه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محكيّ عبارة البيان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إذا كان مشتملا على ما يمنع من ظهور التغيّر فحينئذ يكفي التقدير، لأنّ التغيّر هنا تحقيقي، غاية الأمر أنّه مستور عن الحسّ</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نحوه عن المعالم</w:t>
      </w:r>
      <w:r>
        <w:rPr>
          <w:rStyle w:val="FootnoteAnchor"/>
          <w:rtl w:val="true"/>
        </w:rPr>
        <w:footnoteReference w:id="273"/>
      </w:r>
      <w:r>
        <w:rPr>
          <w:rFonts w:ascii="IRNazanin" w:hAnsi="IRNazanin" w:eastAsia="IRNazanin"/>
          <w:color w:val="111111"/>
          <w:sz w:val="28"/>
          <w:sz w:val="28"/>
          <w:szCs w:val="28"/>
          <w:rtl w:val="true"/>
          <w:lang w:bidi="fa-IR"/>
        </w:rPr>
        <w:t>، و جامع المقاصد</w:t>
      </w:r>
      <w:r>
        <w:rPr>
          <w:rStyle w:val="FootnoteAnchor"/>
          <w:rtl w:val="true"/>
        </w:rPr>
        <w:footnoteReference w:id="274"/>
      </w:r>
      <w:r>
        <w:rPr>
          <w:rFonts w:ascii="Amiri" w:hAnsi="Amiri" w:eastAsia="Amiri" w:cs="Amiri"/>
          <w:color w:val="111111"/>
          <w:sz w:val="28"/>
          <w:sz w:val="28"/>
          <w:szCs w:val="28"/>
          <w:rtl w:val="true"/>
          <w:lang w:bidi="ar-SA"/>
        </w:rPr>
        <w:t>، و عن المصابيح</w:t>
      </w:r>
      <w:r>
        <w:rPr>
          <w:rStyle w:val="FootnoteAnchor"/>
          <w:rtl w:val="true"/>
        </w:rPr>
        <w:footnoteReference w:id="275"/>
      </w:r>
      <w:r>
        <w:rPr>
          <w:rFonts w:ascii="Amiri" w:hAnsi="Amiri" w:eastAsia="Amiri" w:cs="Amiri"/>
          <w:color w:val="111111"/>
          <w:sz w:val="28"/>
          <w:sz w:val="28"/>
          <w:szCs w:val="28"/>
          <w:rtl w:val="true"/>
          <w:lang w:bidi="ar-SA"/>
        </w:rPr>
        <w:t>أيضا، سيّما فيما لو كانتا الصفة الثابتة في الماء أصليّة، كما في المياه الزاجيّة و الكبريتيّة مدّعيا فيها القطع بالتنجّس،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قطع به متأخّر و الأصحاب من غير خلاف معروف في الباب</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إطلاق ثاني الشهيدين في الحكم بعدم اعتبار التقدير خلاف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من التغيّر الحسّي لا التقديري</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بل هو خيرة الرياض</w:t>
      </w:r>
      <w:r>
        <w:rPr>
          <w:rStyle w:val="FootnoteAnchor"/>
          <w:rtl w:val="true"/>
        </w:rPr>
        <w:footnoteReference w:id="278"/>
      </w:r>
      <w:r>
        <w:rPr>
          <w:rFonts w:ascii="Amiri" w:hAnsi="Amiri" w:eastAsia="Amiri" w:cs="Amiri"/>
          <w:color w:val="111111"/>
          <w:sz w:val="28"/>
          <w:sz w:val="28"/>
          <w:szCs w:val="28"/>
          <w:rtl w:val="true"/>
          <w:lang w:bidi="ar-SA"/>
        </w:rPr>
        <w:t>حيث صرّح بعدم الفرق في عدم اعتبار التقدير بين حصول المانع ظهور التغيّر و عدمه، كما إذا توافق الماء و النجاسة في الصفات و عليه كافّة من عاصرناهم، و عن المحقّق الخوانساري</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الفرق في صورة مانعيّة صفات الماء عن ظهور التغيّر بين كونها أصليّة كالمياه الزاجيّة و الكبريتيّة و بين كونها عارضيّة كالمصبوغ بطاهر، فيعتبر التقدير في الثاني دون الأوّل، فانقدح بذلك أنّ المسألة ذات أقوال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إذا وافق النجاسة في الأوصاف لخلقة أو لعارض، فإمّا أن يكونا متساويين فيها بحسب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كونهما باعتبار الوصف في درجة واحدة بأن لا يزيد الوصف في أحدهما عليه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عليه فإمّا أن يكون وصف النجاسة أشدّ و أعظم من وصف الماء أو بالعكس، و الّذي يساعد عليه النظر أنّ شيئا من هذه الصور ممّا لا ينبغي الخلاف في حكمها من حيث الطهارة و النجاسة، نظرا إلى أنّ المتّجه في الاولى و الثالثة الحكم بالطهارة و في الثانية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التغيّر بحكم الحسّ و الوجدان ممّا لا يتأتّى فيما بين شيئين على نحو يكون أحدهما مغيّرا و الآخر متغيّرا إلاّ إذا كانا قابلين للفعل و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التأثير و التأثّر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ذلك إلاّ إذا كان لأحدهما مزيّة كاملة على صاحبه، على معنى اشتماله في حدّ ذاته أو لعارض على ما لا يشتمل عليه صاحبه ليكون من جهته صالحا للفعل و التأثير فيه، و معطيا إيّاه شيئا ممّا اشتمل عليه؛ ضرورة أنّ فاقد الشيء لا يعقل معطيا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فرضنا الماء و النجس متساويين في مرتبة الوصف غير متفاوتين في الزيادة و النقيصة باعتبار ذلك الوصف فدخل أحدهما في الآخر و اختلط معه، فكيف يعقل التأثير و التأثّر فيما بينهما و تغيّر أحدهما عن صاحبه، مع أنّه لو صحّ ذلك فإمّا أن يكون من أحد الجانبين خاصّة أو من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مؤثّرا في الآخر و متأثّرا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شيء منهما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التأثير إمّا أن يكون بإحداث زيادة في وصفه و إيراث شدّة له، أو بإيجاد ضعف و خفّة في وصفه، و الأوّل محال بالنظر إلى ما أشرنا إليه من أنّ الفاقد لا يصلح معطيا، كما أنّ الثاني ممّا لا يعقل إلاّ في المتخالفين من جهة الوصف كالأسود و الأبيض مثلا، فيؤثّر الأسود مثلا في الأبيض فيضعف به بياض الأبيض و المقام ليس منه، مع أنّ فرض التأثير من أحدهما دون الآخر مع فرض تساويهما من جميع الجهات </w:t>
      </w:r>
    </w:p>
    <w:p>
      <w:pPr>
        <w:pStyle w:val="BookText"/>
        <w:rPr/>
      </w:pPr>
      <w:r>
        <w:rPr>
          <w:rFonts w:ascii="Amiri" w:hAnsi="Amiri" w:eastAsia="Amiri" w:cs="Amiri"/>
          <w:color w:val="111111"/>
          <w:sz w:val="28"/>
          <w:sz w:val="28"/>
          <w:szCs w:val="28"/>
          <w:rtl w:val="true"/>
          <w:lang w:bidi="ar-SA"/>
        </w:rPr>
        <w:t>تجويز للترجّح بغير مرجّح، نظرا إلى أنّه لو صحّ الواحد المعيّن لذلك فصاحبه أيضا صالح له، مع أنّ ذلك ممّا يدفع ضرورة الحسّ و الوجدان و يقطع بديهة ما يشاهد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فاستوضح ذلك بملاحظة اللبنين المتمازجين و مراعاة الأحمرين المتخالطين، فهل تجد لنفسك طريقا إلى دعوى تحقّق للفعل و الانفعال فيما بينهما أو أنّهما باقيين بعد الاختلاط و الامتزاج على ما كانا عليه قبلهما من البياض و الحمرة من دون طروّ شدّة في بياض أحدهما أو حمرته، و لا تطرّق خفّة إليهما في الآخر، غاية الأمر أنّهما لشدّة الامتزاج في أحدهما صارا كالمتّصل الواحد، على نحو كان كلّ جزء من كلّ باقيا على وصفه الأوّلي القائم به قبل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تأثير كلّ في الآخر فرع لقابليّة المحلّ للتأثّر و هو باطل، لتشاغل كلّ قبل انعقاد جهة التأثير بما لو كان الآخر مؤثّرا فيه لكان هو أثره، مع أنّ حقيقة التأثير هنا ترجع إلى اكتساب الوصف بالمجاورة، و لا اكتساب إلاّ في موضع الحاجة و لا حاجة إلاّ للفاقد، مع أنّ تأثير كلّ في الآخر إمّا أن يكون بزيادة على ما فيه من الوصف أو بنقيصة عمّا كان فيه و لا سبيل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الزيادة إمّا أن تأتي من الخارج و المفروض خلافه، أو من قبل نفس المؤثّر و المفروض أنّه 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النقص في الوصف ممّا لا يتأتّى إلاّ باستيلاء الوصف المخالف، و لا مخالفة بينهما في الوصف على 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التغيّر في الصورة المفروضة بحسب الواقع على نحو يكون مستورا عن الحسّ ممّا لا يمكن تعقّله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قضيّة أشدّيّة وصف النجس بالقياس إلى وصف الماء أن يتأثّر به الماء لا محالة بحدوث زيادة ما في وصفه، إذ المفروض كون النجس بحسب المقدار بحيث لو لا المانع عن ظهور أثره لأثّر و ظهر الأثر، و لا ريب أنّ الزيادة لا مانع من حصولها لقابليّة المحلّ مع وجود المقتضي فوجب حصولها و هي مع ذلك محسوسة، و إن تعذّر امتيازها عن المزيد عليه، و لعلّ كلام أهل القول بالتنجّس ناظر إلى تلك الصورة، و إن كان ممّا لا يساعد عليه إطلاقهم، و لا يلائمه التصريح بأنّ التغيّر و إن </w:t>
      </w:r>
    </w:p>
    <w:p>
      <w:pPr>
        <w:pStyle w:val="BookText"/>
        <w:rPr/>
      </w:pPr>
      <w:r>
        <w:rPr>
          <w:rFonts w:ascii="Amiri" w:hAnsi="Amiri" w:eastAsia="Amiri" w:cs="Amiri"/>
          <w:color w:val="111111"/>
          <w:sz w:val="28"/>
          <w:sz w:val="28"/>
          <w:szCs w:val="28"/>
          <w:rtl w:val="true"/>
          <w:lang w:bidi="ar-SA"/>
        </w:rPr>
        <w:t>كان تحقيقيّا غير أنّه مستور عن الحسّ، فإنّ قضيّة الفرض كونه محسوسا أيضا، نعم إنّما يخفى على نظر الحسّ امتياز ما حصل عمّا كان، إلاّ أن يحمل كلامهم في دعوى المستوريّة على إرادة هذا المعنى، فلو تمّ هذا كلّه خرج أصل النزاع لفظيّا، إذ لا نظنّ أنّ القائلين بعدم التنجّس ينكرونه في تلك الصورة أيضا، و كأنّهم إنّما ينكرونه في الصورة المتقدّمة و إن كان لا يساعد عليه إطلاقهم أيضا، لكن لنا في أصل الحكم هنا بالنجاسة تأمّلا يأتي الإشارة إليه و إلى وجهه في ذيل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الفرض أن يؤثّر الماء في تطهير النجس، لأنّ التغيّر إنّما يحدث فيه بطروّ الزيادة في وصفه لا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نعقل في تلك الصورة تغيّرا، بل الّذي نعقله أنّه ضعف بذلك من الماء تغيّره السابق، لا أنّه زيد على تغيّره السابق تغيّرا آخر، إلاّ أن يكتفى به في الحكم بالتنجّس،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حصل من الضعف في وصف الماء نحو من التغيّر فيشمله إطلاق الأدلّة و عمومها، و هو كما ترى خروج عن السداد، و عدول عن قانون الاجتهاد، لكون الأدلّة ظاهرة كالنصّ في اعتبار الأمر الوجودي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انيط به الحكم، كما هو معلوم للناظر المنصف، من غير إشارة فيها إلى اعتبار الأمر العدمي أيضا، كيف و أنّ زوال التغيّر في إيجابه التنجّس يعدّ من شرائط التطهير و مقدّماته فيكون لضعفه أيضا مدخليّة في ذلك، و معه كيف يعقل موجبا للتنجّس في موضع قيام الطهارة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فنتيجة الكلام أنّ تقدير التغيّر ممّا لا حكم له في الشريعة في شيء من صور المسألة، سواء كان في موضع موافقة النجس للماء في الصفات، أو في موضع موافقة الماء 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أو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النجس، ما لم يحدث بسبب التداخل و الامتزاج زيادة في تغيّره السابق على ورود النجس عليه أو وروده على النجس، و معه يخرج الفرض عن قاعدة التقدير حسبما قرّروها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عرفته عن المشارق</w:t>
      </w:r>
      <w:r>
        <w:rPr>
          <w:rStyle w:val="FootnoteAnchor"/>
          <w:rtl w:val="true"/>
        </w:rPr>
        <w:footnoteReference w:id="280"/>
      </w:r>
      <w:r>
        <w:rPr>
          <w:rFonts w:ascii="Amiri" w:hAnsi="Amiri" w:eastAsia="Amiri" w:cs="Amiri"/>
          <w:color w:val="111111"/>
          <w:sz w:val="28"/>
          <w:sz w:val="28"/>
          <w:szCs w:val="28"/>
          <w:rtl w:val="true"/>
          <w:lang w:bidi="ar-SA"/>
        </w:rPr>
        <w:t xml:space="preserve">من الفرق في صورة موافقة الماء للنجس في الصفات بين ما لو كانت الصفات أصليّة و ما لو كانت عارضيّة فلا نعقل وجهه، إلاّ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 على توهّم كون المقتضي لتنجّس الماء إنّما هو قابليّة النجاسة للتأثير فيه من حيث تغيير صفاته لا فعليّة التأثير خاصّة، و القابليّة إنّما تحصل لها في ماء يكون صفاته الأصليّة مخالفة لصفاتها، حتّى توجب تغيّرها و انقلابها إلى صفاتها، و قد حصلت هذه في فرض كون صفاته عارضيّة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 يرجع إلى أنّ مخالفة الصفات الأصليّة للماء لصفات النجاسة شرط مقوّم للمؤثّر، مأخوذ في ماهيّته من حيث المؤثّرية، و الموافقة مانع عن التأثير فعلا لا أنّ عدمها مأخوذ في قوام المؤثّر، فمن هنا ينشأ الفرق بين الصورتين من حيث إنّ المفقود في إحداهما إنّما هو نفس المؤثّر و في الاخرى تأثيره الفعلي، و فقدان الأوّل ملزوم لفقد المقتضي للتنجّس و هو قابليّة التأثير؛ ضرورة أنّ ما لا يكون مؤثّرا تامّا لا يكون قابلا للتأثير، بخلاف فقدان الثاني فإنّه لا ينافي تحقّق القابليّة، و المفروض أنّها المقتضية للتنجّس دون 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إن اريد استفادته عن أخبار الباب أو كلام الأصحاب فلا شاهد عليه، و إلاّ فلا 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حجّة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التأثير المقدّر على النهج المذكور لا يكون إلاّ مع أثر للنجاسة صالح للتغيير لو فرض، و هذا الأثر ممّا يجب إزالته في تطهير الماء لو فرض تغيّره حسّا بنجاسة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أخبار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مؤثّر للتنجيس أيضا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التفكيك بين مقدّمتي الدليل و عدم ارتباط إحداهما بالاخرى، و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يجب إزالته في تطهير الماء على فرض تغيّره حسّا بنجاسة اخرى إنّما هو أثر النجاسة الفعلي الحاصل في الماء، المعبّر عنه بالتغيّر، فذلك يكشف عن أنّ المؤثّر في تنجيسه أيضا أثرها الفعلي الحاصل فيه حسّا، دون ما هو صالح للحصول و لم يحصل فعلا، و إلاّ لفاتت الملازمة بين ما يجب إزالته و ما هو المؤثّر في التنجيس، و معه لا نتيجة للقياس، و كون تقدير التأثير عند القائلين بالتقدير دائرا مدار أثر النجاسة صالح للتغيير لو فرض لا يقضي بكون المؤثّر في التنجيس هو الأثر الصالح للتغيير، إلاّ إذا ثبت اعتبار التقدير في الشريعة كيف و لم يثبت، هذا مع ما يظهر </w:t>
      </w:r>
    </w:p>
    <w:p>
      <w:pPr>
        <w:pStyle w:val="BookText"/>
        <w:rPr/>
      </w:pPr>
      <w:r>
        <w:rPr>
          <w:rFonts w:ascii="Amiri" w:hAnsi="Amiri" w:eastAsia="Amiri" w:cs="Amiri"/>
          <w:color w:val="111111"/>
          <w:sz w:val="28"/>
          <w:sz w:val="28"/>
          <w:szCs w:val="28"/>
          <w:rtl w:val="true"/>
          <w:lang w:bidi="ar-SA"/>
        </w:rPr>
        <w:t>من الأدلّة أنّ المؤثّر في التنجيس إنّما هو حصول الأثر فعلا لا كونه صالحا للحصول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جميع ذلك، فقد يتوجّه المنع إلى الفرق بين ما لو كان المانع عن حصول الأثر فعلا هو الصفات الأصليّة للماء أو الصفات العارضيّة، فإنّ الصفات الأصليّة إنّما هي أصليّة من جهة أنّها ليست من طواري الشخص، و إلاّ فهي بالنظر إلى الماهيّة النوعيّة عارضيّة أيضا، فوجب اعتبار التقدير بالإضافة إليها أيضا و الفارق لا يصلح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زالت الصفة أوّلا بالنجاسة ثمّ ورد عليه الطاهر المغيّر لو لا سبق النجاسة فلا إشكال في النجاسة فكذلك العكس، لأنّا نعلم أنّ زوالها بالطاهر أوّلا لا يوجب قوّة للماء، لو لم يوجب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ندري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جامع يتمّ و بأيّ طريق يستقيم، و هو مع ذلك يقتضي ما يضادّ المطلوب، إذ كما أنّ ورود الطاهر عليه في المقيس عليه الّذي من شأنه التغيير لو لا سبق النجاسة لا يؤثّر في زوال النجاسة الحاصلة بزوال الصفة الأصليّة بالنجاسة، فكذلك يجب أن لا يكون ورود النجاسة الّتي من شأنها التغيير لو لا سبق طاهر عليها مؤثّرا في زوال الطهارة الأصليّة الثابتة للماء، بل هو أولى بعدم التأثير؛ لوضوح الفرق بين ما كان أصليّا و ما كان عارضيّا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العلم بأنّ زوال الصفة بالطاهر أوّلا لا يوجب قوّة للماء مسلّمة، و لكنّه يوجب قيام ما يزاحم النجاسة الواردة في اقتضائها التنجّس من جهة إناطة تأثيرها فيه بإيراث وصفها في الماء، فبذلك يظهر الفرق بين المقيس و المقيس عليه، فإنّ النجاسة في الثاني صادفت محلاّ فارغا عمّا يزاحمها في التأثير، و ورود الطاهر عقيبها ليس ممّا يترتّب عليه أثر بعد ما أثّرت النجاسة أثرها، بخلاف الأوّل فإنّها إنّما صادفت محلاّ مشغولا بما يزاحمها في إيراث ما عليه مدار تأثيرها في التنجّس حسبما اقتضته الدلالة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القي في الماء طاهر و نجس بحيث استند تغيّره إليهما معا، و كان النجس بنفسه صالحا للتغيير فهذا الماء نجس قطعا، و لا وجه لذلك إلاّ وقوع ما هو صالح لتغييره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القطع بالنجاسة في الصورة المفروضة، و منع تأثير النجاسة في التنجّس ما لم تكن علّة تامّة للتغيّر كما سبق وجهه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 كون الموجب للنجاسة في الصورة المفروضة مجرّد وقوع ما يصلح للتغيير، بل هو مع التأثير فيه في الجملة و لو بعنوان الجزئيّة، و لا ريب أنّ هذا المعنى ليس بموجود في مفروض المسألة و إلاّ ارتفع النزاع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وقوع نجاسة مغيّرة إلى صفة، ثمّ وقوع نجاسة مغيّرة عنها إلى اخرى فالماء نجس يقينا، و لا وجه لمنع كون التغيّر الثاني غير مندرج في التغيّر المعتبر الواجب إزالته في التطهير، و المفروض أنّ النجاسة الثانية لم تغيّر صفة الماء المذكور في النصّ و الفتوى، و لذا لا يكفي إعادة الصفة لو فرض إمكانها، فتعيّن اعتبار الصفة الذاتيّة للماء و تقدير وقوع النجاسة حال وجودها إن وردت حال زوالها، و جعل توارد المغيّر بمنزلة توارد الناقض، فإذا توارد طاهر و نجس أثّر النجس أثره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الخلط بين المسألتين، و اشتباه موضوع إحداهما بموضوع الاخرى، فإنّ وجوب التطهير حكم آخر غير ما نحن بصدده، و موضوعه إنّما هو وجود أثر النجاسة في الماء من غير فرق بين كونه هو الرافع لصفة الماء أو رافعا الرافع صفته، و لا بين كونه هو الموجب لتنجّس الماء أو أنّ الموجب غيره، و هو وارد عليه على سبيل التعاقب مصادف محلاّ غير قابل للتنجّس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النجس لا ينجّس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كون إزالة الصفة الثانية معتبرة في التطهير كونها هي المغيّرة لصفة الماء، و لا كونها هي المقتضية لتنجّسه، بل اعتبار إزالتها إنّما هو من جهة أنّ عدمها مأخوذ في التطهير، و وجودها مانع عن حصول أثره و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نظائر الفرض، فإنّها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أحدث المتطهّر و نقض طهارته بحدث كالبول مثلا، ثمّ صيّر نفسه سكران بشرب الخمر و نحوه، فإنّه حينئذ لو أخذ بالوضوء و هو سكران لا ينفعه ذلك و لو كرّره بألف مرّة، بل يعتبر في حصول الطهارة حينئذ زوال حالة السكر عنه جزما، و ليس ذلك إلاّ من جهة أنّ وجود السكر كما أنّه رافع للطهارة فيما لو لم يسبقه رافع آخر، فكذلك مانع عن حصولها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 كونه ناقضا للطهارة الحدثيّة بل الخبثيّة أيضا ليس إلاّ من جهة أنّه في حدّ ذاته معاند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البيّن أنّ المعاند للشيء كما أنّه يعانده في بقائه فيكون رافعا له، فكذلك يعانده في حدوثه فيكون دافعا، فنواقض الوضوء بأجمعها قد يلحقها وصف الرفع و قد يلحقها وصف الدفع، و كذلك الأسباب الموجبة لتنجّس الماء و غيره من الأشياء الطاهرة، فإنّها قد تكون رافعة للطهارة و قد تكون دافعة عنها، و ليس ذلك إلاّ من جهة ما فيها من منافاتها الطهارة بقاء و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كون زوال صفة النجاسة عن الماء شرطا في تطهيره، سواء كانت نجاسته مستندة إلى تلك الصفة الموجودة أو إلى غيرها ممّا هي واردة عليه قائمة مقامه على وجه البدليّة، و لا يتولّد من تلك ما ينافي مدّعانا من أنّ المعتبر في تنجيس الماء إنّما هو وجود أثر النجاسة فيه فعلا، و لا يكفي فيه قابليّة الوجود، كما لا يلزم منه كون كلّ أثر موجود فعلا لا بدّ و أن يكون موجبا للتنجّس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رحمه اللّه تعالى في إثبات مطلوبه لا ربط له بالمقام أصلا، و لا أنّه معارض لمفروض المسألة، و لا مقابل له و لا شبيه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مناسبة ما فيما لو قلنا بعدم التنجّس إذا وقع في الماء طاهر مغيّر له إلى صفة، ثمّ وقع نجس مغيّر له عن تلك الصفة إلى صفة اخرى و هو كما ترى ممّا لا نقول فيه بعدم التنجّس، و لا أنّه قال به أحد ممّن يحفظ عنه العلم، لتحقّق ما هو مناط التنجّس فيه، و هو حصول أثر النجاسة في الماء فعلا و تغيّره به من صفة إلى اخرى، إذ لم يعتبر في التغيّر الموجب لتنجّس الماء كونه حاصلا في صفاته الأصليّة، بل يكفي فيه لو كان حاصلا في الصفات العارضيّة أيضا، غير أنّ ذلك ممّا لا مدخل له في محلّ البحث أصلا، بل و لو قلنا فيه بعدم التنجّس لما كان فيه بعد إذا ساعدنا عليه القواعد، كأن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الصفة المضافة إلى الماء الّتي تغيّرها النجاسة في تعليق الحكم بالتنجّس عليه ظاهرة في الصفة الأصليّة، كما يعترف به المستدلّ بعد ذلك في ثامن أدلّته فلا يشملها أدلّة الباب، و غايته الشكّ في الشمول فيرجع معه إلى الاصول المقتضية للطهارة و عدم النجاسة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تغيّر الماء بطاهر أحمر، ثمّ بالدم ثمّ صفا الماء عن حمرة الطاهر فظهر لون الدم، فإنّ الماء نجس قطعا، و لا وجه له إلاّ ما قلنا، لعدم بقاء عين النجاسة حين ظهور صفتها، و عدم تجدّد تأثيرها في الماء، فيلزم الحكم بتنجيسها من حين وقوعها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قيام الأثر المؤثّر في التنجّس في تأثيره بعين النجاسة حين التأثير، بل المعتبر حصوله فعلا مع استناده إلى عين النجاسة الواقعة في الماء، سواء بقيت معه حين تأثيره في التنجّس أم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يستفاد من أدلّة الباب هو أنّ المؤثّر في نجاسة الماء ليس هو عين النجاسة و لو عارية عن أثرها، و لا أثرها كيفما اتّفق حتّى بالمجاورة، بل هو العين بشرط كونها مستتبعة لأثرها في الماء حسّا، أو هو الأثر بشرط استناده إلى وقوع العين فيه، و أمّا اشتراط بقائها حين تأثير ذلك الأثر أثره فلم يقم عليه من الشرع دلالة، فينفي احتماله بإطلاق الأدلّة المعطية إيّاه كونه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القي في الماء طاهر أحمر حتّى استعدّ لأن يحمرّ بقليل من الدم، فالقي فيه فتغيّر، فلا سبيل إلى الحكم بنجاسته كما هو ظاهر، فعلم أنّ الملحوظ في نظر الشارع حال الماء قبل حدوث الطواري، فلا عبرة بتغيّره بإعداد الطوارئ و لا بعدمه لمنعها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داخل في جزئيّات ما فرضناه في الفرع الأوّل، لأنّ مرجعه إلى فرض كون الحمرة الناشئة من الدم جزء لعلّة التنجّس، غايته أنّه هنا جزء أخير منها، و قد تبيّن حكمه من حيث عدم إيجابه الحكم بنجاسة الماء معه، و لكنّه لا يكشف عمّا ذكر في متن الدليل، بل غايته الكشف عن كون العبرة في الموجب لتنجّس الماء في نظر الشارع بما لو كانت النجاسة علّة تامّة للتغيّر، و لا يكفي فيه كونه جزءا للعلّة، و لا يلزم من ذلك أن لا يكون في نظره عبرة بعدم الطواري، نظرا إلى أنّه لولاه كانت الطواري مانعة عن تأثّر الماء و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استفيد من مجموع أخبار الباب اعتبار الصفات الثلاث، كذلك المحصّل منها بعد الجمع بينها أنّ المعتبر في طهارة الماء غلبته على النجاسة و قهره لصفاتها، بحيث لا يوجد شيء منها في الماء على وجه يصلح لتغييره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استفادة هذا المعنى من الأخبار، بل الّذي يستفاد منها بعد الجمع و إعمال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العبرة في التنجيس بغلبة صفة النجاسة على صفة الماء إذا كانت من الثلاث المذكورة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بين المغيّر للماء أو ما هو صالح للتغيير و بين كونه غالبا على </w:t>
      </w:r>
    </w:p>
    <w:p>
      <w:pPr>
        <w:pStyle w:val="BookText"/>
        <w:rPr/>
      </w:pPr>
      <w:r>
        <w:rPr>
          <w:rFonts w:ascii="Amiri" w:hAnsi="Amiri" w:eastAsia="Amiri" w:cs="Amiri"/>
          <w:color w:val="111111"/>
          <w:sz w:val="28"/>
          <w:sz w:val="28"/>
          <w:szCs w:val="28"/>
          <w:rtl w:val="true"/>
          <w:lang w:bidi="ar-SA"/>
        </w:rPr>
        <w:t>الماء إن اريد به الغلبة بحسب الكمّ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اريد به الغلبة بحسب الكيف فاستفادة اعتبارها من الأخبار مسلّمة، و لكنّه ينافي ظاهر الدليل و ما هو غرض المستدلّ، لرجوعه إلى مختارنا من كون العبرة في التنجيس بوجود الصفة فعلا؛ إذ لا معنى للغلبة بدونه و شأنيّة الغلبة ليست من الغلبة في شيء، فإنّ أحكام الشرع واردة على الموضوعات المحقّقة، و لا ريب أنّ فرض التحقّق لا يحقّق الموضوع، و لا يجدي نفعا في ترتّب الحكم عليه ما لم يتحقّق هو بنفسه في الخارج، فتدبّر حتّى لا يختلط عليك الأمر فيما ذكرنا و ما هو المقرّر في محلّه من تعلّق أحكام الشرع بالطبائع من حيث هي دون أفرادها الموجودة في الخارج، إذ لا منافاة بين الكلامين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السببيّة للتنجيس إنّما تعلّق بماهيّة الغلبة و مفهومها مع قطع النظر عن أفرادها الخارجيّة، و هي ظاهرة في الفعليّة دون ما يعمّها و الشأنيّة، فأفرادها الموجودة في الخارج الّتي يترتّب عليها النجاسة فعلا، إنّما هي الصفات الحاصلة من النجاسة في الماء فعلا، و لا يندرج فيها ما هو صالح للحصول و لم يحصل بعد، ففرض الحصول في حقّه لا يصلح محقّقا للحصول، حتّى يندرج المفروض في أفراد ما هو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يعتبر في النجاسة إلاّ صفاتها الأصليّة المستندة إليها لا صفاتها العارضيّة المستندة إلى غيرها و إن كانت هي الموجودة بالفعل، فلا تكون معتبرة في صفات الماء أيضا، لدلالة الإضافة على اعتبار الحيثيّة في الموضعين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هذا الدليل شيء لا يرتبط بالمبحوث عنه أصلا، فإنّ أقصى ما يدلّ عليه أنّ النجاسة لو غيّرت من الماء صفاته العارضيّة المستندة إلى الخارج لا تكون مؤثّرة في انفعاله، لدلالة إضافة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تغيّرها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الماء على الصفة الأصليّة، كما أنّ الظاهر من الصفة المضافة إلى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كونها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الأصليّة، فلو استند التغيير إلى صفتها العارضيّة كما لو القي شيء من الزعفران في البول الصافي، فالقي البول في الماء فأثّر فيه بإيراثه الصفرة فيه لا يكون موجبا للانفعال، و كلّ من ذلك كما ترى مطلب آخر خارج عن المسألة، و قد تعرّضنا لبعضه سابقا، و لعلّنا نتعرّض له و لغيره تفصيلا فيما بعد ذلك عن قريب إن شاء اللّه، فبناء المسألة على اعتبار الصفات الأصليّة و استظهار </w:t>
      </w:r>
      <w:bookmarkStart w:id="90" w:name="pg16144_233031"/>
    </w:p>
    <w:p>
      <w:pPr>
        <w:pStyle w:val="BookText"/>
        <w:rPr/>
      </w:pPr>
      <w:bookmarkEnd w:id="90"/>
      <w:r>
        <w:rPr>
          <w:rFonts w:ascii="Amiri" w:hAnsi="Amiri" w:eastAsia="Amiri" w:cs="Amiri"/>
          <w:color w:val="111111"/>
          <w:sz w:val="28"/>
          <w:sz w:val="28"/>
          <w:szCs w:val="28"/>
          <w:rtl w:val="true"/>
          <w:lang w:bidi="ar-SA"/>
        </w:rPr>
        <w:t>ذلك عن أخبار الباب لا يجدي نفعا في مطلوبه، بعد ملاحظة ما استظهرناه منها من كون العبرة في حكم نجاسة الماء بتأثّره فعلا عن النجاسة المفقود في موضع البحث</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804404_1280447820"/>
      <w:bookmarkStart w:id="92" w:name="_Toc33"/>
      <w:bookmarkEnd w:id="91"/>
      <w:r>
        <w:rPr>
          <w:rtl w:val="true"/>
        </w:rPr>
        <w:t>و لنختم المقام بإيراد فروع</w:t>
      </w:r>
      <w:r>
        <w:rPr>
          <w:rtl w:val="true"/>
        </w:rPr>
        <w:t>:</w:t>
      </w:r>
      <w:bookmarkEnd w:id="92"/>
    </w:p>
    <w:p>
      <w:pPr>
        <w:pStyle w:val="Heading6"/>
        <w:numPr>
          <w:ilvl w:val="5"/>
          <w:numId w:val="1"/>
        </w:numPr>
        <w:rPr/>
      </w:pPr>
      <w:bookmarkStart w:id="93" w:name="__RefHeading___Toc1804406_1280447820"/>
      <w:bookmarkStart w:id="94" w:name="_Toc34"/>
      <w:bookmarkEnd w:id="93"/>
      <w:r>
        <w:rPr>
          <w:rtl w:val="true"/>
        </w:rPr>
        <w:t>الأوّل</w:t>
      </w:r>
      <w:r>
        <w:rPr>
          <w:rtl w:val="true"/>
        </w:rPr>
        <w:t xml:space="preserve">: </w:t>
      </w:r>
      <w:r>
        <w:rPr>
          <w:rtl w:val="true"/>
        </w:rPr>
        <w:t>بناء على وجوب التقدير، إن علم في الوصف المسلوب عن النجاسة بحالته الخاصّة الّتي سلب على تلك الحالة من الأشدّيّة و الأضعفيّة و ما يتوسّط بينهما</w:t>
      </w:r>
      <w:bookmarkEnd w:id="94"/>
    </w:p>
    <w:p>
      <w:pPr>
        <w:pStyle w:val="BookText"/>
        <w:rPr/>
      </w:pPr>
      <w:r>
        <w:rPr>
          <w:rFonts w:ascii="Amiri" w:hAnsi="Amiri" w:eastAsia="Amiri" w:cs="Amiri"/>
          <w:color w:val="111111"/>
          <w:sz w:val="28"/>
          <w:sz w:val="28"/>
          <w:szCs w:val="28"/>
          <w:rtl w:val="true"/>
          <w:lang w:bidi="ar-SA"/>
        </w:rPr>
        <w:t>تعيّن تقديره على تلك الحالة، فيرتّب عليه الحكم كائنا ما كان، و إلاّ ففي وجوب اعتبار الأشدّ رعاية لجانب الاحتياط أو الأوسط أخذا بالغالب، أو الأضعف ترجيحا لجانب الأصل المقتضي للطهارة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ظاهر العلاّمة و الشهيد في نهاية الإحكام</w:t>
      </w:r>
      <w:r>
        <w:rPr>
          <w:rStyle w:val="FootnoteAnchor"/>
          <w:rtl w:val="true"/>
        </w:rPr>
        <w:footnoteReference w:id="281"/>
      </w:r>
      <w:r>
        <w:rPr>
          <w:rFonts w:ascii="Amiri" w:hAnsi="Amiri" w:eastAsia="Amiri" w:cs="Amiri"/>
          <w:color w:val="111111"/>
          <w:sz w:val="28"/>
          <w:sz w:val="28"/>
          <w:szCs w:val="28"/>
          <w:rtl w:val="true"/>
          <w:lang w:bidi="ar-SA"/>
        </w:rPr>
        <w:t>و الذكرى</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في الحدائق</w:t>
      </w:r>
      <w:r>
        <w:rPr>
          <w:rStyle w:val="FootnoteAnchor"/>
          <w:rtl w:val="true"/>
        </w:rPr>
        <w:footnoteReference w:id="283"/>
      </w:r>
      <w:r>
        <w:rPr>
          <w:rFonts w:ascii="IRNazanin" w:hAnsi="IRNazanin" w:eastAsia="IRNazanin"/>
          <w:color w:val="111111"/>
          <w:sz w:val="28"/>
          <w:sz w:val="28"/>
          <w:szCs w:val="28"/>
          <w:rtl w:val="true"/>
          <w:lang w:bidi="fa-IR"/>
        </w:rPr>
        <w:t>و جامع المقاصد</w:t>
      </w:r>
      <w:r>
        <w:rPr>
          <w:rStyle w:val="FootnoteAnchor"/>
          <w:rtl w:val="true"/>
        </w:rPr>
        <w:footnoteReference w:id="284"/>
      </w:r>
      <w:r>
        <w:rPr>
          <w:rFonts w:ascii="Amiri" w:hAnsi="Amiri" w:eastAsia="Amiri" w:cs="Amiri"/>
          <w:color w:val="111111"/>
          <w:sz w:val="28"/>
          <w:sz w:val="28"/>
          <w:szCs w:val="28"/>
          <w:rtl w:val="true"/>
          <w:lang w:bidi="ar-SA"/>
        </w:rPr>
        <w:t>على ما في عبارة محكيّة عنه، و حكي عن بعض المتأخّرين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w:t>
      </w:r>
      <w:r>
        <w:rPr>
          <w:rStyle w:val="FootnoteAnchor"/>
          <w:rtl w:val="true"/>
        </w:rPr>
        <w:footnoteReference w:id="285"/>
      </w:r>
      <w:r>
        <w:rPr>
          <w:rFonts w:ascii="Amiri" w:hAnsi="Amiri" w:eastAsia="Amiri" w:cs="Amiri"/>
          <w:color w:val="111111"/>
          <w:sz w:val="28"/>
          <w:sz w:val="28"/>
          <w:szCs w:val="28"/>
          <w:rtl w:val="true"/>
          <w:lang w:bidi="ar-SA"/>
        </w:rPr>
        <w:t>احتماله عن بعض متأخّري المتأخّرين، و يظهر الفائدة في قلّة ما يقدّر له الوصف من النجاسة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ترجيح الأخير عملا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اجتهاديّة و فقاهيّة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السليمة عمّا يصلح للمعارضة، نظرا إلى أنّ الاحتياط ليس في محلّه، و أنّ الغلبة لا عبرة بها هنا لكونها ظنّا في الموضوع الصرف</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804408_1280447820"/>
      <w:bookmarkStart w:id="96" w:name="_Toc35"/>
      <w:bookmarkEnd w:id="95"/>
      <w:r>
        <w:rPr>
          <w:rtl w:val="true"/>
        </w:rPr>
        <w:t>الثاني</w:t>
      </w:r>
      <w:r>
        <w:rPr>
          <w:rtl w:val="true"/>
        </w:rPr>
        <w:t xml:space="preserve">: </w:t>
      </w:r>
      <w:r>
        <w:rPr>
          <w:rtl w:val="true"/>
        </w:rPr>
        <w:t>عن المحقّق الثاني</w:t>
      </w:r>
      <w:r>
        <w:rPr>
          <w:rtl w:val="true"/>
        </w:rPr>
        <w:t>: «</w:t>
      </w:r>
      <w:r>
        <w:rPr>
          <w:rtl w:val="true"/>
        </w:rPr>
        <w:t>و هل يعتبر أوصاف الماء وسطا؟</w:t>
      </w:r>
      <w:bookmarkEnd w:id="96"/>
    </w:p>
    <w:p>
      <w:pPr>
        <w:pStyle w:val="BookText"/>
        <w:rPr/>
      </w:pPr>
      <w:r>
        <w:rPr>
          <w:rFonts w:ascii="Amiri" w:hAnsi="Amiri" w:eastAsia="Amiri" w:cs="Amiri"/>
          <w:color w:val="111111"/>
          <w:sz w:val="28"/>
          <w:sz w:val="28"/>
          <w:szCs w:val="28"/>
          <w:rtl w:val="true"/>
          <w:lang w:bidi="ar-SA"/>
        </w:rPr>
        <w:t>نظرا إلى شدّة اختلافها كالعذوبة و الملوحة، و الرقّة و الغلظة، و الصفاء و الكدورة فيه احتمال و لا يبعد اعتبارها؛ لأنّ له أثرا بيّنا في قبول التغيّر و عدمه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نقل ما ذكره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يكون </w:t>
      </w:r>
      <w:bookmarkStart w:id="97" w:name="pg16144_233032"/>
    </w:p>
    <w:p>
      <w:pPr>
        <w:pStyle w:val="BookText"/>
        <w:rPr/>
      </w:pPr>
      <w:bookmarkEnd w:id="97"/>
      <w:r>
        <w:rPr>
          <w:rFonts w:ascii="Amiri" w:hAnsi="Amiri" w:eastAsia="Amiri" w:cs="Amiri"/>
          <w:color w:val="111111"/>
          <w:sz w:val="28"/>
          <w:sz w:val="28"/>
          <w:szCs w:val="28"/>
          <w:rtl w:val="true"/>
          <w:lang w:bidi="ar-SA"/>
        </w:rPr>
        <w:t>الماء على الوصف القويّ، إذ لا معنى لتقديره حينئذ بما دونه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و عن بعضهم</w:t>
      </w:r>
      <w:r>
        <w:rPr>
          <w:rStyle w:val="FootnoteAnchor"/>
          <w:rtl w:val="true"/>
        </w:rPr>
        <w:footnoteReference w:id="288"/>
      </w:r>
      <w:r>
        <w:rPr>
          <w:rFonts w:ascii="Amiri" w:hAnsi="Amiri" w:eastAsia="Amiri" w:cs="Amiri"/>
          <w:color w:val="111111"/>
          <w:sz w:val="28"/>
          <w:sz w:val="28"/>
          <w:szCs w:val="28"/>
          <w:rtl w:val="true"/>
          <w:lang w:bidi="ar-SA"/>
        </w:rPr>
        <w:t>أنّه استشكله بما إذا لم يكن خارجا عن أوصافه الأصليّة، و استظهر في الجواهر من الباقين عدمه، و اختاره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أولى سيّما إذا كان الماء على صفة معلومة، إذ لا معنى لفرض عدمها لعدم المانع في اختلاف المياه في الانفعال و إن كانت فردا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من ذلك ينقدح الفرق في الماء الموافق للنجاسة في الصفة بين الصفة الأصليّة و العارضيّة، فيقدّر في الثانية دون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1804410_1280447820"/>
      <w:bookmarkStart w:id="99" w:name="_Toc36"/>
      <w:bookmarkEnd w:id="98"/>
      <w:r>
        <w:rPr>
          <w:rtl w:val="true"/>
        </w:rPr>
        <w:t>الثالث</w:t>
      </w:r>
      <w:r>
        <w:rPr>
          <w:rtl w:val="true"/>
        </w:rPr>
        <w:t xml:space="preserve">: </w:t>
      </w:r>
      <w:r>
        <w:rPr>
          <w:rtl w:val="true"/>
        </w:rPr>
        <w:t>على المختار من عدم اعتبار التقدير إن بلغ النجاسة حدّا استهلك معه الماء</w:t>
      </w:r>
      <w:bookmarkEnd w:id="99"/>
    </w:p>
    <w:p>
      <w:pPr>
        <w:pStyle w:val="BookText"/>
        <w:rPr/>
      </w:pPr>
      <w:r>
        <w:rPr>
          <w:rFonts w:ascii="Amiri" w:hAnsi="Amiri" w:eastAsia="Amiri" w:cs="Amiri"/>
          <w:color w:val="111111"/>
          <w:sz w:val="28"/>
          <w:sz w:val="28"/>
          <w:szCs w:val="28"/>
          <w:rtl w:val="true"/>
          <w:lang w:bidi="ar-SA"/>
        </w:rPr>
        <w:t>فلا إشكال في النجاسة، و إن لم يستهلك فإن لم يسلبه معه إطلاق الاسم فلا إشكال في الطهارة للأصل و الاستصحاب، و إن سلبه معه الإطلاق و لم يدخل تحت الاسم فعدم كونه مطهّرا ممّا لا إشكال فيه؛ لانتفاء المائيّة حينئذ، و في كونه طاهرا وجه رجّحه في الرياض</w:t>
      </w:r>
      <w:r>
        <w:rPr>
          <w:rStyle w:val="FootnoteAnchor"/>
          <w:rtl w:val="true"/>
        </w:rPr>
        <w:footnoteReference w:id="290"/>
      </w:r>
      <w:r>
        <w:rPr>
          <w:rFonts w:ascii="Amiri" w:hAnsi="Amiri" w:eastAsia="Amiri" w:cs="Amiri"/>
          <w:color w:val="111111"/>
          <w:sz w:val="28"/>
          <w:sz w:val="28"/>
          <w:szCs w:val="28"/>
          <w:rtl w:val="true"/>
          <w:lang w:bidi="ar-SA"/>
        </w:rPr>
        <w:t>استنادا إلى الأصل السالم عن المعارض، لتعارض الاستصحابين من الجانبين، و كأنّ مراده بالأصل أصالة الإباحة المقتضية لجواز الاستعمال فيما لا يجوز فيه استعمال النجس من أكل أو شرب أو نحوه، و بالاستصحابين استصحاب طهارة الماء و استصحاب نجاسة الخليط، و قد يقرّر الأصل بأصالة الطهارة و الاستصحابين بأصالة عدم ذهاب الإطلاق مع أصالة عدم ذهاب اسم الخليط، فإنّ كلاّ من الذهابين أمر حادث، و الأصل يقتضي تأخّر كلّ منهما عن الآخر، فيبقى أصل الطهارة سليما، إلاّ إذا كان المغيّر للماء من الأجسام الّتي علم بقاؤها بعد زوال الإطلاقيّة، فإنّ المتّجه حينئذ الحكم بالنجاسة</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804412_1280447820"/>
      <w:bookmarkStart w:id="101" w:name="_Toc37"/>
      <w:bookmarkEnd w:id="100"/>
      <w:r>
        <w:rPr>
          <w:rtl w:val="true"/>
        </w:rPr>
        <w:t>الرابع</w:t>
      </w:r>
      <w:r>
        <w:rPr>
          <w:rtl w:val="true"/>
        </w:rPr>
        <w:t xml:space="preserve">: </w:t>
      </w:r>
      <w:r>
        <w:rPr>
          <w:rtl w:val="true"/>
        </w:rPr>
        <w:t>هل المعتبر في صفات الماء الّتي يغيّرها النجاسة الصفات الأصليّة؟</w:t>
      </w:r>
      <w:bookmarkEnd w:id="1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غيّرت ما كان وصفا عارضا له حتّى عاد إلى وصفه الأصلي أو وصف ثالث لم ينجّس؟ أو لا عبرة بأصليّة الصفات فينجّس الماء بالتغيّر مطلقا؟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لظهور الإضافة الواردة في الأخبار في الاختصاص، بل ظهور ألفاظ الصفات الواردة </w:t>
      </w:r>
      <w:bookmarkStart w:id="102" w:name="pg16144_233033"/>
    </w:p>
    <w:p>
      <w:pPr>
        <w:pStyle w:val="BookText"/>
        <w:rPr/>
      </w:pPr>
      <w:bookmarkEnd w:id="102"/>
      <w:r>
        <w:rPr>
          <w:rFonts w:ascii="Amiri" w:hAnsi="Amiri" w:eastAsia="Amiri" w:cs="Amiri"/>
          <w:color w:val="111111"/>
          <w:sz w:val="28"/>
          <w:sz w:val="28"/>
          <w:szCs w:val="28"/>
          <w:rtl w:val="true"/>
          <w:lang w:bidi="ar-SA"/>
        </w:rPr>
        <w:t>فيها في الصفات الأصليّة، فإنّ الحكم معلّق على لون الماء و طعمه و رائحته، و لا شيء من الصفات العارضيّة بلون الماء و لا طعمه و لا رائحته، فلا يشمله إطلاق الأدلّة و لا عمومها، و أقلّه الشكّ في الشمول فيرجع إلى الاصول، ففي مقام التطهير يحكم بعدم المطهّريّة لاستصحاب الحالة السابقة من حدث أو خبث، و في مقام الاستعمال في مشروط بالطهارة يحكم بها استصحابا لها، و الأقوى عدم الفرق فيه بين الحكم بكونه مطهّرا أو طاهرا، للأصل المستفاد من العمومات حسبما تقدّم، فإنّ كلاّ من الأمرين يدوران على المائيّة و النجاسة إن كانت مانعة، و حيث لم تكن يرتّب عليه أحكام الماء مطلقة، لصدق الاسم و عدم قيام المانع</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804414_1280447820"/>
      <w:bookmarkStart w:id="104" w:name="_Toc38"/>
      <w:bookmarkEnd w:id="103"/>
      <w:r>
        <w:rPr>
          <w:rtl w:val="true"/>
        </w:rPr>
        <w:t>الخامس</w:t>
      </w:r>
      <w:r>
        <w:rPr>
          <w:rtl w:val="true"/>
        </w:rPr>
        <w:t xml:space="preserve">: </w:t>
      </w:r>
      <w:r>
        <w:rPr>
          <w:rtl w:val="true"/>
        </w:rPr>
        <w:t>بما قرّرناه من الفرع يعلم الحال فيما لو لم يكن النجاسة باقية على وصفها الأصلي،</w:t>
      </w:r>
      <w:bookmarkEnd w:id="104"/>
    </w:p>
    <w:p>
      <w:pPr>
        <w:pStyle w:val="BookText"/>
        <w:rPr/>
      </w:pPr>
      <w:r>
        <w:rPr>
          <w:rFonts w:ascii="Amiri" w:hAnsi="Amiri" w:eastAsia="Amiri" w:cs="Amiri"/>
          <w:color w:val="111111"/>
          <w:sz w:val="28"/>
          <w:sz w:val="28"/>
          <w:szCs w:val="28"/>
          <w:rtl w:val="true"/>
          <w:lang w:bidi="ar-SA"/>
        </w:rPr>
        <w:t>و كان التغيير القائم بها مستندا إلى وصفها العارضي، كما لو القي فيها و هو بول صافي شيء من الزعفران، فإذا القيت في الماء أورثت فيه لون الزعفران أو رائحته و هي باقية على اسم البول، فقضيّة الأصل المذكور بقاؤه على كونه طاهرا و مطهّرا، مع اعتضاده في الأوّل باستصحاب الحالة السابقة</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804416_1280447820"/>
      <w:bookmarkStart w:id="106" w:name="_Toc39"/>
      <w:bookmarkEnd w:id="105"/>
      <w:r>
        <w:rPr>
          <w:rtl w:val="true"/>
        </w:rPr>
        <w:t>السادس</w:t>
      </w:r>
      <w:r>
        <w:rPr>
          <w:rtl w:val="true"/>
        </w:rPr>
        <w:t xml:space="preserve">: </w:t>
      </w:r>
      <w:r>
        <w:rPr>
          <w:rtl w:val="true"/>
        </w:rPr>
        <w:t>إذ قد عرفت أنّ المعتبر في تنجيس الماء تغيّر وصفه المستند إلى وصف النجاسة الواقعة لا مطلقا،</w:t>
      </w:r>
      <w:bookmarkEnd w:id="106"/>
    </w:p>
    <w:p>
      <w:pPr>
        <w:pStyle w:val="BookText"/>
        <w:rPr/>
      </w:pPr>
      <w:r>
        <w:rPr>
          <w:rFonts w:ascii="Amiri" w:hAnsi="Amiri" w:eastAsia="Amiri" w:cs="Amiri"/>
          <w:color w:val="111111"/>
          <w:sz w:val="28"/>
          <w:sz w:val="28"/>
          <w:szCs w:val="28"/>
          <w:rtl w:val="true"/>
          <w:lang w:bidi="ar-SA"/>
        </w:rPr>
        <w:t>ففي كون المعتبر في تأثير وصف النجاسة فيه وجود العين و بقاؤها حين تأثير الوصف و عدمه وجهان؛ لعدم ثبوت اشتراط وجود العين حين تأثير الوصف بدلالة الشرع عليه، فالأصل يقتضي عدم الشرطيّة؛ و لأنّ احتمال الاشتراط محقّق لموضوع أصل الطهارة، و موجب للشكّ في اندراج المقام في أدلّة الباب و لازمه الرجوع إلى الاصول، نظرا إلى أنّه لم يعلم من تلك الأدلّة إطلاق بحيث أوجب شمولها المقام و هذا أقرب،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804418_1280447820"/>
      <w:bookmarkStart w:id="108" w:name="_Toc40"/>
      <w:bookmarkEnd w:id="107"/>
      <w:r>
        <w:rPr>
          <w:rtl w:val="true"/>
        </w:rPr>
        <w:t>السابع</w:t>
      </w:r>
      <w:r>
        <w:rPr>
          <w:rtl w:val="true"/>
        </w:rPr>
        <w:t xml:space="preserve">: </w:t>
      </w:r>
      <w:r>
        <w:rPr>
          <w:rtl w:val="true"/>
        </w:rPr>
        <w:t>إذا كانت النجاسة في صورة موافقة الماء لها في الصفات أشدّ وصفا من الماء،</w:t>
      </w:r>
      <w:bookmarkEnd w:id="1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لو القيت فيه لأوجبت زيادة في وصفه الأوّلي العارضي، ففي كون ذلك من التغيّر المقتضي لنجاسة الماء و عدمه وجهان، منشؤهما الشكّ في أنّ حدوث الزيادة في الوصف العارضي للماء هل هو تغيّر له في وصفه الأصلي حتّى يندرج في أدلّة المسألة، أو تغيّر في وصفه العارضي حتّى يخرج عن تلك الأدلّة بضابطة ما قدّمنا ذكره</w:t>
      </w:r>
      <w:r>
        <w:rPr>
          <w:rFonts w:eastAsia="Amiri" w:cs="Amiri" w:ascii="Amiri" w:hAnsi="Amiri"/>
          <w:color w:val="111111"/>
          <w:sz w:val="28"/>
          <w:szCs w:val="28"/>
          <w:rtl w:val="true"/>
          <w:lang w:bidi="ar-SA"/>
        </w:rPr>
        <w:t xml:space="preserve">. </w:t>
      </w:r>
      <w:bookmarkStart w:id="109" w:name="pg16144_233034"/>
    </w:p>
    <w:p>
      <w:pPr>
        <w:pStyle w:val="Heading6"/>
        <w:numPr>
          <w:ilvl w:val="5"/>
          <w:numId w:val="1"/>
        </w:numPr>
        <w:rPr/>
      </w:pPr>
      <w:bookmarkStart w:id="110" w:name="__RefHeading___Toc1804420_1280447820"/>
      <w:bookmarkStart w:id="111" w:name="_Toc41"/>
      <w:bookmarkEnd w:id="109"/>
      <w:bookmarkEnd w:id="110"/>
      <w:r>
        <w:rPr>
          <w:rtl w:val="true"/>
        </w:rPr>
        <w:t>الثامن</w:t>
      </w:r>
      <w:r>
        <w:rPr>
          <w:rtl w:val="true"/>
        </w:rPr>
        <w:t xml:space="preserve">: </w:t>
      </w:r>
      <w:r>
        <w:rPr>
          <w:rtl w:val="true"/>
        </w:rPr>
        <w:t>لو تغيّر الماء في أحد أوصافه بطاهر لم يخرج عن حكمه الأصلي</w:t>
      </w:r>
      <w:bookmarkEnd w:id="111"/>
    </w:p>
    <w:p>
      <w:pPr>
        <w:pStyle w:val="BookText"/>
        <w:rPr/>
      </w:pPr>
      <w:r>
        <w:rPr>
          <w:rFonts w:ascii="Amiri" w:hAnsi="Amiri" w:eastAsia="Amiri" w:cs="Amiri"/>
          <w:color w:val="111111"/>
          <w:sz w:val="28"/>
          <w:sz w:val="28"/>
          <w:szCs w:val="28"/>
          <w:rtl w:val="true"/>
          <w:lang w:bidi="ar-SA"/>
        </w:rPr>
        <w:t xml:space="preserve">من الطهارة و المطهّريّة ما دام باقيا على إطلاق اسم المائيّة، دون ما إذا خرج عن الإطلاق، فإنّه حينئذ و إن كان طاهرا ما لم يصبه ما أوجب تنجّسه، إلاّ أنّه خرج عن حكم المطهّريّة، و كلّ ذلك في مرتبة الوضوح بحيث لا يحتاج إلى الاحتجاج، و عن المحقّق في المعتبر تصريح بما ذكرناه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مازج المطلق طاهر فغيّر أحد أوصافه لم يخرج بالتغيير عن التطهير ما لم يسلبه إطلاق اسم الماء، سواء كان ممّا لا ينفكّ عنه الماء كالتراب و الطحلب و الكبريت و ورق الشجر، أو ممّا ينفكّ كالدقيق و السويق، أو من المائعات كاللبن و ماء الورد و الأدهان كالبرز و الزيت، أو ممّا يجاوره و لا يشيع فيه كالعود و المسك؛ لأنّ جواز التطهير منوط بالمائيّة و هي موجودة فيه؛ و لأنّ أسقية الصحابة الأدم و هي لا تنفكّ عن الدباغ المغيّر للماء غالبا و لم يمنع منها؛ و لأنّ الماء لرطوبته و لطافته ينفعل بالكيفيّات الملائمة، فلو خرج بتغيّر أحد الأوصاف عن التطهير لعسرت الطهارة؛ و لأنّه لا يكاد ينفكّ عن التكيّف برائحة الإناء</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 يقرب من ذلك ما ذكره غير واحد من الأصحاب، منهم الشهيد في الذكرى</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قياس ما ذكرناه ما لو تغيّر الماء من قبل نفسه لطول مدّة مكثه فإنّه إن بقي على إطلاق اسمه عليه كان طاهرا مطهّرا، و إلاّ خرج عن المطهّريّة، و عن المعتبر</w:t>
      </w:r>
      <w:r>
        <w:rPr>
          <w:rStyle w:val="FootnoteAnchor"/>
          <w:rtl w:val="true"/>
        </w:rPr>
        <w:footnoteReference w:id="293"/>
      </w:r>
      <w:r>
        <w:rPr>
          <w:rFonts w:ascii="Amiri" w:hAnsi="Amiri" w:eastAsia="Amiri" w:cs="Amiri"/>
          <w:color w:val="111111"/>
          <w:sz w:val="28"/>
          <w:sz w:val="28"/>
          <w:szCs w:val="28"/>
          <w:rtl w:val="true"/>
          <w:lang w:bidi="ar-SA"/>
        </w:rPr>
        <w:t>أيضا التصريح به، مع تصريحه بكراهة استعماله إن وجد غيره، مستندا في ذلك إلى رواية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الماء الآجن يتوضّأ منه، إلاّ أن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لأنّه يستخبث طبعا فكان اجتنابه أنسب بحال المتطهّر، و في منتهى العلاّمة</w:t>
      </w:r>
      <w:r>
        <w:rPr>
          <w:rStyle w:val="FootnoteAnchor"/>
          <w:rtl w:val="true"/>
        </w:rPr>
        <w:footnoteReference w:id="295"/>
      </w:r>
      <w:r>
        <w:rPr>
          <w:rFonts w:ascii="Amiri" w:hAnsi="Amiri" w:eastAsia="Amiri" w:cs="Amiri"/>
          <w:color w:val="111111"/>
          <w:sz w:val="28"/>
          <w:sz w:val="28"/>
          <w:szCs w:val="28"/>
          <w:rtl w:val="true"/>
          <w:lang w:bidi="ar-SA"/>
        </w:rPr>
        <w:t xml:space="preserve">ما يقرب من ذلك فتوى و حجّة، إلاّ أنّه أضاف إلى الرواية المذكورة ما رواه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توضّأ من بئر بضاعة و كان ماؤها نقاعة الحنّاء</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112" w:name="pg16144_233035"/>
    </w:p>
    <w:p>
      <w:pPr>
        <w:pStyle w:val="Heading3"/>
        <w:numPr>
          <w:ilvl w:val="2"/>
          <w:numId w:val="1"/>
        </w:numPr>
        <w:rPr/>
      </w:pPr>
      <w:bookmarkStart w:id="113" w:name="__RefHeading___Toc1804422_1280447820"/>
      <w:bookmarkStart w:id="114" w:name="_Toc42"/>
      <w:bookmarkEnd w:id="112"/>
      <w:bookmarkEnd w:id="113"/>
      <w:r>
        <w:rPr>
          <w:rtl w:val="true"/>
        </w:rPr>
        <w:t xml:space="preserve">ينبوع </w:t>
      </w:r>
      <w:r>
        <w:rPr>
          <w:rtl w:val="true"/>
        </w:rPr>
        <w:t>[</w:t>
      </w:r>
      <w:r>
        <w:rPr>
          <w:rtl w:val="true"/>
        </w:rPr>
        <w:t>في نوع الماء بما هو هو من دون نظر إلى أقسامه الخاصّة المندرجة تحته</w:t>
      </w:r>
      <w:r>
        <w:rPr>
          <w:rtl w:val="true"/>
        </w:rPr>
        <w:t>]</w:t>
      </w:r>
      <w:bookmarkEnd w:id="114"/>
    </w:p>
    <w:p>
      <w:pPr>
        <w:pStyle w:val="Heading4"/>
        <w:numPr>
          <w:ilvl w:val="3"/>
          <w:numId w:val="1"/>
        </w:numPr>
        <w:rPr/>
      </w:pPr>
      <w:bookmarkStart w:id="115" w:name="__RefHeading___Toc1804424_1280447820"/>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ما عرفت من البحث في العنوانين المتقدّمين بحث يلحق نوع الماء بما هو هو من دون نظر إلى أقسامه الخاصّة المندرجة تحته،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لحقه باعتبار خلقته الأصليّة من حيث إنّ خلقته هل هي على وصف الطهارة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لحقه باعتبار الطوارئ اللاحقة به من حيث قبوله من جهتها النجاسة و عدمه، و قد عرفت ما هو التحقيق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عناوين اخر مخصوصا كلّ واحد منها بقسم خاصّ من أقسامه المتقدّم إليها الإشارة في الجملة، و من جملة تلك العناوين ما هو مخصوص بالكثير الراكد في مقابلة القليل، و البحث في هذا العنوان يلحقه من جهات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804426_1280447820"/>
      <w:bookmarkStart w:id="118" w:name="_Toc44"/>
      <w:bookmarkEnd w:id="117"/>
      <w:r>
        <w:rPr>
          <w:rtl w:val="true"/>
        </w:rPr>
        <w:t>الجهة الاولى</w:t>
      </w:r>
      <w:r>
        <w:rPr>
          <w:rtl w:val="true"/>
        </w:rPr>
        <w:t>: [</w:t>
      </w:r>
      <w:r>
        <w:rPr>
          <w:rtl w:val="true"/>
        </w:rPr>
        <w:t>في تقدير الكثير</w:t>
      </w:r>
      <w:r>
        <w:rPr>
          <w:rtl w:val="true"/>
        </w:rPr>
        <w:t>]</w:t>
      </w:r>
      <w:bookmarkEnd w:id="118"/>
    </w:p>
    <w:p>
      <w:pPr>
        <w:pStyle w:val="BookText"/>
        <w:rPr/>
      </w:pPr>
      <w:r>
        <w:rPr>
          <w:rFonts w:ascii="Amiri" w:hAnsi="Amiri" w:eastAsia="Amiri" w:cs="Amiri"/>
          <w:color w:val="111111"/>
          <w:sz w:val="28"/>
          <w:sz w:val="28"/>
          <w:szCs w:val="28"/>
          <w:rtl w:val="true"/>
          <w:lang w:bidi="ar-SA"/>
        </w:rPr>
        <w:t>اختلف العلماء من الخاصّة و العامّة في تقدير الكثير الّذي لا يقبل الانفعال بمجرّد ملاقاة النجاسة، ففي منتهى العلاّمة</w:t>
      </w:r>
      <w:r>
        <w:rPr>
          <w:rStyle w:val="FootnoteAnchor"/>
          <w:rtl w:val="true"/>
        </w:rPr>
        <w:footnoteReference w:id="297"/>
      </w:r>
      <w:r>
        <w:rPr>
          <w:rFonts w:ascii="Amiri" w:hAnsi="Amiri" w:eastAsia="Amiri" w:cs="Amiri"/>
          <w:color w:val="111111"/>
          <w:sz w:val="28"/>
          <w:sz w:val="28"/>
          <w:szCs w:val="28"/>
          <w:rtl w:val="true"/>
          <w:lang w:bidi="ar-SA"/>
        </w:rPr>
        <w:t>عن الشافعي و أحمد أنّهما ذهبا إلى تقديره بالقلّتين</w:t>
      </w:r>
      <w:r>
        <w:rPr>
          <w:rStyle w:val="FootnoteAnchor"/>
          <w:rtl w:val="true"/>
        </w:rPr>
        <w:footnoteReference w:id="298"/>
      </w:r>
      <w:r>
        <w:rPr>
          <w:rFonts w:ascii="Amiri" w:hAnsi="Amiri" w:eastAsia="Amiri" w:cs="Amiri"/>
          <w:color w:val="111111"/>
          <w:sz w:val="28"/>
          <w:sz w:val="28"/>
          <w:szCs w:val="28"/>
          <w:rtl w:val="true"/>
          <w:lang w:bidi="ar-SA"/>
        </w:rPr>
        <w:t>، احتجاجا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قلّتين لم يحمل خبثا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حنيفة</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يصل بعضه إلى بعض نجس بحصول النجاسة فيه و إلاّ فلا، و اختلف أصحابه في تفسير هذا الكلام، فعن أبي يوسف و الطحاوي تفسيره بحركة أحد الجانبين عند حركة الآخر و عدمها</w:t>
      </w:r>
      <w:r>
        <w:rPr>
          <w:rStyle w:val="FootnoteAnchor"/>
          <w:rtl w:val="true"/>
        </w:rPr>
        <w:footnoteReference w:id="301"/>
      </w:r>
      <w:r>
        <w:rPr>
          <w:rFonts w:ascii="Amiri" w:hAnsi="Amiri" w:eastAsia="Amiri" w:cs="Amiri"/>
          <w:color w:val="111111"/>
          <w:sz w:val="28"/>
          <w:sz w:val="28"/>
          <w:szCs w:val="28"/>
          <w:rtl w:val="true"/>
          <w:lang w:bidi="ar-SA"/>
        </w:rPr>
        <w:t>، فالموضع الّذي لم يبلغ التحرّك إليه لا ينجّس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بعضهم</w:t>
      </w:r>
      <w:r>
        <w:rPr>
          <w:rStyle w:val="FootnoteAnchor"/>
          <w:rtl w:val="true"/>
        </w:rPr>
        <w:footnoteReference w:id="302"/>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كان كلّ من طوله و عرضه عشرة أذرع في عمق بئر لا ينجّس، فإن كان أقلّ نجس بالملاقاة للنجاسة، و إن بلغ ألف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المتأخّرين من أصحابه</w:t>
      </w:r>
      <w:r>
        <w:rPr>
          <w:rStyle w:val="FootnoteAnchor"/>
          <w:rtl w:val="true"/>
        </w:rPr>
        <w:footnoteReference w:id="303"/>
      </w:r>
      <w:r>
        <w:rPr>
          <w:rFonts w:ascii="Amiri" w:hAnsi="Amiri" w:eastAsia="Amiri" w:cs="Amiri"/>
          <w:color w:val="111111"/>
          <w:sz w:val="28"/>
          <w:sz w:val="28"/>
          <w:szCs w:val="28"/>
          <w:rtl w:val="true"/>
          <w:lang w:bidi="ar-SA"/>
        </w:rPr>
        <w:t>القول بأنّ الاعتبار بحصول النجاسة علما أو ظنّا، و الحركة اعتبرت للظنّ، فإن غلب ظنّ الخلاف 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الشيخين</w:t>
      </w:r>
      <w:r>
        <w:rPr>
          <w:rStyle w:val="FootnoteAnchor"/>
          <w:rtl w:val="true"/>
        </w:rPr>
        <w:footnoteReference w:id="304"/>
      </w:r>
      <w:r>
        <w:rPr>
          <w:rFonts w:ascii="Amiri" w:hAnsi="Amiri" w:eastAsia="Amiri" w:cs="Amiri"/>
          <w:color w:val="111111"/>
          <w:sz w:val="28"/>
          <w:sz w:val="28"/>
          <w:szCs w:val="28"/>
          <w:rtl w:val="true"/>
          <w:lang w:bidi="ar-SA"/>
        </w:rPr>
        <w:t>من أصحابنا و السيّد المرتضى</w:t>
      </w:r>
      <w:r>
        <w:rPr>
          <w:rStyle w:val="FootnoteAnchor"/>
          <w:rtl w:val="true"/>
        </w:rPr>
        <w:footnoteReference w:id="305"/>
      </w:r>
      <w:r>
        <w:rPr>
          <w:rFonts w:ascii="Amiri" w:hAnsi="Amiri" w:eastAsia="Amiri" w:cs="Amiri"/>
          <w:color w:val="111111"/>
          <w:sz w:val="28"/>
          <w:sz w:val="28"/>
          <w:szCs w:val="28"/>
          <w:rtl w:val="true"/>
          <w:lang w:bidi="ar-SA"/>
        </w:rPr>
        <w:t>و أتباعهم الذهاب إلى التقدير بالكرّ، و عزاه إلى الحسن بن صالح بن حيّ عن محكي الطحاوي</w:t>
      </w:r>
      <w:r>
        <w:rPr>
          <w:rStyle w:val="FootnoteAnchor"/>
          <w:rtl w:val="true"/>
        </w:rPr>
        <w:footnoteReference w:id="306"/>
      </w:r>
      <w:r>
        <w:rPr>
          <w:rFonts w:ascii="IRNazanin" w:hAnsi="IRNazanin" w:eastAsia="IRNazanin"/>
          <w:color w:val="111111"/>
          <w:sz w:val="28"/>
          <w:sz w:val="28"/>
          <w:szCs w:val="28"/>
          <w:rtl w:val="true"/>
          <w:lang w:bidi="fa-IR"/>
        </w:rPr>
        <w:t>و</w:t>
      </w:r>
      <w:r>
        <w:rPr>
          <w:rStyle w:val="FootnoteAnchor"/>
          <w:rtl w:val="true"/>
        </w:rPr>
        <w:footnoteReference w:id="307"/>
      </w:r>
      <w:r>
        <w:rPr>
          <w:rFonts w:ascii="Amiri" w:hAnsi="Amiri" w:eastAsia="Amiri" w:cs="Amiri"/>
          <w:color w:val="111111"/>
          <w:sz w:val="28"/>
          <w:sz w:val="28"/>
          <w:szCs w:val="28"/>
          <w:rtl w:val="true"/>
          <w:lang w:bidi="ar-SA"/>
        </w:rPr>
        <w:t>، و لعلّه لا خلاف في ذلك بين أصحابنا، فهو الحقّ لوضوح فساد غيره ممّا ذكر، مضافا إلى قيام أدلّة محكمة من الأخبار و غيرها على تقديره بالكرّ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ذلك ما احتجّ به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الجمهور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من طريق الخاصّة ما رواه الشيخ في الصحيح عن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 لأنّ الأصل الطهارة خرج ما دون الكرّ </w:t>
      </w:r>
    </w:p>
    <w:p>
      <w:pPr>
        <w:pStyle w:val="BookText"/>
        <w:rPr/>
      </w:pPr>
      <w:r>
        <w:rPr>
          <w:rFonts w:ascii="Amiri" w:hAnsi="Amiri" w:eastAsia="Amiri" w:cs="Amiri"/>
          <w:color w:val="111111"/>
          <w:sz w:val="28"/>
          <w:sz w:val="28"/>
          <w:szCs w:val="28"/>
          <w:rtl w:val="true"/>
          <w:lang w:bidi="ar-SA"/>
        </w:rPr>
        <w:t>بما نذكره فيبقى الباقي على الأصل، إلى أن يظهر مناف</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هذا الوجه الأخير لا يخلو عن مناقشة من جهة أنّه بانفراده لا يصلح دليلا على أنّ الكثير الّذي لا ينفعل بالملاقاة هو الكرّ، إلاّ بضميمة الأخبار الفارقة بين الكرّ و ما دونه، و معه يرجع الحجّة إلى الوجه السابق، فلا يكون دليلا على حدّة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ما دلّ الأخبار على انفعاله بها مبيّنا، و قدرا معيّنا بنفس تلك الأخبار فشكّ في حكم ما زاد عليه اتّجه الرجوع إلى الأصل، و لكنّ المقام ليس منه، لأنّ تعيين ما علم بانفعاله منوط بتعيين ما لا ينفعل، و لا يتأتّى ذلك إلاّ بالأخبار الفارقة، و كيف كان فتحديد الكثير بما ذكر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كثيرة قريبة من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في باب آداب الأحداث، و في الاستبصار في باب القدر الّذي لا ينجّسه شيء، في الصحيح عن محمّد بن مسلم عن أبي عبد اللّه عليه السّلام إنّه سئل عن الماء تبول فيه الدوابّ، و تلغ فيه الكلاب، و يغتسل منه الجنب؟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في الكافي في باب الماء الّذي لا ينجّسه شيء،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الّذي تبول فيه الدوابّ</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في زيادات باب المياه، في الصحيح عن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ماء مجتمع تبول فيه الدوابّ و تلغ فيه الكلاب و يغتسل فيه الجنب،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 و الكرّ ستّمائة رطل</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 أشبار و نصف عرضها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الرواية و إن كانت ضعيفة بالحسن بن صالح الثوري إلاّ أنّها في حكم الصحيح بوجود ابن محبوب في سندها، الّذي هو من أصحاب الإجماع، ولي فيها بعد تأمّل يأتي وجهه في مسألة تحديد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في باب زيادات المياه، في الصحيح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أشباهها تطأ العذرة، ثمّ تدخل في الماء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أيضا في باب آداب الأحداث، في الصحيح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بملاحظة تظافر الروايات الصحيحة عليه مع انضمام عمل الأصحاب عليها من قطعيّات الفقه الّتي لا يمكن الاسترابة فيها، نعم ربّما يوجد في أخبارنا ما يقضي منها بما يخالف ذلك ظاهرا، مثل ما في التهذيب في زيادات باب المياه، في المرسل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و القلّتان جرتان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 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الخ</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الأمر في ذلك هيّن بعد ملاحظة سقوط هذا النوع من الأخبار عن درجة الاعتبار، من جهة كونها معرضا عنها الأصحاب كلمة واحدة، مع ملاحظة ظهور احتمال خروجها مخرج التقيّة كما هو واضح في خبر القلّتين، لموافقته مذهب الشافعي</w:t>
      </w:r>
      <w:r>
        <w:rPr>
          <w:rStyle w:val="FootnoteAnchor"/>
          <w:rtl w:val="true"/>
        </w:rPr>
        <w:footnoteReference w:id="320"/>
      </w:r>
      <w:r>
        <w:rPr>
          <w:rFonts w:ascii="IRNazanin" w:hAnsi="IRNazanin" w:eastAsia="IRNazanin"/>
          <w:color w:val="111111"/>
          <w:sz w:val="28"/>
          <w:sz w:val="28"/>
          <w:szCs w:val="28"/>
          <w:rtl w:val="true"/>
          <w:lang w:bidi="fa-IR"/>
        </w:rPr>
        <w:t>و أحمد</w:t>
      </w:r>
      <w:r>
        <w:rPr>
          <w:rStyle w:val="FootnoteAnchor"/>
          <w:rtl w:val="true"/>
        </w:rPr>
        <w:footnoteReference w:id="321"/>
      </w:r>
      <w:r>
        <w:rPr>
          <w:rFonts w:ascii="Amiri" w:hAnsi="Amiri" w:eastAsia="Amiri" w:cs="Amiri"/>
          <w:color w:val="111111"/>
          <w:sz w:val="28"/>
          <w:sz w:val="28"/>
          <w:szCs w:val="28"/>
          <w:rtl w:val="true"/>
          <w:lang w:bidi="ar-SA"/>
        </w:rPr>
        <w:t xml:space="preserve">من العامّة كما عرفت، مضافا إلى إمكان تطرّق التأويل إليها بحمل القلّتين أو الراوية أو غيرهما على ما يسع مقدار الكرّ كما صنعه الشيخ في التهذيب </w:t>
      </w:r>
      <w:r>
        <w:rPr>
          <w:rStyle w:val="FootnoteAnchor"/>
          <w:rtl w:val="true"/>
        </w:rPr>
        <w:footnoteReference w:id="322"/>
      </w:r>
      <w:bookmarkStart w:id="119" w:name="pg16144_233039"/>
    </w:p>
    <w:p>
      <w:pPr>
        <w:pStyle w:val="BookText"/>
        <w:rPr/>
      </w:pPr>
      <w:bookmarkEnd w:id="119"/>
      <w:r>
        <w:rPr>
          <w:rFonts w:ascii="Amiri" w:hAnsi="Amiri" w:eastAsia="Amiri" w:cs="Amiri"/>
          <w:color w:val="111111"/>
          <w:sz w:val="28"/>
          <w:sz w:val="28"/>
          <w:szCs w:val="28"/>
          <w:rtl w:val="true"/>
          <w:lang w:bidi="ar-SA"/>
        </w:rPr>
        <w:t>و تصدّى لبيان تفصيله صاحب الحدائق</w:t>
      </w:r>
      <w:r>
        <w:rPr>
          <w:rStyle w:val="FootnoteAnchor"/>
          <w:rtl w:val="true"/>
        </w:rPr>
        <w:footnoteReference w:id="323"/>
      </w:r>
      <w:r>
        <w:rPr>
          <w:rFonts w:ascii="Amiri" w:hAnsi="Amiri" w:eastAsia="Amiri" w:cs="Amiri"/>
          <w:color w:val="111111"/>
          <w:sz w:val="28"/>
          <w:sz w:val="28"/>
          <w:szCs w:val="28"/>
          <w:rtl w:val="true"/>
          <w:lang w:bidi="ar-SA"/>
        </w:rPr>
        <w:t>، فمن أراده فعليه بمراجعة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المسألة واضح بحمد اللّه سبحانه، و لا يقتضي لأجل ذلك زيادة كلام في تحقيقه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804428_1280447820"/>
      <w:bookmarkStart w:id="121" w:name="_Toc45"/>
      <w:bookmarkEnd w:id="120"/>
      <w:r>
        <w:rPr>
          <w:rtl w:val="true"/>
        </w:rPr>
        <w:t>الجهة الثانية</w:t>
      </w:r>
      <w:r>
        <w:rPr>
          <w:rtl w:val="true"/>
        </w:rPr>
        <w:t>: [</w:t>
      </w:r>
      <w:r>
        <w:rPr>
          <w:rtl w:val="true"/>
        </w:rPr>
        <w:t>عدم انفعال الكر بملاقاة النجس</w:t>
      </w:r>
      <w:r>
        <w:rPr>
          <w:rtl w:val="true"/>
        </w:rPr>
        <w:t>]</w:t>
      </w:r>
      <w:bookmarkEnd w:id="121"/>
    </w:p>
    <w:p>
      <w:pPr>
        <w:pStyle w:val="BookText"/>
        <w:rPr/>
      </w:pPr>
      <w:r>
        <w:rPr>
          <w:rFonts w:ascii="Amiri" w:hAnsi="Amiri" w:eastAsia="Amiri" w:cs="Amiri"/>
          <w:color w:val="111111"/>
          <w:sz w:val="28"/>
          <w:sz w:val="28"/>
          <w:szCs w:val="28"/>
          <w:rtl w:val="true"/>
          <w:lang w:bidi="ar-SA"/>
        </w:rPr>
        <w:t>لا فرق فيما تقدّم من حكم عدم انفعال الكرّ بملاقاة النجاسة بين شيء من أفراده حتّى ما في الحياض و الأواني كما عليه المعظم، و ادّعى عليه الشهرة على حدّ الاستفاضة، بل الإجماع في بعض العبائر، بناء على شذوذ المخالف و انقطاع خلافه، حيث لم ينسب الخلاف إلاّ إلى المفيد</w:t>
      </w:r>
      <w:r>
        <w:rPr>
          <w:rStyle w:val="FootnoteAnchor"/>
          <w:rtl w:val="true"/>
        </w:rPr>
        <w:footnoteReference w:id="324"/>
      </w:r>
      <w:r>
        <w:rPr>
          <w:rFonts w:ascii="Amiri" w:hAnsi="Amiri" w:eastAsia="Amiri" w:cs="Amiri"/>
          <w:color w:val="111111"/>
          <w:sz w:val="28"/>
          <w:sz w:val="28"/>
          <w:szCs w:val="28"/>
          <w:rtl w:val="true"/>
          <w:lang w:bidi="ar-SA"/>
        </w:rPr>
        <w:t>و السلاّر</w:t>
      </w:r>
      <w:r>
        <w:rPr>
          <w:rStyle w:val="FootnoteAnchor"/>
          <w:rtl w:val="true"/>
        </w:rPr>
        <w:footnoteReference w:id="325"/>
      </w:r>
      <w:r>
        <w:rPr>
          <w:rFonts w:ascii="Amiri" w:hAnsi="Amiri" w:eastAsia="Amiri" w:cs="Amiri"/>
          <w:color w:val="111111"/>
          <w:sz w:val="28"/>
          <w:sz w:val="28"/>
          <w:szCs w:val="28"/>
          <w:rtl w:val="true"/>
          <w:lang w:bidi="ar-SA"/>
        </w:rPr>
        <w:t>لمصيرهما إلى الانفعال في الحياض و الأواني و إن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تقدّم من أخبار الكرّ المعتضد بالشهرة العظيمة القريبة من الإجماع، و الأصل المتقدّم تحقيقه، مع عموم الروايات المتقدّمة، القاضية بحصر الانفعال في التغيّر، الصادق عليها قضيّة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ما خرج و بقى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منه الكرّ بجميع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ما في التهذيب و الاستبصار و الكافي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الحياض الّتي ما بين مكّة إلى المدينة تردها السباع، و تلغ فيها الكلاب، و تشرب منها الحمير، و يغتسل منها الجنب، أ يتوضّأ منها؟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 إلى الركبة،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 من رواية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الحياض يبال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التهذيب و الفقيه عن إسماعيل بن مسلم عن جعفر عن أبيه عليه السّلام أنّ النبيّ صلّى اللّه عليه و آله أتى الماء فأتاه أهل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حياضنا هذه تردها السباع و الكلاب و البهائم،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أخذت بأفواهها و لكم سائر ذلك</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عن التهذيب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يشرب من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للمخالف إلاّ ما حكي عنه من عموم النهي عن استعمال ماء الأواني مع ملاقاته الكرّ، و كأنّ مراده به ما توهّمه عن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شهاب بن عبد ربّه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الجنب يسهو فيغمس يده في الإناء قبل أن يغسلها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إذا لم يكن أصاب يده شيء</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في الموثّق عن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جنابة فأدخل يده في الإناء فلا بأس، إن لم يكن أصاب يده شيء من المنيّ</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أيضا في الموثّق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الدّن يكون فيه الخمر هل يصلح أن يكون فيه الخلّ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كامخ أو زيتون؟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الإبريق يكون فيه خمر أ يصلح أن يكون فيه ماء؟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قرب الإسناد و الوسائل عن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الشرب في الإناء يشرب منه الخمر قدحان عيدان أو باطية،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غسله لا بأس</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الرجل يدخل يده في الإناء و هي قذرة،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الموثّق بسماعة بن مهران عن أبي بصير عنهم عليهم السّلام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أدخلت يدك في الإناء قبل أن تغسلها فلا بأس، إلاّ أن يكون أصابها قذر بول أو </w:t>
      </w:r>
    </w:p>
    <w:p>
      <w:pPr>
        <w:pStyle w:val="BookText"/>
        <w:rPr/>
      </w:pPr>
      <w:r>
        <w:rPr>
          <w:rFonts w:ascii="Amiri" w:hAnsi="Amiri" w:eastAsia="Amiri" w:cs="Amiri"/>
          <w:color w:val="111111"/>
          <w:sz w:val="28"/>
          <w:sz w:val="28"/>
          <w:szCs w:val="28"/>
          <w:rtl w:val="true"/>
          <w:lang w:bidi="ar-SA"/>
        </w:rPr>
        <w:t>جنابة، فإن أدخلت يدك في الإناء و فيها شيء من ذلك فأهرق ذلك الماء</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و الاستبصار في الصحيح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الكلب يشرب من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في الصحيح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خنزير يشرب من إناء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الصحيح عن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رعف و هو يتوضّأ فقطر قطرة في إنائه هل يصلح للوضوء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lang w:bidi="ar-SA"/>
        </w:rPr>
        <w:t>64/119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1299/412:1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و الاستبصار عن سماعة عن أبي عبد اللّه عليه السّلام عن رجل معه إناءان فيهما ماء وقع في أحدهما قذر لا يدري أيّهما هو، و ليس يقدر على ماء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 إن شاء</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عمّار الساباطي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 ليس يقدر على ماء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حريز عمّن أخبره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الماء أو شرب منه اهريق الماء و غسل الإناء ثلاث مرّات، مرّة بالتراب و مرّتين بالماء، ثمّ يجفّف</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قرب الإسناد عن 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حبّ ماء وقع فيه أوقية بول، هل يصلح شربه أو الوضوء؟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المدّعى لعدم شمول النهي المستفاد من الروايات ماء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منزّلا على ما دون الكرّ بملاحظة الغلبة، فإنّ الغالب في الإناء أنّها لا تسع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يصلح للمعارضة لعموم ما دلّ على عدم انفعال الكرّ بالملاقاة، و إن كان النسبة بينهما عموم من وجه، لاعتضاد ذلك بعمل المعظم و إعراضهم عن الطرف المقابل، سلّمنا و لكن أقلّه أنّه لا رجحان للطرف المقابل أيضا، فيؤول الأمر إلى تساقط العامّين بالنسبة إلى مورد الاجتماع فيرجع في حكمه إلى الاصول، لبقائها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في أخبار الكرّ بحيث يشمل الأواني؛ لأنّ الغالب فيها عدم اتّساعها الكرّ، فإنّ ذلك معارض بالمثل كما أشرنا إليه في ثاني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ينزّل كلام المفيد و السلاّر على ما يوافق المذهب المشهور، فيستظهر بذلك الإجماع على عدم الفرق حسبما ادّعيناه، كما في المدارك</w:t>
      </w:r>
      <w:r>
        <w:rPr>
          <w:rStyle w:val="FootnoteAnchor"/>
          <w:rtl w:val="true"/>
        </w:rPr>
        <w:footnoteReference w:id="344"/>
      </w:r>
      <w:r>
        <w:rPr>
          <w:rFonts w:ascii="Amiri" w:hAnsi="Amiri" w:eastAsia="Amiri" w:cs="Amiri"/>
          <w:color w:val="111111"/>
          <w:sz w:val="28"/>
          <w:sz w:val="28"/>
          <w:szCs w:val="28"/>
          <w:rtl w:val="true"/>
          <w:lang w:bidi="ar-SA"/>
        </w:rPr>
        <w:t>و الرياض</w:t>
      </w:r>
      <w:r>
        <w:rPr>
          <w:rStyle w:val="FootnoteAnchor"/>
          <w:rtl w:val="true"/>
        </w:rPr>
        <w:footnoteReference w:id="345"/>
      </w:r>
      <w:r>
        <w:rPr>
          <w:rFonts w:ascii="IRNazanin" w:hAnsi="IRNazanin" w:eastAsia="IRNazanin"/>
          <w:color w:val="111111"/>
          <w:sz w:val="28"/>
          <w:sz w:val="28"/>
          <w:szCs w:val="28"/>
          <w:rtl w:val="true"/>
          <w:lang w:bidi="fa-IR"/>
        </w:rPr>
        <w:t>و المناهل</w:t>
      </w:r>
      <w:r>
        <w:rPr>
          <w:rStyle w:val="FootnoteAnchor"/>
          <w:rtl w:val="true"/>
        </w:rPr>
        <w:footnoteReference w:id="346"/>
      </w:r>
      <w:r>
        <w:rPr>
          <w:rFonts w:ascii="Amiri" w:hAnsi="Amiri" w:eastAsia="Amiri" w:cs="Amiri"/>
          <w:color w:val="111111"/>
          <w:sz w:val="28"/>
          <w:sz w:val="28"/>
          <w:szCs w:val="28"/>
          <w:rtl w:val="true"/>
          <w:lang w:bidi="ar-SA"/>
        </w:rPr>
        <w:t>و غيره، و أوّل من فتح هذا الباب العلاّمة في المنتهى،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مرادهما بالكثرة هنا الكثرة العرفيّة بالنسبة إلى الأواني و الحياض الّتي تسقى منها الدوابّ، و هي غالبا تقصر عن الكرّ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تبعه بعده صاحب المدارك</w:t>
      </w:r>
      <w:r>
        <w:rPr>
          <w:rStyle w:val="FootnoteAnchor"/>
          <w:rtl w:val="true"/>
        </w:rPr>
        <w:footnoteReference w:id="348"/>
      </w:r>
      <w:r>
        <w:rPr>
          <w:rFonts w:ascii="Amiri" w:hAnsi="Amiri" w:eastAsia="Amiri" w:cs="Amiri"/>
          <w:color w:val="111111"/>
          <w:sz w:val="28"/>
          <w:sz w:val="28"/>
          <w:szCs w:val="28"/>
          <w:rtl w:val="true"/>
          <w:lang w:bidi="ar-SA"/>
        </w:rPr>
        <w:t>و سلك هذا المسلك بعدهما صاحب الرياض</w:t>
      </w:r>
      <w:r>
        <w:rPr>
          <w:rStyle w:val="FootnoteAnchor"/>
          <w:rtl w:val="true"/>
        </w:rPr>
        <w:footnoteReference w:id="349"/>
      </w:r>
      <w:r>
        <w:rPr>
          <w:rFonts w:ascii="Amiri" w:hAnsi="Amiri" w:eastAsia="Amiri" w:cs="Amiri"/>
          <w:color w:val="111111"/>
          <w:sz w:val="28"/>
          <w:sz w:val="28"/>
          <w:szCs w:val="28"/>
          <w:rtl w:val="true"/>
          <w:lang w:bidi="ar-SA"/>
        </w:rPr>
        <w:t>و ولده الشريف في المناهل</w:t>
      </w:r>
      <w:r>
        <w:rPr>
          <w:rStyle w:val="FootnoteAnchor"/>
          <w:rtl w:val="true"/>
        </w:rPr>
        <w:footnoteReference w:id="350"/>
      </w:r>
      <w:r>
        <w:rPr>
          <w:rFonts w:ascii="Amiri" w:hAnsi="Amiri" w:eastAsia="Amiri" w:cs="Amiri"/>
          <w:color w:val="111111"/>
          <w:sz w:val="28"/>
          <w:sz w:val="28"/>
          <w:szCs w:val="28"/>
          <w:rtl w:val="true"/>
          <w:lang w:bidi="ar-SA"/>
        </w:rPr>
        <w:t>، و كتابه الآخر</w:t>
      </w:r>
      <w:r>
        <w:rPr>
          <w:rStyle w:val="FootnoteAnchor"/>
          <w:rtl w:val="true"/>
        </w:rPr>
        <w:footnoteReference w:id="351"/>
      </w:r>
      <w:r>
        <w:rPr>
          <w:rFonts w:ascii="Amiri" w:hAnsi="Amiri" w:eastAsia="Amiri" w:cs="Amiri"/>
          <w:color w:val="111111"/>
          <w:sz w:val="28"/>
          <w:sz w:val="28"/>
          <w:szCs w:val="28"/>
          <w:rtl w:val="true"/>
          <w:lang w:bidi="ar-SA"/>
        </w:rPr>
        <w:t>الحاضر عندنا الآن، و نسبه في الرياض</w:t>
      </w:r>
      <w:r>
        <w:rPr>
          <w:rStyle w:val="FootnoteAnchor"/>
          <w:rtl w:val="true"/>
        </w:rPr>
        <w:footnoteReference w:id="352"/>
      </w:r>
      <w:r>
        <w:rPr>
          <w:rFonts w:ascii="Amiri" w:hAnsi="Amiri" w:eastAsia="Amiri" w:cs="Amiri"/>
          <w:color w:val="111111"/>
          <w:sz w:val="28"/>
          <w:sz w:val="28"/>
          <w:szCs w:val="28"/>
          <w:rtl w:val="true"/>
          <w:lang w:bidi="ar-SA"/>
        </w:rPr>
        <w:t>إلى الشيخ الّذي هو تلميذ المفيد، و حكاه صاحب الحدائق عن بعض مشايخه المحقّقين من متأخّري المتأخّرين فاستبعده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 يخفى بعد ما استظهره قدّس سرّه كما يظهر </w:t>
      </w:r>
    </w:p>
    <w:p>
      <w:pPr>
        <w:pStyle w:val="BookText"/>
        <w:rPr/>
      </w:pPr>
      <w:r>
        <w:rPr>
          <w:rFonts w:ascii="Amiri" w:hAnsi="Amiri" w:eastAsia="Amiri" w:cs="Amiri"/>
          <w:color w:val="111111"/>
          <w:sz w:val="28"/>
          <w:sz w:val="28"/>
          <w:szCs w:val="28"/>
          <w:rtl w:val="true"/>
          <w:lang w:bidi="ar-SA"/>
        </w:rPr>
        <w:t>ذلك لمن لاحظ عبارة المقنعة، سيّما و قد قرن الحياض و الأواني في تلك العبارة بالبئر، مع أنّ مذهبه فيها النجاسة و إن بلغت كرّا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كما فهمه رحمه اللّه، ضرورة عدم كون الاستظهار المذكور في محلّه، لكونه ممّا يأبى عنه العبارة المحكيّة عن المقنعة، الظاهرة كالصريح بل الصريحة فيما أسند إليه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في الماء الراكد شيء من النجاسات و كان كرّا و قدره ألف و مائتا رطل بالبغدادي، و ما زاد على ذلك لم ينجّس إلاّ أن يتغيّر به، كما ذكرنا في المياه الجارية، هذا إذا كان الماء في غدير أو قليب، فأمّا إذا كان في بئر أو حوض أو إناء فإنّه يفسد بسائر ما يموت فيه من ذوات الأنفس السائلة، و بجميع ما يلاقيه من النجاسات، و لا يجوز التطهّر به حتّى يطهّر، و إن كان الماء في الغدران و القلبان دون ألف رطل و مائتي رطل جرى مجرى مياه الآبار و الحياض الّتي يفسدها ما وقع فيها من النجاسات، و لم يجز الطهارة به</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كون ذلك صريحا أو ظاهرا في غير ما فهمه الجماعة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نبّه عليه صاحب الحدائق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استدركه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الماء في غدير أو قليب، فأمّا إذا كان في بئر أو حوض أو إناء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استدراك عمّا فرضه أوّلا من موضوع المسألة و هو الكرّ، و خصّه بما كان في غدير أو قليب نظرا إلى أنّ الماء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سبق الفرض في خصوص الكرّ أراد به ذلك المفروض، و إلاّ لكانت الإشارة و دعوى الاختصاص كذبا، فيكون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في بئر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ذلك الّذي اريد منه الكرّ، و إلاّ لما حصلت المطابقة بين الضمير و المرجع إلاّ بتأويله إلى نوع من الاستخدام، و هو كما ترى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الماء في الغدران و القلبان دون ألف رطل و مائتي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في الماء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اخذ فيه من قيد الكرّيّة، فلو لا الحكم في المعطوف عليه مخصوصا بالغدران و القلبان و لم يكن الكرّ من الحياض </w:t>
      </w:r>
    </w:p>
    <w:p>
      <w:pPr>
        <w:pStyle w:val="BookText"/>
        <w:rPr/>
      </w:pPr>
      <w:r>
        <w:rPr>
          <w:rFonts w:ascii="Amiri" w:hAnsi="Amiri" w:eastAsia="Amiri" w:cs="Amiri"/>
          <w:color w:val="111111"/>
          <w:sz w:val="28"/>
          <w:sz w:val="28"/>
          <w:szCs w:val="28"/>
          <w:rtl w:val="true"/>
          <w:lang w:bidi="ar-SA"/>
        </w:rPr>
        <w:t>و الأواني خارجا عن موضوع هذا الحكم لما كان لإفراد الغدران و القلبان في المعطوف بالذكر وجه، بل لم يكن للتنبيه على حكم البئر و الحوض و الإناء قبل ذلك وجه لو كان مراده بها ما دون الكرّ خاصّة، بل كان اللازم أن يسقط ما ذكره أوّلا، ثمّ عمّم الحكم في المعطوف على وجه يشمل الحوض و الإناء و البئر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مجرى مياه الآبار و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التنظير لا يكون مستحسنا إلاّ إذا غاير الفرع الأصل ذاتا، و لا ريب أنّ مجرّد كون الماء في الغدير و القليب مع كونه في البئر و الحوض مع فرض كونهما معا ما دون الكرّ لا يستدعي تلك المغايرة لكون الجميع حينئذ من واد واحد، فلا وجه لتنظير بعضه على بعض، فلا بدّ من أن يعتبر المغايرة بينهما بكون المراد من الأصل خصوص الكرّ أو ما يعمّه و ما دونه و من الفرع ما دونه خاصّة، كما هو صريح الفرض بالنسبة إليه، و لا ينافي شيئا من ذلك الوصف بالموصول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الحياض الّتي يفسدها ما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إمكان كونه وصفا توضيحيّا، كما هو ظاهر المقام بملاحظة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الصراحة أو الظهور ما حكي عن مراسم السلاّر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ينجّس الغدران إذا بلغت الكرّ، و ما لا يزول الحكم بنجاسته فهو ما في الأواني و الحياض، فإنّه يجب إهراقه و إن كثر</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يزول الحكم بنجاسته فهو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تصريح بأنّ هذا الحكم من لوازم الماهيّة بالنسبة إلى ما في الأواني و الحياض الّتي لا تنفكّ عنها أبدا، و قضيّة ذلك تعدّي الحكم إلى ما يبلغ منه حدّ الكرّ أيضا، كما أوضحه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هنا مراد بها العرفيّة الصادقة على ما دون الكرّ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السياق أوّلا، و كون إفراد ما في الأواني و الحياض بالذكر لغوا ثانيا، لجريان الحكم المذكور في كلّ ما يكون دون الكرّ جزما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 عبارة الشيخ في النهاية موافقته لهما في الأواني خاصّة، و هي على ما في محكيّ الحدائق</w:t>
      </w:r>
      <w:r>
        <w:rPr>
          <w:rStyle w:val="FootnoteAnchor"/>
          <w:rtl w:val="true"/>
        </w:rPr>
        <w:footnoteReference w:id="35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الماء الراكد على ثلاثة أقسام، مياه الغدران و القلبان </w:t>
      </w:r>
      <w:bookmarkStart w:id="122" w:name="pg16144_233045"/>
    </w:p>
    <w:p>
      <w:pPr>
        <w:pStyle w:val="BookText"/>
        <w:rPr/>
      </w:pPr>
      <w:bookmarkEnd w:id="122"/>
      <w:r>
        <w:rPr>
          <w:rFonts w:ascii="IRNazanin" w:hAnsi="IRNazanin" w:eastAsia="IRNazanin"/>
          <w:color w:val="111111"/>
          <w:sz w:val="28"/>
          <w:sz w:val="28"/>
          <w:szCs w:val="28"/>
          <w:rtl w:val="true"/>
          <w:lang w:bidi="fa-IR"/>
        </w:rPr>
        <w:t>و المصانع</w:t>
      </w:r>
      <w:r>
        <w:rPr>
          <w:rStyle w:val="FootnoteAnchor"/>
          <w:rtl w:val="true"/>
        </w:rPr>
        <w:footnoteReference w:id="357"/>
      </w:r>
      <w:r>
        <w:rPr>
          <w:rFonts w:ascii="Amiri" w:hAnsi="Amiri" w:eastAsia="Amiri" w:cs="Amiri"/>
          <w:color w:val="111111"/>
          <w:sz w:val="28"/>
          <w:sz w:val="28"/>
          <w:szCs w:val="28"/>
          <w:rtl w:val="true"/>
          <w:lang w:bidi="ar-SA"/>
        </w:rPr>
        <w:t>و مياه الأواني المحصورة و مياه الآبار، فأمّا مياه الغدران و القلبان فإن كان مقدارها مقدار الكرّ فإنّه لا ينجّسها شيء، إلاّ ما غيّر لونها أو طعمها أو ريحها، و إن كان مقدارها أقلّ من الكرّ فإنّه لا ينجّسها كلّ ما وقع فيها من النجاسة، و أمّا مياه الأواني المحصورة فإن وقع فيها شيء من النجاسات أفسدها، و لم يجز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فصّل في الحكم بالنجاسة و عدمها بالنسبة إلى الغدران و القلبان بين ما كان منها قدر الكرّ و ما دونه، و تنحّى عن هذا المسلك في خصوص الأواني فأطلق فيها الحكم بالنجاسة، و قضيّة 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طريقته في النهاية أنّه لا يذكر فيها إلاّ متون الروايات من غير تفاوت، أو مع تفاوت يسير لا يخلّ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الجملة مضمون الرواية و إن كانت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منع الاحتجاج بما تقدّم من الروايات في تفصيل بيان حجّة المفيد و السلاّر،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بالأواني خصوص ما لا يسع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يفصح عنه الوصف، نظرا إلى أنّ الحصر ممّا لا معنى له ظاهرا إلاّ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معانيه المذكورة في كلام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بالأواني المحصورة الأواني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804430_1280447820"/>
      <w:bookmarkStart w:id="124" w:name="_Toc46"/>
      <w:bookmarkEnd w:id="123"/>
      <w:r>
        <w:rPr>
          <w:rtl w:val="true"/>
        </w:rPr>
        <w:t>الجهة الثالثة</w:t>
      </w:r>
      <w:r>
        <w:rPr>
          <w:rtl w:val="true"/>
        </w:rPr>
        <w:t>: [</w:t>
      </w:r>
      <w:r>
        <w:rPr>
          <w:rtl w:val="true"/>
        </w:rPr>
        <w:t>في اشتراط القلة للانفعال</w:t>
      </w:r>
      <w:r>
        <w:rPr>
          <w:rtl w:val="true"/>
        </w:rPr>
        <w:t>]</w:t>
      </w:r>
      <w:bookmarkEnd w:id="124"/>
    </w:p>
    <w:p>
      <w:pPr>
        <w:pStyle w:val="BookText"/>
        <w:rPr/>
      </w:pPr>
      <w:r>
        <w:rPr>
          <w:rFonts w:ascii="Amiri" w:hAnsi="Amiri" w:eastAsia="Amiri" w:cs="Amiri"/>
          <w:color w:val="111111"/>
          <w:sz w:val="28"/>
          <w:sz w:val="28"/>
          <w:szCs w:val="28"/>
          <w:rtl w:val="true"/>
          <w:lang w:bidi="ar-SA"/>
        </w:rPr>
        <w:t xml:space="preserve">إذ قد عرفت أنّ فائدة ما أسّسناه في أوّل عناوين الكتاب من الأصل العامّ المستنبط عن عمومات طهارة الماء و طهوريّته، تظهر فيما لو شكّ فيهما من جهة الطواري بعد إحراز الإطلاق و صدق الاسم بالتفصيل الّذي تقدّم بيانه، فهل يجوز إجراء هذا الأصل في مشكوك الكرّيّة و عدمها من جهة الشكّ في المصداق، كما لو وجد الماء في غدير ابتداء و كان مردّدا بين الكرّ و ما دونه، أو في اندراج المشكوك فيه تحت موضوع الكرّ باعتبار الشبهة في شرطيّة شيء له، أو للحكم المعلّق عليه، كالوحدة و الاجتماع و تساوي السطوح و نحوه ممّا اختلف في اعتباره في الكرّ 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وجهان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عن الرياض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مستدلا على ما اختاره في </w:t>
      </w:r>
    </w:p>
    <w:p>
      <w:pPr>
        <w:pStyle w:val="BookText"/>
        <w:rPr/>
      </w:pPr>
      <w:r>
        <w:rPr>
          <w:rFonts w:ascii="Amiri" w:hAnsi="Amiri" w:eastAsia="Amiri" w:cs="Amiri"/>
          <w:color w:val="111111"/>
          <w:sz w:val="28"/>
          <w:sz w:val="28"/>
          <w:szCs w:val="28"/>
          <w:rtl w:val="true"/>
          <w:lang w:bidi="ar-SA"/>
        </w:rPr>
        <w:t xml:space="preserve">المسألة الآتية من كفاية الاتصال مطلقا في عدم انفعال الكثير بالملاقاة، و عدم اشتراطه بتساوي السطوح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إمّا بناء على اتّحاد الماءين عرفا و إن تغايرا محلاّ فيشمله عموم ما دلّ على عدم انفعال الكرّ، أو بناء على عدم العموم فيما دلّ على انفعال القليل، نظرا إلى اختصاص أكثره بصور مخصوصة ليس المقام منها، و ظهور بعض ما لم يكن كذلك في المجتمع و عدم ظهور غيره في غيره بحيث يشمل المفروض، فيسلم حينئذ الأصل و العمومات المقتضية للطهارة بحالها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نظير ذلك عقيب ما ذكر عند دفع استدلال من ذهب في عدم انفعال الكرّ إلى اشتراط المساواة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وافقه على ذلك جماعة ممّن عاصرناهم و غيرهم و منهم شيخنا في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شكّ في شمول إطلاقات الكرّ لفرد من الأفراد و شكّ في شمول القليل فلم يعلم دخوله في أيّ القاعدتين، فالظاهر أنّ الأصل يقضي بالطهارة و عدم تنجّسه بالملاقاة، نعم لا يرفع الخبث به بأن يوضع المتنجّس فيه كما يوضع في الجاري و الكثير، و إن كان لا يحكم عليه بالنجاسة بمثل ذلك بل يحكم عليه بالطهارة، فيؤخذ منه ماء و يرفع به الخبث على نحو ما يرفع بالقليل، و لا مانع من رفع الحدث به لكونه ماء طاهرا، و كلّما كان كذلك يجري عليه الحكم، و كان السبب في ذلك أنّ احتمال الكرّيّة فيه كافية في حفظ طهارته و عدم نجاسته بملاقاة النجاسة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شيخنا الآخر في شرحه للشرائع،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أفاد طريق المسألة حسبما نشير إليه إجمالا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 بدّ من الرجوع إلى أصالة الانفعال عند الشك في الكرّيّة، سواء شكّ في مصداق الكرّ أو مفهومه، كما إذا اختلف في مقدار الكرّ أو في اعتبار اجتماعه أو استواء سطوح أجزائه و لم يكن هناك إطلاق في لفظ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ليرجع إليه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عزاه بعد كلام طويل في إثبات تلك المقالة إلى جماعة من أصحابنا،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بعض ما ذكرنا أفتى جماعة كالفاضلين</w:t>
      </w:r>
      <w:r>
        <w:rPr>
          <w:rStyle w:val="FootnoteAnchor"/>
          <w:rtl w:val="true"/>
        </w:rPr>
        <w:footnoteReference w:id="363"/>
      </w:r>
      <w:r>
        <w:rPr>
          <w:rFonts w:ascii="Amiri" w:hAnsi="Amiri" w:eastAsia="Amiri" w:cs="Amiri"/>
          <w:color w:val="111111"/>
          <w:sz w:val="28"/>
          <w:sz w:val="28"/>
          <w:szCs w:val="28"/>
          <w:rtl w:val="true"/>
          <w:lang w:bidi="ar-SA"/>
        </w:rPr>
        <w:t>و الشهيد</w:t>
      </w:r>
      <w:r>
        <w:rPr>
          <w:rStyle w:val="FootnoteAnchor"/>
          <w:rtl w:val="true"/>
        </w:rPr>
        <w:footnoteReference w:id="364"/>
      </w:r>
      <w:r>
        <w:rPr>
          <w:rFonts w:ascii="Amiri" w:hAnsi="Amiri" w:eastAsia="Amiri" w:cs="Amiri"/>
          <w:color w:val="111111"/>
          <w:sz w:val="28"/>
          <w:sz w:val="28"/>
          <w:szCs w:val="28"/>
          <w:rtl w:val="true"/>
          <w:lang w:bidi="ar-SA"/>
        </w:rPr>
        <w:t>بنجاسة الماء المشكوك في كرّيّته، نظرا إلى أصالة عدم الكرّيّة الحاكمة على استصحاب طهارة الماء</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يظهر منه الموافقة له في تلك المقالة صاحب الحدائق</w:t>
      </w:r>
      <w:r>
        <w:rPr>
          <w:rStyle w:val="FootnoteAnchor"/>
          <w:rtl w:val="true"/>
        </w:rPr>
        <w:footnoteReference w:id="366"/>
      </w:r>
      <w:r>
        <w:rPr>
          <w:rFonts w:ascii="Amiri" w:hAnsi="Amiri" w:eastAsia="Amiri" w:cs="Amiri"/>
          <w:color w:val="111111"/>
          <w:sz w:val="28"/>
          <w:sz w:val="28"/>
          <w:szCs w:val="28"/>
          <w:rtl w:val="true"/>
          <w:lang w:bidi="ar-SA"/>
        </w:rPr>
        <w:t>حيث إنّه بعد ما بنى في المسألة الآتية على التوقّف، حكم في حكم موضوع المسألة بالاحتياط المقتضي للتحرّز عن مثل هذا الماء، بل هو صريح جماعة آخرين منهم صاحب المعالم</w:t>
      </w:r>
      <w:r>
        <w:rPr>
          <w:rStyle w:val="FootnoteAnchor"/>
          <w:rtl w:val="true"/>
        </w:rPr>
        <w:footnoteReference w:id="36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النظر في أنّ مفاد الأخبار الفارقة بين الكرّ و ما دونه بانفعال الثاني دون الأوّل، هل هو مانعيّة الكثرة الكرّيّة عن الانفعال أو شرطيّة القلّة للانفعال؟ فعلى الأوّل يترتّب الحكم في موضع الشكّ بالانفعال، لضابطتهم المقرّرة من أنّ المانع المشكوك في وجوده محكوم عليه بالعدم، فيتفرّع عليه خلاف مقتضاه من عدم الانفعال، و على الثاني يترتّب الحكم في موضع الشكّ بعدم الانفعال، لمكان أنّ الشرط المشكوك في تحقّقه يحكم عليه بالعدم، فيتفرّع عليه الحكم بخلاف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النظر في أنّ مفاد الأدلّة المخرجة للقليل عن العمومات القاضية بالطهارة و عدم الانفعال بشيء هل هو شرطيّة الكرّيّة لعدم الانفعال؟ حتّى يكون المجموع من المخصّص و المخصّص نظير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كانوا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شرطيّة القلّة للانفعال حتّى يكون المجموع من المخصّص و المخصّص نظير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الفسق في ذلك شرط لعدم وجوب الإكرام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يساعد عليه النظر، و يقتضيه أدلّة الباب عموما و خصوصا، أنّ الحقّ ما فهم الأوّلون خلافا للآخرين، و أنّ أصل الطهارة ممّا لا مجال إلى رفع اليد عنه ما دام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جاريا كما في المقام، و الوجه في ذلك أنّ الظاهر المنساق من العمومات المحقّقة لذلك الأصل كون الطهارة و عدم قبول الانفعال إنّما هو من مقتضى الطبيعة المائيّة بحسب خلقتها الأصليّة كما يفصح عنه التعبير بالخلق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الماء </w:t>
      </w:r>
    </w:p>
    <w:p>
      <w:pPr>
        <w:pStyle w:val="BookText"/>
        <w:rPr/>
      </w:pPr>
      <w:r>
        <w:rPr>
          <w:rFonts w:ascii="Amiri" w:hAnsi="Amiri" w:eastAsia="Amiri" w:cs="Amiri"/>
          <w:color w:val="111111"/>
          <w:sz w:val="28"/>
          <w:sz w:val="28"/>
          <w:szCs w:val="28"/>
          <w:rtl w:val="true"/>
          <w:lang w:bidi="ar-SA"/>
        </w:rPr>
        <w:t>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 بالإنزال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369"/>
      </w:r>
      <w:r>
        <w:rPr>
          <w:rFonts w:ascii="Amiri" w:hAnsi="Amiri" w:eastAsia="Amiri" w:cs="Amiri"/>
          <w:color w:val="111111"/>
          <w:sz w:val="28"/>
          <w:sz w:val="28"/>
          <w:szCs w:val="28"/>
          <w:rtl w:val="true"/>
          <w:lang w:bidi="ar-SA"/>
        </w:rPr>
        <w:t>، فيكون الماهيّة بما هي هي مقتضية للطهارة، و ظاهر أنّ المقتضي ما دام لم يصادف ما يزاحمه من الموانع أو الروافع كان على اقتضائه، و التغيير مع ملاقاة النجاسة حيثما وجدا رافعان لذلك المقتضي، و حاجبان عن الاقتضاء، غاية الأمر أنّ الأوّل معتبر لا بشرط شيء من الكرّيّة و لا عدمها، و الثاني معتبر بشرط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رافعيّة التغيّر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Style w:val="FootnoteAnchor"/>
          <w:rtl w:val="true"/>
        </w:rPr>
        <w:footnoteReference w:id="370"/>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أنّ مفاد التخصيص هنا بحكم ظاهر العرف كون التغيّر رافعا، فكذلك مفاد أدلّة انفعال القليل من المفاهيم و المناطيق الواردة في مواضع خاصّة أيضا كون الملاقاة دافعة للطهارة بشرط القلّة، غاية الأمر أنّ التخصيص في الأوّل قد حصل بمخصّص متّصل و في الثاني بمخصّص منفصل، فيكون مفاد العمومات مع هذين المخصّصين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لا ينجّسه شيء و لا يرفع طهارته إلاّ تغيّره بالنجاسة مطلقا، أو ملاقاته لها بشرط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فصّل بينهما باعتبار الأوّل مطلقا و الثاني مشروطا، لأنّ التغيّر يكشف عن تضاعف النجاسة و استيلائها على الماء بحسب المعنى، فيضعف المقتضي و يخرج عن اقتضائه، لعدم كون الطبيعة المائيّة علّة تامّة للطهارة حتّى لا يجامعها رافع، و قضيّة ذلك عدم الفرق فيه بين الكثرة و القلّة، بخلاف مجرّد الملاقاة فإنّه في التأثير لا يبلغ مرتبة التغيّر فلا يضعف به المقتضي إلاّ مع انتفاء الكثرة، و لا أنّه يخرج عن فعليّة الاقتضاء إلاّ مع القلّة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 ذلك في الدلالة على المختار ما رواه المحمّدون الثلاث بطرق متكثّرة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فإنّ تعليق الحكم بالطهارة في كلّ ماء على غاية العلم بالقذارة صريح في أنّ ما لم يعلم بقذارته كائنا ما كان محكوم عليه بالطهارة، فلو كان الانفعال هو الأصل في موضع الشكّ لما كان لذلك وجه، بل كان </w:t>
      </w:r>
    </w:p>
    <w:p>
      <w:pPr>
        <w:pStyle w:val="BookText"/>
        <w:rPr/>
      </w:pPr>
      <w:r>
        <w:rPr>
          <w:rFonts w:ascii="Amiri" w:hAnsi="Amiri" w:eastAsia="Amiri" w:cs="Amiri"/>
          <w:color w:val="111111"/>
          <w:sz w:val="28"/>
          <w:sz w:val="28"/>
          <w:szCs w:val="28"/>
          <w:rtl w:val="true"/>
          <w:lang w:bidi="ar-SA"/>
        </w:rPr>
        <w:t>يجب أن يعلّق الحكم بالقذارة على غاية العلم بالطهارة،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قذر حتّى يعلم أنّه طاهر، كما هو مفاد القول بأنّ الكرّيّة مانعة عن الانفعال و أنّ القلّة ليست شرطا في الانفعال، و أنّ المشكوك فيه المردّد بين الكرّيّة و القلّة يلحق بقاعدة الانفعال لا أصالة الطهارة و هو كما ترى، و قضيّة كلّ ذلك كون التغيّر و الملاقاة رافعين للطهارة المعلومة بالشرع مع اشتراط الثاني في رافعيّته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الاحتجاج على أنّ الكرّيّة في موضوع المسألة مانعة عن الانفعال، بأنّ المستفاد من الصحيح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أنّ الكرّيّة علّة لعدم التنجيس، و لا نعني بالمانع إلاّ ما يلزم من وجوده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بأنّ ذلك كما أنّه محتمل لأن يكون من جهة أنّ الكرّيّة مانعة عن الانفعال، فكذلك محتمل لأن يكون الكرّ ملزوما لانتفاء شرط الانفعال، فالكرّ لا ينفعل إمّا لأنّه علّة لعدم الانفعال، أو لأنّه ملزوم لانتفاء شرط الانفعال، فكيف يستفاد منه العلّيّة على التعيين؟</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الاصول أنّ الجملة الشرطيّة ظاهرة في سببيّة المقدّم للتالي، فلا يمكن رفع اليد عن هذا الظهور بلا صارف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بملاحظة أدلّة التغيّر أنّ الكرّيّة ليست بعلّة تامّة بل هي جزء للعلّة، و هي مركّبة عنها و عن عدم التغيّر، فكما أنّ استعمال أداة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التلازم بين المقدّم و انتفاء شرط نقيض التالي مجاز و إخراج لها عن الظهور، فكذلك استعمالها في شرطيّة المقدّم للتالي و كونه جزءا للعلّة أيضا مجاز و عدول عن الظاهر، فيبقى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الظاهر في كون القلّة شرطا للانفعال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به المدّعي لكون الكرّيّة مانعة عن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للمجاز الأوّل، إن لم نقل بأنّه في نفسه أرجح، نظرا إلى أنّ التلازم أقرب إلى العلّيّة و أشبه بها من حيث اقتضائه اللزوم في الوجود و العدم معا من </w:t>
      </w:r>
    </w:p>
    <w:p>
      <w:pPr>
        <w:pStyle w:val="BookText"/>
        <w:rPr/>
      </w:pPr>
      <w:r>
        <w:rPr>
          <w:rFonts w:ascii="Amiri" w:hAnsi="Amiri" w:eastAsia="Amiri" w:cs="Amiri"/>
          <w:color w:val="111111"/>
          <w:sz w:val="28"/>
          <w:sz w:val="28"/>
          <w:szCs w:val="28"/>
          <w:rtl w:val="true"/>
          <w:lang w:bidi="ar-SA"/>
        </w:rPr>
        <w:t>الشرطيّة الّتي لا يقتضي اللزوم إلاّ في جانب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دالّ على عدم شرطيّة القلّة، من جهة أنّه يقضي بأنّ الخارج عن عمومات الطهارة إنّما هو القلّة، و هي أمر عدمي لا يصلح لأن يكون شرطا، فإذا انتفى احتمال كونها شرطا تعيّن كون الكرّيّة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كون الأمر العدمي صالحا للشرطيّة، كما يشهد به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عدم المانع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و أنّ ثبوت كون الامور العدميّة معتبرة بعنوان الشرطيّة في الشريعة في الكثرة ما لا يكاد ينكر، أ 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تعداد شرائط النيّة المعتبرة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النيّة شرط فيها، و يفسّرونه بعدم قصد المنافي و عدم التردّد في أثناء العمل، و القول بأنّ الأمر العدمي لا يصلح للتأثير في الوجود مخصوص بما كان عدميّا صرفا غير متشبّث بالوجود، و القلّة ليست منه لأنّها عبارة عن عدم الكثرة فيما من شأنه الكثرة، فيكون متشبّثا بالوجود لاقترانه بشأنيّة الوجود، مع أنّ الشروط الشرعيّة كثيرا ما تكون من باب المعرّفات دون المؤثّرات، فلعلّ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ظهور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شيء الخ</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 ما أشبه ذلك المقتضي لكون الماء بما هو هو مأخوذا عنوانا لحكم الطهارة، و أنّ ما خالفه من أفراده في ذلك الحكم فإنّما هو مخرج عنه بالتخصيص، و من المقرّر أنّ كلّ ما يشكّ في خروجه له بالتخصيص مع إحراز دخوله في أصل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بعدم الخروج لأصالة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تلك العمومات ليست من قبيل ما كان عنوان العامّ مقتضيا للحكم و عنوان المخصّص مانعا، فليس بسديد جدّا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منه بيان أقلّ مراتب ما هو ملزوم لانتفاء عنوان المخصّص، فاعتبار الكرّ ليس من باب أنّه بالخصوص عنوان ينشأ منه الحكم، بحيث لو شكّ فيه في موضع كان ذلك شكّا في </w:t>
      </w:r>
    </w:p>
    <w:p>
      <w:pPr>
        <w:pStyle w:val="BookText"/>
        <w:rPr/>
      </w:pPr>
      <w:r>
        <w:rPr>
          <w:rFonts w:ascii="Amiri" w:hAnsi="Amiri" w:eastAsia="Amiri" w:cs="Amiri"/>
          <w:color w:val="111111"/>
          <w:sz w:val="28"/>
          <w:sz w:val="28"/>
          <w:szCs w:val="28"/>
          <w:rtl w:val="true"/>
          <w:lang w:bidi="ar-SA"/>
        </w:rPr>
        <w:t>المقتضي، مانعا عن الأخذ بالمقتضي، بل المقتضي في الحقيقة هو عنوان المائيّة، فيوجد المقتضي حيثما وجد و ينتفي حيثما انتفى، و الكرّيّة إنّما اعتبرت ميزانا لمعرفة أنّ الكرّ هو أقلّ مراتب ما يسلم من هذا العنوان العامّ عمّا يزاحمه في فعليّة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فمقتضى الجمع بين منطوق هذه الرواية و مفهومها تنوّع هذا العنوان إلى نوعين و انكشاف عدم كونه بما هو هو عنوانا في الشريعة، بل العنوان الّذي يدور عليه الحكم إنّما هو النوعان المذكوران،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موضوع المنطوق و هو الماء البالغ حدّ الكرّ،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موضوع المفهوم و هو الماء الغير البالغ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المشكوك في كرّيّته كائنا ما كان مجملا مصداقيّا مردّدا بين كونه من أفراد هذا النوع، أو ذاك النوع و معه فكما لا يمكن إلحاقه بالنوع الأوّل فكذا لا يمكن إلحاقه بالنوع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ذلك لزوم الرجوع إلى الاصول العمليّة من احتياط كما صار إليه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عرفت</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مذهبه فيما لا نصّ فيه من كون المرجع فيه هو الاحتياط، أو استصحاب للطهارة السابقة و نحوها، لا الحكم عليه مطلقا بالانفعال إلاّ فيما لو كان مسبوقا بالقلّة و شكّ في بلوغه حدّ الكرّ، فإنّ اللازم حينئذ أن يترتّب عليه أحكام ما دون الكرّ، عملا بالأصل الموضوعي الوارد على الأصل الحكمي كما قرّر في محلّه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موضوع المسألة لا ينحصر أفراده في مثل ذلك بل هو في الحقيقة خارج عن هذا الموضوع؛ إذ لا أظنّ أحدا يقول في مثله بالطهارة عملا بالأصل المستفاد من العمومات، و لا يكون ذلك من باب تخصيص العامّ بالأصل العملي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عندهم، بل المخصّص له في الحقيقة إنّما هو أدلّة انفعال القليل، و العمل بالأصل المذكور تعميم في موضوع تلك الأدلّة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القليل المحكوم عليه بالانفعال أعمّ من أن يكون كذلك بحسب الواقع أو بحسب الشرع، عملا بعموم أدلّة الاستصحاب القاضية بأنّه ممّا جعله الشارع طريقا للمكلّف إلى إحراز الواقع من موضوع أو حكم، و أقامه مقام العلم بالواقع الحاكمة على سائر الأدلّة المقتضية لاعتبار الواقع بطريق علمي، فليتدبّر</w:t>
      </w:r>
      <w:r>
        <w:rPr>
          <w:rFonts w:eastAsia="Amiri" w:cs="Amiri" w:ascii="Amiri" w:hAnsi="Amiri"/>
          <w:color w:val="111111"/>
          <w:sz w:val="28"/>
          <w:szCs w:val="28"/>
          <w:rtl w:val="true"/>
          <w:lang w:bidi="ar-SA"/>
        </w:rPr>
        <w:t xml:space="preserve">. </w:t>
      </w:r>
      <w:bookmarkStart w:id="125" w:name="pg16144_233052"/>
    </w:p>
    <w:p>
      <w:pPr>
        <w:pStyle w:val="BookText"/>
        <w:rPr/>
      </w:pPr>
      <w:bookmarkEnd w:id="125"/>
      <w:r>
        <w:rPr>
          <w:rFonts w:ascii="Amiri" w:hAnsi="Amiri" w:eastAsia="Amiri" w:cs="Amiri"/>
          <w:color w:val="111111"/>
          <w:sz w:val="28"/>
          <w:sz w:val="28"/>
          <w:szCs w:val="28"/>
          <w:rtl w:val="true"/>
          <w:lang w:bidi="ar-SA"/>
        </w:rPr>
        <w:t>فبجميع ما قرّرناه ينقدح أنّ ما تقدّم عن الفاضلين</w:t>
      </w:r>
      <w:r>
        <w:rPr>
          <w:rStyle w:val="FootnoteAnchor"/>
          <w:rtl w:val="true"/>
        </w:rPr>
        <w:footnoteReference w:id="378"/>
      </w:r>
      <w:r>
        <w:rPr>
          <w:rFonts w:ascii="Amiri" w:hAnsi="Amiri" w:eastAsia="Amiri" w:cs="Amiri"/>
          <w:color w:val="111111"/>
          <w:sz w:val="28"/>
          <w:sz w:val="28"/>
          <w:szCs w:val="28"/>
          <w:rtl w:val="true"/>
          <w:lang w:bidi="ar-SA"/>
        </w:rPr>
        <w:t>و الشهيد</w:t>
      </w:r>
      <w:r>
        <w:rPr>
          <w:rStyle w:val="FootnoteAnchor"/>
          <w:rtl w:val="true"/>
        </w:rPr>
        <w:footnoteReference w:id="379"/>
      </w:r>
      <w:r>
        <w:rPr>
          <w:rFonts w:ascii="Amiri" w:hAnsi="Amiri" w:eastAsia="Amiri" w:cs="Amiri"/>
          <w:color w:val="111111"/>
          <w:sz w:val="28"/>
          <w:sz w:val="28"/>
          <w:szCs w:val="28"/>
          <w:rtl w:val="true"/>
          <w:lang w:bidi="ar-SA"/>
        </w:rPr>
        <w:t>من إفتائهما بنجاسة الماء المشكوك في كرّيّته عملا بأصالة عدم الكرّيّة على إطلاقه ليس على ما ينبغي؛ إذ لا معنى لأصالة عدم الكرّيّة فيما لم يكن مسبوق بالقلّة، بل أصالة الطهارة الأصليّة في مثله هو الأصل المعوّل عليه،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الطهارة سواء أردنا منه الأصل الاجتهادي المستفاد من عمومات الطهارة، أو الأصل العملي المعبّر عنه بالاستصحاب، ممّا لا يمكن الإغماض عنه في مواضع الشبهة و الدوران و انسداد الطرق العلميّة، لإجمال في المصداق، أو الصدق، أو المفهوم بالنظر إلى عنوان الكرّيّة و ما يقابله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804432_1280447820"/>
      <w:bookmarkStart w:id="127" w:name="_Toc47"/>
      <w:bookmarkEnd w:id="126"/>
      <w:r>
        <w:rPr>
          <w:rtl w:val="true"/>
        </w:rPr>
        <w:t>الجهة الرابعة</w:t>
      </w:r>
      <w:r>
        <w:rPr>
          <w:rtl w:val="true"/>
        </w:rPr>
        <w:t>: [</w:t>
      </w:r>
      <w:r>
        <w:rPr>
          <w:rtl w:val="true"/>
        </w:rPr>
        <w:t>هل يعتبر فيه مساواة سطوحه أو يكفي مجرّد اتّصال بعضه بعضا و لو مع الاختلاف في سطوحه؟</w:t>
      </w:r>
      <w:r>
        <w:rPr>
          <w:rtl w:val="true"/>
        </w:rPr>
        <w:t>]</w:t>
      </w:r>
      <w:bookmarkEnd w:id="127"/>
    </w:p>
    <w:p>
      <w:pPr>
        <w:pStyle w:val="Heading5"/>
        <w:numPr>
          <w:ilvl w:val="4"/>
          <w:numId w:val="1"/>
        </w:numPr>
        <w:rPr/>
      </w:pPr>
      <w:bookmarkStart w:id="128" w:name="__RefHeading___Toc1804434_1280447820"/>
      <w:bookmarkStart w:id="129" w:name="_Toc48"/>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بعد ما عرفت أنّ مقدار الكرّ من الماء من حكمه أن لا ينفعل بمجرّد الملاقاة، فهل يعتبر فيه مساواة سطوحه أو يكفي مجرّد اتّصال بعضه بعضا و لو مع الاختلاف في سطوحه؟ و على الثاني فهل يعتبر في كفاية الاتّصال أن لا يكون الاختلاف المفروض معه فاحشا بيّنا بحيث يخفى على الحسّ أو يصعب عليه إدراكه، أو أنّ الاختلاف غير مضرّ و لو فاحشا بيّنا للحسّ؟</w:t>
      </w:r>
    </w:p>
    <w:p>
      <w:pPr>
        <w:pStyle w:val="BookText"/>
        <w:rPr/>
      </w:pPr>
      <w:r>
        <w:rPr>
          <w:rFonts w:ascii="Amiri" w:hAnsi="Amiri" w:eastAsia="Amiri" w:cs="Amiri"/>
          <w:color w:val="111111"/>
          <w:sz w:val="28"/>
          <w:sz w:val="28"/>
          <w:szCs w:val="28"/>
          <w:rtl w:val="true"/>
          <w:lang w:bidi="ar-SA"/>
        </w:rPr>
        <w:t>و على الثاني فهل يعتبر فيه أن يكون بطريق الانحدار كما لو كان الماء في أرض منحدرة، أو لا يضرّ الاختلاف و لو كان على طريق التسنيم، كما لو سال الماء إلى الأرض في ميزاب و نحوه من الأراضي المرتفعة الّتي يجري منها الماء إلى ما تحتها بطريق التسنيم كالجبل و ما أشبهه؟ و على التقادير فهل معنى كفاية مجرّد الاتّصال و عدم مضرّيّة الاختلاف كون كلّ من الأعلى و الأسفل متقوّما بالآخر فلا ينفعل شيء منهما إذا لاقته النجاسة، أو كون الأسفل متقوّما بالأعلى دون العكس، فينفعل الأعلى بالملاقاة إن كان أقلّ من الكرّ دون العكس؟ وجوه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الخلاف بينهم في كثير منها، و لكن ينبغي النظر في معرفة تفصيل أقوالهم و تشخيص موضع الخلاف عن موضع الوفاق في عبائرهم حسبما وقفنا عليه نقلا و تحصيلا، و لكنّ الّذي يظهر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لم تكن معنونة في كلام قدماء </w:t>
      </w:r>
      <w:bookmarkStart w:id="130" w:name="pg16144_233053"/>
    </w:p>
    <w:p>
      <w:pPr>
        <w:pStyle w:val="BookText"/>
        <w:rPr/>
      </w:pPr>
      <w:bookmarkEnd w:id="130"/>
      <w:r>
        <w:rPr>
          <w:rFonts w:ascii="Amiri" w:hAnsi="Amiri" w:eastAsia="Amiri" w:cs="Amiri"/>
          <w:color w:val="111111"/>
          <w:sz w:val="28"/>
          <w:sz w:val="28"/>
          <w:szCs w:val="28"/>
          <w:rtl w:val="true"/>
          <w:lang w:bidi="ar-SA"/>
        </w:rPr>
        <w:t xml:space="preserve">أصحابنا، و إنّما حدث تدوينها و لو بنحو الإشارة من المتأخّرين عن زمن العلاّمة رحمه اللّه إلى هذه الأزمنة، كما أنّه يظهر أيضا عدم الفرق 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اختلاف الانحدار و التسنيم، بل عدم الفرق بين ما لو كان الاختلاف فاحشا و غيره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804436_1280447820"/>
      <w:bookmarkStart w:id="132" w:name="_Toc49"/>
      <w:bookmarkEnd w:id="131"/>
      <w:r>
        <w:rPr>
          <w:rtl w:val="true"/>
        </w:rPr>
        <w:t>نعم، حصل الاختلاف بينهم في مقامين،</w:t>
      </w:r>
      <w:bookmarkEnd w:id="132"/>
    </w:p>
    <w:p>
      <w:pPr>
        <w:pStyle w:val="Heading6"/>
        <w:numPr>
          <w:ilvl w:val="5"/>
          <w:numId w:val="1"/>
        </w:numPr>
        <w:rPr/>
      </w:pPr>
      <w:bookmarkStart w:id="133" w:name="__RefHeading___Toc1804438_1280447820"/>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اشتراط المساواة و عدمه،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الأعلى و الأسفل في تقوّم كلّ بالآخر و عدمه</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804440_1280447820"/>
      <w:bookmarkStart w:id="136" w:name="_Toc51"/>
      <w:bookmarkEnd w:id="135"/>
      <w:r>
        <w:rPr>
          <w:rtl w:val="true"/>
        </w:rPr>
        <w:t>أمّا المقام الأوّل</w:t>
      </w:r>
      <w:r>
        <w:rPr>
          <w:rtl w:val="true"/>
        </w:rPr>
        <w:t>: [</w:t>
      </w:r>
      <w:r>
        <w:rPr>
          <w:rtl w:val="true"/>
        </w:rPr>
        <w:t>أصل اشتراط المساواة و عدمه</w:t>
      </w:r>
      <w:r>
        <w:rPr>
          <w:rtl w:val="true"/>
        </w:rPr>
        <w:t>]</w:t>
      </w:r>
      <w:bookmarkEnd w:id="136"/>
    </w:p>
    <w:p>
      <w:pPr>
        <w:pStyle w:val="Heading6"/>
        <w:numPr>
          <w:ilvl w:val="5"/>
          <w:numId w:val="1"/>
        </w:numPr>
        <w:rPr/>
      </w:pPr>
      <w:bookmarkStart w:id="137" w:name="__RefHeading___Toc1804442_1280447820"/>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فمحصّل خلافهم فيه يرجع إلى أقوال ثلاث</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804444_1280447820"/>
      <w:bookmarkStart w:id="140" w:name="_Toc53"/>
      <w:bookmarkEnd w:id="139"/>
      <w:r>
        <w:rPr>
          <w:rtl w:val="true"/>
        </w:rPr>
        <w:t>أحدها</w:t>
      </w:r>
      <w:r>
        <w:rPr>
          <w:rtl w:val="true"/>
        </w:rPr>
        <w:t xml:space="preserve">: </w:t>
      </w:r>
      <w:r>
        <w:rPr>
          <w:rtl w:val="true"/>
        </w:rPr>
        <w:t>القول بعدم الاشتراط،</w:t>
      </w:r>
      <w:bookmarkEnd w:id="140"/>
    </w:p>
    <w:p>
      <w:pPr>
        <w:pStyle w:val="BookText"/>
        <w:rPr/>
      </w:pPr>
      <w:r>
        <w:rPr>
          <w:rFonts w:ascii="Amiri" w:hAnsi="Amiri" w:eastAsia="Amiri" w:cs="Amiri"/>
          <w:color w:val="111111"/>
          <w:sz w:val="28"/>
          <w:sz w:val="28"/>
          <w:szCs w:val="28"/>
          <w:rtl w:val="true"/>
          <w:lang w:bidi="ar-SA"/>
        </w:rPr>
        <w:t>و قد صرّح به الشهيد الثاني في كلام محكيّ له عن الروض،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تحرير المقام أنّ النصوص الدالّة على اعتبار الكثرة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كلام أكثر الأصحاب ليس فيه تقييد الكرّ المجتمع بكون سطوحه مستوية، بل هو أعمّ منه و من المختلف كيف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مطويّ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يظهر لي في المسألة و دلّ عليه إطلاق النصّ، أنّ الماء متى كان قدر كرّ متّصلا ثمّ عرضت له النجاسة لم تؤثّر فيه إلاّ مع التغيّر، سواء كان متساوي السطوح أو مختلفها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تبعه في ذلك سبطه السيّد في المدارك،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أسند إلى اطلاق كلامي المحقّق و العلاّمة في المعتبر</w:t>
      </w:r>
      <w:r>
        <w:rPr>
          <w:rStyle w:val="FootnoteAnchor"/>
          <w:rtl w:val="true"/>
        </w:rPr>
        <w:footnoteReference w:id="382"/>
      </w:r>
      <w:r>
        <w:rPr>
          <w:rFonts w:ascii="IRNazanin" w:hAnsi="IRNazanin" w:eastAsia="IRNazanin"/>
          <w:color w:val="111111"/>
          <w:sz w:val="28"/>
          <w:sz w:val="28"/>
          <w:szCs w:val="28"/>
          <w:rtl w:val="true"/>
          <w:lang w:bidi="fa-IR"/>
        </w:rPr>
        <w:t>و المنتهى</w:t>
      </w:r>
      <w:r>
        <w:rPr>
          <w:rStyle w:val="FootnoteAnchor"/>
          <w:rtl w:val="true"/>
        </w:rPr>
        <w:footnoteReference w:id="383"/>
      </w:r>
      <w:r>
        <w:rPr>
          <w:rFonts w:ascii="Amiri" w:hAnsi="Amiri" w:eastAsia="Amiri" w:cs="Amiri"/>
          <w:color w:val="111111"/>
          <w:sz w:val="28"/>
          <w:sz w:val="28"/>
          <w:szCs w:val="28"/>
          <w:rtl w:val="true"/>
          <w:lang w:bidi="ar-SA"/>
        </w:rPr>
        <w:t xml:space="preserve">أنّه يقتضي عدم الفرق بين مساواة السطوح و اختلافها، فيكون كلّ من الأعلى و الأسفل متقويا بالآخر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ينبغي القطع بذلك إذا كان جريان الماء في أرض منحدرة، لاندراجه تحت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فإنّه شامل لتساوي السطوح و مختلفها، و إنّما يحصل التردّد فيما إذا كان الأعلى متسنّما على الأسفل بميزاب و نحوه، لعدم صدق الوحدة عرفا و لا يبعد التقوّي في ذلك أيضا كما اختاره جدّي قدّس سرّه في فوائد القواعد عملا بالعموم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منه أنّه جزم بالحكم في الشقّ الأوّل و رجّحه في الثاني بعد ما صار متردّدا، </w:t>
      </w:r>
      <w:bookmarkStart w:id="141" w:name="pg16144_233054"/>
    </w:p>
    <w:p>
      <w:pPr>
        <w:pStyle w:val="BookText"/>
        <w:rPr/>
      </w:pPr>
      <w:bookmarkEnd w:id="141"/>
      <w:r>
        <w:rPr>
          <w:rFonts w:ascii="Amiri" w:hAnsi="Amiri" w:eastAsia="Amiri" w:cs="Amiri"/>
          <w:color w:val="111111"/>
          <w:sz w:val="28"/>
          <w:sz w:val="28"/>
          <w:szCs w:val="28"/>
          <w:rtl w:val="true"/>
          <w:lang w:bidi="ar-SA"/>
        </w:rPr>
        <w:t>و وافقهما على ذلك في الرياض</w:t>
      </w:r>
      <w:r>
        <w:rPr>
          <w:rStyle w:val="FootnoteAnchor"/>
          <w:rtl w:val="true"/>
        </w:rPr>
        <w:footnoteReference w:id="386"/>
      </w:r>
      <w:r>
        <w:rPr>
          <w:rFonts w:ascii="Amiri" w:hAnsi="Amiri" w:eastAsia="Amiri" w:cs="Amiri"/>
          <w:color w:val="111111"/>
          <w:sz w:val="28"/>
          <w:sz w:val="28"/>
          <w:szCs w:val="28"/>
          <w:rtl w:val="true"/>
          <w:lang w:bidi="ar-SA"/>
        </w:rPr>
        <w:t>، و حكي ذلك أيضا عن الأردبيلي في مجمع الفائدة</w:t>
      </w:r>
      <w:r>
        <w:rPr>
          <w:rStyle w:val="FootnoteAnchor"/>
          <w:rtl w:val="true"/>
        </w:rPr>
        <w:footnoteReference w:id="387"/>
      </w:r>
      <w:r>
        <w:rPr>
          <w:rFonts w:ascii="Amiri" w:hAnsi="Amiri" w:eastAsia="Amiri" w:cs="Amiri"/>
          <w:color w:val="111111"/>
          <w:sz w:val="28"/>
          <w:sz w:val="28"/>
          <w:szCs w:val="28"/>
          <w:rtl w:val="true"/>
          <w:lang w:bidi="ar-SA"/>
        </w:rPr>
        <w:t>، و المحقّق الخراساني في الذخيرة</w:t>
      </w:r>
      <w:r>
        <w:rPr>
          <w:rStyle w:val="FootnoteAnchor"/>
          <w:rtl w:val="true"/>
        </w:rPr>
        <w:footnoteReference w:id="388"/>
      </w:r>
      <w:r>
        <w:rPr>
          <w:rFonts w:ascii="Amiri" w:hAnsi="Amiri" w:eastAsia="Amiri" w:cs="Amiri"/>
          <w:color w:val="111111"/>
          <w:sz w:val="28"/>
          <w:sz w:val="28"/>
          <w:szCs w:val="28"/>
          <w:rtl w:val="true"/>
          <w:lang w:bidi="ar-SA"/>
        </w:rPr>
        <w:t>، و البهبهاني في حاشية المدارك</w:t>
      </w:r>
      <w:r>
        <w:rPr>
          <w:rStyle w:val="FootnoteAnchor"/>
          <w:rtl w:val="true"/>
        </w:rPr>
        <w:footnoteReference w:id="389"/>
      </w:r>
      <w:r>
        <w:rPr>
          <w:rFonts w:ascii="Amiri" w:hAnsi="Amiri" w:eastAsia="Amiri" w:cs="Amiri"/>
          <w:color w:val="111111"/>
          <w:sz w:val="28"/>
          <w:sz w:val="28"/>
          <w:szCs w:val="28"/>
          <w:rtl w:val="true"/>
          <w:lang w:bidi="ar-SA"/>
        </w:rPr>
        <w:t>، و شرح المفاتيح</w:t>
      </w:r>
      <w:r>
        <w:rPr>
          <w:rStyle w:val="FootnoteAnchor"/>
          <w:rtl w:val="true"/>
        </w:rPr>
        <w:footnoteReference w:id="390"/>
      </w:r>
      <w:r>
        <w:rPr>
          <w:rFonts w:ascii="Amiri" w:hAnsi="Amiri" w:eastAsia="Amiri" w:cs="Amiri"/>
          <w:color w:val="111111"/>
          <w:sz w:val="28"/>
          <w:sz w:val="28"/>
          <w:szCs w:val="28"/>
          <w:rtl w:val="true"/>
          <w:lang w:bidi="ar-SA"/>
        </w:rPr>
        <w:t>، و يستفاد التصريح به من المحقّق الخوانساري في تضاعيف كلامه في شرح الدروس</w:t>
      </w:r>
      <w:r>
        <w:rPr>
          <w:rStyle w:val="FootnoteAnchor"/>
          <w:rtl w:val="true"/>
        </w:rPr>
        <w:footnoteReference w:id="391"/>
      </w:r>
      <w:r>
        <w:rPr>
          <w:rFonts w:ascii="Amiri" w:hAnsi="Amiri" w:eastAsia="Amiri" w:cs="Amiri"/>
          <w:color w:val="111111"/>
          <w:sz w:val="28"/>
          <w:sz w:val="28"/>
          <w:szCs w:val="28"/>
          <w:rtl w:val="true"/>
          <w:lang w:bidi="ar-SA"/>
        </w:rPr>
        <w:t>، و نسبه في المدارك</w:t>
      </w:r>
      <w:r>
        <w:rPr>
          <w:rStyle w:val="FootnoteAnchor"/>
          <w:rtl w:val="true"/>
        </w:rPr>
        <w:footnoteReference w:id="392"/>
      </w:r>
      <w:r>
        <w:rPr>
          <w:rFonts w:ascii="Amiri" w:hAnsi="Amiri" w:eastAsia="Amiri" w:cs="Amiri"/>
          <w:color w:val="111111"/>
          <w:sz w:val="28"/>
          <w:sz w:val="28"/>
          <w:szCs w:val="28"/>
          <w:rtl w:val="true"/>
          <w:lang w:bidi="ar-SA"/>
        </w:rPr>
        <w:t>إلى إطلاق ما صرّح به المحقّق و العلاّمة في المعتبر</w:t>
      </w:r>
      <w:r>
        <w:rPr>
          <w:rStyle w:val="FootnoteAnchor"/>
          <w:rtl w:val="true"/>
        </w:rPr>
        <w:footnoteReference w:id="393"/>
      </w:r>
      <w:r>
        <w:rPr>
          <w:rFonts w:ascii="IRNazanin" w:hAnsi="IRNazanin" w:eastAsia="IRNazanin"/>
          <w:color w:val="111111"/>
          <w:sz w:val="28"/>
          <w:sz w:val="28"/>
          <w:szCs w:val="28"/>
          <w:rtl w:val="true"/>
          <w:lang w:bidi="fa-IR"/>
        </w:rPr>
        <w:t>و المنتهى</w:t>
      </w:r>
      <w:r>
        <w:rPr>
          <w:rStyle w:val="FootnoteAnchor"/>
          <w:rtl w:val="true"/>
        </w:rPr>
        <w:footnoteReference w:id="39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الغدير إذا وصل بينهما بساقية صارا كالماء الواحد، فلو وقع في أحدهما لم ينجّس و إن نقص عن الكرّ إذا بلغ المجموع منهما و من الساقية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حكاه عنهما أيضا في شرح الدروس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عنوان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من كلام الأصحاب الاحتمال الثاني، يعني عدم اعتبار المساواة، بل في بعض كلماتهم التصريح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نقف على نصّ ظاهر من كلام الأصحاب في خلافه إلاّ ظاهر كلام بعض المتأخّرين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804446_1280447820"/>
      <w:bookmarkStart w:id="143" w:name="_Toc54"/>
      <w:bookmarkEnd w:id="142"/>
      <w:r>
        <w:rPr>
          <w:rtl w:val="true"/>
        </w:rPr>
        <w:t>و ثانيها</w:t>
      </w:r>
      <w:r>
        <w:rPr>
          <w:rtl w:val="true"/>
        </w:rPr>
        <w:t xml:space="preserve">: </w:t>
      </w:r>
      <w:r>
        <w:rPr>
          <w:rtl w:val="true"/>
        </w:rPr>
        <w:t>القول باعتبار المساواة في الكرّ،</w:t>
      </w:r>
      <w:bookmarkEnd w:id="1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خروجه عن الكثرة بالاختلاف خصوصا إذا كان الاختلاف بالتسنيم و نحوه، و قضيّة ذلك عدم تقوّم شيء من الأعلى و الأسفل في صورة الاختلاف بالآخر، فينجّس كلّ منهما بوقوع النجاسة و لم نقف على من صرّح به إلاّ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محكيّ‌</w:t>
      </w:r>
      <w:r>
        <w:rPr>
          <w:rStyle w:val="FootnoteAnchor"/>
          <w:rtl w:val="true"/>
        </w:rPr>
        <w:footnoteReference w:id="39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الأخبار المتضمّنة لحكم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أشبارا و 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الاجتماع في الماء، و صدق الوحدة و الكثرة عليه، و في تحقّق </w:t>
      </w:r>
    </w:p>
    <w:p>
      <w:pPr>
        <w:pStyle w:val="BookText"/>
        <w:rPr/>
      </w:pPr>
      <w:r>
        <w:rPr>
          <w:rFonts w:ascii="Amiri" w:hAnsi="Amiri" w:eastAsia="Amiri" w:cs="Amiri"/>
          <w:color w:val="111111"/>
          <w:sz w:val="28"/>
          <w:sz w:val="28"/>
          <w:szCs w:val="28"/>
          <w:rtl w:val="true"/>
          <w:lang w:bidi="ar-SA"/>
        </w:rPr>
        <w:t>ذلك مع عدم المساواة في كثير من الصور نظر، و التمسّك في عدم اعتبارها بعموم ما دلّ على عدم انفعال مقدار الكرّ بملاقاة النجاسة مدخول، لأنّه من باب المفرد المحلّى باللام و قد بيّن في المباحث الاصوليّة أنّ عمومه ليس من حيث كونه موضوعا لذلك على حدّ صيغ العموم، و إنّما هو باعتبار منافاة عدم إرادته الحكمة، فيصان كلام الحكيم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منافاة الحكمة حيث ينتفي احتمال العهد، و لا ريب أنّ تقدّم السؤال عن بعض أنواع الماهيّة عهد ظاهر، و هو في محلّ النزاع واقع؛ إذ النصّ متضمّن للسؤال عن الماء المجتمع و حينئذ لا يبقى لإثبات الشمول لغير المعهود وجه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يستظهر ذلك من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العلاّمة في بحث الحمّام حيث اعتبر كرّيّة المادّة مطلقا ممّا يشعر به؛ لأنّه لو لم يعتبر مساواة السطح لم يلزم كرّيّة المادّة وحدها، بل إنّما يلزم أن يكون المجموع من المادّة و الحوض الصغير و الساقية بينهما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أعمّ من المدّعى؛ لأنّ اعتبار الكرّيّة مطلقا في المادّة يدلّ على أنّ عند المساواة أيضا يلزم كرّيّة المادّة، فعلم أنّ الوجه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إنّما هو بناء على الغالب؛ إذ الغالب أنّ مادّة الحمّام أعلى، و يؤيّده أنّه إنّما يمثّل في العلوّ بماء الحمّام كما فعله المصنّف في الذكرى</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ذلك في مادّة الحمّام على فرض تسليمه لعلّه لخصوصيّة فيه لا تتعدّاه إلى غيره ممّا هو من محلّ البحث، فلا وجه لجعل ذلك من العلاّمة قرينة على أنّه قائل به مطلقا، و أجاب عنه في شرح الدروس</w:t>
      </w:r>
      <w:r>
        <w:rPr>
          <w:rStyle w:val="FootnoteAnchor"/>
          <w:rtl w:val="true"/>
        </w:rPr>
        <w:footnoteReference w:id="399"/>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محصّله إلى منع كون اعتبار الكرّيّة في مادّة الحمّام لأجل حفظ الحوض الصغير عن الانفعال بملاقاة النجاسة، بل إنّما هو لأجل تطهيره بعد ما طرأه الانفعال، نظرا إلى أنّ ماء الحمّام حكمه حكم الجاري في تطهير القليل المنفعل و لا يكون ذلك إلاّ إذا كان المادّة وحدها كرّا، إذ ما دون الكرّ لا يصلح لأن يطهّر الماء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ملخّصه إلى أنّ ذلك لعلّه لمراعاة ما هو الغالب في الحمّام من أنّ </w:t>
      </w:r>
      <w:bookmarkStart w:id="144" w:name="pg16144_233056"/>
    </w:p>
    <w:p>
      <w:pPr>
        <w:pStyle w:val="BookText"/>
        <w:rPr/>
      </w:pPr>
      <w:bookmarkEnd w:id="144"/>
      <w:r>
        <w:rPr>
          <w:rFonts w:ascii="Amiri" w:hAnsi="Amiri" w:eastAsia="Amiri" w:cs="Amiri"/>
          <w:color w:val="111111"/>
          <w:sz w:val="28"/>
          <w:sz w:val="28"/>
          <w:szCs w:val="28"/>
          <w:rtl w:val="true"/>
          <w:lang w:bidi="ar-SA"/>
        </w:rPr>
        <w:t>الماء يؤخذ فيه كثيرا من الحوض الصغير، فلو اكتفى بكرّيّة المجموع ممّا فيه و في المادّة و الساقية لطرأه القلّة بواسطة الأخذ منه فينفعل إذا لاقاه النجاسة، فلا بدّ فيه من عاصم يحفظه عن طروّ القلّة عليه صونا له عن الانفعال، و لا يكون ذلك إلاّ مع اعتبار الكرّيّة في المادّة، فاعتبارها حينئذ ليس لأجل اعتبار مساواة السطح في الكرّ كما هو محلّ النزاع، بل لأجل أنّه مانع عن زوال الكرّيّة المعتبرة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مفاده إلى أنّ ذلك لعلّه من جهة أنّ العلاّمة قائل بمانعيّة الاختلاف على نحو التسنيم، نظرا إلى أنّ الغالب في الحمّامات انحدار مائها بالميزاب و نحوه، لا من جهة أنّه مانع عن الاختلاف مطلقا و كلامنا فيه لا في الأوّل الخ</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الأجوبة في حدّ نفسها و إن كانت جيّدة، حاسمة لدعوى مصير العلاّمة إلى تلك المقالة لمجرّد ما اعتبره في المادّة من الكرّيّة، غير أنّها في مقابلة ما تقدّم من العبارة واردة في غير محلّها، من حيث إنّ هذا الرجل ليس جازما في إسناد تلك المقالة إلى العلاّمة، و لا أنّه مدّع لدلالة كلام العلاّمة على ذلك دلالة معتبرة في نظائره، بل غاية ما ادّعاه الإشعار و هو دون الدلالة، و كأنّه أعرض عن دعوى الدلالة بملاحظة قيام ما ذكر من الاحتمالات، فارتفع النزاع عن البين جدّا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804448_1280447820"/>
      <w:bookmarkStart w:id="146" w:name="_Toc55"/>
      <w:bookmarkEnd w:id="145"/>
      <w:r>
        <w:rPr>
          <w:rtl w:val="true"/>
        </w:rPr>
        <w:t>و ثالثها</w:t>
      </w:r>
      <w:r>
        <w:rPr>
          <w:rtl w:val="true"/>
        </w:rPr>
        <w:t xml:space="preserve">: </w:t>
      </w:r>
      <w:r>
        <w:rPr>
          <w:rtl w:val="true"/>
        </w:rPr>
        <w:t>ما أبرزه في الحدائق من التوقّف و العجز عن ترجيح أحد القولين الأوّلين،</w:t>
      </w:r>
      <w:bookmarkEnd w:id="1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الحكم في المسألة لا يخلو عن إشكال، ينشأ من أنّ المستفاد من أخبار الكرّ تقارب أجزاء الماء بعضها من بعض، كقوله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جابر حين سأله عن الماء الّذي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 نحوها من الأخبار الدالّة على التقدير بالمساحة، و صحيحة صفوان المتضمّنة للسؤال عن الحياض الّتي بين مكّة و المدينة، حيث سئل عليه السّلام و 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إلى نصف الساق و إلى الركبة و 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جملة من المؤيّدات، </w:t>
      </w:r>
      <w:bookmarkStart w:id="147" w:name="pg16144_233057"/>
    </w:p>
    <w:p>
      <w:pPr>
        <w:pStyle w:val="BookText"/>
        <w:rPr/>
      </w:pPr>
      <w:bookmarkEnd w:id="147"/>
      <w:r>
        <w:rPr>
          <w:rFonts w:ascii="Amiri" w:hAnsi="Amiri" w:eastAsia="Amiri" w:cs="Amiri"/>
          <w:color w:val="111111"/>
          <w:sz w:val="28"/>
          <w:sz w:val="28"/>
          <w:szCs w:val="28"/>
          <w:rtl w:val="true"/>
          <w:lang w:bidi="ar-SA"/>
        </w:rPr>
        <w:t xml:space="preserve">و تكلّم مع أهل القول بعدم اعتبار المساواة بالمناقشة في أدلّتهم من العمومات و الأصل و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ينشأ من إطلاق الأخبار بأنّ بلوغ الماء كرّا عاصم له عن الانفعال بالملاقاة، و الأخبار الدالّة على التحديد بالمساحة و إن أ فهمت بحسب الظاهر اعتبار الاجتماع فيه، إلاّ أنّه إن أخذ الاجتماع فيها على الهيئة الّتي دلّت عليه فلا قائل به إجماعا و إن أخذ الاجتماع الّذي هو عبارة عن تساوي السطوح فلا دلالة لها عليه صريحا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فمجال التوقّف في الحكم المذكور لما ذكرناه بيّن الظهور و الاحتياط لا يخفى</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1804450_1280447820"/>
      <w:bookmarkStart w:id="149" w:name="_Toc56"/>
      <w:bookmarkEnd w:id="148"/>
      <w:r>
        <w:rPr>
          <w:rtl w:val="true"/>
        </w:rPr>
        <w:t>و أمّا المقام الثاني</w:t>
      </w:r>
      <w:r>
        <w:rPr>
          <w:rtl w:val="true"/>
        </w:rPr>
        <w:t>: [</w:t>
      </w:r>
      <w:r>
        <w:rPr>
          <w:rtl w:val="true"/>
        </w:rPr>
        <w:t>في تقوي الأعلى بالأسفل و بالعكس</w:t>
      </w:r>
      <w:r>
        <w:rPr>
          <w:rtl w:val="true"/>
        </w:rPr>
        <w:t>]</w:t>
      </w:r>
      <w:bookmarkEnd w:id="149"/>
    </w:p>
    <w:p>
      <w:pPr>
        <w:pStyle w:val="Heading6"/>
        <w:numPr>
          <w:ilvl w:val="5"/>
          <w:numId w:val="1"/>
        </w:numPr>
        <w:rPr/>
      </w:pPr>
      <w:bookmarkStart w:id="150" w:name="__RefHeading___Toc1804452_1280447820"/>
      <w:bookmarkStart w:id="151" w:name="_Toc57"/>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فمحصّل خلافهم فيه يرجع إلى قولين</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804454_1280447820"/>
      <w:bookmarkStart w:id="153" w:name="_Toc58"/>
      <w:bookmarkEnd w:id="152"/>
      <w:r>
        <w:rPr>
          <w:rtl w:val="true"/>
        </w:rPr>
        <w:t>أحدهما</w:t>
      </w:r>
      <w:r>
        <w:rPr>
          <w:rtl w:val="true"/>
        </w:rPr>
        <w:t xml:space="preserve">: </w:t>
      </w:r>
      <w:r>
        <w:rPr>
          <w:rtl w:val="true"/>
        </w:rPr>
        <w:t>ما عليه الأكثر من أنّه لا يتفاوت الحال في عدم قدح الاختلاف في تقوّي بعض الماء ببعض بين الأعلى و الأسفل،</w:t>
      </w:r>
      <w:bookmarkEnd w:id="153"/>
    </w:p>
    <w:p>
      <w:pPr>
        <w:pStyle w:val="BookText"/>
        <w:rPr/>
      </w:pPr>
      <w:r>
        <w:rPr>
          <w:rFonts w:ascii="Amiri" w:hAnsi="Amiri" w:eastAsia="Amiri" w:cs="Amiri"/>
          <w:color w:val="111111"/>
          <w:sz w:val="28"/>
          <w:sz w:val="28"/>
          <w:szCs w:val="28"/>
          <w:rtl w:val="true"/>
          <w:lang w:bidi="ar-SA"/>
        </w:rPr>
        <w:t>و هو المستفاد من الجماعة المتقدّمة صراحة و ظهورا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804456_1280447820"/>
      <w:bookmarkStart w:id="155" w:name="_Toc59"/>
      <w:bookmarkEnd w:id="154"/>
      <w:r>
        <w:rPr>
          <w:rtl w:val="true"/>
        </w:rPr>
        <w:t>و ثانيهما</w:t>
      </w:r>
      <w:r>
        <w:rPr>
          <w:rtl w:val="true"/>
        </w:rPr>
        <w:t xml:space="preserve">: </w:t>
      </w:r>
      <w:r>
        <w:rPr>
          <w:rtl w:val="true"/>
        </w:rPr>
        <w:t>ما هو صريح جامع المقاصد في شرح القواعد،</w:t>
      </w:r>
      <w:bookmarkEnd w:id="155"/>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نقل عبارة المتن من أنّه لو اتّصل الواقف القليل بالجاري لم ينجّس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هذا الحكم علوّ الجاري، أو مساواة السطوح، أو فوران الجاري من تحت القليل إذا كان الجاري أسفل، لانتفاء تقوّيه بدون ذلك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يعزى ذلك إلى صريح العلاّمة في التذكرة</w:t>
      </w:r>
      <w:r>
        <w:rPr>
          <w:rStyle w:val="FootnoteAnchor"/>
          <w:rtl w:val="true"/>
        </w:rPr>
        <w:footnoteReference w:id="405"/>
      </w:r>
      <w:r>
        <w:rPr>
          <w:rFonts w:ascii="Amiri" w:hAnsi="Amiri" w:eastAsia="Amiri" w:cs="Amiri"/>
          <w:color w:val="111111"/>
          <w:sz w:val="28"/>
          <w:sz w:val="28"/>
          <w:szCs w:val="28"/>
          <w:rtl w:val="true"/>
          <w:lang w:bidi="ar-SA"/>
        </w:rPr>
        <w:t>، و الشهيد في الدروس</w:t>
      </w:r>
      <w:r>
        <w:rPr>
          <w:rStyle w:val="FootnoteAnchor"/>
          <w:rtl w:val="true"/>
        </w:rPr>
        <w:footnoteReference w:id="406"/>
      </w:r>
      <w:r>
        <w:rPr>
          <w:rFonts w:ascii="Amiri" w:hAnsi="Amiri" w:eastAsia="Amiri" w:cs="Amiri"/>
          <w:color w:val="111111"/>
          <w:sz w:val="28"/>
          <w:sz w:val="28"/>
          <w:szCs w:val="28"/>
          <w:rtl w:val="true"/>
          <w:lang w:bidi="ar-SA"/>
        </w:rPr>
        <w:t>، و الذكرى</w:t>
      </w:r>
      <w:r>
        <w:rPr>
          <w:rStyle w:val="FootnoteAnchor"/>
          <w:rtl w:val="true"/>
        </w:rPr>
        <w:footnoteReference w:id="407"/>
      </w:r>
      <w:r>
        <w:rPr>
          <w:rFonts w:ascii="Amiri" w:hAnsi="Amiri" w:eastAsia="Amiri" w:cs="Amiri"/>
          <w:color w:val="111111"/>
          <w:sz w:val="28"/>
          <w:sz w:val="28"/>
          <w:szCs w:val="28"/>
          <w:rtl w:val="true"/>
          <w:lang w:bidi="ar-SA"/>
        </w:rPr>
        <w:t>، و البيان</w:t>
      </w:r>
      <w:r>
        <w:rPr>
          <w:rStyle w:val="FootnoteAnchor"/>
          <w:rtl w:val="true"/>
        </w:rPr>
        <w:footnoteReference w:id="408"/>
      </w:r>
      <w:r>
        <w:rPr>
          <w:rFonts w:ascii="Amiri" w:hAnsi="Amiri" w:eastAsia="Amiri" w:cs="Amiri"/>
          <w:color w:val="111111"/>
          <w:sz w:val="28"/>
          <w:sz w:val="28"/>
          <w:szCs w:val="28"/>
          <w:rtl w:val="true"/>
          <w:lang w:bidi="ar-SA"/>
        </w:rPr>
        <w:t>، و قد يتوهّم لأجل ذلك التدافع بين كلامي العلاّمة بل الشهيد أيضا، حيث إنّهما يصرّحان في موضع بالحكم من دون تقييد بما يقضي بعدم تقوّي الأعلى بالأسفل، ثمّ يصرّحان عقيب ذلك بقليل بما يخالف ذلك، و أنت إذا تأمّلت في أكثر عبائرهم لوجدتها غير مخالفة لما عليه الأكثر لا صراحة و لا ظهورا و إن أوهمت ذلك في بادي النظر، و إن شئت صدق هذه المقالة فلاحظ ما ذكره الشهيد في الدروس بقوله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الجاري لا عن مادّة و لاقته النجاسة لم ينجّس ما فوقها مطلقا، و لا ما تحتها إن كان جميعه كرّا فصاعدا إلاّ مع التغيّر</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فأطلق الحكم بعدم نجاسة ما تحت موضع الملاقاة إذا بلغ المجموع كرّا من غير اشتراط استواء السطح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اتّصل الواقف بالجاري اتّحدا مع مساواة سطحهما، أو كون الجاري أعلى لا العكس، و يكفي في العلوّ فوران الجاري من تحت الواقف</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فاعتبر في صدق الاتّحاد مساواة السطحين أو علوّ الكثير، و ممّن صرّح بتناقض هذين الكلامين المحقّق الخوانساري</w:t>
      </w:r>
      <w:r>
        <w:rPr>
          <w:rStyle w:val="FootnoteAnchor"/>
          <w:rtl w:val="true"/>
        </w:rPr>
        <w:footnoteReference w:id="411"/>
      </w:r>
      <w:r>
        <w:rPr>
          <w:rFonts w:ascii="Amiri" w:hAnsi="Amiri" w:eastAsia="Amiri" w:cs="Amiri"/>
          <w:color w:val="111111"/>
          <w:sz w:val="28"/>
          <w:sz w:val="28"/>
          <w:szCs w:val="28"/>
          <w:rtl w:val="true"/>
          <w:lang w:bidi="ar-SA"/>
        </w:rPr>
        <w:t>عند شرح الكلام الأوّل، و عن صاحب الذخيرة</w:t>
      </w:r>
      <w:r>
        <w:rPr>
          <w:rStyle w:val="FootnoteAnchor"/>
          <w:rtl w:val="true"/>
        </w:rPr>
        <w:footnoteReference w:id="412"/>
      </w:r>
      <w:r>
        <w:rPr>
          <w:rFonts w:ascii="Amiri" w:hAnsi="Amiri" w:eastAsia="Amiri" w:cs="Amiri"/>
          <w:color w:val="111111"/>
          <w:sz w:val="28"/>
          <w:sz w:val="28"/>
          <w:szCs w:val="28"/>
          <w:rtl w:val="true"/>
          <w:lang w:bidi="ar-SA"/>
        </w:rPr>
        <w:t>أنّه جعلهما من باب الاضطراب في الفتوى الّذي نسبه إلى جماعة من متأخّري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تأمّلت لوجدت أنّ ذلك ليس على ما ينبغي، لما أفاده خالنا العلاّمة دام ظلّه</w:t>
      </w:r>
      <w:r>
        <w:rPr>
          <w:rStyle w:val="FootnoteAnchor"/>
          <w:rtl w:val="true"/>
        </w:rPr>
        <w:footnoteReference w:id="413"/>
      </w:r>
      <w:r>
        <w:rPr>
          <w:rFonts w:ascii="Amiri" w:hAnsi="Amiri" w:eastAsia="Amiri" w:cs="Amiri"/>
          <w:color w:val="111111"/>
          <w:sz w:val="28"/>
          <w:sz w:val="28"/>
          <w:szCs w:val="28"/>
          <w:rtl w:val="true"/>
          <w:lang w:bidi="ar-SA"/>
        </w:rPr>
        <w:t>من إمكان حمل مسألة اتّصاف الواقف بالجاري و الحكم باتّحادها مع مساواة السطح أو علوّ الجاري دون العكس، على كون الواقف المتّصل بالجاري بمنزلة الجاري في جميع أحكامه الّتي منها تطهير ما ينفعل من الماء عند تحقّق أحد الشرطين المذكورين، لا في عدم الانفعال بالملاقاة خاصّة كما هو موضع البحث في مسألة الكرّ، بخلاف ما لم يتحقّق فيه الشرط، فيمكن أن يقول فيه حينئذ بعدم الانفعال بالملاقاة، بناء على أنّ الأعلى يتقوّم بالأسفل كما أنّ الأسفل يتقوّم به، و إن لا يقول به فليست العبارة بصريحة في التناقض و لا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صاحب المدارك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بعدم تقوّي الأعلى بالأسفل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يلزمهم أن ينجّس كلّ ما كان تحت النجاسة من الماء المنحدر إذا لم يكن فوقه كرّا، و إن كان نهرا عظيما و هو معلوم البطلان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صاحب المعالم</w:t>
      </w:r>
      <w:r>
        <w:rPr>
          <w:rStyle w:val="FootnoteAnchor"/>
          <w:rtl w:val="true"/>
        </w:rPr>
        <w:footnoteReference w:id="415"/>
      </w:r>
      <w:r>
        <w:rPr>
          <w:rFonts w:ascii="Amiri" w:hAnsi="Amiri" w:eastAsia="Amiri" w:cs="Amiri"/>
          <w:color w:val="111111"/>
          <w:sz w:val="28"/>
          <w:sz w:val="28"/>
          <w:szCs w:val="28"/>
          <w:rtl w:val="true"/>
          <w:lang w:bidi="ar-SA"/>
        </w:rPr>
        <w:t>دفع ذلك بإمكان التزام عدم انفعال ما بعد عن موضع الملاقاة بمجرّدها لعدم الدليل عليه؛ إذ الأدلّة على انفعال ما نقص عن الكرّ بالملاقاة مختصّة بالمجتمع و المتقارب، و ليس مجرّد الاتّصال بالنجس موجبا للانفعال في نظر الشارع و إلاّ لنجس الأعلى بنجاسة الأسفل لصدق الاتّصال، و هو منفيّ قطعا، و إذا لم يكن الانفعال بمجرّده موجبا لسريان الانفعال، فلا بدّ في الحكم بنجاسة البعيد من دليل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جريان الماء النجس يقتضي نجاسة ما يصل إليه، فإذا استوعب الأجزاء </w:t>
      </w:r>
    </w:p>
    <w:p>
      <w:pPr>
        <w:pStyle w:val="BookText"/>
        <w:rPr/>
      </w:pPr>
      <w:r>
        <w:rPr>
          <w:rFonts w:ascii="Amiri" w:hAnsi="Amiri" w:eastAsia="Amiri" w:cs="Amiri"/>
          <w:color w:val="111111"/>
          <w:sz w:val="28"/>
          <w:sz w:val="28"/>
          <w:szCs w:val="28"/>
          <w:rtl w:val="true"/>
          <w:lang w:bidi="ar-SA"/>
        </w:rPr>
        <w:t xml:space="preserve">المنحدرة نجّسها و إن كثرت و لا بعد في ذلك، فإنّها لعدم استواء سطحها بمنزلة المنفصل، فكما أنّه ينجّس بملاقاة النجاسة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قلّت و كان مجموعه في غاية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بعد تسليم انفعال ما نقص عن الكرّ بالملاقاة مع الاجتماع و التقارب، لا شكّ أنّه يلزم نجاسة جميع ماء النهر المذكور؛ لأنّ النجاسة ملاقية لبعضه، و ذلك البعض ملاق للبعض الآخر القريب منه، و هكذا فينجّس الجميع، إذ الظاهر أنّ القائلين بنجاسة القليل بالملاقاة لا يفرّقون بين النجاسة و المتنجّس، و ما ذكره من أنّ مجرّد الاتّصال بالنجس لو كان موجبا للانفعال في نظر الشارع لنجس الأعلى بنجاسة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مخصّص عن العموم بالإجماع، فإلحاق ما عداه به ممّا لا دليل عليه قياس لا نقول به، على أنّ الفارق أيضا موجود كما ذكره بعض من عدم تعقّل سريان النجاسة إلى الأعلى</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الشيخ عليّ احتجّ على ما صار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الأسفل و الأعلى لو اتّحدا في الحكم، للزم تنجّس كلّ أعلى متّصل بأسفل مع القلّة و هو معلوم البطلان، و حيث لم يتنجّس بنجاسته لم يطهّر بطهره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بالأسفل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أعلى متّصل بأسفل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الأسفل متنجّسا، و إلاّ لا يعقل تنجّس الأعلى به و هو طاهر، و بالقلّة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بعدم نجاسة الأعلى بوقوع النجاسة فيه مع بلوغ المجموع منه و من الأسفل الكرّ إنّما كان لاندراجه تحت عموم الخبر، و ليس في هذا ما يستلزم نجاسة الأعلى بنجاسة الأسفل بوجه، مع أنّ الإجماع منعقد على أنّ النجاسة لا تسري إلى الأعلى مطلقا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بتقوّي الأعلى بالأسفل، إمّا لكونهما ماء واحدا مندرجا تحت </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لا ينجّسه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أو لعدم دليل على تنجّسه بناء على عدم عموم في أدلّة انفعال القليل كما ذكرنا، فإن كان الأوّل فإنّما يلزم ما ذكره لو ثبت أنّ كلّ ماء واحد قليل ينجّس جميعا بنجاسة بعض منه و إن كان أسفل من بعض آخر، و لم يثبت لما عرفت من عدم دليل عامّ على انفعال القليل، و على تقدير وجوده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مخصّص بغير صورة النزاع، للإجماع على عدم سراية النجاسة عن الأسفل إلى الأعلى، و ذلك الإجماع لا يستلزم خروج الأسفل و الأعلى عن الوحدة كما لا يخفى، و قس عليه الحال في نجاسة أسفل الكثير بالتغيّر و عدم نجاسة ما فوقه، و إن كان الثاني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انقدح لك بجميع ما فصّلناه في تحرير النزاع و محلّه، من تكلّف ذكر العبارات و تعرّض نقل النقوض و الإبرامات،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اعتبار الاتّصال فيما بين أجزاء الماء لو كانت متفرّقة، فلو انفصل بعضها عن بعض من دون توسّط ما يوجب بينها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الساقية أو الثقبة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محلّ النزاع في شيء، و لا أنّ المجموع من الكرّ المحكوم عليه بعدم الانفعال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العمدة فيما هو مناط موضع البحث صدق الوحدة عند اختلاف السطوح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تقدّم عن صاحب المعالم كون الاجتماع فيما بين أجزاء الكرّ ممّا له مدخليّة في الحكم، فلا يكون مجرّد تساوي السطوح عنده مع فرض عدم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تواصلت المياه المتفرّقة في نظر الحسّ بعضها مع بعض المستوية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انعقاد موضوع الحكم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الخلاف عن نصوص واردة في المسألة بخصوصها، بل مبناه على الاستظهارات الناشئة عن أخبار الكرّ، فكلّ يستظهر مطلبه عنها بملاحظة شيء من الجهات الموجودة فيها و لو في نظر الوهم، و بذلك يعلم أنّ الأمر في تحقيق المسألة هيّن، لوضوح طريقه و اتّضاح مدركه، فلا بدّ من النظر في مساق الأخبار المذكورة و مفادها حسبما </w:t>
      </w:r>
    </w:p>
    <w:p>
      <w:pPr>
        <w:pStyle w:val="BookText"/>
        <w:rPr/>
      </w:pPr>
      <w:r>
        <w:rPr>
          <w:rFonts w:ascii="Amiri" w:hAnsi="Amiri" w:eastAsia="Amiri" w:cs="Amiri"/>
          <w:color w:val="111111"/>
          <w:sz w:val="28"/>
          <w:sz w:val="28"/>
          <w:szCs w:val="28"/>
          <w:rtl w:val="true"/>
          <w:lang w:bidi="ar-SA"/>
        </w:rPr>
        <w:t>يساعد عليه العرف و فهم أهل اللسان، و يوافقه القواعد المحكمة المقرّرة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لمشترطي المساواة بصحيحة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ماء مجتمع إلخ</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القاضية باعتبار الاجتماع، الّذي هو أخصّ من مساواة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الكافي المتضمّنة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في الركيّ</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نظرا إلى أنّ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يعقل فيه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صفوان المشتملة على السؤال عن حياض ما بين مكّة و المدينة</w:t>
      </w:r>
      <w:r>
        <w:rPr>
          <w:rStyle w:val="FootnoteAnchor"/>
          <w:rtl w:val="true"/>
        </w:rPr>
        <w:footnoteReference w:id="422"/>
      </w:r>
      <w:r>
        <w:rPr>
          <w:rFonts w:ascii="Amiri" w:hAnsi="Amiri" w:eastAsia="Amiri" w:cs="Amiri"/>
          <w:color w:val="111111"/>
          <w:sz w:val="28"/>
          <w:sz w:val="28"/>
          <w:szCs w:val="28"/>
          <w:rtl w:val="true"/>
          <w:lang w:bidi="ar-SA"/>
        </w:rPr>
        <w:t>و صحيحة إسماعيل بن جابر</w:t>
      </w:r>
      <w:r>
        <w:rPr>
          <w:rStyle w:val="FootnoteAnchor"/>
          <w:rtl w:val="true"/>
        </w:rPr>
        <w:footnoteReference w:id="423"/>
      </w:r>
      <w:r>
        <w:rPr>
          <w:rFonts w:ascii="Amiri" w:hAnsi="Amiri" w:eastAsia="Amiri" w:cs="Amiri"/>
          <w:color w:val="111111"/>
          <w:sz w:val="28"/>
          <w:sz w:val="28"/>
          <w:szCs w:val="28"/>
          <w:rtl w:val="true"/>
          <w:lang w:bidi="ar-SA"/>
        </w:rPr>
        <w:t>و غيرها ممّا يتضمّن تحديد الكرّ بالمساحة على وجه لا يعقل معه عدم الاجتماع و يبعد عدم المساواة، فلو لا هذه الامور معتبرة في نظر الشارع لما وردت الروايات على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ليس شيء من ذلك بشيء، بل كلّ من ذا أوهن من بيت العنكبوت، على وجه لا يمكن التعويل عليها في إثبات مثل هذا الحكم، المخرج على خلاف الأصل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 الوجوه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المقرّر في المباحث الاصوليّة أنّ خصوصيّة المورد و السؤال لا تصلح مخصّصة للوارد و الجواب، بل العبرة بعموم اللفظ لا خصوص المحلّ، و كما أنّ أفراد الغدير بالسؤال عنه لا يقتضي باختصاص الحكم به و لا ينافي شموله غيره 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المجمع عليه هنا و يعترف به الخصم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خصوصيّة الوصف الوارد معه في السؤال أيضا لا يقتضي بذلك، كيف و أنّ الفرع لا يزيد على الأصل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إلحاقه بقاعدة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بمنع حجّيّة ذلك المفهوم إلاّ في مواضع ليس المقام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اعتباره هنا على فرض الحجّيّة، من </w:t>
      </w:r>
    </w:p>
    <w:p>
      <w:pPr>
        <w:pStyle w:val="BookText"/>
        <w:rPr/>
      </w:pPr>
      <w:r>
        <w:rPr>
          <w:rFonts w:ascii="Amiri" w:hAnsi="Amiri" w:eastAsia="Amiri" w:cs="Amiri"/>
          <w:color w:val="111111"/>
          <w:sz w:val="28"/>
          <w:sz w:val="28"/>
          <w:szCs w:val="28"/>
          <w:rtl w:val="true"/>
          <w:lang w:bidi="ar-SA"/>
        </w:rPr>
        <w:t xml:space="preserve">حيث عدم وروده إلاّ في كلام السائل، و العبرة إنّما هو بما ورد في كلام المسئول و هو خال عن القيد، و لا يلزم من عدم إرادته في الجواب خروجه عن المطابقة للسؤال، لعدم انكشاف كون وروده في السؤال على وجه له مدخليّة في غرض السائل، لقوّة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حكاية للواقعة حسبما وقعت في الخارج، من دون التفات إلى مدخليّة الخصوصيّة و عدمها، كما هو واقع و شائع في جميع العرفيّات و كافّة الأجوبة و السؤالات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حاله بما ذكرنا، فإنّ خصوصيّة أصل الركيّة ممّا لا مدخليّة له في الحكم فضلا عن الوصف الموجود فيها في نظر الوهم، هذا مع توجّه المنع إلى ظهورها في الاجتماع أو المساواة، لوضوح أنّ المذكور في الخطاب إنّما هو الركيّ، 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الصحاح</w:t>
      </w:r>
      <w:r>
        <w:rPr>
          <w:rStyle w:val="FootnoteAnchor"/>
          <w:rtl w:val="true"/>
        </w:rPr>
        <w:footnoteReference w:id="4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البئر على ما في المجمع</w:t>
      </w:r>
      <w:r>
        <w:rPr>
          <w:rStyle w:val="FootnoteAnchor"/>
          <w:rtl w:val="true"/>
        </w:rPr>
        <w:footnoteReference w:id="425"/>
      </w:r>
      <w:r>
        <w:rPr>
          <w:rFonts w:ascii="Amiri" w:hAnsi="Amiri" w:eastAsia="Amiri" w:cs="Amiri"/>
          <w:color w:val="111111"/>
          <w:sz w:val="28"/>
          <w:sz w:val="28"/>
          <w:szCs w:val="28"/>
          <w:rtl w:val="true"/>
          <w:lang w:bidi="ar-SA"/>
        </w:rPr>
        <w:t xml:space="preserve">فيكون إطلاق الرواية قاضيا بأنّه لو كان المجموع من مياه آبار متعدّدة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كافيا في حكم عدم الانفعال فيفوت به اعتبار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ظهوره في المساواة الّتي لا تتحقّق في مفروض المسألة غالبا إلاّ بعدم الجريان، و قد يتّفق كثيرا جريان المجتمع من مياه الآبار عن تحت الأرض كما في القنوات، و لا ريب أنّ الإطلاق يشمله فترتّب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أيضا نظير ما عرفت، فإنّه سؤال عن محلّ الابتلاء، أو عمّا عساه يبتلى به، من دون نظر إلى الخصوصيّات القائمة به، فلا يوجب شيء منها و هنا في عموم الجواب الوارد عليه الماهيّة المطلقة الّتي حيثما وجدت أوجبت جريان الحكم المعلّق عليها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المتبادر في نظائره بيان ضابط كلّي يرجع إليه في مواضع الشبهة، و هو بلوغ الماء المشكوك في حاله بعد الجمع بحسب المساحة هذا المقدار، من دون مدخل لخصوصيّة الوضع و الشكل في الحكم، كيف و لو صحّ المدخليّة لوجب الاقتصار على ما يخرج معه الحساب صحيحا مستقيما في جميع الأبعاد الثلاث على حسبما هو صريح التحديد، من دون حاجة إلى الكسر و إضافة ما خرج في بعضها عن حدّه </w:t>
      </w:r>
    </w:p>
    <w:p>
      <w:pPr>
        <w:pStyle w:val="BookText"/>
        <w:rPr/>
      </w:pPr>
      <w:r>
        <w:rPr>
          <w:rFonts w:ascii="Amiri" w:hAnsi="Amiri" w:eastAsia="Amiri" w:cs="Amiri"/>
          <w:color w:val="111111"/>
          <w:sz w:val="28"/>
          <w:sz w:val="28"/>
          <w:szCs w:val="28"/>
          <w:rtl w:val="true"/>
          <w:lang w:bidi="ar-SA"/>
        </w:rPr>
        <w:t xml:space="preserve">المضروب إلى ما نقص منها عن هذا الحدّ، فيلزم أن لا يكون بما عدا المربّع من الأشكال المختلفة من المثلّثات و الدوائر و المستطيلات و الهلاليّات و نحوها عبرة في ترتيب أحكام الكرّ، و هو في غاية البعد، بل يشبه بكونه خلاف الإجماع بل خلاف الضرورة، مع أنّ الاختلاف على وجه الانحدار الّذي يتحقّق مع جريان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يكن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شيئا من تلك التحديدات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جميع ما ذكر في تلك الوجوه يعارضه ظاهر روايات اخر واردة في هذا الباب، كرواية محمّد بن مسلم المتضمّنة للسؤال عن الماء الّذي تبول فيه الدوابّ‌</w:t>
      </w:r>
      <w:r>
        <w:rPr>
          <w:rStyle w:val="FootnoteAnchor"/>
          <w:rtl w:val="true"/>
        </w:rPr>
        <w:footnoteReference w:id="426"/>
      </w:r>
      <w:r>
        <w:rPr>
          <w:rFonts w:ascii="Amiri" w:hAnsi="Amiri" w:eastAsia="Amiri" w:cs="Amiri"/>
          <w:color w:val="111111"/>
          <w:sz w:val="28"/>
          <w:sz w:val="28"/>
          <w:szCs w:val="28"/>
          <w:rtl w:val="true"/>
          <w:lang w:bidi="ar-SA"/>
        </w:rPr>
        <w:t>، و صحيحة عليّ بن جعفر المشتملة على السؤال عن الدجاجة و الحمامة و أشباهها تطأ العذرة ثمّ تدخل الماء</w:t>
      </w:r>
      <w:r>
        <w:rPr>
          <w:rStyle w:val="FootnoteAnchor"/>
          <w:rtl w:val="true"/>
        </w:rPr>
        <w:footnoteReference w:id="427"/>
      </w:r>
      <w:r>
        <w:rPr>
          <w:rFonts w:ascii="Amiri" w:hAnsi="Amiri" w:eastAsia="Amiri" w:cs="Amiri"/>
          <w:color w:val="111111"/>
          <w:sz w:val="28"/>
          <w:sz w:val="28"/>
          <w:szCs w:val="28"/>
          <w:rtl w:val="true"/>
          <w:lang w:bidi="ar-SA"/>
        </w:rPr>
        <w:t>، و صحيحة إسماعيل بن جابر المتضمّنة للسؤال عن الماء الّذي لا ينجّسه شيء</w:t>
      </w:r>
      <w:r>
        <w:rPr>
          <w:rStyle w:val="FootnoteAnchor"/>
          <w:rtl w:val="true"/>
        </w:rPr>
        <w:footnoteReference w:id="428"/>
      </w:r>
      <w:r>
        <w:rPr>
          <w:rFonts w:ascii="Amiri" w:hAnsi="Amiri" w:eastAsia="Amiri" w:cs="Amiri"/>
          <w:color w:val="111111"/>
          <w:sz w:val="28"/>
          <w:sz w:val="28"/>
          <w:szCs w:val="28"/>
          <w:rtl w:val="true"/>
          <w:lang w:bidi="ar-SA"/>
        </w:rPr>
        <w:t xml:space="preserve">، فإنّ السؤال في كلّ ذلك ورد على وجه عامّ و طابقه الجواب، مع اقترانه بترك الاستفصال من دون إشعار فيهما بشيء من الأحوال و الخصوصيّات، فلو لا الحكم عامّا لجميع الصور لكان ترك التنبيه على ما له 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مقام التعليم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للحكمة،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عدم كون هذه بنفسها أظهر من الطرف المقابل كان غايته التساقط، فتبقى الأخبار المطلقة الغير المسبوقة بالأسئلة كالنبويّ المتقدّم</w:t>
      </w:r>
      <w:r>
        <w:rPr>
          <w:rStyle w:val="FootnoteAnchor"/>
          <w:rtl w:val="true"/>
        </w:rPr>
        <w:footnoteReference w:id="429"/>
      </w:r>
      <w:r>
        <w:rPr>
          <w:rFonts w:ascii="Amiri" w:hAnsi="Amiri" w:eastAsia="Amiri" w:cs="Amiri"/>
          <w:color w:val="111111"/>
          <w:sz w:val="28"/>
          <w:sz w:val="28"/>
          <w:szCs w:val="28"/>
          <w:rtl w:val="true"/>
          <w:lang w:bidi="ar-SA"/>
        </w:rPr>
        <w:t>، و صحيحة معاوية بن عمّار</w:t>
      </w:r>
      <w:r>
        <w:rPr>
          <w:rStyle w:val="FootnoteAnchor"/>
          <w:rtl w:val="true"/>
        </w:rPr>
        <w:footnoteReference w:id="430"/>
      </w:r>
      <w:r>
        <w:rPr>
          <w:rFonts w:ascii="Amiri" w:hAnsi="Amiri" w:eastAsia="Amiri" w:cs="Amiri"/>
          <w:color w:val="111111"/>
          <w:sz w:val="28"/>
          <w:sz w:val="28"/>
          <w:szCs w:val="28"/>
          <w:rtl w:val="true"/>
          <w:lang w:bidi="ar-SA"/>
        </w:rPr>
        <w:t>المشتملين ابتداء على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التعرّض لوجه دلالة هذه على المطلوب ليتّضح المقام كمال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الخصم إمّا أن تنشأ عن توهّم قصور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الدلالة على ما يعمّ نظائر المقام، أو تنشأ عن توهّم ذلك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توهّم ذلك في الهيئة التركيبيّة </w:t>
      </w:r>
    </w:p>
    <w:p>
      <w:pPr>
        <w:pStyle w:val="BookText"/>
        <w:rPr/>
      </w:pPr>
      <w:r>
        <w:rPr>
          <w:rFonts w:ascii="Amiri" w:hAnsi="Amiri" w:eastAsia="Amiri" w:cs="Amiri"/>
          <w:color w:val="111111"/>
          <w:sz w:val="28"/>
          <w:sz w:val="28"/>
          <w:szCs w:val="28"/>
          <w:rtl w:val="true"/>
          <w:lang w:bidi="ar-SA"/>
        </w:rPr>
        <w:t>الكلاميّة المشتملة عليهما و على ما يسند إليهما من الفعلين، و 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الأجناس الواقعة على القليل و الكثير، المشتركة فيها بين الأكثر و الأقلّ، و الكلّ و الأبعاض، كالتمر و الحنطة و نحوها ممّا يختلف أفرادها و تتمايز بالقلّة و الكثرة، فالكرّ من الماء ماء، و صاع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مدّ و غرفة منه على فرض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لو وزّع أرطالا مثلا و جعل كلّ رطل في مكان، فإن لم يوصل بين كلّ و صاحبه بساقية كان كلّ واحد ماء و المجموع مياه، و إلاّ كان المجموع ماء، و لو صبّ الماء من آنية على رأس منارة حتّى يصل منتهاه إلى وجه الأرض كان المجموع ممّا فيهما و ما في أثناء النزول ماء ما دام الاتّصال باقيا، بخلاف ما لو انقطع الاتّصال فكان ما في الآنية ماء، و ما في المنارة آخر، و ما على وجه الأرض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الحكم لو علّق على الطبيعة من حيث هي إلى جميع تلك المصاديق من غير أن يخرج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فرض في مسألة المنارة من نادر تلك المصاديق، و الإطلاق إنّما ينصرف إلى شائعها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الاعتبار بندرة الوجود، و غيرها غير موجود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الموضوعة لمقدار معيّن، و لو بحسب الشرع أو على سبيل المجاز، فلا يقع على الأبعاض كالمنّ و نحوه، بل يقع على المجموع من حيث هو، فلهيئته الاجتماعيّة دخل في الصدق، نعم يكفي في الصدق عليها اتّصال ما بينها إذا كانت متفرّقة في محالّ متعدّدة، فالمقدار الوارد في الروايات كرّ بأيّ شكل فرض، حتّى ما يفرض منه في المنارة على الوجه المتقدّم، فيكون مفاد الروايات بعد الجمع بين مدلوله و مدلول الماء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عليه اسم الماء فهو ممّا لا ينجّسه النجاسة بمجرّد وقوعها فيه إذا كان ممّا يقع عليه اسم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ذلك معنى عامّ لا يشذّ منه شيء من أفراد الماء، و لا شيء من مصاديق الكرّ، و معه كيف يناقش في دلالة ذلك على عموم الحكم، و لم يسبقه ما يصلح قرينة على العهد الصارف للعامّ إلى الخصوص، و من أين يجيء اعتبار الاجتماع أو مساواة السطوح أو نحو ذلك، </w:t>
      </w:r>
    </w:p>
    <w:p>
      <w:pPr>
        <w:pStyle w:val="BookText"/>
        <w:rPr/>
      </w:pPr>
      <w:r>
        <w:rPr>
          <w:rFonts w:ascii="Amiri" w:hAnsi="Amiri" w:eastAsia="Amiri" w:cs="Amiri"/>
          <w:color w:val="111111"/>
          <w:sz w:val="28"/>
          <w:sz w:val="28"/>
          <w:szCs w:val="28"/>
          <w:rtl w:val="true"/>
          <w:lang w:bidi="ar-SA"/>
        </w:rPr>
        <w:t>فهل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عرى عنهما ليس بماء، أو أنّه ليس من الكرّ حتّى لا يكون مشمولا للدليل،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شرط خارج عنهما بكليهما معتبر معهما في الحكم على حدّ سائر الشروط الواردة في الشريعة، و لم يقم عليه من الشارع دلالة و لا إشارة مع كون الحكم ممّا يعمّ به البلوى، بل هو أعمّ ابتلاء من سائر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انصراف الهيئة التركيبيّة إلى نظائر المقام، مع عدم اقترانها بما يوجب ذلك، و ظهور سياقها في ورودها لإعطاء قاعدة كلّيّة مندرجة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نلقي إليكم الاصول و عليكم أن تفرّعوا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الّتي لا تصلح لذلك إلاّ على تقدير كون موضوعها مأخوذا على وجه عامّ معبّر عنه بالماهيّة لا بشرط شيء، ممّا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ممّا يرفع الحاجة إلى التشبّث بالاعتبارات أو الاستبعادات المخرجة في المقام لتأييد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ممّا يحسم مادّة الاستبعادات و الاعتبارات الاخر المخرجة لتأييد خلاف المذهب بالكلّيّة، كما أنّه ممّا لا يفترق فيه الحال بين أنواع الاختلاف، و لا بين أوضاع الماء من علوّ أو دنوّ أو غيرهما، فإنّ قضيّة العموم تقوّم كلّ بعض من أبعاض الكرّ بالآخر كيفما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الأسفل و الأعلى لو اتّحدا في الحكم للزم تنجيس كلّ أعلى طاهر متّصل بأسفل متنجّس مع فرض قلّة المجموع و هو باطل، فحيث إنّه لا ينجّس بنجاسته فلا يطهّر بطهارته، كما عرفته من المحقّق الكركي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بعد ملاحظة قيام الدلالة على المقدّم دون التالي، بل قيامها على خلافه كما عرفته من الإجماع، مع 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العالي يطهّر بطهر السافل، إذ ليس بحثنا في مسألة التطهير،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ينفعل من جهة وجوده كما في صورة العكس، و عدم كونهما متّحدين في سائر الأحكام لا يقضي بكونهما كذلك في مسألة التقوّم و الاعتصام، لوضوح بطلان دعوى الملازمة، كيف و لو لا ذلك اتّجه قبول الانفعال و هو لكونه حكما مخالفا للأصل بل الاصول لا بدّ له من دلالة، و أنّى لهم الدلالة عليه، مع </w:t>
      </w:r>
      <w:bookmarkStart w:id="156" w:name="pg16144_233066"/>
    </w:p>
    <w:p>
      <w:pPr>
        <w:pStyle w:val="BookText"/>
        <w:rPr/>
      </w:pPr>
      <w:bookmarkEnd w:id="156"/>
      <w:r>
        <w:rPr>
          <w:rFonts w:ascii="Amiri" w:hAnsi="Amiri" w:eastAsia="Amiri" w:cs="Amiri"/>
          <w:color w:val="111111"/>
          <w:sz w:val="28"/>
          <w:sz w:val="28"/>
          <w:szCs w:val="28"/>
          <w:rtl w:val="true"/>
          <w:lang w:bidi="ar-SA"/>
        </w:rPr>
        <w:t>الجزم بعدم اندراجه في أدلّة انفعال القليل كما اعترفوا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حكم المسألة أصلا في شيء من صورها، نعم لو شئت الأخذ بالاحتياط في بعضها فلا بأس به خروجا عن شبهة الخلاف، لأنّه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رجحان الاحتياط فيما لو بلغ الاختلاف حدّا يضعف به صدق الوحدة، لضعف الاتّصال برقّة الساقية أو دقّة الثقبة كرأس الإبرة و نحوه، إلاّ أنّه لا يبلغ مرتبة الوجوب لعدم صلوحه معارضا للأصل الأصيل الّذي تقدّم الكلام في تحقيقه، نعم، يتعيّن الانفعال لو بلغ ضعف الاتّصال حدّا لا يقال معه ماء، بل يقال ماءان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804458_1280447820"/>
      <w:bookmarkStart w:id="158" w:name="_Toc60"/>
      <w:bookmarkEnd w:id="157"/>
      <w:r>
        <w:rPr>
          <w:rtl w:val="true"/>
        </w:rPr>
        <w:t>و لنختم المقام بإيراد فروع</w:t>
      </w:r>
      <w:r>
        <w:rPr>
          <w:rtl w:val="true"/>
        </w:rPr>
        <w:t>:</w:t>
      </w:r>
      <w:bookmarkEnd w:id="158"/>
    </w:p>
    <w:p>
      <w:pPr>
        <w:pStyle w:val="Heading6"/>
        <w:numPr>
          <w:ilvl w:val="5"/>
          <w:numId w:val="1"/>
        </w:numPr>
        <w:rPr/>
      </w:pPr>
      <w:bookmarkStart w:id="159" w:name="__RefHeading___Toc1804460_1280447820"/>
      <w:bookmarkStart w:id="160" w:name="_Toc61"/>
      <w:bookmarkEnd w:id="159"/>
      <w:r>
        <w:rPr>
          <w:rtl w:val="true"/>
        </w:rPr>
        <w:t>الأوّل</w:t>
      </w:r>
      <w:r>
        <w:rPr>
          <w:rtl w:val="true"/>
        </w:rPr>
        <w:t xml:space="preserve">: </w:t>
      </w:r>
      <w:r>
        <w:rPr>
          <w:rtl w:val="true"/>
        </w:rPr>
        <w:t>إذا وقعت في الكرّ نجاسة مائعة غير مغيّرة</w:t>
      </w:r>
      <w:bookmarkEnd w:id="160"/>
    </w:p>
    <w:p>
      <w:pPr>
        <w:pStyle w:val="BookText"/>
        <w:rPr/>
      </w:pPr>
      <w:r>
        <w:rPr>
          <w:rFonts w:ascii="Amiri" w:hAnsi="Amiri" w:eastAsia="Amiri" w:cs="Amiri"/>
          <w:color w:val="111111"/>
          <w:sz w:val="28"/>
          <w:sz w:val="28"/>
          <w:szCs w:val="28"/>
          <w:rtl w:val="true"/>
          <w:lang w:bidi="ar-SA"/>
        </w:rPr>
        <w:t>جاز استعمال جميعه كما صرّح به العلاّمة في المنتهى</w:t>
      </w:r>
      <w:r>
        <w:rPr>
          <w:rStyle w:val="FootnoteAnchor"/>
          <w:rtl w:val="true"/>
        </w:rPr>
        <w:footnoteReference w:id="433"/>
      </w:r>
      <w:r>
        <w:rPr>
          <w:rFonts w:ascii="Amiri" w:hAnsi="Amiri" w:eastAsia="Amiri" w:cs="Amiri"/>
          <w:color w:val="111111"/>
          <w:sz w:val="28"/>
          <w:sz w:val="28"/>
          <w:szCs w:val="28"/>
          <w:rtl w:val="true"/>
          <w:lang w:bidi="ar-SA"/>
        </w:rPr>
        <w:t>لأنّه من آثار الكرّيّة و لوازمها؛ و لأنّه لو منع عن استعماله فإمّا في الجميع أو في البعض، و الأوّل خلاف الإجماع، و الثاني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يعزى إلى بعض الشافعيّة</w:t>
      </w:r>
      <w:r>
        <w:rPr>
          <w:rStyle w:val="FootnoteAnchor"/>
          <w:rtl w:val="true"/>
        </w:rPr>
        <w:footnoteReference w:id="434"/>
      </w:r>
      <w:r>
        <w:rPr>
          <w:rFonts w:ascii="Amiri" w:hAnsi="Amiri" w:eastAsia="Amiri" w:cs="Amiri"/>
          <w:color w:val="111111"/>
          <w:sz w:val="28"/>
          <w:sz w:val="28"/>
          <w:szCs w:val="28"/>
          <w:rtl w:val="true"/>
          <w:lang w:bidi="ar-SA"/>
        </w:rPr>
        <w:t>المنع عن ذلك في المقدار من الماء الّذي لا ينفعل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وقعت فيه نجاسة متميّزة فجاز استعمال الماء المجاور لها و لا يجب التباعد، وفاقا للعلاّمة في الكتاب</w:t>
      </w:r>
      <w:r>
        <w:rPr>
          <w:rStyle w:val="FootnoteAnchor"/>
          <w:rtl w:val="true"/>
        </w:rPr>
        <w:footnoteReference w:id="435"/>
      </w:r>
      <w:r>
        <w:rPr>
          <w:rFonts w:ascii="Amiri" w:hAnsi="Amiri" w:eastAsia="Amiri" w:cs="Amiri"/>
          <w:color w:val="111111"/>
          <w:sz w:val="28"/>
          <w:sz w:val="28"/>
          <w:szCs w:val="28"/>
          <w:rtl w:val="true"/>
          <w:lang w:bidi="ar-SA"/>
        </w:rPr>
        <w:t>، لأنّه منوط بالمائيّة و الطهارة و هما حاصلان في الفرض</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804462_1280447820"/>
      <w:bookmarkStart w:id="162" w:name="_Toc62"/>
      <w:bookmarkEnd w:id="161"/>
      <w:r>
        <w:rPr>
          <w:rtl w:val="true"/>
        </w:rPr>
        <w:t>الثاني</w:t>
      </w:r>
      <w:r>
        <w:rPr>
          <w:rtl w:val="true"/>
        </w:rPr>
        <w:t xml:space="preserve">: </w:t>
      </w:r>
      <w:r>
        <w:rPr>
          <w:rtl w:val="true"/>
        </w:rPr>
        <w:t>لا فرق في عدم انفعال الكثير بالملاقاة الغير المغيّرة بين أنواع النجاسة،</w:t>
      </w:r>
      <w:bookmarkEnd w:id="1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خلافا لأحمد</w:t>
      </w:r>
      <w:r>
        <w:rPr>
          <w:rStyle w:val="FootnoteAnchor"/>
          <w:rtl w:val="true"/>
        </w:rPr>
        <w:footnoteReference w:id="437"/>
      </w:r>
      <w:r>
        <w:rPr>
          <w:rFonts w:ascii="Amiri" w:hAnsi="Amiri" w:eastAsia="Amiri" w:cs="Amiri"/>
          <w:color w:val="111111"/>
          <w:sz w:val="28"/>
          <w:sz w:val="28"/>
          <w:szCs w:val="28"/>
          <w:rtl w:val="true"/>
          <w:lang w:bidi="ar-SA"/>
        </w:rPr>
        <w:t>في قوله بالانفعال بوقوع بول الآدميّين و عذرتهم الرطبة، استنادا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في الماء الدائم الّذي لا تجري ثمّ يغتسل منه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 هو يتناول القليل و الكثير</w:t>
      </w:r>
      <w:r>
        <w:rPr>
          <w:rFonts w:eastAsia="Amiri" w:cs="Amiri" w:ascii="Amiri" w:hAnsi="Amiri"/>
          <w:color w:val="111111"/>
          <w:sz w:val="28"/>
          <w:szCs w:val="28"/>
          <w:rtl w:val="true"/>
          <w:lang w:bidi="ar-SA"/>
        </w:rPr>
        <w:t xml:space="preserve">. </w:t>
      </w:r>
      <w:bookmarkStart w:id="163" w:name="pg16144_233067"/>
    </w:p>
    <w:p>
      <w:pPr>
        <w:pStyle w:val="BookText"/>
        <w:rPr/>
      </w:pPr>
      <w:bookmarkEnd w:id="163"/>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القلّة جمعا بين الأدلّة أو النهي ليس هنا للتحريم، و على فرضه فلا ملازمة بينه و بين النجاسة إلاّ بضميمة الإجماع و هو هنا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يقول به في بول الكلب، فلأن لا يقول به في بول الآدميّين طريق الأولويّة؛ لأنّ نجاسة بول الكلب أزيد من نجاسته</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804464_1280447820"/>
      <w:bookmarkStart w:id="165" w:name="_Toc63"/>
      <w:bookmarkEnd w:id="164"/>
      <w:r>
        <w:rPr>
          <w:rtl w:val="true"/>
        </w:rPr>
        <w:t>الثالث</w:t>
      </w:r>
      <w:r>
        <w:rPr>
          <w:rtl w:val="true"/>
        </w:rPr>
        <w:t xml:space="preserve">: </w:t>
      </w:r>
      <w:r>
        <w:rPr>
          <w:rtl w:val="true"/>
        </w:rPr>
        <w:t>لو اغترف من كرّ فيه نجاسة غير متميّزة</w:t>
      </w:r>
      <w:bookmarkEnd w:id="165"/>
    </w:p>
    <w:p>
      <w:pPr>
        <w:pStyle w:val="BookText"/>
        <w:rPr/>
      </w:pPr>
      <w:r>
        <w:rPr>
          <w:rFonts w:ascii="Amiri" w:hAnsi="Amiri" w:eastAsia="Amiri" w:cs="Amiri"/>
          <w:color w:val="111111"/>
          <w:sz w:val="28"/>
          <w:sz w:val="28"/>
          <w:szCs w:val="28"/>
          <w:rtl w:val="true"/>
          <w:lang w:bidi="ar-SA"/>
        </w:rPr>
        <w:t>كان المجموع من المأخوذ و الباقي و آلة الاغتراف طاهرا، و لو كانت النجاسة متميّزة فإن لم يخرج الباقي عن الكرّيّة كان الجميع أيضا طاهرا، و إلاّ كان المأخوذ مع باطن الآنية طاهرين، و الباقي مع ظاهر الآنية الملاصق للماء حين خروجها عنه 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دخول الآنية بأجمعها في الماء على وجه لم يخرج ما فيها و ما في خارجها عن الاتّصال، و إلاّ نجس الجميع، لخروج الماء بدخول جزء أوّل منه في الإناء عن الكرّيّة فينجّس بتخلّل الفصل بينه و بين ما فيها، و لو دخلت النجاسة في الآنية في هذا الفرض فإن كان دخولها بأوّل جزء من الماء كان ما في الآنية مع باطنها نجسين و الباقي مع ظاهرها طاهرين، و إن كان دخولها أخيرا كان الجميع نجسا إن اتّفق سلب الاتّصال فيما بين ما دخل فيها و ما خرج عنها؛ لأنّ الخارج بانقطاعه عن الداخل في أوّل المرتبة قد صار نجسا، لخروجه عن الكرّيّة ثمّ دخل منه ثانيا فيها جزء آخر و هو نجس، و إلاّ اختصّ النجاسة بما فيها مع باطنها، و أمّا الباقي مع ظاهرها فهما باقيان على الطهارة</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804466_1280447820"/>
      <w:bookmarkStart w:id="167" w:name="_Toc64"/>
      <w:bookmarkEnd w:id="166"/>
      <w:r>
        <w:rPr>
          <w:rtl w:val="true"/>
        </w:rPr>
        <w:t>الرابع</w:t>
      </w:r>
      <w:r>
        <w:rPr>
          <w:rtl w:val="true"/>
        </w:rPr>
        <w:t xml:space="preserve">: </w:t>
      </w:r>
      <w:r>
        <w:rPr>
          <w:rtl w:val="true"/>
        </w:rPr>
        <w:t>لو دخل الكلب أو أحد أخويه في الكرّ،</w:t>
      </w:r>
      <w:bookmarkEnd w:id="167"/>
    </w:p>
    <w:p>
      <w:pPr>
        <w:pStyle w:val="BookText"/>
        <w:rPr/>
      </w:pPr>
      <w:r>
        <w:rPr>
          <w:rFonts w:ascii="Amiri" w:hAnsi="Amiri" w:eastAsia="Amiri" w:cs="Amiri"/>
          <w:color w:val="111111"/>
          <w:sz w:val="28"/>
          <w:sz w:val="28"/>
          <w:szCs w:val="28"/>
          <w:rtl w:val="true"/>
          <w:lang w:bidi="ar-SA"/>
        </w:rPr>
        <w:t>فهو طاهر ما دام الكلب داخلا فيه، إن لم يتلف منه شيئا بشرب و نحوه، و إذا خرج عنه انقلب حكمه إلى النجاسة من جهة الملاقاة مع القلّة، كما أنّه كذلك على تقدير الإتلاف و لو مع الدخول</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804468_1280447820"/>
      <w:bookmarkStart w:id="169" w:name="_Toc65"/>
      <w:bookmarkEnd w:id="168"/>
      <w:r>
        <w:rPr>
          <w:rtl w:val="true"/>
        </w:rPr>
        <w:t>الخامس</w:t>
      </w:r>
      <w:r>
        <w:rPr>
          <w:rtl w:val="true"/>
        </w:rPr>
        <w:t xml:space="preserve">: </w:t>
      </w:r>
      <w:r>
        <w:rPr>
          <w:rtl w:val="true"/>
        </w:rPr>
        <w:t>عن العلاّمة في المنتهى</w:t>
      </w:r>
      <w:r>
        <w:rPr>
          <w:rtl w:val="true"/>
        </w:rPr>
        <w:t>: «</w:t>
      </w:r>
      <w:r>
        <w:rPr>
          <w:rtl w:val="true"/>
        </w:rPr>
        <w:t>أنّه لو جمد الكثير ثمّ أصابته نجاسة بعد الجمود،</w:t>
      </w:r>
      <w:bookmarkEnd w:id="1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عدم تنجّسه بها ما لم تغيّرها، محتجّا بأنّ الجمود لم يخرجه عن حقيقته بل هو مؤكّد لثبوتها، فإنّ الآثار الصادرة عن الحقيقة كلّما قويت كانت أوكد في ثبوتها، و البرودة من معلولات طبيعة الماء و هي تقضي الجمود، و إذا لم يكن ذلك مخرجا له عن الحقيقة كان داخلا في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قدر كرّ لم ينجّسه </w:t>
      </w:r>
      <w:bookmarkStart w:id="170" w:name="pg16144_233068"/>
    </w:p>
    <w:p>
      <w:pPr>
        <w:pStyle w:val="BookText"/>
        <w:rPr/>
      </w:pPr>
      <w:bookmarkEnd w:id="170"/>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Amiri" w:hAnsi="Amiri" w:eastAsia="Amiri" w:cs="Amiri"/>
          <w:color w:val="111111"/>
          <w:sz w:val="28"/>
          <w:sz w:val="28"/>
          <w:szCs w:val="28"/>
          <w:rtl w:val="true"/>
          <w:lang w:bidi="ar-SA"/>
        </w:rPr>
        <w:t>و هو كما ترى من أوهن الأشياء كما تنبّه عليه صاحب الحدائق</w:t>
      </w:r>
      <w:r>
        <w:rPr>
          <w:rStyle w:val="FootnoteAnchor"/>
          <w:rtl w:val="true"/>
        </w:rPr>
        <w:footnoteReference w:id="441"/>
      </w:r>
      <w:r>
        <w:rPr>
          <w:rFonts w:ascii="Amiri" w:hAnsi="Amiri" w:eastAsia="Amiri" w:cs="Amiri"/>
          <w:color w:val="111111"/>
          <w:sz w:val="28"/>
          <w:sz w:val="28"/>
          <w:szCs w:val="28"/>
          <w:rtl w:val="true"/>
          <w:lang w:bidi="ar-SA"/>
        </w:rPr>
        <w:t>، لعدم ابتناء أحكام الشرع على أمثال هذه الدقائق، بل العبرة فيها بما يساعد عليه العرف أو اللغة، و لا ريب أنّ عروض الجمود للماء يخرجه عن صدق اسم المائيّة، و يسلب عنه الإطلاق فلا يتناوله الحكم المعلّق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بهذا الكلام في مثل الدهن و الدبس و نحوهما ممّا لا يخرج بالجمود عن الصدق كان متّجها، فيترتّب عليه بعد الجمود الأحكام الثابتة له قبل الجمود، غير أنّ المقام ليس منه جزما، فكان الأقوى بل المتعيّن تنجّس موضع الملاقاة في الجامد، كما عليه الشهيد في الدروس</w:t>
      </w:r>
      <w:r>
        <w:rPr>
          <w:rStyle w:val="FootnoteAnchor"/>
          <w:rtl w:val="true"/>
        </w:rPr>
        <w:footnoteReference w:id="442"/>
      </w:r>
      <w:r>
        <w:rPr>
          <w:rFonts w:ascii="Amiri" w:hAnsi="Amiri" w:eastAsia="Amiri" w:cs="Amiri"/>
          <w:color w:val="111111"/>
          <w:sz w:val="28"/>
          <w:sz w:val="28"/>
          <w:szCs w:val="28"/>
          <w:rtl w:val="true"/>
          <w:lang w:bidi="ar-SA"/>
        </w:rPr>
        <w:t>، و المحقّق الخوانساري في شرحه</w:t>
      </w:r>
      <w:r>
        <w:rPr>
          <w:rStyle w:val="FootnoteAnchor"/>
          <w:rtl w:val="true"/>
        </w:rPr>
        <w:footnoteReference w:id="443"/>
      </w:r>
      <w:r>
        <w:rPr>
          <w:rFonts w:ascii="Amiri" w:hAnsi="Amiri" w:eastAsia="Amiri" w:cs="Amiri"/>
          <w:color w:val="111111"/>
          <w:sz w:val="28"/>
          <w:sz w:val="28"/>
          <w:szCs w:val="28"/>
          <w:rtl w:val="true"/>
          <w:lang w:bidi="ar-SA"/>
        </w:rPr>
        <w:t>، و اختاره في الحدائق</w:t>
      </w:r>
      <w:r>
        <w:rPr>
          <w:rStyle w:val="FootnoteAnchor"/>
          <w:rtl w:val="true"/>
        </w:rPr>
        <w:footnoteReference w:id="444"/>
      </w:r>
      <w:r>
        <w:rPr>
          <w:rFonts w:ascii="Amiri" w:hAnsi="Amiri" w:eastAsia="Amiri" w:cs="Amiri"/>
          <w:color w:val="111111"/>
          <w:sz w:val="28"/>
          <w:sz w:val="28"/>
          <w:szCs w:val="28"/>
          <w:rtl w:val="true"/>
          <w:lang w:bidi="ar-SA"/>
        </w:rPr>
        <w:t>، و عزى استظهاره إلى بعض المحقّقين، و عليه طهره كطهر سائر الجوامد، فيحصل تارة بإلقاء العين مع ما يكتنفها إن كانت ذات عين، و اخرى باتّصاله بالجاري أو الكثير، أو وقوع المطر عليه مع زوال العين في الجميع، و ثالثة بصبّ الماء القليل عليه على حدّ ما يتطهّر به سائر الجوامد</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804470_1280447820"/>
      <w:bookmarkStart w:id="172" w:name="_Toc66"/>
      <w:bookmarkEnd w:id="171"/>
      <w:r>
        <w:rPr>
          <w:rtl w:val="true"/>
        </w:rPr>
        <w:t>السادس</w:t>
      </w:r>
      <w:r>
        <w:rPr>
          <w:rtl w:val="true"/>
        </w:rPr>
        <w:t xml:space="preserve">: </w:t>
      </w:r>
      <w:r>
        <w:rPr>
          <w:rtl w:val="true"/>
        </w:rPr>
        <w:t>الماء إذا كان كرّا و تغيّر بعضه فالجميع نجس إن كانت سطوحه مستوية،</w:t>
      </w:r>
      <w:bookmarkEnd w:id="172"/>
    </w:p>
    <w:p>
      <w:pPr>
        <w:pStyle w:val="BookText"/>
        <w:rPr/>
      </w:pPr>
      <w:r>
        <w:rPr>
          <w:rFonts w:ascii="Amiri" w:hAnsi="Amiri" w:eastAsia="Amiri" w:cs="Amiri"/>
          <w:color w:val="111111"/>
          <w:sz w:val="28"/>
          <w:sz w:val="28"/>
          <w:szCs w:val="28"/>
          <w:rtl w:val="true"/>
          <w:lang w:bidi="ar-SA"/>
        </w:rPr>
        <w:t xml:space="preserve">و إلاّ اختصّت النجاسة بالأسفل إن لم يكن موضع التغيّر هو الأعلى، لإجماعهم على عدم السراية إليه، و إن كان زائدا على الكرّ فتغيّر بعضه فإمّا أن يكون الباقي مقدار الكرّ أو أزيد منه أو أنقص، و على التقادير فإمّا أن يستوعب النجاسة عمود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خطّ ما بين حاشيته عرضا و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على التقادير فإمّا أن يكون سطوحه مستوية أو مختلفة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أحكام 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الجميع في صورة النقصان مع استواء السطوح نجس، و مع اختلافها كانت النجاسة مختصّة بالأسفل، من غير فرق فيهما بين استيعاب العمود و عدمه، كما أنّ الجميع في غير صورة عدم النقصان مع عدم استيعاب العمود طاهر، من غير فرق بين استواء السطوح و عدمه، و أمّا مع الاستيعاب فإن كانت الكرّيّة قائمة بمجموع الطرفين كان الجميع مع الاستواء و الأسفل خاصّة مع الاختلاف نجسا، </w:t>
      </w:r>
      <w:bookmarkStart w:id="173" w:name="pg16144_233069"/>
    </w:p>
    <w:p>
      <w:pPr>
        <w:pStyle w:val="BookText"/>
        <w:rPr/>
      </w:pPr>
      <w:bookmarkEnd w:id="173"/>
      <w:r>
        <w:rPr>
          <w:rFonts w:ascii="Amiri" w:hAnsi="Amiri" w:eastAsia="Amiri" w:cs="Amiri"/>
          <w:color w:val="111111"/>
          <w:sz w:val="28"/>
          <w:sz w:val="28"/>
          <w:szCs w:val="28"/>
          <w:rtl w:val="true"/>
          <w:lang w:bidi="ar-SA"/>
        </w:rPr>
        <w:t>و إن كانت قائمة بأحدهما اختصّت الطهارة به مع الاستواء، و أمّا مع الاختلاف فإن كانت الكرّيّة في الطرف الأسفل كان الجميع طاهرا، أمّا هو فبالكرّيّة و أمّا الأعلى فبعدم السراية، و إن كانت في الطرف الأعلى فهو الطاهر بجهتين دون الأسفل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804472_1280447820"/>
      <w:bookmarkStart w:id="175" w:name="_Toc67"/>
      <w:bookmarkEnd w:id="174"/>
      <w:r>
        <w:rPr>
          <w:rtl w:val="true"/>
        </w:rPr>
        <w:t>السابع</w:t>
      </w:r>
      <w:r>
        <w:rPr>
          <w:rtl w:val="true"/>
        </w:rPr>
        <w:t xml:space="preserve">: </w:t>
      </w:r>
      <w:r>
        <w:rPr>
          <w:rtl w:val="true"/>
        </w:rPr>
        <w:t>عن العلاّمة أنّه حكم في القواعد بالنجاسة في الماء الّذي يشكّ في كرّيّته إذا وجد فيها نجاسة،</w:t>
      </w:r>
      <w:bookmarkEnd w:id="17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أنّه حكم في القواعد</w:t>
      </w:r>
      <w:r>
        <w:rPr>
          <w:rStyle w:val="FootnoteAnchor"/>
          <w:rtl w:val="true"/>
        </w:rPr>
        <w:footnoteReference w:id="445"/>
      </w:r>
      <w:r>
        <w:rPr>
          <w:rFonts w:ascii="Amiri" w:hAnsi="Amiri" w:eastAsia="Amiri" w:cs="Amiri"/>
          <w:color w:val="111111"/>
          <w:sz w:val="28"/>
          <w:sz w:val="28"/>
          <w:szCs w:val="28"/>
          <w:rtl w:val="true"/>
          <w:lang w:bidi="ar-SA"/>
        </w:rPr>
        <w:t>بالنجاسة في الماء الّذي يشكّ في كرّيّته إذا وجد فيها نجاسة،</w:t>
      </w:r>
    </w:p>
    <w:p>
      <w:pPr>
        <w:pStyle w:val="BookText"/>
        <w:rPr/>
      </w:pPr>
      <w:r>
        <w:rPr>
          <w:rFonts w:ascii="IRNazanin" w:hAnsi="IRNazanin" w:eastAsia="IRNazanin"/>
          <w:color w:val="111111"/>
          <w:sz w:val="28"/>
          <w:sz w:val="28"/>
          <w:szCs w:val="28"/>
          <w:rtl w:val="true"/>
          <w:lang w:bidi="fa-IR"/>
        </w:rPr>
        <w:t>و عن جامع المقاصد</w:t>
      </w:r>
      <w:r>
        <w:rPr>
          <w:rStyle w:val="FootnoteAnchor"/>
          <w:rtl w:val="true"/>
        </w:rPr>
        <w:footnoteReference w:id="446"/>
      </w:r>
      <w:r>
        <w:rPr>
          <w:rFonts w:ascii="Amiri" w:hAnsi="Amiri" w:eastAsia="Amiri" w:cs="Amiri"/>
          <w:color w:val="111111"/>
          <w:sz w:val="28"/>
          <w:sz w:val="28"/>
          <w:szCs w:val="28"/>
          <w:rtl w:val="true"/>
          <w:lang w:bidi="ar-SA"/>
        </w:rPr>
        <w:t>أنّه علّله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المقتضي للتنجيس موجود و المانع مشكوك فيه فينفى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مبنيّ على توهّم كون الكرّيّة مانعة عن الانفعال كما سبق إلى بعض الأوهام، و قد تقدّم منّا ما يهدم بنيان هذا البيان، فالأقرب في الصورة المفروضة الحكم بالطهارة عملا بالاصول المحكمة، و مثله الكلام فيما لو وجد نجاسة في الكرّ و شكّ في وقوعها عليه قبل بلوغ الكرّيّة أو بعد بلوغها</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804474_1280447820"/>
      <w:bookmarkStart w:id="177" w:name="_Toc68"/>
      <w:bookmarkEnd w:id="176"/>
      <w:r>
        <w:rPr>
          <w:rtl w:val="true"/>
        </w:rPr>
        <w:t>الثامن</w:t>
      </w:r>
      <w:r>
        <w:rPr>
          <w:rtl w:val="true"/>
        </w:rPr>
        <w:t xml:space="preserve">: </w:t>
      </w:r>
      <w:r>
        <w:rPr>
          <w:rtl w:val="true"/>
        </w:rPr>
        <w:t>عن المحقّق في المعتبر</w:t>
      </w:r>
      <w:r>
        <w:rPr>
          <w:rtl w:val="true"/>
        </w:rPr>
        <w:t>: «</w:t>
      </w:r>
      <w:r>
        <w:rPr>
          <w:rtl w:val="true"/>
        </w:rPr>
        <w:t>أنّه لو تطهّر من ماء ثمّ علم فيه نجاسة و شكّ هل كانت قبل الوضوء أو بعده فالأصل الصحّة،</w:t>
      </w:r>
      <w:bookmarkEnd w:id="177"/>
    </w:p>
    <w:p>
      <w:pPr>
        <w:pStyle w:val="BookText"/>
        <w:rPr/>
      </w:pPr>
      <w:r>
        <w:rPr>
          <w:rFonts w:ascii="Amiri" w:hAnsi="Amiri" w:eastAsia="Amiri" w:cs="Amiri"/>
          <w:color w:val="111111"/>
          <w:sz w:val="28"/>
          <w:sz w:val="28"/>
          <w:szCs w:val="28"/>
          <w:rtl w:val="true"/>
          <w:lang w:bidi="ar-SA"/>
        </w:rPr>
        <w:t>و لو علم أنّها قبله و لم يعلم هل كان كرّا أو أقلّ أعاد لأنّ الأصل القلّة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على إطلاقه غير وجيه، إذ كثيرا ما لا يكون الماء مسبوقا بالقلّة، و معه لا معارض لأصل الطهارة حسبما اقتضته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صحّة الوضوء و عدم لزوم إعادته، فإنّها و إن كانت معلّقة على طهارة الماء، غير أنّ الطهارة منوطة بعدم العلم بالقذارة و المفروض منه، و إنّما لا نقول به في صورة جريان أصالة القلّة، لإمكان القول بأنّها علم شرعي بالقذارة و هو قائم مقام العلم، فيدخل المفروض في غاية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804476_1280447820"/>
      <w:bookmarkStart w:id="179" w:name="_Toc69"/>
      <w:bookmarkEnd w:id="178"/>
      <w:r>
        <w:rPr>
          <w:rtl w:val="true"/>
        </w:rPr>
        <w:t>الجهة الخامسة</w:t>
      </w:r>
      <w:r>
        <w:rPr>
          <w:rtl w:val="true"/>
        </w:rPr>
        <w:t xml:space="preserve">: </w:t>
      </w:r>
      <w:r>
        <w:rPr>
          <w:rtl w:val="true"/>
        </w:rPr>
        <w:t>في تحديد الكرّ الّذي لا ينجّس بالملاقاة،</w:t>
      </w:r>
      <w:bookmarkEnd w:id="179"/>
    </w:p>
    <w:p>
      <w:pPr>
        <w:pStyle w:val="Heading5"/>
        <w:numPr>
          <w:ilvl w:val="4"/>
          <w:numId w:val="1"/>
        </w:numPr>
        <w:rPr/>
      </w:pPr>
      <w:bookmarkStart w:id="180" w:name="__RefHeading___Toc1804478_1280447820"/>
      <w:bookmarkStart w:id="181" w:name="_Toc70"/>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للأصحاب في تحديد الكرّ طريقين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804480_1280447820"/>
      <w:bookmarkStart w:id="183" w:name="_Toc71"/>
      <w:bookmarkEnd w:id="182"/>
      <w:r>
        <w:rPr>
          <w:rtl w:val="true"/>
        </w:rPr>
        <w:t>الطريق الأوّل</w:t>
      </w:r>
      <w:r>
        <w:rPr>
          <w:rtl w:val="true"/>
        </w:rPr>
        <w:t xml:space="preserve">: </w:t>
      </w:r>
      <w:r>
        <w:rPr>
          <w:rtl w:val="true"/>
        </w:rPr>
        <w:t>تحديده باعتبار الوزن،</w:t>
      </w:r>
      <w:bookmarkEnd w:id="1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بهذا الاعتبار ألف و مائتا رطل، كما عن الأصحاب قديما و حديثا، و عليه نقل الإجماعات على حدّ الاستفاضة، كما عن صريح الناصريّات</w:t>
      </w:r>
      <w:r>
        <w:rPr>
          <w:rStyle w:val="FootnoteAnchor"/>
          <w:rtl w:val="true"/>
        </w:rPr>
        <w:footnoteReference w:id="4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الغنية</w:t>
      </w:r>
      <w:r>
        <w:rPr>
          <w:rStyle w:val="FootnoteAnchor"/>
          <w:rtl w:val="true"/>
        </w:rPr>
        <w:footnoteReference w:id="450"/>
      </w:r>
      <w:r>
        <w:rPr>
          <w:rFonts w:ascii="Amiri" w:hAnsi="Amiri" w:eastAsia="Amiri" w:cs="Amiri"/>
          <w:color w:val="111111"/>
          <w:sz w:val="28"/>
          <w:sz w:val="28"/>
          <w:szCs w:val="28"/>
          <w:rtl w:val="true"/>
          <w:lang w:bidi="ar-SA"/>
        </w:rPr>
        <w:t>، و مجمع الفائدة</w:t>
      </w:r>
      <w:r>
        <w:rPr>
          <w:rStyle w:val="FootnoteAnchor"/>
          <w:rtl w:val="true"/>
        </w:rPr>
        <w:footnoteReference w:id="451"/>
      </w:r>
      <w:r>
        <w:rPr>
          <w:rFonts w:ascii="IRNazanin" w:hAnsi="IRNazanin" w:eastAsia="IRNazanin"/>
          <w:color w:val="111111"/>
          <w:sz w:val="28"/>
          <w:sz w:val="28"/>
          <w:szCs w:val="28"/>
          <w:rtl w:val="true"/>
          <w:lang w:bidi="fa-IR"/>
        </w:rPr>
        <w:t>، و ظاهر الانتصار</w:t>
      </w:r>
      <w:r>
        <w:rPr>
          <w:rStyle w:val="FootnoteAnchor"/>
          <w:rtl w:val="true"/>
        </w:rPr>
        <w:footnoteReference w:id="452"/>
      </w:r>
      <w:r>
        <w:rPr>
          <w:rFonts w:ascii="IRNazanin" w:hAnsi="IRNazanin" w:eastAsia="IRNazanin"/>
          <w:color w:val="111111"/>
          <w:sz w:val="28"/>
          <w:sz w:val="28"/>
          <w:szCs w:val="28"/>
          <w:rtl w:val="true"/>
          <w:lang w:bidi="fa-IR"/>
        </w:rPr>
        <w:t>، و المعتبر</w:t>
      </w:r>
      <w:r>
        <w:rPr>
          <w:rStyle w:val="FootnoteAnchor"/>
          <w:rtl w:val="true"/>
        </w:rPr>
        <w:footnoteReference w:id="453"/>
      </w:r>
      <w:r>
        <w:rPr>
          <w:rFonts w:ascii="Amiri" w:hAnsi="Amiri" w:eastAsia="Amiri" w:cs="Amiri"/>
          <w:color w:val="111111"/>
          <w:sz w:val="28"/>
          <w:sz w:val="28"/>
          <w:szCs w:val="28"/>
          <w:rtl w:val="true"/>
          <w:lang w:bidi="ar-SA"/>
        </w:rPr>
        <w:t>، و نهج الحقّ‌</w:t>
      </w:r>
      <w:r>
        <w:rPr>
          <w:rStyle w:val="FootnoteAnchor"/>
          <w:rtl w:val="true"/>
        </w:rPr>
        <w:footnoteReference w:id="454"/>
      </w:r>
      <w:r>
        <w:rPr>
          <w:rFonts w:ascii="Amiri" w:hAnsi="Amiri" w:eastAsia="Amiri" w:cs="Amiri"/>
          <w:color w:val="111111"/>
          <w:sz w:val="28"/>
          <w:sz w:val="28"/>
          <w:szCs w:val="28"/>
          <w:rtl w:val="true"/>
          <w:lang w:bidi="ar-SA"/>
        </w:rPr>
        <w:t xml:space="preserve">، و عن الصدوق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منقولا بل محصّلا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ذلك مرسلة ابن أبي عمير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الّذي لا ينجّسه شيء الف و مائتا رطل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الواردة في التهذيب في باب آداب الأحداث</w:t>
      </w:r>
      <w:r>
        <w:rPr>
          <w:rStyle w:val="FootnoteAnchor"/>
          <w:rtl w:val="true"/>
        </w:rPr>
        <w:footnoteReference w:id="458"/>
      </w:r>
      <w:r>
        <w:rPr>
          <w:rFonts w:ascii="Amiri" w:hAnsi="Amiri" w:eastAsia="Amiri" w:cs="Amiri"/>
          <w:color w:val="111111"/>
          <w:sz w:val="28"/>
          <w:sz w:val="28"/>
          <w:szCs w:val="28"/>
          <w:rtl w:val="true"/>
          <w:lang w:bidi="ar-SA"/>
        </w:rPr>
        <w:t>، و الاستبصار في باب كمّيّة الكرّ</w:t>
      </w:r>
      <w:r>
        <w:rPr>
          <w:rStyle w:val="FootnoteAnchor"/>
          <w:rtl w:val="true"/>
        </w:rPr>
        <w:footnoteReference w:id="459"/>
      </w:r>
      <w:r>
        <w:rPr>
          <w:rFonts w:ascii="Amiri" w:hAnsi="Amiri" w:eastAsia="Amiri" w:cs="Amiri"/>
          <w:color w:val="111111"/>
          <w:sz w:val="28"/>
          <w:sz w:val="28"/>
          <w:szCs w:val="28"/>
          <w:rtl w:val="true"/>
          <w:lang w:bidi="ar-SA"/>
        </w:rPr>
        <w:t>، و في الكافي في باب الماء الّذي لا ينجّسه شيء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يقدح ما فيها من الإرسال،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فلاتّفاقهم على أنّ مراسيل ابن أبي عمير في حكم مسانيده، لأنّه لا يرسل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فلانجباره في خصوص المقام بعمل الأصحاب و قبولهم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التهذيب</w:t>
      </w:r>
      <w:r>
        <w:rPr>
          <w:rStyle w:val="FootnoteAnchor"/>
          <w:rtl w:val="true"/>
        </w:rPr>
        <w:footnoteReference w:id="461"/>
      </w:r>
      <w:r>
        <w:rPr>
          <w:rFonts w:ascii="IRNazanin" w:hAnsi="IRNazanin" w:eastAsia="IRNazanin"/>
          <w:color w:val="111111"/>
          <w:sz w:val="28"/>
          <w:sz w:val="28"/>
          <w:szCs w:val="28"/>
          <w:rtl w:val="true"/>
          <w:lang w:bidi="fa-IR"/>
        </w:rPr>
        <w:t>و الاستبصار</w:t>
      </w:r>
      <w:r>
        <w:rPr>
          <w:rStyle w:val="FootnoteAnchor"/>
          <w:rtl w:val="true"/>
        </w:rPr>
        <w:footnoteReference w:id="462"/>
      </w:r>
      <w:r>
        <w:rPr>
          <w:rFonts w:ascii="Amiri" w:hAnsi="Amiri" w:eastAsia="Amiri" w:cs="Amiri"/>
          <w:color w:val="111111"/>
          <w:sz w:val="28"/>
          <w:sz w:val="28"/>
          <w:szCs w:val="28"/>
          <w:rtl w:val="true"/>
          <w:lang w:bidi="ar-SA"/>
        </w:rPr>
        <w:t xml:space="preserve">في زيادات باب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الغدير ماء مجتمع تبول فيه الدوابّ و تلغ فيه الكلاب و 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 و الكرّ ستّمائة رطل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التهذيب في باب الأحداث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مغيرة رفعه إلى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ستّمائة رطل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ما في التهذيب</w:t>
      </w:r>
      <w:r>
        <w:rPr>
          <w:rStyle w:val="FootnoteAnchor"/>
          <w:rtl w:val="true"/>
        </w:rPr>
        <w:footnoteReference w:id="464"/>
      </w:r>
      <w:r>
        <w:rPr>
          <w:rFonts w:ascii="IRNazanin" w:hAnsi="IRNazanin" w:eastAsia="IRNazanin"/>
          <w:color w:val="111111"/>
          <w:sz w:val="28"/>
          <w:sz w:val="28"/>
          <w:szCs w:val="28"/>
          <w:rtl w:val="true"/>
          <w:lang w:bidi="fa-IR"/>
        </w:rPr>
        <w:t>و الاستبصار</w:t>
      </w:r>
      <w:r>
        <w:rPr>
          <w:rStyle w:val="FootnoteAnchor"/>
          <w:rtl w:val="true"/>
        </w:rPr>
        <w:footnoteReference w:id="465"/>
      </w:r>
      <w:r>
        <w:rPr>
          <w:rFonts w:ascii="Amiri" w:hAnsi="Amiri" w:eastAsia="Amiri" w:cs="Amiri"/>
          <w:color w:val="111111"/>
          <w:sz w:val="28"/>
          <w:sz w:val="28"/>
          <w:szCs w:val="28"/>
          <w:rtl w:val="true"/>
          <w:lang w:bidi="ar-SA"/>
        </w:rPr>
        <w:t>و الكافي</w:t>
      </w:r>
      <w:r>
        <w:rPr>
          <w:rStyle w:val="FootnoteAnchor"/>
          <w:rtl w:val="true"/>
        </w:rPr>
        <w:footnoteReference w:id="466"/>
      </w:r>
      <w:r>
        <w:rPr>
          <w:rFonts w:ascii="Amiri" w:hAnsi="Amiri" w:eastAsia="Amiri" w:cs="Amiri"/>
          <w:color w:val="111111"/>
          <w:sz w:val="28"/>
          <w:sz w:val="28"/>
          <w:szCs w:val="28"/>
          <w:rtl w:val="true"/>
          <w:lang w:bidi="ar-SA"/>
        </w:rPr>
        <w:t>الموصوف بالحسن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رواية لم ينجّسه شيء تفسّخ فيه أو لم يتفسّخ فيه، إلاّ أن يجيء له ريح يغلب على ريح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 في الكتب المذكورة الموصوف بالحسن عن عبد اللّه بن مغيرة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نحو حبّي هذا، و أشار إلى حبّ من تلك الحباب الّتي تكون بالمدينة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ما في التهذيب</w:t>
      </w:r>
      <w:r>
        <w:rPr>
          <w:rStyle w:val="FootnoteAnchor"/>
          <w:rtl w:val="true"/>
        </w:rPr>
        <w:footnoteReference w:id="468"/>
      </w:r>
      <w:r>
        <w:rPr>
          <w:rFonts w:ascii="IRNazanin" w:hAnsi="IRNazanin" w:eastAsia="IRNazanin"/>
          <w:color w:val="111111"/>
          <w:sz w:val="28"/>
          <w:sz w:val="28"/>
          <w:szCs w:val="28"/>
          <w:rtl w:val="true"/>
          <w:lang w:bidi="fa-IR"/>
        </w:rPr>
        <w:t>و الاستبصار</w:t>
      </w:r>
      <w:r>
        <w:rPr>
          <w:rStyle w:val="FootnoteAnchor"/>
          <w:rtl w:val="true"/>
        </w:rPr>
        <w:footnoteReference w:id="469"/>
      </w:r>
      <w:r>
        <w:rPr>
          <w:rFonts w:ascii="Amiri" w:hAnsi="Amiri" w:eastAsia="Amiri" w:cs="Amiri"/>
          <w:color w:val="111111"/>
          <w:sz w:val="28"/>
          <w:sz w:val="28"/>
          <w:szCs w:val="28"/>
          <w:rtl w:val="true"/>
          <w:lang w:bidi="ar-SA"/>
        </w:rPr>
        <w:t>في زيادات باب المياه، عن عبد اللّه بن مغيرة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و القلّتان 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في الفقيه أيضا مرسلا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إمّا محمولان على الرطل المكّي الّذي هو ضعف الرطل العراقي بقرينة ما سيجيء، أو ساقطان عن درجة الحجّيّة لمصير الأصحاب إلى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حمل الجميع على ما يسع الكرّ إذ لا بعد فيه كما قيل، مضافا إلى ما في الأخيرة من قوّة احتمال ورودها مورد التقيّة كما تقدّم إليه الإشارة، مع ما في الجميع بعد الإغماض عمّا ذكر من الموهونيّة المسقطة عن الحجّيّة بمصير الأصحاب إلى المخالفة، فهذا المقدار من المسألة بحمد اللّه و المنّة له ممّا لا إشكال فيه، و 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في تعيين المراد بالرطل الوارد في الرواية المذكورة، فإنّ للأصحاب فيه خلافا، منشؤه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يقال بالاشتراك على ثلاث مقادير مخصوصة،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بالعراقي،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بالمدني،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بالمكّي، و الأوّل من الثاني ثلثاه، و من الثالث نصفه، كما أنّ الثاني منه ثلاثة أرباعه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على ما فسّره به المشهور مائة و ثلاثون درهما، فيكون الثاني مائة و خمسة </w:t>
      </w:r>
    </w:p>
    <w:p>
      <w:pPr>
        <w:pStyle w:val="BookText"/>
        <w:rPr/>
      </w:pPr>
      <w:r>
        <w:rPr>
          <w:rFonts w:ascii="Amiri" w:hAnsi="Amiri" w:eastAsia="Amiri" w:cs="Amiri"/>
          <w:color w:val="111111"/>
          <w:sz w:val="28"/>
          <w:sz w:val="28"/>
          <w:szCs w:val="28"/>
          <w:rtl w:val="true"/>
          <w:lang w:bidi="ar-SA"/>
        </w:rPr>
        <w:t>و تسعين درهما، و الثالث مائتين و ستّين درهما، و إنّما قيّدناه بالمشهور احترازا عمّا عن العلاّمة من تفسيره في نصاب الغلاّت من التحرير</w:t>
      </w:r>
      <w:r>
        <w:rPr>
          <w:rStyle w:val="FootnoteAnchor"/>
          <w:rtl w:val="true"/>
        </w:rPr>
        <w:footnoteReference w:id="471"/>
      </w:r>
      <w:r>
        <w:rPr>
          <w:rFonts w:ascii="IRNazanin" w:hAnsi="IRNazanin" w:eastAsia="IRNazanin"/>
          <w:color w:val="111111"/>
          <w:sz w:val="28"/>
          <w:sz w:val="28"/>
          <w:szCs w:val="28"/>
          <w:rtl w:val="true"/>
          <w:lang w:bidi="fa-IR"/>
        </w:rPr>
        <w:t>و المنتهى</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مائة و ثمانية و عشرون درهما و أربعة أسباع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فينقص من الأوّل بواحد و ثلاثة أسباع واحد و في كلام غير واحد أنّه سهو 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يفصح عن ذلك و يشهد بصدق مقالة المشهور، ما في مكاتبة الهمداني</w:t>
      </w:r>
      <w:r>
        <w:rPr>
          <w:rStyle w:val="FootnoteAnchor"/>
          <w:rtl w:val="true"/>
        </w:rPr>
        <w:footnoteReference w:id="473"/>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الصاع ستّة أرطال بالمدني و تسعة أرطال بالعراقي، و وزنه ألف و مائة و سبعون وزنة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فإنّ هذا التقدير يقتضي كون كلّ رطل من العراقي مائة و ثلاثين وزنة، مضافا إلى اقتضائه كون العراقي ثلثين من المدني؛ إذ لو لا الرطل العراقي ناقصا من المدني بثلثه لما كان عدد أرطال الصاع بالعراقي زائدا على عدد أرطاله بالمدني بثلثه، فيحصل الموازنة في أرطال الصاع بالعراقي بين نقصان المادّة و زيادة الهيئة، فيرجع التقدير إلى أرطاله بالمدني، كما أنّه لو حصلت الموازنة في أرطاله بالمدني بين نقصان الهيئة و زيادة المادّة رجع المقدّر إلى أرطاله بالعراقي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فخلافهم المذكور واقع فيما بين العراقي و المدني دون المكّي الّذي قيل فيه بعدم ذهاب أحد إليه، و لهم في ذلك الخلاف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حمله على العراقي، و في المختلف</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الشيخ المفيد</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جعفر رحمهما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اختيار ابن البرّاج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الدروس</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الشيخ في النهاية</w:t>
      </w:r>
      <w:r>
        <w:rPr>
          <w:rStyle w:val="FootnoteAnchor"/>
          <w:rtl w:val="true"/>
        </w:rPr>
        <w:footnoteReference w:id="478"/>
      </w:r>
      <w:r>
        <w:rPr>
          <w:rFonts w:ascii="Amiri" w:hAnsi="Amiri" w:eastAsia="Amiri" w:cs="Amiri"/>
          <w:color w:val="111111"/>
          <w:sz w:val="28"/>
          <w:sz w:val="28"/>
          <w:szCs w:val="28"/>
          <w:rtl w:val="true"/>
          <w:lang w:bidi="ar-SA"/>
        </w:rPr>
        <w:t>و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يقتضي </w:t>
      </w:r>
    </w:p>
    <w:p>
      <w:pPr>
        <w:pStyle w:val="BookText"/>
        <w:rPr/>
      </w:pPr>
      <w:r>
        <w:rPr>
          <w:rFonts w:ascii="Amiri" w:hAnsi="Amiri" w:eastAsia="Amiri" w:cs="Amiri"/>
          <w:color w:val="111111"/>
          <w:sz w:val="28"/>
          <w:sz w:val="28"/>
          <w:szCs w:val="28"/>
          <w:rtl w:val="true"/>
          <w:lang w:bidi="ar-SA"/>
        </w:rPr>
        <w:t>كونه على طبق الرواية و إن كانت مرسلة لانجبارها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المناهل</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الحلّي في السرائر</w:t>
      </w:r>
      <w:r>
        <w:rPr>
          <w:rStyle w:val="FootnoteAnchor"/>
          <w:rtl w:val="true"/>
        </w:rPr>
        <w:footnoteReference w:id="480"/>
      </w:r>
      <w:r>
        <w:rPr>
          <w:rFonts w:ascii="Amiri" w:hAnsi="Amiri" w:eastAsia="Amiri" w:cs="Amiri"/>
          <w:color w:val="111111"/>
          <w:sz w:val="28"/>
          <w:sz w:val="28"/>
          <w:szCs w:val="28"/>
          <w:rtl w:val="true"/>
          <w:lang w:bidi="ar-SA"/>
        </w:rPr>
        <w:t>و الفاضلان في المعتبر</w:t>
      </w:r>
      <w:r>
        <w:rPr>
          <w:rStyle w:val="FootnoteAnchor"/>
          <w:rtl w:val="true"/>
        </w:rPr>
        <w:footnoteReference w:id="481"/>
      </w:r>
      <w:r>
        <w:rPr>
          <w:rFonts w:ascii="IRNazanin" w:hAnsi="IRNazanin" w:eastAsia="IRNazanin"/>
          <w:color w:val="111111"/>
          <w:sz w:val="28"/>
          <w:sz w:val="28"/>
          <w:szCs w:val="28"/>
          <w:rtl w:val="true"/>
          <w:lang w:bidi="fa-IR"/>
        </w:rPr>
        <w:t>و الشرائع</w:t>
      </w:r>
      <w:r>
        <w:rPr>
          <w:rStyle w:val="FootnoteAnchor"/>
          <w:rtl w:val="true"/>
        </w:rPr>
        <w:footnoteReference w:id="482"/>
      </w:r>
      <w:r>
        <w:rPr>
          <w:rFonts w:ascii="IRNazanin" w:hAnsi="IRNazanin" w:eastAsia="IRNazanin"/>
          <w:color w:val="111111"/>
          <w:sz w:val="28"/>
          <w:sz w:val="28"/>
          <w:szCs w:val="28"/>
          <w:rtl w:val="true"/>
          <w:lang w:bidi="fa-IR"/>
        </w:rPr>
        <w:t>و القواعد</w:t>
      </w:r>
      <w:r>
        <w:rPr>
          <w:rStyle w:val="FootnoteAnchor"/>
          <w:rtl w:val="true"/>
        </w:rPr>
        <w:footnoteReference w:id="483"/>
      </w:r>
      <w:r>
        <w:rPr>
          <w:rFonts w:ascii="IRNazanin" w:hAnsi="IRNazanin" w:eastAsia="IRNazanin"/>
          <w:color w:val="111111"/>
          <w:sz w:val="28"/>
          <w:sz w:val="28"/>
          <w:szCs w:val="28"/>
          <w:rtl w:val="true"/>
          <w:lang w:bidi="fa-IR"/>
        </w:rPr>
        <w:t>و الإرشاد</w:t>
      </w:r>
      <w:r>
        <w:rPr>
          <w:rStyle w:val="FootnoteAnchor"/>
          <w:rtl w:val="true"/>
        </w:rPr>
        <w:footnoteReference w:id="484"/>
      </w:r>
      <w:r>
        <w:rPr>
          <w:rFonts w:ascii="IRNazanin" w:hAnsi="IRNazanin" w:eastAsia="IRNazanin"/>
          <w:color w:val="111111"/>
          <w:sz w:val="28"/>
          <w:sz w:val="28"/>
          <w:szCs w:val="28"/>
          <w:rtl w:val="true"/>
          <w:lang w:bidi="fa-IR"/>
        </w:rPr>
        <w:t>و المختلف</w:t>
      </w:r>
      <w:r>
        <w:rPr>
          <w:rStyle w:val="FootnoteAnchor"/>
          <w:rtl w:val="true"/>
        </w:rPr>
        <w:footnoteReference w:id="485"/>
      </w:r>
      <w:r>
        <w:rPr>
          <w:rFonts w:ascii="Amiri" w:hAnsi="Amiri" w:eastAsia="Amiri" w:cs="Amiri"/>
          <w:color w:val="111111"/>
          <w:sz w:val="28"/>
          <w:sz w:val="28"/>
          <w:szCs w:val="28"/>
          <w:rtl w:val="true"/>
          <w:lang w:bidi="ar-SA"/>
        </w:rPr>
        <w:t>، و المحقّق الثاني في جامع المقاصد</w:t>
      </w:r>
      <w:r>
        <w:rPr>
          <w:rStyle w:val="FootnoteAnchor"/>
          <w:rtl w:val="true"/>
        </w:rPr>
        <w:footnoteReference w:id="486"/>
      </w:r>
      <w:r>
        <w:rPr>
          <w:rFonts w:ascii="Amiri" w:hAnsi="Amiri" w:eastAsia="Amiri" w:cs="Amiri"/>
          <w:color w:val="111111"/>
          <w:sz w:val="28"/>
          <w:sz w:val="28"/>
          <w:szCs w:val="28"/>
          <w:rtl w:val="true"/>
          <w:lang w:bidi="ar-SA"/>
        </w:rPr>
        <w:t>و الجعفريّة</w:t>
      </w:r>
      <w:r>
        <w:rPr>
          <w:rStyle w:val="FootnoteAnchor"/>
          <w:rtl w:val="true"/>
        </w:rPr>
        <w:footnoteReference w:id="487"/>
      </w:r>
      <w:r>
        <w:rPr>
          <w:rFonts w:ascii="Amiri" w:hAnsi="Amiri" w:eastAsia="Amiri" w:cs="Amiri"/>
          <w:color w:val="111111"/>
          <w:sz w:val="28"/>
          <w:sz w:val="28"/>
          <w:szCs w:val="28"/>
          <w:rtl w:val="true"/>
          <w:lang w:bidi="ar-SA"/>
        </w:rPr>
        <w:t>، و المقدّس الأردبيلي في مجمع الفائدة</w:t>
      </w:r>
      <w:r>
        <w:rPr>
          <w:rStyle w:val="FootnoteAnchor"/>
          <w:rtl w:val="true"/>
        </w:rPr>
        <w:footnoteReference w:id="488"/>
      </w:r>
      <w:r>
        <w:rPr>
          <w:rFonts w:ascii="Amiri" w:hAnsi="Amiri" w:eastAsia="Amiri" w:cs="Amiri"/>
          <w:color w:val="111111"/>
          <w:sz w:val="28"/>
          <w:sz w:val="28"/>
          <w:szCs w:val="28"/>
          <w:rtl w:val="true"/>
          <w:lang w:bidi="ar-SA"/>
        </w:rPr>
        <w:t>، و صاحب المدارك</w:t>
      </w:r>
      <w:r>
        <w:rPr>
          <w:rStyle w:val="FootnoteAnchor"/>
          <w:rtl w:val="true"/>
        </w:rPr>
        <w:footnoteReference w:id="489"/>
      </w:r>
      <w:r>
        <w:rPr>
          <w:rFonts w:ascii="Amiri" w:hAnsi="Amiri" w:eastAsia="Amiri" w:cs="Amiri"/>
          <w:color w:val="111111"/>
          <w:sz w:val="28"/>
          <w:sz w:val="28"/>
          <w:szCs w:val="28"/>
          <w:rtl w:val="true"/>
          <w:lang w:bidi="ar-SA"/>
        </w:rPr>
        <w:t>و الذخيرة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يعزى إلى محكيّ كشف الرموز</w:t>
      </w:r>
      <w:r>
        <w:rPr>
          <w:rStyle w:val="FootnoteAnchor"/>
          <w:rtl w:val="true"/>
        </w:rPr>
        <w:footnoteReference w:id="491"/>
      </w:r>
      <w:r>
        <w:rPr>
          <w:rFonts w:ascii="Amiri" w:hAnsi="Amiri" w:eastAsia="Amiri" w:cs="Amiri"/>
          <w:color w:val="111111"/>
          <w:sz w:val="28"/>
          <w:sz w:val="28"/>
          <w:szCs w:val="28"/>
          <w:rtl w:val="true"/>
          <w:lang w:bidi="ar-SA"/>
        </w:rPr>
        <w:t>أنّ الشيخ 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المرتضى و الصدوق في الناصريّات</w:t>
      </w:r>
      <w:r>
        <w:rPr>
          <w:rStyle w:val="FootnoteAnchor"/>
          <w:rtl w:val="true"/>
        </w:rPr>
        <w:footnoteReference w:id="492"/>
      </w:r>
      <w:r>
        <w:rPr>
          <w:rFonts w:ascii="IRNazanin" w:hAnsi="IRNazanin" w:eastAsia="IRNazanin"/>
          <w:color w:val="111111"/>
          <w:sz w:val="28"/>
          <w:sz w:val="28"/>
          <w:szCs w:val="28"/>
          <w:rtl w:val="true"/>
          <w:lang w:bidi="fa-IR"/>
        </w:rPr>
        <w:t>و الانتصار</w:t>
      </w:r>
      <w:r>
        <w:rPr>
          <w:rStyle w:val="FootnoteAnchor"/>
          <w:rtl w:val="true"/>
        </w:rPr>
        <w:footnoteReference w:id="493"/>
      </w:r>
      <w:r>
        <w:rPr>
          <w:rFonts w:ascii="IRNazanin" w:hAnsi="IRNazanin" w:eastAsia="IRNazanin"/>
          <w:color w:val="111111"/>
          <w:sz w:val="28"/>
          <w:sz w:val="28"/>
          <w:szCs w:val="28"/>
          <w:rtl w:val="true"/>
          <w:lang w:bidi="fa-IR"/>
        </w:rPr>
        <w:t>و المصباح</w:t>
      </w:r>
      <w:r>
        <w:rPr>
          <w:rStyle w:val="FootnoteAnchor"/>
          <w:rtl w:val="true"/>
        </w:rPr>
        <w:footnoteReference w:id="494"/>
      </w:r>
      <w:r>
        <w:rPr>
          <w:rFonts w:ascii="Amiri" w:hAnsi="Amiri" w:eastAsia="Amiri" w:cs="Amiri"/>
          <w:color w:val="111111"/>
          <w:sz w:val="28"/>
          <w:sz w:val="28"/>
          <w:szCs w:val="28"/>
          <w:rtl w:val="true"/>
          <w:lang w:bidi="ar-SA"/>
        </w:rPr>
        <w:t>و الفقيه</w:t>
      </w:r>
      <w:r>
        <w:rPr>
          <w:rStyle w:val="FootnoteAnchor"/>
          <w:rtl w:val="true"/>
        </w:rPr>
        <w:footnoteReference w:id="495"/>
      </w:r>
      <w:r>
        <w:rPr>
          <w:rFonts w:ascii="Amiri" w:hAnsi="Amiri" w:eastAsia="Amiri" w:cs="Amiri"/>
          <w:color w:val="111111"/>
          <w:sz w:val="28"/>
          <w:sz w:val="28"/>
          <w:szCs w:val="28"/>
          <w:rtl w:val="true"/>
          <w:lang w:bidi="ar-SA"/>
        </w:rPr>
        <w:t>من حمله على المدني، و في المختلف</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ابن الجنيد</w:t>
      </w:r>
      <w:r>
        <w:rPr>
          <w:rStyle w:val="FootnoteAnchor"/>
          <w:rtl w:val="true"/>
        </w:rPr>
        <w:footnoteReference w:id="497"/>
      </w:r>
      <w:r>
        <w:rPr>
          <w:rFonts w:ascii="Amiri" w:hAnsi="Amiri" w:eastAsia="Amiri" w:cs="Amiri"/>
          <w:color w:val="111111"/>
          <w:sz w:val="28"/>
          <w:sz w:val="28"/>
          <w:szCs w:val="28"/>
          <w:rtl w:val="true"/>
          <w:lang w:bidi="ar-SA"/>
        </w:rPr>
        <w:t>و سلاّر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المناهل</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الغنية</w:t>
      </w:r>
      <w:r>
        <w:rPr>
          <w:rStyle w:val="FootnoteAnchor"/>
          <w:rtl w:val="true"/>
        </w:rPr>
        <w:footnoteReference w:id="500"/>
      </w:r>
      <w:r>
        <w:rPr>
          <w:rFonts w:ascii="Amiri" w:hAnsi="Amiri" w:eastAsia="Amiri" w:cs="Amiri"/>
          <w:color w:val="111111"/>
          <w:sz w:val="28"/>
          <w:sz w:val="28"/>
          <w:szCs w:val="28"/>
          <w:rtl w:val="true"/>
          <w:lang w:bidi="ar-SA"/>
        </w:rPr>
        <w:t>و الذكرى</w:t>
      </w:r>
      <w:r>
        <w:rPr>
          <w:rStyle w:val="FootnoteAnchor"/>
          <w:rtl w:val="true"/>
        </w:rPr>
        <w:footnoteReference w:id="501"/>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العلاّمة في المختلف</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طهارة الماء، خرج ما نقص عن الأرطال العراقيّة بالإجماع فيبقى الزائد على الأصل، و ليس في النصّ ما ينافيه فيجب العمل عليه عملا بالأصل السالم عن المعارض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الأصل لا يخلو عن إجمال لاحتماله الأصل الاجتهادي المستفاد من عمومات </w:t>
      </w:r>
    </w:p>
    <w:p>
      <w:pPr>
        <w:pStyle w:val="BookText"/>
        <w:rPr/>
      </w:pPr>
      <w:r>
        <w:rPr>
          <w:rFonts w:ascii="Amiri" w:hAnsi="Amiri" w:eastAsia="Amiri" w:cs="Amiri"/>
          <w:color w:val="111111"/>
          <w:sz w:val="28"/>
          <w:sz w:val="28"/>
          <w:szCs w:val="28"/>
          <w:rtl w:val="true"/>
          <w:lang w:bidi="ar-SA"/>
        </w:rPr>
        <w:t>الأدلّة القائمة بطهارة الماء إلاّ ما علم منه بخروجه كما تقدّم، و القاعدة العامّة المقتضية لكون كلّ شيء مخلوقا لأجل الانتفاع، و استصحاب الطهارة، و أصالة البراءة عن الاجتناب عمّا يشكّ في نجاسته بالملاقاة ممّا يزيد على الرطل العراقي، و إنّما ذكرنا ذلك لورود الاحتجاج في كلامهم بكلّ من هذه الوجوه المذكورة على الاستقلال كما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المناهل</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فإنّه يدلّ على عدم انفعال الماء بالملاقاة مطلقا و لو كان دون العراقي، لكنّه خرج عن هذا العموم بالدليل، و لا دليل على خروج العراقي، فالأصل بقاؤه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الكتاب</w:t>
      </w:r>
      <w:r>
        <w:rPr>
          <w:rStyle w:val="FootnoteAnchor"/>
          <w:rtl w:val="true"/>
        </w:rPr>
        <w:footnoteReference w:id="505"/>
      </w:r>
      <w:r>
        <w:rPr>
          <w:rFonts w:ascii="Amiri" w:hAnsi="Amiri" w:eastAsia="Amiri" w:cs="Amiri"/>
          <w:color w:val="111111"/>
          <w:sz w:val="28"/>
          <w:sz w:val="28"/>
          <w:szCs w:val="28"/>
          <w:rtl w:val="true"/>
          <w:lang w:bidi="ar-SA"/>
        </w:rPr>
        <w:t>أيضا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يدلّ على أنّ اللازم الحكم بطهارة الماء في مقام الشكّ في طهارته و نجاسته، و محلّ البحث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شرح الدروس</w:t>
      </w:r>
      <w:r>
        <w:rPr>
          <w:rStyle w:val="FootnoteAnchor"/>
          <w:rtl w:val="true"/>
        </w:rPr>
        <w:footnoteReference w:id="507"/>
      </w:r>
      <w:r>
        <w:rPr>
          <w:rFonts w:ascii="Amiri" w:hAnsi="Amiri" w:eastAsia="Amiri" w:cs="Amiri"/>
          <w:color w:val="111111"/>
          <w:sz w:val="28"/>
          <w:sz w:val="28"/>
          <w:szCs w:val="28"/>
          <w:rtl w:val="true"/>
          <w:lang w:bidi="ar-SA"/>
        </w:rPr>
        <w:t>و أنّ الأصل طهارة الماء، لأنّه خلق للانتفاع و الانتفاع بالنجس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المناهل</w:t>
      </w:r>
      <w:r>
        <w:rPr>
          <w:rStyle w:val="FootnoteAnchor"/>
          <w:rtl w:val="true"/>
        </w:rPr>
        <w:footnoteReference w:id="508"/>
      </w:r>
      <w:r>
        <w:rPr>
          <w:rFonts w:ascii="Amiri" w:hAnsi="Amiri" w:eastAsia="Amiri" w:cs="Amiri"/>
          <w:color w:val="111111"/>
          <w:sz w:val="28"/>
          <w:sz w:val="28"/>
          <w:szCs w:val="28"/>
          <w:rtl w:val="true"/>
          <w:lang w:bidi="ar-SA"/>
        </w:rPr>
        <w:t>أيضا من أنّ حدّ العراقي قبل ملاقاته النجس كان طاهرا و مطهّرا، فالأصل بقاؤهما حتّى يثبت المزيل لهما، و لم يثبت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في المدارك</w:t>
      </w:r>
      <w:r>
        <w:rPr>
          <w:rStyle w:val="FootnoteAnchor"/>
          <w:rtl w:val="true"/>
        </w:rPr>
        <w:footnoteReference w:id="509"/>
      </w:r>
      <w:r>
        <w:rPr>
          <w:rFonts w:ascii="Amiri" w:hAnsi="Amiri" w:eastAsia="Amiri" w:cs="Amiri"/>
          <w:color w:val="111111"/>
          <w:sz w:val="28"/>
          <w:sz w:val="28"/>
          <w:szCs w:val="28"/>
          <w:rtl w:val="true"/>
          <w:lang w:bidi="ar-SA"/>
        </w:rPr>
        <w:t>و حكاه في الحدائق</w:t>
      </w:r>
      <w:r>
        <w:rPr>
          <w:rStyle w:val="FootnoteAnchor"/>
          <w:rtl w:val="true"/>
        </w:rPr>
        <w:footnoteReference w:id="510"/>
      </w:r>
      <w:r>
        <w:rPr>
          <w:rFonts w:ascii="Amiri" w:hAnsi="Amiri" w:eastAsia="Amiri" w:cs="Amiri"/>
          <w:color w:val="111111"/>
          <w:sz w:val="28"/>
          <w:sz w:val="28"/>
          <w:szCs w:val="28"/>
          <w:rtl w:val="true"/>
          <w:lang w:bidi="ar-SA"/>
        </w:rPr>
        <w:t>من أنّ الأقلّ متيقّن و الزائد مشكوك فيه فيجب نفيه بالأصل، يعني أصل البراءة كما صرّح به عند التعرّض لدفعه، كما سيأتي الإشارة إليه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المناهل</w:t>
      </w:r>
      <w:r>
        <w:rPr>
          <w:rStyle w:val="FootnoteAnchor"/>
          <w:rtl w:val="true"/>
        </w:rPr>
        <w:footnoteReference w:id="511"/>
      </w:r>
      <w:r>
        <w:rPr>
          <w:rFonts w:ascii="Amiri" w:hAnsi="Amiri" w:eastAsia="Amiri" w:cs="Amiri"/>
          <w:color w:val="111111"/>
          <w:sz w:val="28"/>
          <w:sz w:val="28"/>
          <w:szCs w:val="28"/>
          <w:rtl w:val="true"/>
          <w:lang w:bidi="ar-SA"/>
        </w:rPr>
        <w:t>أيضا من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Style w:val="FootnoteAnchor"/>
          <w:rtl w:val="true"/>
        </w:rPr>
        <w:footnoteReference w:id="512"/>
      </w:r>
      <w:r>
        <w:rPr>
          <w:rFonts w:ascii="IRNazanin" w:hAnsi="IRNazanin" w:eastAsia="IRNazanin"/>
          <w:color w:val="111111"/>
          <w:sz w:val="28"/>
          <w:sz w:val="28"/>
          <w:szCs w:val="28"/>
          <w:rtl w:val="true"/>
          <w:lang w:bidi="fa-IR"/>
        </w:rPr>
        <w:t xml:space="preserve">إلخ، </w:t>
      </w:r>
    </w:p>
    <w:p>
      <w:pPr>
        <w:pStyle w:val="BookText"/>
        <w:rPr/>
      </w:pPr>
      <w:r>
        <w:rPr>
          <w:rFonts w:ascii="Amiri" w:hAnsi="Amiri" w:eastAsia="Amiri" w:cs="Amiri"/>
          <w:color w:val="111111"/>
          <w:sz w:val="28"/>
          <w:sz w:val="28"/>
          <w:szCs w:val="28"/>
          <w:rtl w:val="true"/>
          <w:lang w:bidi="ar-SA"/>
        </w:rPr>
        <w:t>يدلّ بمفهومه على أنّه إذا وجد الماء لم يجب التيمّم فيجب الطهارة المائيّة، و هو عامّ يشمل المفروض، و خروج ما دون العراقي من العموم لا يمنع من التمسّك به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فيه أيضا</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عليه غير واحد، منهم شيخنا في الجواهر</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شيوع إطلاق الرطل في كلامهم عليهم السّلام و إرادة العراقي منه عند الإطلاق، كما يشير إليه خبر الكلبي النسّابة</w:t>
      </w:r>
      <w:r>
        <w:rPr>
          <w:rStyle w:val="FootnoteAnchor"/>
          <w:rtl w:val="true"/>
        </w:rPr>
        <w:footnoteReference w:id="515"/>
      </w:r>
      <w:r>
        <w:rPr>
          <w:rFonts w:ascii="Amiri" w:hAnsi="Amiri" w:eastAsia="Amiri" w:cs="Amiri"/>
          <w:color w:val="111111"/>
          <w:sz w:val="28"/>
          <w:sz w:val="28"/>
          <w:szCs w:val="28"/>
          <w:rtl w:val="true"/>
          <w:lang w:bidi="ar-SA"/>
        </w:rPr>
        <w:t>أنّه سأل أبا عبد اللّه عليه السّلام عن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نبذه فنطرح فيه العكر، و ما سوى ذلك، شه شه، تلك الحمرة المنتنة،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 فقال إنّ أهل المدينة شكوا إلى رسول اللّه صلّى اللّه عليه و آله و سلّم تغيّر الماء و فساد طبائعهم فأمرهم أن ينبذوا، فكان الرجل يأمر خادمه أن ينبذ له، فيعمد إلى كفّ من تمر فيقذف في الشنّ‌</w:t>
      </w:r>
      <w:r>
        <w:rPr>
          <w:rStyle w:val="FootnoteAnchor"/>
          <w:rtl w:val="true"/>
        </w:rPr>
        <w:footnoteReference w:id="516"/>
      </w:r>
      <w:r>
        <w:rPr>
          <w:rFonts w:ascii="IRNazanin" w:hAnsi="IRNazanin" w:eastAsia="IRNazanin"/>
          <w:color w:val="111111"/>
          <w:sz w:val="28"/>
          <w:sz w:val="28"/>
          <w:szCs w:val="28"/>
          <w:rtl w:val="true"/>
          <w:lang w:bidi="fa-IR"/>
        </w:rPr>
        <w:t>، فمنه شربه و منه طهره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عدد التمر الّذي في الكفّ؟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الكفّ،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اثنتين؟ فقال ربّما كانت واحدة و ربّما كانت اثنتين،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يسع الشنّ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الثمانين، إلى ما فوق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عليه السّلام أطلق و أراد به العراقي قبل أن يسأله السائل، و لو لم يسأله لأعتمد على ذلك الإطلاق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في المدارك</w:t>
      </w:r>
      <w:r>
        <w:rPr>
          <w:rStyle w:val="FootnoteAnchor"/>
          <w:rtl w:val="true"/>
        </w:rPr>
        <w:footnoteReference w:id="518"/>
      </w:r>
      <w:r>
        <w:rPr>
          <w:rFonts w:ascii="Amiri" w:hAnsi="Amiri" w:eastAsia="Amiri" w:cs="Amiri"/>
          <w:color w:val="111111"/>
          <w:sz w:val="28"/>
          <w:sz w:val="28"/>
          <w:szCs w:val="28"/>
          <w:rtl w:val="true"/>
          <w:lang w:bidi="ar-SA"/>
        </w:rPr>
        <w:t xml:space="preserve">، من أنّ ذلك هو المناسب لرواية الأشبار الثلاثة، و قرّره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الأرطال العراقيّة تناسب رواية </w:t>
      </w:r>
    </w:p>
    <w:p>
      <w:pPr>
        <w:pStyle w:val="BookText"/>
        <w:rPr/>
      </w:pPr>
      <w:r>
        <w:rPr>
          <w:rFonts w:ascii="Amiri" w:hAnsi="Amiri" w:eastAsia="Amiri" w:cs="Amiri"/>
          <w:color w:val="111111"/>
          <w:sz w:val="28"/>
          <w:sz w:val="28"/>
          <w:szCs w:val="28"/>
          <w:rtl w:val="true"/>
          <w:lang w:bidi="ar-SA"/>
        </w:rPr>
        <w:t>الأشبار بخلاف المدنيّة فإنّها تفضل عليها، و من المستبعد تحديد مقدار الشيء الواحد بأمرين متفاوتين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في المدارك أيضا و اعتمد عليه في المختلف، فقال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في ذلك من الجمع بين هذه الرواية و بين صحيحة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ستّمائة رطل</w:t>
      </w:r>
      <w:r>
        <w:rPr>
          <w:rStyle w:val="FootnoteAnchor"/>
          <w:rtl w:val="true"/>
        </w:rPr>
        <w:footnoteReference w:id="520"/>
      </w:r>
      <w:r>
        <w:rPr>
          <w:rFonts w:ascii="Amiri" w:hAnsi="Amiri" w:eastAsia="Amiri" w:cs="Amiri"/>
          <w:color w:val="111111"/>
          <w:sz w:val="28"/>
          <w:sz w:val="28"/>
          <w:szCs w:val="28"/>
          <w:rtl w:val="true"/>
          <w:lang w:bidi="ar-SA"/>
        </w:rPr>
        <w:t>بحملها على أرطال مكّة، إذ لا يجوز حملها على غيرها من الأرطال العراقيّة أو المدنيّة؛ لأنّ ذلك لم يعتبره أحد من الأصحاب كما ذكره الشيخ في التهذيب</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Style w:val="FootnoteAnchor"/>
          <w:rtl w:val="true"/>
        </w:rPr>
        <w:footnoteReference w:id="523"/>
      </w:r>
      <w:r>
        <w:rPr>
          <w:rFonts w:ascii="Amiri" w:hAnsi="Amiri" w:eastAsia="Amiri" w:cs="Amiri"/>
          <w:color w:val="111111"/>
          <w:sz w:val="28"/>
          <w:sz w:val="28"/>
          <w:szCs w:val="28"/>
          <w:rtl w:val="true"/>
          <w:lang w:bidi="ar-SA"/>
        </w:rPr>
        <w:t>و هذا يرجح اعتبار العراقيّة و وجهه أن يكون المراد به رطل مكّة لأنّه رطلان، و لا يمتنع أن يكونوا عليهم السّلام أفتوا السائل عن عادة بلده؛ لأنّه لا يجوز أن يكون المراد به رطل أهل العراق، و لا أرطال أهل المدينة؛ لأنّ ذلك لم يعتبره أحد من أصحابنا فهو متروك بالإجماع</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يقرّب مقالة الشيخ إلى الواقع شهادة حال الراوي، فإنّ محمّد بن مسلم على ما في نقد الرجال</w:t>
      </w:r>
      <w:r>
        <w:rPr>
          <w:rStyle w:val="FootnoteAnchor"/>
          <w:rtl w:val="true"/>
        </w:rPr>
        <w:footnoteReference w:id="525"/>
      </w:r>
      <w:r>
        <w:rPr>
          <w:rFonts w:ascii="Amiri" w:hAnsi="Amiri" w:eastAsia="Amiri" w:cs="Amiri"/>
          <w:color w:val="111111"/>
          <w:sz w:val="28"/>
          <w:sz w:val="28"/>
          <w:szCs w:val="28"/>
          <w:rtl w:val="true"/>
          <w:lang w:bidi="ar-SA"/>
        </w:rPr>
        <w:t>عن رجال الشيخ طائفي، فكونه من أهل الطائف الّذي هو من أتباع مكّة ممّا يقرب كون الإمام عليه السّلام قد تكلّم باصطلاحه، لما عرفت من امتناع حمله على اصطلاح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الظاهر أنّ الراوي لابن أبي عمير تحديد الكرّ بألف و مائتا رطل عراقي، لأنّ الظاهر أنّه من مشايخه، و هم من أهل العراق فيجب أن يكون الرطل فيما رواه العراقي، لأنّ الحكيم لا يخاطب إلاّ بما هو المصطلح عليه عند المخاطب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على ما اختاره من مذهب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المرسل ابن أبي عمير و مشايخه من أهل العراق، مع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الإضافة كونه من أهل العراق، و عرف السائل في الكلام مع الحكيم العالم بعرف المخاطب مقدّم على عرف المتكلّم و البلد، على أنّه لم يعرف كونه عليه السّلام قال ذلك و هو في المدينة، قيل و لذلك اعتبر العراقي في الصاع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يؤيّده ما قيل إنّ الكرّ في الأصل كان مكيال أهل العراق، و أنّهم قدّروا بالكرّ من جهة أنّ مخاطبهم كان من أهل العراق</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أيضا</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الاحتجاج الحاملين على المدني، بأنّه عليه السّلام كان من اهل المدينة فالظاهر أنّه عليه السّلام أجاب بما هو المعهود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المهمّ في نظر الحكيم هو رعاية ما يفهمه السائل، و ذلك إنّما يحصل بمخاطبته بما يعهده من اصطلاحه، و لم يعلم أنّ السائل كان مدنيّا، و غالب الرواة عنه عليه السّلام كانوا من أهل العراق، فلعلّ السائل كان منهم حملا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 بأنّ المرسل و هو ابن أبي عمير كان عراقيّا</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 عن الآخرين الاحتجاج أوّلا بالإجماع، حكاه في المناهل</w:t>
      </w:r>
      <w:r>
        <w:rPr>
          <w:rStyle w:val="FootnoteAnchor"/>
          <w:rtl w:val="true"/>
        </w:rPr>
        <w:footnoteReference w:id="530"/>
      </w:r>
      <w:r>
        <w:rPr>
          <w:rFonts w:ascii="Amiri" w:hAnsi="Amiri" w:eastAsia="Amiri" w:cs="Amiri"/>
          <w:color w:val="111111"/>
          <w:sz w:val="28"/>
          <w:sz w:val="28"/>
          <w:szCs w:val="28"/>
          <w:rtl w:val="true"/>
          <w:lang w:bidi="ar-SA"/>
        </w:rPr>
        <w:t>عن السيّد في الناصريّات،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الكلام في تصحيح ما ذكرناه من الكرّ و تعيينه بالأرطال فالحجّة في صحّته إجماع الإماميّة و إجماعنا حجّة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بعد ملاحظة أنّ القول بما صار إليه منحصر فيه و في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كان مدنيّا فيجب حمل كلامه على المصطلح عليه بين أهل المدينة، لأنّ كلّ قوم يحاورون بما هو المصطلح عليه بينهم،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تأمّلت في المسألة علمت بما في أكثر أدلّة الأوّلين مع بعض أدلّة الآخرين، فإنّها ليست إلاّ اجتهادات وردت على خلاف التحقيق و استنباطات خرجت غير مطابقة لمقصود المقام، فإنّ الشبهة لفظيّة و الغرض المهمّ تحصيل ما يوجب الخروج عن تلك الشبهة، و يجدينا في رفع إجمال الاشتراك بالكشف عن حقيقة المراد من اللفظ، و أيّ ربط في عمومات الطهارة و المطهّريّة و خلقة الماء لجهة الانتفاع، و الاصول </w:t>
      </w:r>
    </w:p>
    <w:p>
      <w:pPr>
        <w:pStyle w:val="BookText"/>
        <w:rPr/>
      </w:pPr>
      <w:r>
        <w:rPr>
          <w:rFonts w:ascii="Amiri" w:hAnsi="Amiri" w:eastAsia="Amiri" w:cs="Amiri"/>
          <w:color w:val="111111"/>
          <w:sz w:val="28"/>
          <w:sz w:val="28"/>
          <w:szCs w:val="28"/>
          <w:rtl w:val="true"/>
          <w:lang w:bidi="ar-SA"/>
        </w:rPr>
        <w:t>العمليّة من الاحتياط و الاستصحاب و البراءة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أقصى ما يفيده العمومات أنّ عند عدم العلم بالنجاسة يجب البناء على الطهارة، و هو غير العلم أو الظنّ بأنّ المراد بالرطل الوارد في الرواية العراقي، الملازم لطهارة ما زاد عليه، كيف و من المقرّر في محلّه أنّ إجمال المخصّص و لو في الجملة يسري إلى العامّ، فيصير مجملا في القدر الّذي كان المخصّص مجملا بالنسبة إليه، و لا ريب أنّ ما دلّ على انفعال ما دون الكرّ مع ما دلّ على عدم انفعال الكرّ مجمل في القدر الّذي اريد من الكرّ و هو يقضي يكون ما دلّ على طهارة الماء بعمومه مجملا في هذا القدر، و معه كيف يمكن أخذه بيانا رافعا للإجمال عن الأوّل، كما أنّ أقصى ما يفيده الاصول التوصّل بها إلى ما هو حكم ظاهري مجعول للمكلّف طريقا إلى عمله في مقام الجهل و الشبهة، و كيف يلائم ذلك للحكم الواقعي الّذي لا ينعقد إلاّ مع تبيّن ما هو حقيقة المراد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في جميع مواردها ممّا لا يجدي نفعا في إحراز الواقع و هذا هو المقصود بالبحث،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الوجوه إنّما خرجت مستندة بعد الفراغ عن رمي الخطاب بالإجمال و اليأس عمّا يوجب فيه البيان، طلبا لطريق العمل و الحكم الظاهري المعمول به عند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حينئذ للتمسّك بعمومات الطهارة أصلا كما عرفت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لذكر تلك الوجوه في عنوان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المراد بالرطل العراقي أو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و إن كان ما صار إليه الأوّلون، غير أنّ دليله الّذي يمكن التعويل عليه و أخذه حجّة فيما بين الربّ و العبد منحصر في عاشر الوجوه المتقدّمة، فإنّ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الرواية المتضمّنة لتحديد الكرّ بألف و مائتا رطل على العراقي من مقتضى الجمع بين تلك الرواية و الرواية المتضمّنة لتحديده بستّمائة رطل، و إنّما يتأتّى ذلك الجمع بعد ملاحظة الإجماع على أنّ الكرّ لا ينقص عن الأرطال العراقيّة، و امتناع الكذب على الأئمّة عليهم السّلام، و وجوب العمل على أدلّة الحجيّة، و أصالة عدم التقيّة، و أصالة عدم المعارضة فيما بين الأدلّة، و أصالة عدم الإجمال و الشبهة، و قاعدة أولويّة الجمع مهما أمكن 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أنّ قضيّة الجمع بين هذه الاصول و القواعد أن يحمل رواية ستّمائة على ما يوازي نصفه تمام رواية الألف و المائتين، و لا يعقل ذلك إلاّ إذا حملت الاولى على المكّي و الثانية على العراقي؛ إذ على هذا التقدير يكون الستّة مائة من الأرطال موازية للألف و المائتين منها، و لا بعد في هذا الجمع بل ممّا لا بدّ منه، إخراجا لخطاب الحكيم عن الإجمال، فيكون كلّ من الروايتين بيانا بالقياس إلى الاخرى، و إن كانت كلّ واحدة مع قطع النظر عن صاحبها مجملة، و ليس ذلك من الجمع الّذي يطالب فيه بدليل دعي إليه، معتبر في نظر العرف؛ إذ لا يوجب خروجا عن ظاهر و لا طرحا لدليل في الحقيقة؛ لعدم ظهور في الروايتين بدونه في شيء، و إنّما يطرؤهما الظهور بعد اعتبار الجمع، فهو ممّا يعطيهما الظهور لا أنّه يوجب فيهما طرح الظهور، و لا امتناع في مجملين إذا اجتمعا و لوحظا معا كان كلّ منهما بيانا للآخر،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كلّ منهما يحصل بملاحظتهما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يبقى جملة من الوجوه المتقدّمة مؤيّدة لهذا الجمع، شاهدة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الحاجة إليها، فاتّضح بذلك حكم المسألة بحمد اللّه وليّ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لأصحابنا الأعلام رضوان اللّه عليهم نقوض و إبرامات في تصحيح أدلّة الطرفين و إفسادها، مذكورة في مظانّها و من يطلبها فليراجعها، و لا فائدة مهمّة تدعونا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تحمّل نقلها و جرحها و تعديلها، فهي بالإعراض عنها هنا أحرى و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في المقام فائدة ينبغي الإشارة إليها لعموم النفع بها، و هي بيان ما يبلغ إليه الكرّ بالأرطال العراقيّة من المنّان، و غيرها من الأوزان المتعارفة الآن في كثير من البلدان على حسب ما يقتضيه قواعد الحساب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سابقا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ثلاثون درهما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فيما يقابل المثقال الّذي منه ما كان شرعيّا و منه ما كان صيرفيّا، و الأوّل من الثاني ثلاثة أرباعه، كما أنّ الثاني من الأوّل مثله و ثلثه، فالدرهم من المثقال الشرعي نصف مثقال و خمسة، كما أنّ المثقال الشرعي منه درهم و ثلاثة أسباعه، و الدرهم من المثقال الصيرفي نصفه و ربع عشره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السهولة في معرفة هذه النسب، فافرض العشرين مثقالا صيرفيّا، و خمسة عشر مثقالا شرعيّا، و العشرة و النصف درهما،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عشرة دراهم على </w:t>
      </w:r>
      <w:bookmarkStart w:id="184" w:name="pg16144_233080"/>
    </w:p>
    <w:p>
      <w:pPr>
        <w:pStyle w:val="BookText"/>
        <w:rPr/>
      </w:pPr>
      <w:bookmarkEnd w:id="184"/>
      <w:r>
        <w:rPr>
          <w:rFonts w:ascii="Amiri" w:hAnsi="Amiri" w:eastAsia="Amiri" w:cs="Amiri"/>
          <w:color w:val="111111"/>
          <w:sz w:val="28"/>
          <w:sz w:val="28"/>
          <w:szCs w:val="28"/>
          <w:rtl w:val="true"/>
          <w:lang w:bidi="ar-SA"/>
        </w:rPr>
        <w:t>هذا الحساب سبعة مثاقيل بالشرعي، و خمسة مثاقيل و ربع مثقال بالصيرفي، و كلّ مائة درهم سبعون مثقالا بالشرعي، و اثنان و خمسون مثقالا و نصف مثقال بالصيرفي، و كلّ ألف درهم سبعمائة مثقال بالشرعي و ستّمائة مثقال و عشرون مثقالا بالصيرفي، فالرطل على هذا الحساب إذا انحلّ إلى المثاقيل الشرعيّة كان واحدا و تسعين مثقالا شرعيّا، و إذا انحلّ إلى المثاقيل الصيرفيّة كان ثمانية و ستّين مثقالا و ربع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 حينئذ إذا انحلّ إلى المثاقيل الشرعيّة كان مائة ألف و تسعة آلاف و مائتين مثقالا، و إذا انحلّ إلى المثاقيل الصيرفيّة كان واحدا و ثمانين ألف مثقال و ستّمائة مثقال،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تقدّم في المكاتبة تسعة أرطال بالعراقي، فكلّ صاع ثمانمائة مثقال و تسعة عشر مثقالا بالشرعي، و ستّمائة مثقال و أربعة عشر مثقالا و ربع مثقال بالصيرفي، و ذلك يعادل المنّ التبريزي المعهود في بلاد العجم الموصوف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خمسة و عشرين و ثلاثة أرباع مثقال بالصيرفي،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ستّمائة و أربعين مثقالا بالصيرفي،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العراقي حقّتان بالعطّاري، فالحقّتان حينئذ ستّمائة و أربعة عشر مثقالا و ربع مثقال بالصيرفي، فالكرّ حينئذ بعيار الصاع مائة و ثلاثة و ثلاثون صاعا و ثلث صاع، و بعيار المنّ مائة و ثمانية و عشرون منّا إلاّ عشرين مثقالا بالصيرفي، و طريق العمل في استخراج ذلك أنّ تقسّم مثاقيل الكرّ المتقدّمة على مثاقيل المنّ المذكورة فالخارج من القسمة هو المطلوب، و هو يوازي العدد المذكور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804482_1280447820"/>
      <w:bookmarkStart w:id="186" w:name="_Toc72"/>
      <w:bookmarkEnd w:id="185"/>
      <w:r>
        <w:rPr>
          <w:rtl w:val="true"/>
        </w:rPr>
        <w:t>الطريق الثاني</w:t>
      </w:r>
      <w:r>
        <w:rPr>
          <w:rtl w:val="true"/>
        </w:rPr>
        <w:t xml:space="preserve">: </w:t>
      </w:r>
      <w:r>
        <w:rPr>
          <w:rtl w:val="true"/>
        </w:rPr>
        <w:t>تحديده باعتبار المساحة،</w:t>
      </w:r>
      <w:bookmarkEnd w:id="186"/>
    </w:p>
    <w:p>
      <w:pPr>
        <w:pStyle w:val="Heading6"/>
        <w:numPr>
          <w:ilvl w:val="5"/>
          <w:numId w:val="1"/>
        </w:numPr>
        <w:rPr/>
      </w:pPr>
      <w:bookmarkStart w:id="187" w:name="__RefHeading___Toc1804484_1280447820"/>
      <w:bookmarkStart w:id="188" w:name="_Toc73"/>
      <w:bookmarkEnd w:id="187"/>
      <w:r>
        <w:rPr>
          <w:rtl w:val="true"/>
        </w:rPr>
        <w:t>و اضطربت كلمة الأصحاب فيه اضطرابا شديدا، حتّى حدث فيهم أقوال مختلفة</w:t>
      </w:r>
      <w:r>
        <w:rPr>
          <w:rtl w:val="true"/>
        </w:rPr>
        <w:t>.</w:t>
      </w:r>
      <w:bookmarkEnd w:id="188"/>
    </w:p>
    <w:p>
      <w:pPr>
        <w:pStyle w:val="Heading6"/>
        <w:numPr>
          <w:ilvl w:val="5"/>
          <w:numId w:val="1"/>
        </w:numPr>
        <w:rPr/>
      </w:pPr>
      <w:bookmarkStart w:id="189" w:name="__RefHeading___Toc1804486_1280447820"/>
      <w:bookmarkStart w:id="190" w:name="_Toc74"/>
      <w:bookmarkEnd w:id="189"/>
      <w:r>
        <w:rPr>
          <w:rtl w:val="true"/>
        </w:rPr>
        <w:t>أحدها</w:t>
      </w:r>
      <w:r>
        <w:rPr>
          <w:rtl w:val="true"/>
        </w:rPr>
        <w:t xml:space="preserve">: </w:t>
      </w:r>
      <w:r>
        <w:rPr>
          <w:rtl w:val="true"/>
        </w:rPr>
        <w:t>ما كان كلّ من طوله و عرضه و عمقه ثلاثة أشبار و نصف شبر،</w:t>
      </w:r>
      <w:bookmarkEnd w:id="1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بالغا تكسيره اثنين و أربعين شبرا و سبعة أثمان شبر، و هو عن الحلّي في السرائر</w:t>
      </w:r>
      <w:r>
        <w:rPr>
          <w:rStyle w:val="FootnoteAnchor"/>
          <w:rtl w:val="true"/>
        </w:rPr>
        <w:footnoteReference w:id="532"/>
      </w:r>
      <w:r>
        <w:rPr>
          <w:rFonts w:ascii="Amiri" w:hAnsi="Amiri" w:eastAsia="Amiri" w:cs="Amiri"/>
          <w:color w:val="111111"/>
          <w:sz w:val="28"/>
          <w:sz w:val="28"/>
          <w:szCs w:val="28"/>
          <w:rtl w:val="true"/>
          <w:lang w:bidi="ar-SA"/>
        </w:rPr>
        <w:t>، و ابن زهرة في الغنية</w:t>
      </w:r>
      <w:r>
        <w:rPr>
          <w:rStyle w:val="FootnoteAnchor"/>
          <w:rtl w:val="true"/>
        </w:rPr>
        <w:footnoteReference w:id="533"/>
      </w:r>
      <w:r>
        <w:rPr>
          <w:rFonts w:ascii="Amiri" w:hAnsi="Amiri" w:eastAsia="Amiri" w:cs="Amiri"/>
          <w:color w:val="111111"/>
          <w:sz w:val="28"/>
          <w:sz w:val="28"/>
          <w:szCs w:val="28"/>
          <w:rtl w:val="true"/>
          <w:lang w:bidi="ar-SA"/>
        </w:rPr>
        <w:t>، و الفاضلين في الشرائع</w:t>
      </w:r>
      <w:r>
        <w:rPr>
          <w:rStyle w:val="FootnoteAnchor"/>
          <w:rtl w:val="true"/>
        </w:rPr>
        <w:footnoteReference w:id="534"/>
      </w:r>
      <w:r>
        <w:rPr>
          <w:rFonts w:ascii="IRNazanin" w:hAnsi="IRNazanin" w:eastAsia="IRNazanin"/>
          <w:color w:val="111111"/>
          <w:sz w:val="28"/>
          <w:sz w:val="28"/>
          <w:szCs w:val="28"/>
          <w:rtl w:val="true"/>
          <w:lang w:bidi="fa-IR"/>
        </w:rPr>
        <w:t>و القواعد</w:t>
      </w:r>
      <w:r>
        <w:rPr>
          <w:rStyle w:val="FootnoteAnchor"/>
          <w:rtl w:val="true"/>
        </w:rPr>
        <w:footnoteReference w:id="535"/>
      </w:r>
      <w:r>
        <w:rPr>
          <w:rFonts w:ascii="IRNazanin" w:hAnsi="IRNazanin" w:eastAsia="IRNazanin"/>
          <w:color w:val="111111"/>
          <w:sz w:val="28"/>
          <w:sz w:val="28"/>
          <w:szCs w:val="28"/>
          <w:rtl w:val="true"/>
          <w:lang w:bidi="fa-IR"/>
        </w:rPr>
        <w:t>و الإرشاد</w:t>
      </w:r>
      <w:r>
        <w:rPr>
          <w:rStyle w:val="FootnoteAnchor"/>
          <w:rtl w:val="true"/>
        </w:rPr>
        <w:footnoteReference w:id="536"/>
      </w:r>
      <w:r>
        <w:rPr>
          <w:rFonts w:ascii="Amiri" w:hAnsi="Amiri" w:eastAsia="Amiri" w:cs="Amiri"/>
          <w:color w:val="111111"/>
          <w:sz w:val="28"/>
          <w:sz w:val="28"/>
          <w:szCs w:val="28"/>
          <w:rtl w:val="true"/>
          <w:lang w:bidi="ar-SA"/>
        </w:rPr>
        <w:t>، و عن محكيّ الأمالي</w:t>
      </w:r>
      <w:r>
        <w:rPr>
          <w:rStyle w:val="FootnoteAnchor"/>
          <w:rtl w:val="true"/>
        </w:rPr>
        <w:footnoteReference w:id="537"/>
      </w:r>
      <w:r>
        <w:rPr>
          <w:rFonts w:ascii="Amiri" w:hAnsi="Amiri" w:eastAsia="Amiri" w:cs="Amiri"/>
          <w:color w:val="111111"/>
          <w:sz w:val="28"/>
          <w:sz w:val="28"/>
          <w:szCs w:val="28"/>
          <w:rtl w:val="true"/>
          <w:lang w:bidi="ar-SA"/>
        </w:rPr>
        <w:t>و الهداية</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للصدوق، و النهاية</w:t>
      </w:r>
      <w:r>
        <w:rPr>
          <w:rStyle w:val="FootnoteAnchor"/>
          <w:rtl w:val="true"/>
        </w:rPr>
        <w:footnoteReference w:id="539"/>
      </w:r>
      <w:r>
        <w:rPr>
          <w:rFonts w:ascii="IRNazanin" w:hAnsi="IRNazanin" w:eastAsia="IRNazanin"/>
          <w:color w:val="111111"/>
          <w:sz w:val="28"/>
          <w:sz w:val="28"/>
          <w:szCs w:val="28"/>
          <w:rtl w:val="true"/>
          <w:lang w:bidi="fa-IR"/>
        </w:rPr>
        <w:t>و المبسوط</w:t>
      </w:r>
      <w:r>
        <w:rPr>
          <w:rStyle w:val="FootnoteAnchor"/>
          <w:rtl w:val="true"/>
        </w:rPr>
        <w:footnoteReference w:id="540"/>
      </w:r>
      <w:r>
        <w:rPr>
          <w:rFonts w:ascii="Amiri" w:hAnsi="Amiri" w:eastAsia="Amiri" w:cs="Amiri"/>
          <w:color w:val="111111"/>
          <w:sz w:val="28"/>
          <w:sz w:val="28"/>
          <w:szCs w:val="28"/>
          <w:rtl w:val="true"/>
          <w:lang w:bidi="ar-SA"/>
        </w:rPr>
        <w:t>، و الوسيلة</w:t>
      </w:r>
      <w:r>
        <w:rPr>
          <w:rStyle w:val="FootnoteAnchor"/>
          <w:rtl w:val="true"/>
        </w:rPr>
        <w:footnoteReference w:id="541"/>
      </w:r>
      <w:r>
        <w:rPr>
          <w:rFonts w:ascii="Amiri" w:hAnsi="Amiri" w:eastAsia="Amiri" w:cs="Amiri"/>
          <w:color w:val="111111"/>
          <w:sz w:val="28"/>
          <w:sz w:val="28"/>
          <w:szCs w:val="28"/>
          <w:rtl w:val="true"/>
          <w:lang w:bidi="ar-SA"/>
        </w:rPr>
        <w:t>، و التحرير</w:t>
      </w:r>
      <w:r>
        <w:rPr>
          <w:rStyle w:val="FootnoteAnchor"/>
          <w:rtl w:val="true"/>
        </w:rPr>
        <w:footnoteReference w:id="542"/>
      </w:r>
      <w:r>
        <w:rPr>
          <w:rFonts w:ascii="Amiri" w:hAnsi="Amiri" w:eastAsia="Amiri" w:cs="Amiri"/>
          <w:color w:val="111111"/>
          <w:sz w:val="28"/>
          <w:sz w:val="28"/>
          <w:szCs w:val="28"/>
          <w:rtl w:val="true"/>
          <w:lang w:bidi="ar-SA"/>
        </w:rPr>
        <w:t>و التذكرة</w:t>
      </w:r>
      <w:r>
        <w:rPr>
          <w:rStyle w:val="FootnoteAnchor"/>
          <w:rtl w:val="true"/>
        </w:rPr>
        <w:footnoteReference w:id="543"/>
      </w:r>
      <w:r>
        <w:rPr>
          <w:rFonts w:ascii="IRNazanin" w:hAnsi="IRNazanin" w:eastAsia="IRNazanin"/>
          <w:color w:val="111111"/>
          <w:sz w:val="28"/>
          <w:sz w:val="28"/>
          <w:szCs w:val="28"/>
          <w:rtl w:val="true"/>
          <w:lang w:bidi="fa-IR"/>
        </w:rPr>
        <w:t>و المنتهى</w:t>
      </w:r>
      <w:r>
        <w:rPr>
          <w:rStyle w:val="FootnoteAnchor"/>
          <w:rtl w:val="true"/>
        </w:rPr>
        <w:footnoteReference w:id="544"/>
      </w:r>
      <w:r>
        <w:rPr>
          <w:rFonts w:ascii="Amiri" w:hAnsi="Amiri" w:eastAsia="Amiri" w:cs="Amiri"/>
          <w:color w:val="111111"/>
          <w:sz w:val="28"/>
          <w:sz w:val="28"/>
          <w:szCs w:val="28"/>
          <w:rtl w:val="true"/>
          <w:lang w:bidi="ar-SA"/>
        </w:rPr>
        <w:t>و نهاية الإحكام</w:t>
      </w:r>
      <w:r>
        <w:rPr>
          <w:rStyle w:val="FootnoteAnchor"/>
          <w:rtl w:val="true"/>
        </w:rPr>
        <w:footnoteReference w:id="545"/>
      </w:r>
      <w:r>
        <w:rPr>
          <w:rFonts w:ascii="Amiri" w:hAnsi="Amiri" w:eastAsia="Amiri" w:cs="Amiri"/>
          <w:color w:val="111111"/>
          <w:sz w:val="28"/>
          <w:sz w:val="28"/>
          <w:szCs w:val="28"/>
          <w:rtl w:val="true"/>
          <w:lang w:bidi="ar-SA"/>
        </w:rPr>
        <w:t>، و في اللمعة</w:t>
      </w:r>
      <w:r>
        <w:rPr>
          <w:rStyle w:val="FootnoteAnchor"/>
          <w:rtl w:val="true"/>
        </w:rPr>
        <w:footnoteReference w:id="546"/>
      </w:r>
      <w:r>
        <w:rPr>
          <w:rFonts w:ascii="Amiri" w:hAnsi="Amiri" w:eastAsia="Amiri" w:cs="Amiri"/>
          <w:color w:val="111111"/>
          <w:sz w:val="28"/>
          <w:sz w:val="28"/>
          <w:szCs w:val="28"/>
          <w:rtl w:val="true"/>
          <w:lang w:bidi="ar-SA"/>
        </w:rPr>
        <w:t>و محكيّ البيان</w:t>
      </w:r>
      <w:r>
        <w:rPr>
          <w:rStyle w:val="FootnoteAnchor"/>
          <w:rtl w:val="true"/>
        </w:rPr>
        <w:footnoteReference w:id="547"/>
      </w:r>
      <w:r>
        <w:rPr>
          <w:rFonts w:ascii="Amiri" w:hAnsi="Amiri" w:eastAsia="Amiri" w:cs="Amiri"/>
          <w:color w:val="111111"/>
          <w:sz w:val="28"/>
          <w:sz w:val="28"/>
          <w:szCs w:val="28"/>
          <w:rtl w:val="true"/>
          <w:lang w:bidi="ar-SA"/>
        </w:rPr>
        <w:t>و الذكرى</w:t>
      </w:r>
      <w:r>
        <w:rPr>
          <w:rStyle w:val="FootnoteAnchor"/>
          <w:rtl w:val="true"/>
        </w:rPr>
        <w:footnoteReference w:id="548"/>
      </w:r>
      <w:r>
        <w:rPr>
          <w:rFonts w:ascii="IRNazanin" w:hAnsi="IRNazanin" w:eastAsia="IRNazanin"/>
          <w:color w:val="111111"/>
          <w:sz w:val="28"/>
          <w:sz w:val="28"/>
          <w:szCs w:val="28"/>
          <w:rtl w:val="true"/>
          <w:lang w:bidi="fa-IR"/>
        </w:rPr>
        <w:t>و الدروس</w:t>
      </w:r>
      <w:r>
        <w:rPr>
          <w:rStyle w:val="FootnoteAnchor"/>
          <w:rtl w:val="true"/>
        </w:rPr>
        <w:footnoteReference w:id="549"/>
      </w:r>
      <w:r>
        <w:rPr>
          <w:rFonts w:ascii="Amiri" w:hAnsi="Amiri" w:eastAsia="Amiri" w:cs="Amiri"/>
          <w:color w:val="111111"/>
          <w:sz w:val="28"/>
          <w:sz w:val="28"/>
          <w:szCs w:val="28"/>
          <w:rtl w:val="true"/>
          <w:lang w:bidi="ar-SA"/>
        </w:rPr>
        <w:t>، و التنقيح</w:t>
      </w:r>
      <w:r>
        <w:rPr>
          <w:rStyle w:val="FootnoteAnchor"/>
          <w:rtl w:val="true"/>
        </w:rPr>
        <w:footnoteReference w:id="550"/>
      </w:r>
      <w:r>
        <w:rPr>
          <w:rFonts w:ascii="IRNazanin" w:hAnsi="IRNazanin" w:eastAsia="IRNazanin"/>
          <w:color w:val="111111"/>
          <w:sz w:val="28"/>
          <w:sz w:val="28"/>
          <w:szCs w:val="28"/>
          <w:rtl w:val="true"/>
          <w:lang w:bidi="fa-IR"/>
        </w:rPr>
        <w:t>و جامع المقاصد</w:t>
      </w:r>
      <w:r>
        <w:rPr>
          <w:rStyle w:val="FootnoteAnchor"/>
          <w:rtl w:val="true"/>
        </w:rPr>
        <w:footnoteReference w:id="551"/>
      </w:r>
      <w:r>
        <w:rPr>
          <w:rFonts w:ascii="IRNazanin" w:hAnsi="IRNazanin" w:eastAsia="IRNazanin"/>
          <w:color w:val="111111"/>
          <w:sz w:val="28"/>
          <w:sz w:val="28"/>
          <w:szCs w:val="28"/>
          <w:rtl w:val="true"/>
          <w:lang w:bidi="fa-IR"/>
        </w:rPr>
        <w:t>و المعالم</w:t>
      </w:r>
      <w:r>
        <w:rPr>
          <w:rStyle w:val="FootnoteAnchor"/>
          <w:rtl w:val="true"/>
        </w:rPr>
        <w:footnoteReference w:id="552"/>
      </w:r>
      <w:r>
        <w:rPr>
          <w:rFonts w:ascii="Amiri" w:hAnsi="Amiri" w:eastAsia="Amiri" w:cs="Amiri"/>
          <w:color w:val="111111"/>
          <w:sz w:val="28"/>
          <w:sz w:val="28"/>
          <w:szCs w:val="28"/>
          <w:rtl w:val="true"/>
          <w:lang w:bidi="ar-SA"/>
        </w:rPr>
        <w:t>و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التنقيح</w:t>
      </w:r>
      <w:r>
        <w:rPr>
          <w:rStyle w:val="FootnoteAnchor"/>
          <w:rtl w:val="true"/>
        </w:rPr>
        <w:footnoteReference w:id="553"/>
      </w:r>
      <w:r>
        <w:rPr>
          <w:rFonts w:ascii="Amiri" w:hAnsi="Amiri" w:eastAsia="Amiri" w:cs="Amiri"/>
          <w:color w:val="111111"/>
          <w:sz w:val="28"/>
          <w:sz w:val="28"/>
          <w:szCs w:val="28"/>
          <w:rtl w:val="true"/>
          <w:lang w:bidi="ar-SA"/>
        </w:rPr>
        <w:t>و المهذّب</w:t>
      </w:r>
      <w:r>
        <w:rPr>
          <w:rStyle w:val="FootnoteAnchor"/>
          <w:rtl w:val="true"/>
        </w:rPr>
        <w:footnoteReference w:id="554"/>
      </w:r>
      <w:r>
        <w:rPr>
          <w:rFonts w:ascii="IRNazanin" w:hAnsi="IRNazanin" w:eastAsia="IRNazanin"/>
          <w:color w:val="111111"/>
          <w:sz w:val="28"/>
          <w:sz w:val="28"/>
          <w:szCs w:val="28"/>
          <w:rtl w:val="true"/>
          <w:lang w:bidi="fa-IR"/>
        </w:rPr>
        <w:t>نسبته إلى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المنتهى</w:t>
      </w:r>
      <w:r>
        <w:rPr>
          <w:rStyle w:val="FootnoteAnchor"/>
          <w:rtl w:val="true"/>
        </w:rPr>
        <w:footnoteReference w:id="555"/>
      </w:r>
      <w:r>
        <w:rPr>
          <w:rFonts w:ascii="Amiri" w:hAnsi="Amiri" w:eastAsia="Amiri" w:cs="Amiri"/>
          <w:color w:val="111111"/>
          <w:sz w:val="28"/>
          <w:sz w:val="28"/>
          <w:szCs w:val="28"/>
          <w:rtl w:val="true"/>
          <w:lang w:bidi="ar-SA"/>
        </w:rPr>
        <w:t>و الروضة</w:t>
      </w:r>
      <w:r>
        <w:rPr>
          <w:rStyle w:val="FootnoteAnchor"/>
          <w:rtl w:val="true"/>
        </w:rPr>
        <w:footnoteReference w:id="556"/>
      </w:r>
      <w:r>
        <w:rPr>
          <w:rFonts w:ascii="Amiri" w:hAnsi="Amiri" w:eastAsia="Amiri" w:cs="Amiri"/>
          <w:color w:val="111111"/>
          <w:sz w:val="28"/>
          <w:sz w:val="28"/>
          <w:szCs w:val="28"/>
          <w:rtl w:val="true"/>
          <w:lang w:bidi="ar-SA"/>
        </w:rPr>
        <w:t>و المدارك</w:t>
      </w:r>
      <w:r>
        <w:rPr>
          <w:rStyle w:val="FootnoteAnchor"/>
          <w:rtl w:val="true"/>
        </w:rPr>
        <w:footnoteReference w:id="557"/>
      </w:r>
      <w:r>
        <w:rPr>
          <w:rFonts w:ascii="IRNazanin" w:hAnsi="IRNazanin" w:eastAsia="IRNazanin"/>
          <w:color w:val="111111"/>
          <w:sz w:val="28"/>
          <w:sz w:val="28"/>
          <w:szCs w:val="28"/>
          <w:rtl w:val="true"/>
          <w:lang w:bidi="fa-IR"/>
        </w:rPr>
        <w:t>و الحدائق</w:t>
      </w:r>
      <w:r>
        <w:rPr>
          <w:rStyle w:val="FootnoteAnchor"/>
          <w:rtl w:val="true"/>
        </w:rPr>
        <w:footnoteReference w:id="558"/>
      </w:r>
      <w:r>
        <w:rPr>
          <w:rFonts w:ascii="Amiri" w:hAnsi="Amiri" w:eastAsia="Amiri" w:cs="Amiri"/>
          <w:color w:val="111111"/>
          <w:sz w:val="28"/>
          <w:sz w:val="28"/>
          <w:szCs w:val="28"/>
          <w:rtl w:val="true"/>
          <w:lang w:bidi="ar-SA"/>
        </w:rPr>
        <w:t>و الرياض</w:t>
      </w:r>
      <w:r>
        <w:rPr>
          <w:rStyle w:val="FootnoteAnchor"/>
          <w:rtl w:val="true"/>
        </w:rPr>
        <w:footnoteReference w:id="559"/>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w:t>
      </w:r>
      <w:r>
        <w:rPr>
          <w:rStyle w:val="FootnoteAnchor"/>
          <w:rtl w:val="true"/>
        </w:rPr>
        <w:footnoteReference w:id="560"/>
      </w:r>
      <w:r>
        <w:rPr>
          <w:rFonts w:ascii="Amiri" w:hAnsi="Amiri" w:eastAsia="Amiri" w:cs="Amiri"/>
          <w:color w:val="111111"/>
          <w:sz w:val="28"/>
          <w:sz w:val="28"/>
          <w:szCs w:val="28"/>
          <w:rtl w:val="true"/>
          <w:lang w:bidi="ar-SA"/>
        </w:rPr>
        <w:t>و الذكرى</w:t>
      </w:r>
      <w:r>
        <w:rPr>
          <w:rStyle w:val="FootnoteAnchor"/>
          <w:rtl w:val="true"/>
        </w:rPr>
        <w:footnoteReference w:id="561"/>
      </w:r>
      <w:r>
        <w:rPr>
          <w:rFonts w:ascii="IRNazanin" w:hAnsi="IRNazanin" w:eastAsia="IRNazanin"/>
          <w:color w:val="111111"/>
          <w:sz w:val="28"/>
          <w:sz w:val="28"/>
          <w:szCs w:val="28"/>
          <w:rtl w:val="true"/>
          <w:lang w:bidi="fa-IR"/>
        </w:rPr>
        <w:t>و الدروس</w:t>
      </w:r>
      <w:r>
        <w:rPr>
          <w:rStyle w:val="FootnoteAnchor"/>
          <w:rtl w:val="true"/>
        </w:rPr>
        <w:footnoteReference w:id="562"/>
      </w:r>
      <w:r>
        <w:rPr>
          <w:rFonts w:ascii="IRNazanin" w:hAnsi="IRNazanin" w:eastAsia="IRNazanin"/>
          <w:color w:val="111111"/>
          <w:sz w:val="28"/>
          <w:sz w:val="28"/>
          <w:szCs w:val="28"/>
          <w:rtl w:val="true"/>
          <w:lang w:bidi="fa-IR"/>
        </w:rPr>
        <w:t>و جامع المقاصد</w:t>
      </w:r>
      <w:r>
        <w:rPr>
          <w:rStyle w:val="FootnoteAnchor"/>
          <w:rtl w:val="true"/>
        </w:rPr>
        <w:footnoteReference w:id="563"/>
      </w:r>
      <w:r>
        <w:rPr>
          <w:rFonts w:ascii="Amiri" w:hAnsi="Amiri" w:eastAsia="Amiri" w:cs="Amiri"/>
          <w:color w:val="111111"/>
          <w:sz w:val="28"/>
          <w:sz w:val="28"/>
          <w:szCs w:val="28"/>
          <w:rtl w:val="true"/>
          <w:lang w:bidi="ar-SA"/>
        </w:rPr>
        <w:t>و مجمع الفائدة</w:t>
      </w:r>
      <w:r>
        <w:rPr>
          <w:rStyle w:val="FootnoteAnchor"/>
          <w:rtl w:val="true"/>
        </w:rPr>
        <w:footnoteReference w:id="564"/>
      </w:r>
      <w:r>
        <w:rPr>
          <w:rFonts w:ascii="Amiri" w:hAnsi="Amiri" w:eastAsia="Amiri" w:cs="Amiri"/>
          <w:color w:val="111111"/>
          <w:sz w:val="28"/>
          <w:sz w:val="28"/>
          <w:szCs w:val="28"/>
          <w:rtl w:val="true"/>
          <w:lang w:bidi="ar-SA"/>
        </w:rPr>
        <w:t>و الذخيرة</w:t>
      </w:r>
      <w:r>
        <w:rPr>
          <w:rStyle w:val="FootnoteAnchor"/>
          <w:rtl w:val="true"/>
        </w:rPr>
        <w:footnoteReference w:id="565"/>
      </w:r>
      <w:r>
        <w:rPr>
          <w:rFonts w:ascii="IRNazanin" w:hAnsi="IRNazanin" w:eastAsia="IRNazanin"/>
          <w:color w:val="111111"/>
          <w:sz w:val="28"/>
          <w:sz w:val="28"/>
          <w:szCs w:val="28"/>
          <w:rtl w:val="true"/>
          <w:lang w:bidi="fa-IR"/>
        </w:rPr>
        <w:t>و المهذّب البارع</w:t>
      </w:r>
      <w:r>
        <w:rPr>
          <w:rStyle w:val="FootnoteAnchor"/>
          <w:rtl w:val="true"/>
        </w:rPr>
        <w:footnoteReference w:id="566"/>
      </w:r>
      <w:r>
        <w:rPr>
          <w:rFonts w:ascii="IRNazanin" w:hAnsi="IRNazanin" w:eastAsia="IRNazanin"/>
          <w:color w:val="111111"/>
          <w:sz w:val="28"/>
          <w:sz w:val="28"/>
          <w:szCs w:val="28"/>
          <w:rtl w:val="true"/>
          <w:lang w:bidi="fa-IR"/>
        </w:rPr>
        <w:t>و المشارق</w:t>
      </w:r>
      <w:r>
        <w:rPr>
          <w:rStyle w:val="FootnoteAnchor"/>
          <w:rtl w:val="true"/>
        </w:rPr>
        <w:footnoteReference w:id="567"/>
      </w:r>
      <w:r>
        <w:rPr>
          <w:rFonts w:ascii="Amiri" w:hAnsi="Amiri" w:eastAsia="Amiri" w:cs="Amiri"/>
          <w:color w:val="111111"/>
          <w:sz w:val="28"/>
          <w:sz w:val="28"/>
          <w:szCs w:val="28"/>
          <w:rtl w:val="true"/>
          <w:lang w:bidi="ar-SA"/>
        </w:rPr>
        <w:t>و حبل المتين</w:t>
      </w:r>
      <w:r>
        <w:rPr>
          <w:rStyle w:val="FootnoteAnchor"/>
          <w:rtl w:val="true"/>
        </w:rPr>
        <w:footnoteReference w:id="568"/>
      </w:r>
      <w:r>
        <w:rPr>
          <w:rFonts w:ascii="IRNazanin" w:hAnsi="IRNazanin" w:eastAsia="IRNazanin"/>
          <w:color w:val="111111"/>
          <w:sz w:val="28"/>
          <w:sz w:val="28"/>
          <w:szCs w:val="28"/>
          <w:rtl w:val="true"/>
          <w:lang w:bidi="fa-IR"/>
        </w:rPr>
        <w:t>و المعتصم</w:t>
      </w:r>
      <w:r>
        <w:rPr>
          <w:rStyle w:val="FootnoteAnchor"/>
          <w:rtl w:val="true"/>
        </w:rPr>
        <w:footnoteReference w:id="569"/>
      </w:r>
      <w:r>
        <w:rPr>
          <w:rFonts w:ascii="IRNazanin" w:hAnsi="IRNazanin" w:eastAsia="IRNazanin"/>
          <w:color w:val="111111"/>
          <w:sz w:val="28"/>
          <w:sz w:val="28"/>
          <w:szCs w:val="28"/>
          <w:rtl w:val="true"/>
          <w:lang w:bidi="fa-IR"/>
        </w:rPr>
        <w:t>و البحار</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الدروس</w:t>
      </w:r>
      <w:r>
        <w:rPr>
          <w:rStyle w:val="FootnoteAnchor"/>
          <w:rtl w:val="true"/>
        </w:rPr>
        <w:footnoteReference w:id="571"/>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محكيّ الخلاف</w:t>
      </w:r>
      <w:r>
        <w:rPr>
          <w:rStyle w:val="FootnoteAnchor"/>
          <w:rtl w:val="true"/>
        </w:rPr>
        <w:footnoteReference w:id="572"/>
      </w:r>
      <w:r>
        <w:rPr>
          <w:rFonts w:ascii="Amiri" w:hAnsi="Amiri" w:eastAsia="Amiri" w:cs="Amiri"/>
          <w:color w:val="111111"/>
          <w:sz w:val="28"/>
          <w:sz w:val="28"/>
          <w:szCs w:val="28"/>
          <w:rtl w:val="true"/>
          <w:lang w:bidi="ar-SA"/>
        </w:rPr>
        <w:t>نسبته إلى جميع القمّيّين و أصحاب الحديث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الغنية</w:t>
      </w:r>
      <w:r>
        <w:rPr>
          <w:rStyle w:val="FootnoteAnchor"/>
          <w:rtl w:val="true"/>
        </w:rPr>
        <w:footnoteReference w:id="573"/>
      </w:r>
      <w:r>
        <w:rPr>
          <w:rFonts w:ascii="Amiri" w:hAnsi="Amiri" w:eastAsia="Amiri" w:cs="Amiri"/>
          <w:color w:val="111111"/>
          <w:sz w:val="28"/>
          <w:sz w:val="28"/>
          <w:szCs w:val="28"/>
          <w:rtl w:val="true"/>
          <w:lang w:bidi="ar-SA"/>
        </w:rPr>
        <w:t>دعوى الإجماع عليه، حتّى أنّ شيخنا في الجواهر</w:t>
      </w:r>
      <w:r>
        <w:rPr>
          <w:rStyle w:val="FootnoteAnchor"/>
          <w:rtl w:val="true"/>
        </w:rPr>
        <w:footnoteReference w:id="574"/>
      </w:r>
      <w:r>
        <w:rPr>
          <w:rFonts w:ascii="Amiri" w:hAnsi="Amiri" w:eastAsia="Amiri" w:cs="Amiri"/>
          <w:color w:val="111111"/>
          <w:sz w:val="28"/>
          <w:sz w:val="28"/>
          <w:szCs w:val="28"/>
          <w:rtl w:val="true"/>
          <w:lang w:bidi="ar-SA"/>
        </w:rPr>
        <w:t>أخذه مستندا لنفسه مضافا إلى ما يأتي، كما استند إليه في المناهل، 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الإجماع المنقول حجّة ما لم يثبت المانع منه، و مجرّد استفادة الشهرة على خلافه من بعض </w:t>
      </w:r>
      <w:bookmarkStart w:id="191" w:name="pg16144_233082"/>
    </w:p>
    <w:p>
      <w:pPr>
        <w:pStyle w:val="BookText"/>
        <w:rPr/>
      </w:pPr>
      <w:bookmarkEnd w:id="191"/>
      <w:r>
        <w:rPr>
          <w:rFonts w:ascii="Amiri" w:hAnsi="Amiri" w:eastAsia="Amiri" w:cs="Amiri"/>
          <w:color w:val="111111"/>
          <w:sz w:val="28"/>
          <w:sz w:val="28"/>
          <w:szCs w:val="28"/>
          <w:rtl w:val="true"/>
          <w:lang w:bidi="ar-SA"/>
        </w:rPr>
        <w:t>الأصحاب لا يصلح له، خصوصا إذا قطعت أكثر الأصحاب بأنّ الشهرة 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مضافا إلى الشهرة مصير من لا يعتمد في الشرعيّات إلاّ على اليقين إليه</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 إنّما ذكر ذلك في دفع ما أورد على الإجماع المنقول بوهنه بمصير الأكثر، كما يستفاد من كلام بعض الأصحاب إلى خلافه، و بهما يدفع بمثل ما ذكره ما عن المعتبر</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المناقشة في الإجماع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إلى من يدّعي الإجماع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يدّعي الإجماع في محلّ الخلاف،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لا ينافي تحقّق الإجماع، لأنّ حجّيّته من باب الكشف عن قول الحجّة و ذلك ممكن مع الخلاف، فلو ادّعاه مدّع و كان ثقة وجب قبوله، و لا يخفى ما في هذه الكلمات، و تفصيله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804488_1280447820"/>
      <w:bookmarkStart w:id="193" w:name="_Toc75"/>
      <w:bookmarkEnd w:id="192"/>
      <w:r>
        <w:rPr>
          <w:rtl w:val="true"/>
        </w:rPr>
        <w:t>و ثانيها</w:t>
      </w:r>
      <w:r>
        <w:rPr>
          <w:rtl w:val="true"/>
        </w:rPr>
        <w:t>: [</w:t>
      </w:r>
      <w:r>
        <w:rPr>
          <w:rtl w:val="true"/>
        </w:rPr>
        <w:t>من أنّه ما كان ثلاثة أشبار طولا في عرض في عمق</w:t>
      </w:r>
      <w:r>
        <w:rPr>
          <w:rtl w:val="true"/>
        </w:rPr>
        <w:t>]</w:t>
      </w:r>
      <w:bookmarkEnd w:id="193"/>
    </w:p>
    <w:p>
      <w:pPr>
        <w:pStyle w:val="BookText"/>
        <w:rPr/>
      </w:pPr>
      <w:r>
        <w:rPr>
          <w:rFonts w:ascii="Amiri" w:hAnsi="Amiri" w:eastAsia="Amiri" w:cs="Amiri"/>
          <w:color w:val="111111"/>
          <w:sz w:val="28"/>
          <w:sz w:val="28"/>
          <w:szCs w:val="28"/>
          <w:rtl w:val="true"/>
          <w:lang w:bidi="ar-SA"/>
        </w:rPr>
        <w:t>ما حكاه في المختلف</w:t>
      </w:r>
      <w:r>
        <w:rPr>
          <w:rStyle w:val="FootnoteAnchor"/>
          <w:rtl w:val="true"/>
        </w:rPr>
        <w:footnoteReference w:id="578"/>
      </w:r>
      <w:r>
        <w:rPr>
          <w:rFonts w:ascii="Amiri" w:hAnsi="Amiri" w:eastAsia="Amiri" w:cs="Amiri"/>
          <w:color w:val="111111"/>
          <w:sz w:val="28"/>
          <w:sz w:val="28"/>
          <w:szCs w:val="28"/>
          <w:rtl w:val="true"/>
          <w:lang w:bidi="ar-SA"/>
        </w:rPr>
        <w:t>عن الصدوق و جماعة القمّيّين، و مال هو</w:t>
      </w:r>
      <w:r>
        <w:rPr>
          <w:rStyle w:val="FootnoteAnchor"/>
          <w:rtl w:val="true"/>
        </w:rPr>
        <w:footnoteReference w:id="579"/>
      </w:r>
      <w:r>
        <w:rPr>
          <w:rFonts w:ascii="Amiri" w:hAnsi="Amiri" w:eastAsia="Amiri" w:cs="Amiri"/>
          <w:color w:val="111111"/>
          <w:sz w:val="28"/>
          <w:sz w:val="28"/>
          <w:szCs w:val="28"/>
          <w:rtl w:val="true"/>
          <w:lang w:bidi="ar-SA"/>
        </w:rPr>
        <w:t>إليه حيث جعله أقوى، من أنّه ما كان ثلاثة أشبار طولا في عرض في عمق فخالفوا الأوّلين بإسقاط النصف عمّا حدّوه به، و عليه يكون مبلغ تكسيره سبعة و عشرين شبرا، و يظهر من ثاني الشهيدين</w:t>
      </w:r>
      <w:r>
        <w:rPr>
          <w:rStyle w:val="FootnoteAnchor"/>
          <w:rtl w:val="true"/>
        </w:rPr>
        <w:footnoteReference w:id="580"/>
      </w:r>
      <w:r>
        <w:rPr>
          <w:rFonts w:ascii="Amiri" w:hAnsi="Amiri" w:eastAsia="Amiri" w:cs="Amiri"/>
          <w:color w:val="111111"/>
          <w:sz w:val="28"/>
          <w:sz w:val="28"/>
          <w:szCs w:val="28"/>
          <w:rtl w:val="true"/>
          <w:lang w:bidi="ar-SA"/>
        </w:rPr>
        <w:t>الميل إليه، و نسبه في المناهل</w:t>
      </w:r>
      <w:r>
        <w:rPr>
          <w:rStyle w:val="FootnoteAnchor"/>
          <w:rtl w:val="true"/>
        </w:rPr>
        <w:footnoteReference w:id="581"/>
      </w:r>
      <w:r>
        <w:rPr>
          <w:rFonts w:ascii="Amiri" w:hAnsi="Amiri" w:eastAsia="Amiri" w:cs="Amiri"/>
          <w:color w:val="111111"/>
          <w:sz w:val="28"/>
          <w:sz w:val="28"/>
          <w:szCs w:val="28"/>
          <w:rtl w:val="true"/>
          <w:lang w:bidi="ar-SA"/>
        </w:rPr>
        <w:t>و غيره إلى المقدّس الأردبيلي</w:t>
      </w:r>
      <w:r>
        <w:rPr>
          <w:rStyle w:val="FootnoteAnchor"/>
          <w:rtl w:val="true"/>
        </w:rPr>
        <w:footnoteReference w:id="582"/>
      </w:r>
      <w:r>
        <w:rPr>
          <w:rFonts w:ascii="Amiri" w:hAnsi="Amiri" w:eastAsia="Amiri" w:cs="Amiri"/>
          <w:color w:val="111111"/>
          <w:sz w:val="28"/>
          <w:sz w:val="28"/>
          <w:szCs w:val="28"/>
          <w:rtl w:val="true"/>
          <w:lang w:bidi="ar-SA"/>
        </w:rPr>
        <w:t>و المحقّق في المعتبر</w:t>
      </w:r>
      <w:r>
        <w:rPr>
          <w:rStyle w:val="FootnoteAnchor"/>
          <w:rtl w:val="true"/>
        </w:rPr>
        <w:footnoteReference w:id="583"/>
      </w:r>
      <w:r>
        <w:rPr>
          <w:rFonts w:ascii="Amiri" w:hAnsi="Amiri" w:eastAsia="Amiri" w:cs="Amiri"/>
          <w:color w:val="111111"/>
          <w:sz w:val="28"/>
          <w:sz w:val="28"/>
          <w:szCs w:val="28"/>
          <w:rtl w:val="true"/>
          <w:lang w:bidi="ar-SA"/>
        </w:rPr>
        <w:t>، و عن المجلسيّين في الحديقة</w:t>
      </w:r>
      <w:r>
        <w:rPr>
          <w:rStyle w:val="FootnoteAnchor"/>
          <w:rtl w:val="true"/>
        </w:rPr>
        <w:footnoteReference w:id="584"/>
      </w:r>
      <w:r>
        <w:rPr>
          <w:rFonts w:ascii="IRNazanin" w:hAnsi="IRNazanin" w:eastAsia="IRNazanin"/>
          <w:color w:val="111111"/>
          <w:sz w:val="28"/>
          <w:sz w:val="28"/>
          <w:szCs w:val="28"/>
          <w:rtl w:val="true"/>
          <w:lang w:bidi="fa-IR"/>
        </w:rPr>
        <w:t>و البحار</w:t>
      </w:r>
      <w:r>
        <w:rPr>
          <w:rStyle w:val="FootnoteAnchor"/>
          <w:rtl w:val="true"/>
        </w:rPr>
        <w:footnoteReference w:id="585"/>
      </w:r>
      <w:r>
        <w:rPr>
          <w:rFonts w:ascii="Amiri" w:hAnsi="Amiri" w:eastAsia="Amiri" w:cs="Amiri"/>
          <w:color w:val="111111"/>
          <w:sz w:val="28"/>
          <w:sz w:val="28"/>
          <w:szCs w:val="28"/>
          <w:rtl w:val="true"/>
          <w:lang w:bidi="ar-SA"/>
        </w:rPr>
        <w:t>، و عن شيخنا البهائي و استاد الكلّ في حبل المتين</w:t>
      </w:r>
      <w:r>
        <w:rPr>
          <w:rStyle w:val="FootnoteAnchor"/>
          <w:rtl w:val="true"/>
        </w:rPr>
        <w:footnoteReference w:id="586"/>
      </w:r>
      <w:r>
        <w:rPr>
          <w:rFonts w:ascii="IRNazanin" w:hAnsi="IRNazanin" w:eastAsia="IRNazanin"/>
          <w:color w:val="111111"/>
          <w:sz w:val="28"/>
          <w:sz w:val="28"/>
          <w:szCs w:val="28"/>
          <w:rtl w:val="true"/>
          <w:lang w:bidi="fa-IR"/>
        </w:rPr>
        <w:t>و المشارق</w:t>
      </w:r>
      <w:r>
        <w:rPr>
          <w:rStyle w:val="FootnoteAnchor"/>
          <w:rtl w:val="true"/>
        </w:rPr>
        <w:footnoteReference w:id="587"/>
      </w:r>
      <w:r>
        <w:rPr>
          <w:rFonts w:ascii="Amiri" w:hAnsi="Amiri" w:eastAsia="Amiri" w:cs="Amiri"/>
          <w:color w:val="111111"/>
          <w:sz w:val="28"/>
          <w:sz w:val="28"/>
          <w:szCs w:val="28"/>
          <w:rtl w:val="true"/>
          <w:lang w:bidi="ar-SA"/>
        </w:rPr>
        <w:t>، و عن الشيخ عليّ في بعض حواشيه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1804490_1280447820"/>
      <w:bookmarkStart w:id="195" w:name="_Toc76"/>
      <w:bookmarkEnd w:id="194"/>
      <w:r>
        <w:rPr>
          <w:rtl w:val="true"/>
        </w:rPr>
        <w:t>و ثالثها</w:t>
      </w:r>
      <w:r>
        <w:rPr>
          <w:rtl w:val="true"/>
        </w:rPr>
        <w:t xml:space="preserve">: </w:t>
      </w:r>
      <w:r>
        <w:rPr>
          <w:rtl w:val="true"/>
        </w:rPr>
        <w:t>ما نسبه في المختلف إلى ابن الجنيد من أنّ حدّه قلّتان،</w:t>
      </w:r>
      <w:bookmarkEnd w:id="195"/>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في المختلف</w:t>
      </w:r>
      <w:r>
        <w:rPr>
          <w:rStyle w:val="FootnoteAnchor"/>
          <w:rtl w:val="true"/>
        </w:rPr>
        <w:footnoteReference w:id="589"/>
      </w:r>
      <w:r>
        <w:rPr>
          <w:rFonts w:ascii="Amiri" w:hAnsi="Amiri" w:eastAsia="Amiri" w:cs="Amiri"/>
          <w:color w:val="111111"/>
          <w:sz w:val="28"/>
          <w:sz w:val="28"/>
          <w:szCs w:val="28"/>
          <w:rtl w:val="true"/>
          <w:lang w:bidi="ar-SA"/>
        </w:rPr>
        <w:t>إلى ابن الجنيد من أنّ حدّه قلّتان،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مبلغه وزنا ألف و مائتا رطل، و تكسيره بالذرع نحو مائة شبر،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غريب، لأنّ اعتبار الأرطال يقارب قول القمّيّين، فيكون مجموع أشباره تكسيرا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عشرين شبرا</w:t>
      </w:r>
      <w:r>
        <w:rPr>
          <w:rFonts w:eastAsia="Amiri" w:cs="Amiri" w:ascii="Amiri" w:hAnsi="Amiri"/>
          <w:color w:val="111111"/>
          <w:sz w:val="28"/>
          <w:szCs w:val="28"/>
          <w:rtl w:val="true"/>
          <w:lang w:bidi="ar-SA"/>
        </w:rPr>
        <w:t xml:space="preserve">. </w:t>
      </w:r>
      <w:bookmarkStart w:id="196" w:name="pg16144_233083"/>
    </w:p>
    <w:p>
      <w:pPr>
        <w:pStyle w:val="Heading6"/>
        <w:numPr>
          <w:ilvl w:val="5"/>
          <w:numId w:val="1"/>
        </w:numPr>
        <w:rPr/>
      </w:pPr>
      <w:bookmarkStart w:id="197" w:name="__RefHeading___Toc1804492_1280447820"/>
      <w:bookmarkStart w:id="198" w:name="_Toc77"/>
      <w:bookmarkEnd w:id="196"/>
      <w:bookmarkEnd w:id="197"/>
      <w:r>
        <w:rPr>
          <w:rtl w:val="true"/>
        </w:rPr>
        <w:t>و رابعها</w:t>
      </w:r>
      <w:r>
        <w:rPr>
          <w:rtl w:val="true"/>
        </w:rPr>
        <w:t xml:space="preserve">: </w:t>
      </w:r>
      <w:r>
        <w:rPr>
          <w:rtl w:val="true"/>
        </w:rPr>
        <w:t>ما نسبه فيه إلى القطب الدين الراوندي من كون الكرّ عشرة أشبار و نصفا طولا و عرضا و عمقا،</w:t>
      </w:r>
      <w:bookmarkEnd w:id="198"/>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فيه</w:t>
      </w:r>
      <w:r>
        <w:rPr>
          <w:rStyle w:val="FootnoteAnchor"/>
          <w:rtl w:val="true"/>
        </w:rPr>
        <w:footnoteReference w:id="590"/>
      </w:r>
      <w:r>
        <w:rPr>
          <w:rFonts w:ascii="Amiri" w:hAnsi="Amiri" w:eastAsia="Amiri" w:cs="Amiri"/>
          <w:color w:val="111111"/>
          <w:sz w:val="28"/>
          <w:sz w:val="28"/>
          <w:szCs w:val="28"/>
          <w:rtl w:val="true"/>
          <w:lang w:bidi="ar-SA"/>
        </w:rPr>
        <w:t>إلى القطب الدين الراوندي</w:t>
      </w:r>
      <w:r>
        <w:rPr>
          <w:rStyle w:val="FootnoteAnchor"/>
          <w:rtl w:val="true"/>
        </w:rPr>
        <w:footnoteReference w:id="591"/>
      </w:r>
      <w:r>
        <w:rPr>
          <w:rFonts w:ascii="Amiri" w:hAnsi="Amiri" w:eastAsia="Amiri" w:cs="Amiri"/>
          <w:color w:val="111111"/>
          <w:sz w:val="28"/>
          <w:sz w:val="28"/>
          <w:szCs w:val="28"/>
          <w:rtl w:val="true"/>
          <w:lang w:bidi="ar-SA"/>
        </w:rPr>
        <w:t>من كون الكرّ عشرة أشبار و نصفا طولا و عرضا و عمقا،</w:t>
      </w:r>
    </w:p>
    <w:p>
      <w:pPr>
        <w:pStyle w:val="BookText"/>
        <w:rPr/>
      </w:pPr>
      <w:r>
        <w:rPr>
          <w:rFonts w:ascii="Amiri" w:hAnsi="Amiri" w:eastAsia="Amiri" w:cs="Amiri"/>
          <w:color w:val="111111"/>
          <w:sz w:val="28"/>
          <w:sz w:val="28"/>
          <w:szCs w:val="28"/>
          <w:rtl w:val="true"/>
          <w:lang w:bidi="ar-SA"/>
        </w:rPr>
        <w:t>و الظاهر أنّه لا مخالفة بينه و بين الأكثر في المستند، فإنّ كلاّ يستند إلى ما يقضي من الروايات، باعتبار كون كلّ من الأبعاد الثلاثة ثلاثة أشبار و نصف، إلاّ أنّ الخلاف في أنّ الأكثر يعتبرون تكسير هذه المقادير بطريق الضرب فيكون مبلغه اثنان و أربعون شبرا و سبعة أثمان شبر، و هو يعتبره بطريق الجمع فيكون مبلغه عشرة أشبار و نصفا، فعلى هذا لا مخالفة بينه و بينهم في المعنى فتأمّل</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804494_1280447820"/>
      <w:bookmarkStart w:id="200" w:name="_Toc78"/>
      <w:bookmarkEnd w:id="199"/>
      <w:r>
        <w:rPr>
          <w:rtl w:val="true"/>
        </w:rPr>
        <w:t>و خامسها</w:t>
      </w:r>
      <w:r>
        <w:rPr>
          <w:rtl w:val="true"/>
        </w:rPr>
        <w:t xml:space="preserve">: </w:t>
      </w:r>
      <w:r>
        <w:rPr>
          <w:rtl w:val="true"/>
        </w:rPr>
        <w:t>ما يظهر عن المدارك من أنّه ما بلغ ذراعين في عمقه، و ذراعا و شبرا سعته،</w:t>
      </w:r>
      <w:bookmarkEnd w:id="200"/>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أوضح ما وقفت عليه في هذه المسألة من الأخبار سندا و متنا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إذ معنى اعتبار الذراع و الشبر في السعة اعتبارهما في كلّ من البعدين، و يظهر من المصنّف رحمه اللّه في المعتبر</w:t>
      </w:r>
      <w:r>
        <w:rPr>
          <w:rStyle w:val="FootnoteAnchor"/>
          <w:rtl w:val="true"/>
        </w:rPr>
        <w:footnoteReference w:id="593"/>
      </w:r>
      <w:r>
        <w:rPr>
          <w:rFonts w:ascii="Amiri" w:hAnsi="Amiri" w:eastAsia="Amiri" w:cs="Amiri"/>
          <w:color w:val="111111"/>
          <w:sz w:val="28"/>
          <w:sz w:val="28"/>
          <w:szCs w:val="28"/>
          <w:rtl w:val="true"/>
          <w:lang w:bidi="ar-SA"/>
        </w:rPr>
        <w:t>الميل إلى العمل بهذه الرواية و هو متّجه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هاهنا أقوالا اخر شاذّة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منقول عن الشلمغاني</w:t>
      </w:r>
      <w:r>
        <w:rPr>
          <w:rStyle w:val="FootnoteAnchor"/>
          <w:rtl w:val="true"/>
        </w:rPr>
        <w:footnoteReference w:id="595"/>
      </w:r>
      <w:r>
        <w:rPr>
          <w:rFonts w:ascii="Amiri" w:hAnsi="Amiri" w:eastAsia="Amiri" w:cs="Amiri"/>
          <w:color w:val="111111"/>
          <w:sz w:val="28"/>
          <w:sz w:val="28"/>
          <w:szCs w:val="28"/>
          <w:rtl w:val="true"/>
          <w:lang w:bidi="ar-SA"/>
        </w:rPr>
        <w:t>من أنّه ما لا يتحرّك جنباه بطرح حجر في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ابن طاوس</w:t>
      </w:r>
      <w:r>
        <w:rPr>
          <w:rStyle w:val="FootnoteAnchor"/>
          <w:rtl w:val="true"/>
        </w:rPr>
        <w:footnoteReference w:id="596"/>
      </w:r>
      <w:r>
        <w:rPr>
          <w:rFonts w:ascii="Amiri" w:hAnsi="Amiri" w:eastAsia="Amiri" w:cs="Amiri"/>
          <w:color w:val="111111"/>
          <w:sz w:val="28"/>
          <w:sz w:val="28"/>
          <w:szCs w:val="28"/>
          <w:rtl w:val="true"/>
          <w:lang w:bidi="ar-SA"/>
        </w:rPr>
        <w:t>من الأخذ بكلّ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التوقّف، و هو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و شرح ابن مفلح الصيمري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الذخيرة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من مستند القول الأوّل نقلا و تحصيلا ما رواه الكليني عن محمّد ابن يحيى عن أحمد بن محمّد عن عثمان بن عيسى عن ابن مسكان عن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هكذا وجدناه في النسخة المصحّحة من الكافي مع أكثر كتب أصحابنا الفقهاء، و لكن في المختلف</w:t>
      </w:r>
      <w:r>
        <w:rPr>
          <w:rStyle w:val="FootnoteAnchor"/>
          <w:rtl w:val="true"/>
        </w:rPr>
        <w:footnoteReference w:id="602"/>
      </w:r>
      <w:r>
        <w:rPr>
          <w:rFonts w:ascii="Amiri" w:hAnsi="Amiri" w:eastAsia="Amiri" w:cs="Amiri"/>
          <w:color w:val="111111"/>
          <w:sz w:val="28"/>
          <w:sz w:val="28"/>
          <w:szCs w:val="28"/>
          <w:rtl w:val="true"/>
          <w:lang w:bidi="ar-SA"/>
        </w:rPr>
        <w:t>و المدارك</w:t>
      </w:r>
      <w:r>
        <w:rPr>
          <w:rStyle w:val="FootnoteAnchor"/>
          <w:rtl w:val="true"/>
        </w:rPr>
        <w:footnoteReference w:id="603"/>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 لعلّ المعنى يتفاوت بذلك في الجملة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يحكى</w:t>
      </w:r>
      <w:r>
        <w:rPr>
          <w:rStyle w:val="FootnoteAnchor"/>
          <w:rtl w:val="true"/>
        </w:rPr>
        <w:footnoteReference w:id="604"/>
      </w:r>
      <w:r>
        <w:rPr>
          <w:rFonts w:ascii="Amiri" w:hAnsi="Amiri" w:eastAsia="Amiri" w:cs="Amiri"/>
          <w:color w:val="111111"/>
          <w:sz w:val="28"/>
          <w:sz w:val="28"/>
          <w:szCs w:val="28"/>
          <w:rtl w:val="true"/>
          <w:lang w:bidi="ar-SA"/>
        </w:rPr>
        <w:t>عن أبي بصير رواية اخرى مصرّحة بذكر الأبعاد الثلاثة مرويّة في المهذّب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 نصفا في طوله و مثله ثلاثة أشبار و نصفا في عرضه و مثله ثلاثة أشبار و نصفا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هذا المذهب أيضا بما في الكافي عن محمّد بن يحيى عن أحمد بن محمّد عن ابن محبوب عن الحسن بن صالح الثوري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 نحوه ما في التهذيب</w:t>
      </w:r>
      <w:r>
        <w:rPr>
          <w:rStyle w:val="FootnoteAnchor"/>
          <w:rtl w:val="true"/>
        </w:rPr>
        <w:footnoteReference w:id="607"/>
      </w:r>
      <w:r>
        <w:rPr>
          <w:rFonts w:ascii="IRNazanin" w:hAnsi="IRNazanin" w:eastAsia="IRNazanin"/>
          <w:color w:val="111111"/>
          <w:sz w:val="28"/>
          <w:sz w:val="28"/>
          <w:szCs w:val="28"/>
          <w:rtl w:val="true"/>
          <w:lang w:bidi="fa-IR"/>
        </w:rPr>
        <w:t>و الاستبصار</w:t>
      </w:r>
      <w:r>
        <w:rPr>
          <w:rStyle w:val="FootnoteAnchor"/>
          <w:rtl w:val="true"/>
        </w:rPr>
        <w:footnoteReference w:id="608"/>
      </w:r>
      <w:r>
        <w:rPr>
          <w:rFonts w:ascii="Amiri" w:hAnsi="Amiri" w:eastAsia="Amiri" w:cs="Amiri"/>
          <w:color w:val="111111"/>
          <w:sz w:val="28"/>
          <w:sz w:val="28"/>
          <w:szCs w:val="28"/>
          <w:rtl w:val="true"/>
          <w:lang w:bidi="ar-SA"/>
        </w:rPr>
        <w:t xml:space="preserve">إلاّ في أنّه أضاف في الثاني إلى البعدين البعد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أشبار و نصف طولها، في ثلاث أشبار و نصف عمقها، في ثلاثة أشبار و نصف عرضها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أنّه سهو من الشيخ أو من الناسخين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هذا الخبر، من حيث منافاته لما صار إليه من عدم قبول البئر للانفعال مطلقا ما لم يتغيّر </w:t>
      </w:r>
    </w:p>
    <w:p>
      <w:pPr>
        <w:pStyle w:val="BookText"/>
        <w:rPr/>
      </w:pPr>
      <w:r>
        <w:rPr>
          <w:rFonts w:ascii="Amiri" w:hAnsi="Amiri" w:eastAsia="Amiri" w:cs="Amiri"/>
          <w:color w:val="111111"/>
          <w:sz w:val="28"/>
          <w:sz w:val="28"/>
          <w:szCs w:val="28"/>
          <w:rtl w:val="true"/>
          <w:lang w:bidi="ar-SA"/>
        </w:rPr>
        <w:t xml:space="preserve">أحد أوصافه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بالركي المصنع الّذي لا يكون له مادّة بالنبع دون الآبار الّتي لها مادّة، فإنّ ذلك هو الّذي يراعى فيه الاعتبار بالكرّ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ورد مورد التقيّة؛ لأنّ من الفقهاء من سوّى بين الآبار و الغدران في قلّتها و كثرتها، فيجوز أن يكون الخبر ورد موافقا لهم، و الّذي يبيّن ذلك أنّ الحسن بن صالح راوي هذا الحديث زيدي بتري متروك الحديث فيما يختصّ به</w:t>
      </w:r>
      <w:r>
        <w:rPr>
          <w:rStyle w:val="FootnoteAnchor"/>
          <w:rtl w:val="true"/>
        </w:rPr>
        <w:footnoteReference w:id="6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الوجه الأخير ما لا يخفى من البعد الواضح، إذ لو صحّ حكاية التقيّة لوجب التقدير بالقلّتين و نحوهما ممّا صار إليه العامّة في تقدير الكثير، دون الكرّ الّذي يختصّ التقدير به بالخاصّة خلافا للعامّة، و على أيّ حال كان فاعترض على الرواية الاولى بالطعن في سندها و دلالتها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أكثر في ذلك الطعن صاحب المدارك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ضعيفة السند بأحمد بن محمّد بن يحيى فإنّه مجهول، و عثمان بن عيسى فإنّه واقفي، و أبي بصير و هو مشترك بين الثقة و الضعيف،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بذلك المصنّف رحمه اللّه في المعتبر،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عيسى واقفي فروايته ساقطة</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العلاّمة أيضا في المختلف</w:t>
      </w:r>
      <w:r>
        <w:rPr>
          <w:rStyle w:val="FootnoteAnchor"/>
          <w:rtl w:val="true"/>
        </w:rPr>
        <w:footnoteReference w:id="611"/>
      </w:r>
      <w:r>
        <w:rPr>
          <w:rFonts w:ascii="IRNazanin" w:hAnsi="IRNazanin" w:eastAsia="IRNazanin"/>
          <w:color w:val="111111"/>
          <w:sz w:val="28"/>
          <w:sz w:val="28"/>
          <w:szCs w:val="28"/>
          <w:rtl w:val="true"/>
          <w:lang w:bidi="fa-IR"/>
        </w:rPr>
        <w:t>بمثل ما عرفت عن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خالية عن تحديد العمق، فلا يوافق مذهبهم في اعتبار كلّ من الأبعاد الثلاث على النهج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 ضعفها بالشهرة و الإجماع المنقول، و ممّن أشار إلى ذلك في الجملة العلاّمة في المنتهى،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عمل عليها أكثر الأصحاب، إلاّ أنّ في طريقها عثمان بن عيسى و هو واقفي، لكنّ الشهرة يعضدها</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الموجود في الكافي إنّما هو أحمد بن محمّد، و الظاهر أنّه ابن عيسى، خصوصا مع رواية محمّد بن يحيى العطّار عنه، و روايته عن عثمان بن عيسى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نقل عن التهذيب</w:t>
      </w:r>
      <w:r>
        <w:rPr>
          <w:rStyle w:val="FootnoteAnchor"/>
          <w:rtl w:val="true"/>
        </w:rPr>
        <w:footnoteReference w:id="613"/>
      </w:r>
      <w:r>
        <w:rPr>
          <w:rFonts w:ascii="Amiri" w:hAnsi="Amiri" w:eastAsia="Amiri" w:cs="Amiri"/>
          <w:color w:val="111111"/>
          <w:sz w:val="28"/>
          <w:sz w:val="28"/>
          <w:szCs w:val="28"/>
          <w:rtl w:val="true"/>
          <w:lang w:bidi="ar-SA"/>
        </w:rPr>
        <w:t xml:space="preserve">أنّه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من الناسخ أو أنّه تصحيف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أنّ العلاّمة</w:t>
      </w:r>
      <w:r>
        <w:rPr>
          <w:rStyle w:val="FootnoteAnchor"/>
          <w:rtl w:val="true"/>
        </w:rPr>
        <w:footnoteReference w:id="614"/>
      </w:r>
      <w:r>
        <w:rPr>
          <w:rFonts w:ascii="Amiri" w:hAnsi="Amiri" w:eastAsia="Amiri" w:cs="Amiri"/>
          <w:color w:val="111111"/>
          <w:sz w:val="28"/>
          <w:sz w:val="28"/>
          <w:szCs w:val="28"/>
          <w:rtl w:val="true"/>
          <w:lang w:bidi="ar-SA"/>
        </w:rPr>
        <w:t>و غيره لم يطعنوا في الرواية إلاّ بعثمان بن عيسى، و بعضهم بأبي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عثمان بن عيسى فعن الشيخ في العدّة</w:t>
      </w:r>
      <w:r>
        <w:rPr>
          <w:rStyle w:val="FootnoteAnchor"/>
          <w:rtl w:val="true"/>
        </w:rPr>
        <w:footnoteReference w:id="615"/>
      </w:r>
      <w:r>
        <w:rPr>
          <w:rFonts w:ascii="Amiri" w:hAnsi="Amiri" w:eastAsia="Amiri" w:cs="Amiri"/>
          <w:color w:val="111111"/>
          <w:sz w:val="28"/>
          <w:sz w:val="28"/>
          <w:szCs w:val="28"/>
          <w:rtl w:val="true"/>
          <w:lang w:bidi="ar-SA"/>
        </w:rPr>
        <w:t>أنّه نقل الإجماع على العمل بروايته، و عن الكشّي</w:t>
      </w:r>
      <w:r>
        <w:rPr>
          <w:rStyle w:val="FootnoteAnchor"/>
          <w:rtl w:val="true"/>
        </w:rPr>
        <w:footnoteReference w:id="6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بعضهم أنّه ممّن أجمعت الصحابة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نقل أنّه تاب و رجع من الوقف، على أنّ الظاهر أنّه ثقة مع وقفه فيكون الخبر موثّقا، و هو حجّة كما تبيّن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بصير فالظاهر أنّه ليث المرادي بقرينة رواية ابن مسكان عنه، فإنّ الظاهر أنّ المراد منه عبد اللّه و هو يروي عن ليث، مضافا إلى أنّ عبد اللّه من أصحاب الإجماع فلا يلتفت إلى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تنقيح حال عثمان، و لعلّه لمعلوميّة حال أبي بصير عند العلاّمة لم يطعن في سند الرواية في المنتهى</w:t>
      </w:r>
      <w:r>
        <w:rPr>
          <w:rStyle w:val="FootnoteAnchor"/>
          <w:rtl w:val="true"/>
        </w:rPr>
        <w:footnoteReference w:id="617"/>
      </w:r>
      <w:r>
        <w:rPr>
          <w:rFonts w:ascii="Amiri" w:hAnsi="Amiri" w:eastAsia="Amiri" w:cs="Amiri"/>
          <w:color w:val="111111"/>
          <w:sz w:val="28"/>
          <w:sz w:val="28"/>
          <w:szCs w:val="28"/>
          <w:rtl w:val="true"/>
          <w:lang w:bidi="ar-SA"/>
        </w:rPr>
        <w:t>إلاّ بعثمان بن عيسى، على أنّه ذكر الاستاذ الأكبر في حاشيته على المدارك</w:t>
      </w:r>
      <w:r>
        <w:rPr>
          <w:rStyle w:val="FootnoteAnchor"/>
          <w:rtl w:val="true"/>
        </w:rPr>
        <w:footnoteReference w:id="618"/>
      </w:r>
      <w:r>
        <w:rPr>
          <w:rFonts w:ascii="Amiri" w:hAnsi="Amiri" w:eastAsia="Amiri" w:cs="Amiri"/>
          <w:color w:val="111111"/>
          <w:sz w:val="28"/>
          <w:sz w:val="28"/>
          <w:szCs w:val="28"/>
          <w:rtl w:val="true"/>
          <w:lang w:bidi="ar-SA"/>
        </w:rPr>
        <w:t>أنّ أبا بصير مشترك بين ثلاثة كلّهم ثقات، و على كلّ حال فلا ينبغي الطعن في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بأنّ أحمد بن محمّد ليس إلاّ ابن عيسى، أبو جعفر شيخ القمّيّين و وجههم و فقيههم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المشتركات</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يروي عنه جماعة منهم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كونه شيخ القمّيّين، فينبغي أن يكون محمّد بن يحيى راويا عنه لأنّه قمّي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أحمد بن محمّد الّذي يروي عنه محمّد بن يحيى يذكره الكليني في السند مطلقا تارة و هو الأكثر، و مقيّدا بابن عيسى اخرى، فليحمل المطلق على المقيّد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المطلق ينصرف إلى فرده الشائع، و لا ريب أنّ ابن عيسى أشيع و أشهر من ابن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محمّد بن يحيى يكثر الرواية عن أحمد بن محمّد غاية الإكثار، كما يظهر بالتتبّع، و من البعيد في الغاية أن يكون الّذي يروي عنه مجهولا غير مذكور في الرجال، كيف و لم يوجد ممّن ذكر فيه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رجلان يروي عنهما التلعكبري،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 القمّي،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الفارسي المكنّى بأبي عليّ، و من الممتنع أن يكون محمّد بن يحيى راويا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ابنه،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أهل طبقة الأوّل، كما يشهد به رواية التلعكبري عنهما، فيكون متأخّرا عن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عن التعليقة</w:t>
      </w:r>
      <w:r>
        <w:rPr>
          <w:rStyle w:val="FootnoteAnchor"/>
          <w:rtl w:val="true"/>
        </w:rPr>
        <w:footnoteReference w:id="620"/>
      </w:r>
      <w:r>
        <w:rPr>
          <w:rFonts w:ascii="Amiri" w:hAnsi="Amiri" w:eastAsia="Amiri" w:cs="Amiri"/>
          <w:color w:val="111111"/>
          <w:sz w:val="28"/>
          <w:sz w:val="28"/>
          <w:szCs w:val="28"/>
          <w:rtl w:val="true"/>
          <w:lang w:bidi="ar-SA"/>
        </w:rPr>
        <w:t>من احتمال اتّحاده مع الأوّل بملاحظة رواية التلعكبري عنه مع ملاحظة الطبقة و الكنية، و إن كان ذلك بعيدا في الغاية، لما قيل</w:t>
      </w:r>
      <w:r>
        <w:rPr>
          <w:rStyle w:val="FootnoteAnchor"/>
          <w:rtl w:val="true"/>
        </w:rPr>
        <w:footnoteReference w:id="621"/>
      </w:r>
      <w:r>
        <w:rPr>
          <w:rFonts w:ascii="Amiri" w:hAnsi="Amiri" w:eastAsia="Amiri" w:cs="Amiri"/>
          <w:color w:val="111111"/>
          <w:sz w:val="28"/>
          <w:sz w:val="28"/>
          <w:szCs w:val="28"/>
          <w:rtl w:val="true"/>
          <w:lang w:bidi="ar-SA"/>
        </w:rPr>
        <w:t>في ترجمة الأوّل من أنّ التلعكبري سمع منه سنة ستّ و خمسين و ثلاثمائة، و له منه إجازة، و في ترجمة الثاني من أنّه سمع منه سنة ثمان و عشرين و ثلاثمائة و خرج إلى قزوين و ليس له منه إجازة، و من هنا ينبغي الجزم بابتناء ما في تهذيب الشيخ من التقييد بابن يحيى من الغلطيّة أو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أيضا إلى صدق مقالتنا ما عن التعليقة</w:t>
      </w:r>
      <w:r>
        <w:rPr>
          <w:rStyle w:val="FootnoteAnchor"/>
          <w:rtl w:val="true"/>
        </w:rPr>
        <w:footnoteReference w:id="622"/>
      </w:r>
      <w:r>
        <w:rPr>
          <w:rFonts w:ascii="Amiri" w:hAnsi="Amiri" w:eastAsia="Amiri" w:cs="Amiri"/>
          <w:color w:val="111111"/>
          <w:sz w:val="28"/>
          <w:sz w:val="28"/>
          <w:szCs w:val="28"/>
          <w:rtl w:val="true"/>
          <w:lang w:bidi="ar-SA"/>
        </w:rPr>
        <w:t>في ترجمة عثمان بن عيسى من إكثار الأجلاّء الثقات الرواية عنه، و عدّ منهم أحمد بن محمّد بن عيسى، و نحوه ما عن مشتركات</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عثمان بن عيسى فبعض ما تقدّم فيه من الامور الرافعة للقدح من جهته محلّ تأمّل عندنا، فإنّ الظاهر أنّ دعوى الإجماع عن الشيخ في العدّة</w:t>
      </w:r>
      <w:r>
        <w:rPr>
          <w:rStyle w:val="FootnoteAnchor"/>
          <w:rtl w:val="true"/>
        </w:rPr>
        <w:footnoteReference w:id="624"/>
      </w:r>
      <w:r>
        <w:rPr>
          <w:rFonts w:ascii="Amiri" w:hAnsi="Amiri" w:eastAsia="Amiri" w:cs="Amiri"/>
          <w:color w:val="111111"/>
          <w:sz w:val="28"/>
          <w:sz w:val="28"/>
          <w:szCs w:val="28"/>
          <w:rtl w:val="true"/>
          <w:lang w:bidi="ar-SA"/>
        </w:rPr>
        <w:t>على العمل برواياته سهو، إذ لم ينقل عن الشيخ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يعملون بأخباره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كما ترى لا يدلّ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نعم فيه نحو إشعار ربّما يمكن تأييد الأمارة الدالّة على الوثاقة به، أو أخذ المجموع منه و من نظائره المذكورة في المقام أمارة عليها، </w:t>
      </w:r>
    </w:p>
    <w:p>
      <w:pPr>
        <w:pStyle w:val="BookText"/>
        <w:rPr/>
      </w:pPr>
      <w:r>
        <w:rPr>
          <w:rFonts w:ascii="Amiri" w:hAnsi="Amiri" w:eastAsia="Amiri" w:cs="Amiri"/>
          <w:color w:val="111111"/>
          <w:sz w:val="28"/>
          <w:sz w:val="28"/>
          <w:szCs w:val="28"/>
          <w:rtl w:val="true"/>
          <w:lang w:bidi="ar-SA"/>
        </w:rPr>
        <w:t>و نحوه الكلام في دعوى رجوعه عن الوقف، إذ لم يوجد نقل ذلك في كلام أئمّة الرجال إلاّ ما في العبارة المحكيّة عن التعليقة</w:t>
      </w:r>
      <w:r>
        <w:rPr>
          <w:rStyle w:val="FootnoteAnchor"/>
          <w:rtl w:val="true"/>
        </w:rPr>
        <w:footnoteReference w:id="625"/>
      </w:r>
      <w:r>
        <w:rPr>
          <w:rFonts w:ascii="Amiri" w:hAnsi="Amiri" w:eastAsia="Amiri" w:cs="Amiri"/>
          <w:color w:val="111111"/>
          <w:sz w:val="28"/>
          <w:sz w:val="28"/>
          <w:szCs w:val="28"/>
          <w:rtl w:val="true"/>
          <w:lang w:bidi="ar-SA"/>
        </w:rPr>
        <w:t>من إشارة إجماليّة إلى كونه اثنى عشريّا، و لو صحّ ذلك لقضى بإنكار أصل الوقف لإبقائه عليه، و لو سلّم فلا يجدينا نفعا في تصحيح الرواية المبحوث عنها هنا إلاّ بعد ثبوت أنّه قد رواها حال استقامته و أيّ طريق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استفادة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فيه</w:t>
      </w:r>
      <w:r>
        <w:rPr>
          <w:rStyle w:val="FootnoteAnchor"/>
          <w:rtl w:val="true"/>
        </w:rPr>
        <w:footnoteReference w:id="626"/>
      </w:r>
      <w:r>
        <w:rPr>
          <w:rFonts w:ascii="Amiri" w:hAnsi="Amiri" w:eastAsia="Amiri" w:cs="Amiri"/>
          <w:color w:val="111111"/>
          <w:sz w:val="28"/>
          <w:sz w:val="28"/>
          <w:szCs w:val="28"/>
          <w:rtl w:val="true"/>
          <w:lang w:bidi="ar-SA"/>
        </w:rPr>
        <w:t>من كونه واحد الوكلاء المستبدّين بمال موسى بن جعفر عليه السّلام، فإنّه يقضي بكونه من الامناء و العدول عند الإمام عليه السّلام لعدم صلاحية غيرهم لمرتبة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يسلّم من ذلك كونه كذلك في زمن حياة الإمام و أمّا بعده فلا؛ لأنّ عروض الوقف له حينئذ ممّا يرفع العدالة بالمعنى الّذي اعتمد عليها الإمام، فلم يعلم منه أنّه قد روى الرواية حال تلك العدالة موجودة أو بعد زوالها،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العدالة بهذا المعنى لا ينافي وجودها بالمعنى المعتبر في مذهبه، غاية الأمر كون الرواية من جهته موثّقة و لا ضير فيه بعد قيام الدلالة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إلى هذا المعنى ما تقدّم الإشارة إليه عن محكيّ التعليقة</w:t>
      </w:r>
      <w:r>
        <w:rPr>
          <w:rStyle w:val="FootnoteAnchor"/>
          <w:rtl w:val="true"/>
        </w:rPr>
        <w:footnoteReference w:id="627"/>
      </w:r>
      <w:r>
        <w:rPr>
          <w:rFonts w:ascii="Amiri" w:hAnsi="Amiri" w:eastAsia="Amiri" w:cs="Amiri"/>
          <w:color w:val="111111"/>
          <w:sz w:val="28"/>
          <w:sz w:val="28"/>
          <w:szCs w:val="28"/>
          <w:rtl w:val="true"/>
          <w:lang w:bidi="ar-SA"/>
        </w:rPr>
        <w:t>من إكثار الأجلاّء الثقات الرواية عنه، و يقوّي ذلك بملاحظة ما في محكيّ التعليقة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نقف على أحد من فقهائنا السابقين تأمّل في روايته في موضع من المواضع، و يؤيّده كونه كثير الرواية و سديدها و مقبولها و أنّ أهل الرجال ربّما ينقلون عنه و يعتدّون بقوله</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يمكن المناقشة في السند من جهة ابن مسكان لاشتراكه بين أربعة، ليسوا ثقات بأجمعهم إلاّ اثنان منهم عبد اللّه بن مسكان و عمران بن مسكان، و أمّا الآخران و هما محمّد بن مسكان و حسين بن مسكان فقد صرّح فيهما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الغالب في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غيره مع احتماله إلاّ بقرينة صالحة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بصير فهو على ما في نقد الرجال</w:t>
      </w:r>
      <w:r>
        <w:rPr>
          <w:rStyle w:val="FootnoteAnchor"/>
          <w:rtl w:val="true"/>
        </w:rPr>
        <w:footnoteReference w:id="629"/>
      </w:r>
      <w:r>
        <w:rPr>
          <w:rFonts w:ascii="Amiri" w:hAnsi="Amiri" w:eastAsia="Amiri" w:cs="Amiri"/>
          <w:color w:val="111111"/>
          <w:sz w:val="28"/>
          <w:sz w:val="28"/>
          <w:szCs w:val="28"/>
          <w:rtl w:val="true"/>
          <w:lang w:bidi="ar-SA"/>
        </w:rPr>
        <w:t xml:space="preserve">كنية لأربعة، يحيى بن القاسم و ليث بن </w:t>
      </w:r>
    </w:p>
    <w:p>
      <w:pPr>
        <w:pStyle w:val="BookText"/>
        <w:rPr/>
      </w:pPr>
      <w:r>
        <w:rPr>
          <w:rFonts w:ascii="Amiri" w:hAnsi="Amiri" w:eastAsia="Amiri" w:cs="Amiri"/>
          <w:color w:val="111111"/>
          <w:sz w:val="28"/>
          <w:sz w:val="28"/>
          <w:szCs w:val="28"/>
          <w:rtl w:val="true"/>
          <w:lang w:bidi="ar-SA"/>
        </w:rPr>
        <w:t>البختري و عبد اللّه بن محمّد الأسدي و يوسف بن الحرث، إلاّ أنّ الإطلاق ينصرف إلى أحد الأوّلين لكونه فيهما أشهر، فلا يقدح ما في الأخير من التصريح بالضعف، و لا ما في سابقه من أنّه لم يذكر بمدح و لا قدح، و رواية ابن مسكان عنه ممّا يعيّن كونه الليث، لأنّه من يروي عنه جماعة منهم ابن مسكان فيكون ثقة جليلا، فلا يقدح اختلاف كلماتهم في يحيى بن القاسم، فيما بين ما يقضي بكونه الثقة، و ما يقضي بكونه غيره ممّن يرمى تارة بالوقف، و اخرى بفساد المذهب، و ثالثة بغيره من صفات الذمّ، فالسند حينئذ لا بأس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المناقشة في دلالة الرواية بمنع خلوّها عن تحديد العمق، بناء على ما في الكافي و الوسائل كما في كلام أكثر الأصحاب المتصدّين لذكر تلك الرواية في كتبهم الفقهيّة من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خبر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الظرف نعت أو حال له كما هو الأصحّ، بل الرواية حينئذ متكفّلة لتحديد كلّ واحد من الأبعاد الثلاث، أمّا تحديد واحد من العرض أو العمق</w:t>
      </w:r>
      <w:r>
        <w:rPr>
          <w:rStyle w:val="FootnoteAnchor"/>
          <w:rtl w:val="true"/>
        </w:rPr>
        <w:footnoteReference w:id="630"/>
      </w:r>
      <w:r>
        <w:rPr>
          <w:rFonts w:ascii="Amiri" w:hAnsi="Amiri" w:eastAsia="Amiri" w:cs="Amiri"/>
          <w:color w:val="111111"/>
          <w:sz w:val="28"/>
          <w:sz w:val="28"/>
          <w:szCs w:val="28"/>
          <w:rtl w:val="true"/>
          <w:lang w:bidi="ar-SA"/>
        </w:rPr>
        <w:t>فلصريح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ثلاثة أشبار و نصف</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و أمّا تحديد البعد الآخر منهما فلكونه مرادا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المماثلة بينه و بين الثلاثة و النصف ممّا لا يصدق إلاّ على تقدير المساواة في ذلك المقدار، و لا ينافيها الظرفيّة ضرورة أنّ البعدين ممّا يصدق على كلّ واحد منهما إذا تساويا أنّه كائن في مثله، أو حاصل فيه لانتشار كلّ في الآخر و لزومه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تحديد العمق،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حاصلا و كائنا فيه، على أن يكون عطفا على ما ذكر أوّلا، على حدّ الخبر بعد الخبر بإسقاط العاطف،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عبّر هاهنا بالعمق دون المثل إذ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اعتبر المماثلة بين البعدين الأوّلين، و عبّر عنها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البعد الآخر شيء آخر ليعتبر المماثلة بينهما أيضا و يعبّر عنها بالمثل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عطف فيما بين الخبرين بإسقاط العاطف لكونهما من جهة التداخل و انتشار كلّ في الآخر بمنزلة خبر واحد كما في المثال، و لا يصغى حينئذ إلى احتمال كون هذا المذكور بدلا عن المثل، و ليس في الكلام ما يساعد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البدليّة بنفسها على خلاف الأصل </w:t>
      </w:r>
    </w:p>
    <w:p>
      <w:pPr>
        <w:pStyle w:val="BookText"/>
        <w:rPr/>
      </w:pPr>
      <w:r>
        <w:rPr>
          <w:rFonts w:ascii="Amiri" w:hAnsi="Amiri" w:eastAsia="Amiri" w:cs="Amiri"/>
          <w:color w:val="111111"/>
          <w:sz w:val="28"/>
          <w:sz w:val="28"/>
          <w:szCs w:val="28"/>
          <w:rtl w:val="true"/>
          <w:lang w:bidi="ar-SA"/>
        </w:rPr>
        <w:t xml:space="preserve">لأولويّة الإفادة و ظهور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ذلك منشأ للشبهة، و توهّم عدم تماميّة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يقوّي هذا الاحتمال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الاولى منصوبا عطفا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 الاستبصار و كلام بعض الأصحاب كالمدارك و مختلف العلاّمة، نظرا إلى أنّ التفكيك بينه و بين ما ذكر في الفقرة الثانية بإيراده غير منصوب ربّما يدخل في الوهم كونه مجرورا عطفا على ثلاثة، و لا يكونان كذلك إلاّ إذا اعتبر كونهما تابعين لمثله المجرور على سبيل البدليّة، و حينئذ يتوجّه الإشكال من حيث قصور الرواية على هذا التوجيه عن إفادة تحديد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 الجرّ ليس بلازم حينئذ، بل يجوز الرفع فيهما عطفين على الفقرة الاولى، على طريقة العطف على المحلّ ليكونا خبرين أيضا، على حدّ الخبر بعد الخبر بإسقاط العاطف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ما في التهذيب و الاستبصار و غيرهما مبنيّا على سهو الناسخ أو تصرّف الشيخ و غيره، بجعل اللفظ المذكور منصوبا بتوهّم أنّ ما في الكافي وارد على خلاف القانون النحوي، نظرا إلى أنّ الشيخ إنّما أخذ الرواية فيهما عن الكافي بقرينة طريقه المشتمل على الكليني، و أمّا غيره كالعلاّمة و صاحب المدارك فقد أخذها منه بعد تطرّق التغيير المذكور، أو من الكافي فتصرّفا فيها مثل ما تصرّف فيها الشيخ، و إلاّ فأصل الرواية في الكافي قد وردت على ما حكيناه عنه، بشهادة ورود ما في كلام أكثر الأصحاب موافقا له مع تصريحاتهم بأخذ الرواية عنه، مضافا إلى ما في الوسائل المرويّ عن الكافي أيضا بقرينة الطريق المذكور فيه محمّد بن يعقوب عن محمّد بن يحيى إلى آخر 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ذكرناه في توجيه الاستدلال تبيّن لك امور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أن يجاب عن الإشكال</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الأخبار كلّها مشتركة في عدم عدّ الأبعاد الثلاثة بأجمعها، و لم نجد رادّا لها من هذه الجهة، بل ظاهر الأصحاب قديما و حديثا الاتّفاق على قبولها، و تقدير البعد الثالث فيها لدلالة سوق الكلام عليه، و كأنّ ذلك كان شائعا كثيرا في استعمالاتهم و جاريا دائما في محاوراتهم</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ما قيل</w:t>
      </w:r>
      <w:r>
        <w:rPr>
          <w:rStyle w:val="FootnoteAnchor"/>
          <w:rtl w:val="true"/>
        </w:rPr>
        <w:footnoteReference w:id="634"/>
      </w:r>
      <w:r>
        <w:rPr>
          <w:rFonts w:ascii="Amiri" w:hAnsi="Amiri" w:eastAsia="Amiri" w:cs="Amiri"/>
          <w:color w:val="111111"/>
          <w:sz w:val="28"/>
          <w:sz w:val="28"/>
          <w:szCs w:val="28"/>
          <w:rtl w:val="true"/>
          <w:lang w:bidi="ar-SA"/>
        </w:rPr>
        <w:t xml:space="preserve">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لما تقدّم في تقرير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بعدم تحديد العمق في الخبر لا وجه له، بل لو كان عدم تحديد فإنّما هو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بدل من مثله إذا كان حال العرض فيكون في عمقه كلاما منقطعا منها، فتأمّل، إلاّ أن يكون المراد في عمقه كذلك، و حينئذ يظهر تحديد العمق أيضا، فيكون التحديد للعرض دون العمق ممّا لا وجه له، بل الظاهر أنّ ثلاثة أشبار و نصف بدل من مثله، و في عمقه حال من مثله أو بدله أو نعت لهما، و حينئذ يكون العمق محدّدا و العرض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ما اعترض أيضا</w:t>
      </w:r>
      <w:r>
        <w:rPr>
          <w:rStyle w:val="FootnoteAnchor"/>
          <w:rtl w:val="true"/>
        </w:rPr>
        <w:footnoteReference w:id="635"/>
      </w:r>
      <w:r>
        <w:rPr>
          <w:rFonts w:ascii="Amiri" w:hAnsi="Amiri" w:eastAsia="Amiri" w:cs="Amiri"/>
          <w:color w:val="111111"/>
          <w:sz w:val="28"/>
          <w:sz w:val="28"/>
          <w:szCs w:val="28"/>
          <w:rtl w:val="true"/>
          <w:lang w:bidi="ar-SA"/>
        </w:rPr>
        <w:t>على دلالة الرواية بأنّه يجوز أن يكون المراد من ثلاثة أشبار الأوّل تحديد قطر الماء الّذي هو عبارة عن مجموع الطول و العرض، و الثاني تحديد عمقه، و حينئذ لم يكن اكتفاء في الكلام، و لم يتمّ استدلالهم بهذا الخبر على مطلوبهم، إذ لم يبلغ تكسير هذا القدر إلى ما اعتبروه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ما عن المحقّق البهبهاني في حاشية المدارك</w:t>
      </w:r>
      <w:r>
        <w:rPr>
          <w:rStyle w:val="FootnoteAnchor"/>
          <w:rtl w:val="true"/>
        </w:rPr>
        <w:footnoteReference w:id="636"/>
      </w:r>
      <w:r>
        <w:rPr>
          <w:rFonts w:ascii="Amiri" w:hAnsi="Amiri" w:eastAsia="Amiri" w:cs="Amiri"/>
          <w:color w:val="111111"/>
          <w:sz w:val="28"/>
          <w:sz w:val="28"/>
          <w:szCs w:val="28"/>
          <w:rtl w:val="true"/>
          <w:lang w:bidi="ar-SA"/>
        </w:rPr>
        <w:t>من أنّ في دلالتها على المشهور نظرا من حيث عدم اشتمالها على الأبعاد الثلاثة، و ليس هو من قبيل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 هذا الإطلاق و إرادة الضرب في الأبعاد الثلاثة، لوجود الفارق و هو عدم ذكر شيء من الأبعاد بالخصوص في المثال بخلاف الرواية حيث صرّح فيها ببعد العمق، فيكون البعد الآخر هو القطر و يكون ظاهرا في الدوري، و يؤيّده أنّ الكرّ مكيال العراق و المعهود منه الدوري، و كذا رواية ابن صالح الثوري</w:t>
      </w:r>
      <w:r>
        <w:rPr>
          <w:rStyle w:val="FootnoteAnchor"/>
          <w:rtl w:val="true"/>
        </w:rPr>
        <w:footnoteReference w:id="637"/>
      </w:r>
      <w:r>
        <w:rPr>
          <w:rFonts w:ascii="Amiri" w:hAnsi="Amiri" w:eastAsia="Amiri" w:cs="Amiri"/>
          <w:color w:val="111111"/>
          <w:sz w:val="28"/>
          <w:sz w:val="28"/>
          <w:szCs w:val="28"/>
          <w:rtl w:val="true"/>
          <w:lang w:bidi="ar-SA"/>
        </w:rPr>
        <w:t>الواردة في الركي؛ إذ لا قائل بتفاوت الكرّيّة، فيكون الحاصل منهما كون الكرّ ثلاثة و ثلاثين شبرا و نصفا و ثمنا و نصف ثمن، و لا قائل به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الافتقار إلى الاستدلال بالرواية المشار إليها حتّى يحتاج في تتميم دلالتها على المطلوب إلى تكلّف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بالعرض السعة فيشمل الطول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شاهد في مثل هذا المقام أنّ الطول أيضا كذلك، للاكتفاء في </w:t>
      </w:r>
    </w:p>
    <w:p>
      <w:pPr>
        <w:pStyle w:val="BookText"/>
        <w:rPr/>
      </w:pPr>
      <w:r>
        <w:rPr>
          <w:rFonts w:ascii="Amiri" w:hAnsi="Amiri" w:eastAsia="Amiri" w:cs="Amiri"/>
          <w:color w:val="111111"/>
          <w:sz w:val="28"/>
          <w:sz w:val="28"/>
          <w:szCs w:val="28"/>
          <w:rtl w:val="true"/>
          <w:lang w:bidi="ar-SA"/>
        </w:rPr>
        <w:t>المحاورات كثيرا في أمثال هذه المواضع بذكر البعض و إرادة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العرض بهذا الحدّ مستلزم لكون الطول أيضا كذلك إذ لو كان أقلّ منه لما كان طولا، و لو لزم زيادته على هذا الحدّ لكان الظاهر أن يشعر به، مع أنّ الزيادة عليه منتف البتّة لأنّ خلاف ابن الجنيد و الشلمغاني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المراد بالعرض القطر، بقرينة كون السؤال عن البئر و البئر مستديرة، حتّى يحتاج في التفصّي عنه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ما لا يعرفه إلاّ الخواصّ من علماء الهيئة، من ضرب نصف القطر و هو واحد و ثلاثة أرباع في نصف الدائرة و هو خمسة و ربع، لأنّ القطر ثلث الدائرة فيكون مجموع الدائرة عشرة و نصف؛ إذ المفروض أنّ القطر ثلاثة و نصف فيبلغ المرتفع حينئذ إلى ثلاثة و ثلاثين شبرا و نصفا و ثمنا و نصف ثمن تقريبا لا تحقيقا على ما توهّم، و ليس كذلك بل التحقيق بلوغه اثنين و ثلاثين و ثمنا و ربع ثمن، و لا ريب أنّ تنزيل الرواية على مثل ذلك ممّا يتّجه للأفهام المستقيمة، و كيف يخاطب بذلك الحكيم من هو معلوم له أنّه عن هذه المطالب بمعزل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يعترض عليها بمثل ما تقدّم عن الشيخ</w:t>
      </w:r>
      <w:r>
        <w:rPr>
          <w:rStyle w:val="FootnoteAnchor"/>
          <w:rtl w:val="true"/>
        </w:rPr>
        <w:footnoteReference w:id="638"/>
      </w:r>
      <w:r>
        <w:rPr>
          <w:rFonts w:ascii="Amiri" w:hAnsi="Amiri" w:eastAsia="Amiri" w:cs="Amiri"/>
          <w:color w:val="111111"/>
          <w:sz w:val="28"/>
          <w:sz w:val="28"/>
          <w:szCs w:val="28"/>
          <w:rtl w:val="true"/>
          <w:lang w:bidi="ar-SA"/>
        </w:rPr>
        <w:t>، فيحتاج في دفعه إلى ما ذكره الشيخ من حملها على التقيّة أو على المصنع الّذي ليس له مادّة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بدّ في دفع معارضة ذلك لما تقدّم من دليل المطلوب من الالتزام فيها بالتأويل بمثل بعض ما ذكر، أو الحكم عليها بالاطراح لمخالفتها الإجماع و عدم مصير أحد من الأصحاب إلى موجبها، بناء على انقطاع بعض ما تقدّم من الأقوال الشاذّة، مع عدم انطباق شيء منها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الكلام من البداية إلى هذا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المقطوع به هو القول المشهور بدلالة ما تقدّم من الرواية، و أنّ القدح فيها سندا أو دلالة ليس على ما ينبغي، بدلالة ما قدّمناه في دفع المناقشة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المتمّم لهذا المرام في دفع معارضة أدلّة الأقوال الاخر لتلك الرواية، فإنّ حجّة الصدوق و غيره من موافقيه من القمّيّين و غيرهم الرواية الواردة في الكافي و التهذيب و الاستبصار،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الماء الّذي لا ينجّسه </w:t>
      </w:r>
    </w:p>
    <w:p>
      <w:pPr>
        <w:pStyle w:val="BookText"/>
        <w:rPr/>
      </w:pPr>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 في ثلاثة أشبار</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مع اختلاف في أسانيدها حيث إنّ الشيخ رواها أوّلا في التهذيب</w:t>
      </w:r>
      <w:r>
        <w:rPr>
          <w:rStyle w:val="FootnoteAnchor"/>
          <w:rtl w:val="true"/>
        </w:rPr>
        <w:footnoteReference w:id="641"/>
      </w:r>
      <w:r>
        <w:rPr>
          <w:rFonts w:ascii="Amiri" w:hAnsi="Amiri" w:eastAsia="Amiri" w:cs="Amiri"/>
          <w:color w:val="111111"/>
          <w:sz w:val="28"/>
          <w:sz w:val="28"/>
          <w:szCs w:val="28"/>
          <w:rtl w:val="true"/>
          <w:lang w:bidi="ar-SA"/>
        </w:rPr>
        <w:t>عن شيخه المفيد رحمه اللّه عن أحمد بن محمّد عن أبيه عن سعد بن عبد اللّه عن أحمد بن محمّد عن محمّد بن خالد عن محمّد بن سنان عن إسماعيل بن جابر، ثمّ رواها عقيب ذلك بقليل</w:t>
      </w:r>
      <w:r>
        <w:rPr>
          <w:rStyle w:val="FootnoteAnchor"/>
          <w:rtl w:val="true"/>
        </w:rPr>
        <w:footnoteReference w:id="642"/>
      </w:r>
      <w:r>
        <w:rPr>
          <w:rFonts w:ascii="Amiri" w:hAnsi="Amiri" w:eastAsia="Amiri" w:cs="Amiri"/>
          <w:color w:val="111111"/>
          <w:sz w:val="28"/>
          <w:sz w:val="28"/>
          <w:szCs w:val="28"/>
          <w:rtl w:val="true"/>
          <w:lang w:bidi="ar-SA"/>
        </w:rPr>
        <w:t>بطريق آخر فيه عبد اللّه بن سنان بدل محمّد بن سنان، و مثله ما في الاستبصار</w:t>
      </w:r>
      <w:r>
        <w:rPr>
          <w:rStyle w:val="FootnoteAnchor"/>
          <w:rtl w:val="true"/>
        </w:rPr>
        <w:footnoteReference w:id="643"/>
      </w:r>
      <w:r>
        <w:rPr>
          <w:rFonts w:ascii="Amiri" w:hAnsi="Amiri" w:eastAsia="Amiri" w:cs="Amiri"/>
          <w:color w:val="111111"/>
          <w:sz w:val="28"/>
          <w:sz w:val="28"/>
          <w:szCs w:val="28"/>
          <w:rtl w:val="true"/>
          <w:lang w:bidi="ar-SA"/>
        </w:rPr>
        <w:t>، و قيل إنّ الأوّل صواب، و في الكافي</w:t>
      </w:r>
      <w:r>
        <w:rPr>
          <w:rStyle w:val="FootnoteAnchor"/>
          <w:rtl w:val="true"/>
        </w:rPr>
        <w:footnoteReference w:id="644"/>
      </w:r>
      <w:r>
        <w:rPr>
          <w:rFonts w:ascii="Amiri" w:hAnsi="Amiri" w:eastAsia="Amiri" w:cs="Amiri"/>
          <w:color w:val="111111"/>
          <w:sz w:val="28"/>
          <w:sz w:val="28"/>
          <w:szCs w:val="28"/>
          <w:rtl w:val="true"/>
          <w:lang w:bidi="ar-SA"/>
        </w:rPr>
        <w:t>رواها بطريق آخر موصوف بالصحّة، فيه البرقي عن ابن سنان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ذكروه في تلك الرواية أيضا من المناقشة فيها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في الطرق المذكورة من الاضطراب و الاختلاف في بعض رجاله حسبما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باعتبار عدم اشتمالها على تحديد جميع الأبعاد، و من النقوض و الإبرامات في دفع المناقشة المذكورة ممّا لا يخفى على المتتبّع و الناظر في كتب الأصحاب و لا يهمّنا التعرّض لإيراد جميع ما ذكروه في هذا الباب، بعد البناء على عدم الاستناد إلى تلك الرواية، بل المهمّ التعرّض لنفي صلوحها للمعارضة للرواية المتقدّمة الّتي أخذناها حجّة على المذهب المشهور الّذي صرنا إليه، إذ بدونه لا يتمّ الاحتجاج و لا ينقطع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توهّم المعارضة فيما بين الروايتين إمّا أن يكون بين منطوقيهما،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الرواية بمنطوقها يدلّ على انحصار الكرّيّة في ثلاثة أشبار و نصف، و الثانية تدلّ بمنطوقها على انحصارها في ثلاثة أشبار، فيرجع المعارضة إلى المعارضة فيما بين الزائد 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بين مفهوم كلّ و منطوق الاخرى،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تدلّ بمفهومها على نفي الكرّيّة عن أقلّ من ثلاثة أشبار و نصف كائنا ما كان، و الثانية تدلّ بمفهومها على نفيها عمّا عدا ثلاثة أشبار كائنا ما كان، و لا سبيل إلى شيء منهما، بل الرواية الاولى سليمة عن المعارض على كلّ تقدير، أو أنّ الرجحان في جانبها على فرض تسليم المعارضة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التقدير الأوّل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الثانية يحتمل فيها ممّا يوجب الوهن في دلالتها ما لا يحتمل في الاولى، من قوّة احتمال سقوط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عن متن الحديث بخلاف الاولى، إذ ليس فيها إلاّ احتمال زيادة تلك اللفظة و هو إمّا مقطوع بعدمه، أو أنّه </w:t>
      </w:r>
    </w:p>
    <w:p>
      <w:pPr>
        <w:pStyle w:val="BookText"/>
        <w:rPr/>
      </w:pPr>
      <w:r>
        <w:rPr>
          <w:rFonts w:ascii="Amiri" w:hAnsi="Amiri" w:eastAsia="Amiri" w:cs="Amiri"/>
          <w:color w:val="111111"/>
          <w:sz w:val="28"/>
          <w:sz w:val="28"/>
          <w:szCs w:val="28"/>
          <w:rtl w:val="true"/>
          <w:lang w:bidi="ar-SA"/>
        </w:rPr>
        <w:t>في غاية الضعف، فتندرج في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 عموم التعليل في رواية عمر بن حنظلة الواردة في علاج المتعارضين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بناء على أنّ الريب المنفيّ هنا هو الريب الإضافي، و أنّ العبرة في باب التراجيح إنّما هو بمطلق الوثوق و الاطمئنان، كما هو المحقّق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الاولى أظهر في إفادة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ورود الخطاب فيها بصورة الجملة الشرطيّة الظاهرة في السببيّة المنحصرة أو مطلق التلازم وجودا 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الثانية من حيث ورود الخطاب فيها بصورة القضيّة الحمليّة، الّتي يكون الأصل في حملها حمل المتعارفي الغير المفيد للحصر،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ورودها مورد التحديد و البيان شاهد حال بإرادة الحصر أيضا، إذ لولاه لما حصل الغرض فيكون الحمل فيها من باب المواطاة،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الحمل المتعارفي أيضا في ثبوت المطلوب، نظرا إلى أنّ النزاع في أنّ ثلاثة أشبار هل هو ممّا يصدق عليه عنوان الكرّيّة أو لا، و قضيّة الحمل المفروض هو الصدق،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ما فرض من التعارض إلى تعارض المطلق و المقيّد في موضع العلم بوحدة الحكم، فتندرجان في قاعدتهم المقرّرة المحكّمة من حمل المطلق على المقيّد، و قضيّة ذلك تعيّن العمل بالرواية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الثانية تتوهّن بمصير الأكثر بل المعظم إلى خلافها فتقوّى به الاولى و تضعّف الثانية، فيسقط عن رتبة الحجّيّة أو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الثاني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الرواية الاولى إنّما تدلّ على المطلب من جهة مفهوم الشرط، بخلاف الثانية إذ ليس فيها إلاّ تعليق الحكم بالعدد، و من المقرّر في محلّه أنّ مفهوم الشرط حجّة دون مفهوم العدد، فلا مفهوم للثانية ليكون معارضا لمنطوق الاولى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مفهوم الشرط أقوى من مفهوم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مطلقا أو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قرينة المقام من ورود الخطاب مقام التحديد و البيان، فيجب تقديمه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إرادة المفهوم من الثانية هنا لو قلنا بالمفهوم مطلقا و سلّمنا تساويه مع مفهوم الاولى، أو لا بدّ من حمل مفهومها على نفي الكرّيّة عن الأقلّ من ثلاثة أشبار صونا لها عن مخالفة الإجماع؛ ضرورة أنّ ما زاد على ذلك كرّ مع زيادة فكيف يعقل نفي الكرّيّة عنه، و معه ارتفع المعارضة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في الثانية بالنسبة إلى جانب الزيادة إنّما هو الكرّ بشرط لا، لا مطلق الكرّ، و لا ريب أنّه يصدق على ثلاثة أشبار و نصف على تقدير تحقّق الكرّيّة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الكرّ بشرط لا، أي الكرّ بشرط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ينافي مفاد منطوق الاولى كما لا يخفى، أنّ الالتزام بذلك التقييد مع عدم إشعار في الرواية به ليس بأولى من التزام عدم اعتبار المفهوم هنا بالمرّة، أو تخصيصه بجانب القلّة مع صلاحيّة منطوق الاولى مع انضمام الإجماع المشار إليه قرينة على هذا التصرّف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الاولى ممّا يعضده الشهرة و مصير المعظم إلى خلاف مفهوم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يحتجّ على قول القمّيّين بالأصل، و بالاحتياط، و بمقاربته للأرطال و لأكثر من راوية و الحبّ و القلّتين، المذكورات في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جميع ذلك من الخروج عن السداد، و الاعتماد في استنباط الحكم الشرعي على ما لا ينبغي عليه الاعتماد، فإنّ الأصل 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معارضان بمثليهما، ضرورة أنّ الأصل بقاء الحدث و الخبث فيما لو اريد التطهير بما دون ثلاثة أشبار و نصف الملاقي للنجاسة، و أنّ الاحتياط و استصحاب الاشتغال بمشروط بالمائيّة يقتضيان عدم الاكتفاء بذلك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يندفعان بعدم صلوحهما لإحراز الحكم الواقعي و لا الحكم الظاهري بعد قيام الدليل الاجتهادي السليم عن المعارض على خلافهما كما عرفت، و كما أنّهما لا يصلحان معارضين لدليل اجتهادي فكذلك لا يصلحان معاضدين له لو 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اريد بهما تأييد ما تقدّم من الرواية المقامة حجّة على هذا القول،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المنع إلى صلوح الأصل العملي معاضدا للدليل الاجتهادي كما قرّر في محلّه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بيانه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يعتبر في المتعارضين تواردهما على </w:t>
      </w:r>
    </w:p>
    <w:p>
      <w:pPr>
        <w:pStyle w:val="BookText"/>
        <w:rPr/>
      </w:pPr>
      <w:r>
        <w:rPr>
          <w:rFonts w:ascii="Amiri" w:hAnsi="Amiri" w:eastAsia="Amiri" w:cs="Amiri"/>
          <w:color w:val="111111"/>
          <w:sz w:val="28"/>
          <w:sz w:val="28"/>
          <w:szCs w:val="28"/>
          <w:rtl w:val="true"/>
          <w:lang w:bidi="ar-SA"/>
        </w:rPr>
        <w:t>موضوع واحد، فلأجل ذلك لا يقع المعارضة بين الأصل و الدليل لتعدّد موضوعيهما، فكذلك يعتبر في المتعاضدين كونهما واردين على موضوع واحد، و لا ريب أنّ موضوع الأصل يغاير موضوع الدليل فكيف يعقل معه كونه معاضدا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الاجتهادي الموافق للأصل إن صلح مخرجا للمورد عن موضوع الأصل فلا يشمله حكم الأصل حتّى يكون معاضدا لذلك الدليل، و إلاّ فالحكم منحصر في حكم الأصل فلا شيء معه حينئذ يكون معتضدا به، هذا كلّه إذا اريد بالأصل ما يرجع إلى استصحاب الطهارة، و أمّا لو اريد به قاعدة الطهارة المستفادة عن عمومات الأدلّة فهو و إن كان أصلا اجتهاديّا غير أنّ حكمه حكم الأصل العملي من حيث كونه دليلا تعليقيّا، فيكون اعتباره منوطا بموضع عدم قيام الدلالة على الخلاف، و المقام ليس منه لما عرفت من قيام الدلالة الشرعيّة السليمة عمّا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البواقي فهي على فرض تسليم موجبها و ما ادّعي فيها مقرّبات لا تجدي بنفسها نفعا في إثبات المطلب، و لا تقوية للدليل الموافق بعد رجحان الدليل المخالف عليه لذاته، أو بعد عدم معارضة بينهما في الحقيقة، بناء على كثير من الوجوه المتقدّمة في تقديم دليلنا على المطلب، الّذي مرجعه في الحقيقة إلى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منافاة المذكورات للمذهب المشهور، بناء على ما قيل من إمكان اختلافها في الصغر و الكبر على وجه يكون بعض أفرادها موافقا لذلك المذهب، و بعضها الآخر موافقا لمذهب القمّيّين، و الثالث مخالفا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هذه الروايات موهونة بمنافاتها حكمة الشارع، فإنّها لاختلاف أفرادها غاية الاختلاف ليس بجائز في حكمة الحكيم أن يجعلها مناطا لما يقصد بجعله إعطاء ضابط كلّي لا ينبغي في مثله الاختلاف و عدم الانضباط، و معه كيف تصلح لإثبات المطلب أو تأييد ما خرج عن كونه دليلا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في بعضها من قوّة احتمال الخروج مخرج التقيّة، مع كون ظواهر جميعها معرضا عنها الأصحاب، مع توجّه المنع إلى دعوى كون التحديد بالأرطال وزنا مقاربا للتحديد بثلاثة أشبار، بل إنّما هو يقرب بناء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رجّحه صاحب المدارك استنادا إلى صحيحة إسماعيل بن جابر المتقدّم بيانها، الآتي </w:t>
      </w:r>
    </w:p>
    <w:p>
      <w:pPr>
        <w:pStyle w:val="BookText"/>
        <w:rPr/>
      </w:pPr>
      <w:r>
        <w:rPr>
          <w:rFonts w:ascii="Amiri" w:hAnsi="Amiri" w:eastAsia="Amiri" w:cs="Amiri"/>
          <w:color w:val="111111"/>
          <w:sz w:val="28"/>
          <w:sz w:val="28"/>
          <w:szCs w:val="28"/>
          <w:rtl w:val="true"/>
          <w:lang w:bidi="ar-SA"/>
        </w:rPr>
        <w:t>بعض الكلام فيها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الأقوال فقد عرفت 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الجنيد و لم نقف له على مستند، كما اعترف به غير واحد من فحول أصحابنا، مع ما فيه من شذوذه و مخالفته الشهرة العظيمة القريبة من الإجماع بل الإجماع في الحقيقة، حيث لا موافق له منهم مع ما قيل فيه من أنّه ما أبعد بين ما ذهب إليه باعتبار المساحة و ما ذهب إليه في الوزن من اعتبار بلوغه القلّتين مع كون مبلغ تكسيره ألفا و مائتي رطل، و قد تقدّم عن العلاّمة في المختلف</w:t>
      </w:r>
      <w:r>
        <w:rPr>
          <w:rStyle w:val="FootnoteAnchor"/>
          <w:rtl w:val="true"/>
        </w:rPr>
        <w:footnoteReference w:id="647"/>
      </w:r>
      <w:r>
        <w:rPr>
          <w:rFonts w:ascii="Amiri" w:hAnsi="Amiri" w:eastAsia="Amiri" w:cs="Amiri"/>
          <w:color w:val="111111"/>
          <w:sz w:val="28"/>
          <w:sz w:val="28"/>
          <w:szCs w:val="28"/>
          <w:rtl w:val="true"/>
          <w:lang w:bidi="ar-SA"/>
        </w:rPr>
        <w:t>ما يقرب من هذا الكلام على هذا القول، و بالجملة فهو ممّا ينبغي الجزم بسقوطه، و عدم كونه ممّا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الراوندي و لم نقف له أيضا على مستند، نعم في جواهر شيخنا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مستنده دليل المشهور من رواية أبي بصير و نحوها، إلاّ أنّه فهم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للظرفيّة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عشرة و نصفا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و هو كما ترى، فإن أراد ببلوغه إليه بلوغه بطريقة الضرب فإنّما يبلغ اثنى عشر و ربعا، و إن أراد به بلوغه بطريقة الجمع فإنّما يبلغ سبعة، و على التقديرين لا ينطبق المذكور على هذا القول، بل الوجه في هذا القول 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كلامه على أنّه فهم ممّا حدّ الكرّ بثلاثة أشبار و نصف في كلّ من أبعاده الثلاث من الأخبار أو فتاوى الأخيار إرادة اعتبار الجمع فيما بين بعض هذه الحدود مع بعض آخر، خلافا للمشهور في فهم إرادة ضرب بعض في بعض، و مثل هذا الاشتباه يتّفق كثيرا للإنسان، كما رأيناه و سمعناه عن بعض أهل عصرنا من تلامذتنا المتردّدين إلينا، حيث إنّه فهم عمّا حدّده المشهور طريق الجمع، على وجه سبقت إليه من أجل ذلك شبهة أتعبتنا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ينبّه على صدق ما فهمناه ظاهر سياق كلام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ذكر احتجاجات القولين الأوّلين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الأشبار يراد ضرب الحساب فيها، فيكون حدّ الكرّ تكسيرا اثنين و أربعين شبرا و سبعة أثمان شبر، و قال القطب ليس المراد ذلك بل يكون الكرّ عشرة أشبار و نصفا طولا و عرضا و عمقا</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اشتباه في فهم المراد بالتحديد بثلاثة </w:t>
      </w:r>
    </w:p>
    <w:p>
      <w:pPr>
        <w:pStyle w:val="BookText"/>
        <w:rPr/>
      </w:pPr>
      <w:r>
        <w:rPr>
          <w:rFonts w:ascii="Amiri" w:hAnsi="Amiri" w:eastAsia="Amiri" w:cs="Amiri"/>
          <w:color w:val="111111"/>
          <w:sz w:val="28"/>
          <w:sz w:val="28"/>
          <w:szCs w:val="28"/>
          <w:rtl w:val="true"/>
          <w:lang w:bidi="ar-SA"/>
        </w:rPr>
        <w:t>أشبار و نصف طولا، في ثلاثة أشبار و نصف عرضا، في ثلاثة أشبار و نصف عمقا، فزعمه أنّه لبيان ما يعتبر تكسيره بطريق الجمع، فلذا عبّر عمّا يحصل بالتكسير بعشرة أشبار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حينئذ يخالف المشهور في المقدار الواقعي بالكلّيّة أو يوافقه بالكلّيّة أو يخالفه في بعض الفروض و يوافقه في البعض الآخر؟ وجوه، من أنّ المراد به بلوغ المجموع من الأعداد المذكورة ذهنا و خارجا هذا المبلغ، على معنى كون ذلك مبلغا لنفس المعدود الموجود في متن الخارج، فيراد بالعشرة و النصف المبلغ من الماء الموجود في الخارج الّذي لو قسّم على كلّ واحد من الأبعاد على نحو السويّة لأخذ منه كلّ واحد ثلاثة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به ما لو فرض كون كلّ من هذه المقادير الثلاث مفصولا عن الآخر في نظر الحسّ لكان المجموع منها عشرة و نصفا، كما أنّه لو اعتبرنا الجمع بين ثلاثة أعداد متفاصلة في الخارج مقدار كلّ ثلاثة و نصف كان الحاصل عشرة و نصفا حتّى يكون ذلك مبلغا حقيقيّا للأعداد على فرض انفصال كلّ عن الآخر دون المعدود الّذي هو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به بلوغ هذه المقادير حال اتّصالها و تداخل بعضها في البعض المبلغ المذكور، و إن لزم التكرار في جملة من الفروض و دخول طائفة منها في الحساب مرّات عديدة من جهة ما فيها من التداخل و الاتّصال، كما في الحدّ المشترك بين كلّ بعدين بداية و نهاية، فإنّه لو جمع حينئذ أحدهما مع الآخر لدخل ذلك الحدّ المشترك في الحساب مرّتين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المذهب مخالفا للمشهور كلّيّا، و من فروض مقدّره حينئذ ما لو كان طول الماء عشرة أشبار و نصفا، و كلّ من عرضه و عمقه شبرا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طوله خمسة أشبار و ربعا، و كلّ من عرضه و عمقه شبرين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طوله واحدا و عشرين شبرا، و كلّ من عرضه و عمقه نصف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عرضه شبرين و نصفا و ثمن شبر، و كلّ من طوله و عمقه أربعة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كلّ من طوله و عرضه أربعة أشبار، و عمقه شبرين و نصفا و ثمن شبر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طوله تسعة أشبار، و عرضه شبرا، و عمقه نصف شبر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الطول ثمانية أشبار، و العرض شبرا و نصفه، و العمق شبرا و هكذا إلى آخر ما يمكن فرضه، و لا يذهب عليك أنّ اختلاف هذه الفروض ليس اختلافا في مقدار الماء، بل هو اختلاف يحصل في أوضاعه و أشكاله على حسبما يفرض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موافقا له كلّيّا فلا اختلاف بينهما حينئذ في المعنى، بل هو اختلاف في اللفظ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يوافقه و قد يخالفه، و قد يقرب منه و قد يبعد منه، و 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كالمشهور كما إذا كان كلّ من أبعاده الثلاثة ثلاثة و نصفا، و قد يقرب منه كما لو فرض طوله ثلاثة أشبار و عرضه ثلاثة و عمقه أربعة و نصفا، فإنّ مساحته حينئذ أربعون شبرا و نصف، و قد يبعد منه جدّا كما لو فرض طوله ستّة و عرضه أربعة و عمقه نصف شبر، فإنّ مساحته اثنا عشر شبرا، و أبعد منه ما لو فرض طوله تسعة أشبار و عرضه شبرا واحدا و عمقه نصف شبر، فعلى كلامه يكون مثل ذلك كرّا و إن كان تبلغ مساحته على تقدير الضرب أربعة أشبار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 ينقدح أنّه لم يتبيّن مخالفته للمشهور، فإن رجع دعواه إلى ما يوافقه كلّيّا كما يرشد إليه أنّهم لم يذكروه مخالفا للمعظم، و إنّما ذكره في المختلف</w:t>
      </w:r>
      <w:r>
        <w:rPr>
          <w:rStyle w:val="FootnoteAnchor"/>
          <w:rtl w:val="true"/>
        </w:rPr>
        <w:footnoteReference w:id="651"/>
      </w:r>
      <w:r>
        <w:rPr>
          <w:rFonts w:ascii="Amiri" w:hAnsi="Amiri" w:eastAsia="Amiri" w:cs="Amiri"/>
          <w:color w:val="111111"/>
          <w:sz w:val="28"/>
          <w:sz w:val="28"/>
          <w:szCs w:val="28"/>
          <w:rtl w:val="true"/>
          <w:lang w:bidi="ar-SA"/>
        </w:rPr>
        <w:t>و غيره في فروع التحديد بثلاثة أشبار و نصف و أنّ المعظم يعتبرون في الأبعاد الضرب و هو لا يعتبره، لا أنّه يعتبر عدمه و إلاّ فيردّه ظاهر الأخبار و صريح فتاوي الأخيار من اعتبار الضرب في تقدير الكرّ، مضافا إلى أنّه لو بنى على ما فهمه لكان منافيا لحكمة الحكيم، من حيث إنّه أناط الكرّيّة العاصمة للماء عن الانفعال بما يختلف أفراده اختلافا شديدا، و ما لا يستقرّ على شيء و لا ينضبط في حدّ، فيكون التحديد الّذي تعرّض له الشارع و احتاج إليه المحتاجون من المكلّفين و السائلون عن الأئمة المعصومين عليهم السّلام بمنزلة عدمه و هو كما ترى نقض للغرض و تعمية للمكلّف، و إرشاد له إلى ما يعسر معرفته على التعيين، بل ما يتعذّر تعيينه على وجه يرتفع به الحاجة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عن صاحب المدارك</w:t>
      </w:r>
      <w:r>
        <w:rPr>
          <w:rStyle w:val="FootnoteAnchor"/>
          <w:rtl w:val="true"/>
        </w:rPr>
        <w:footnoteReference w:id="652"/>
      </w:r>
      <w:r>
        <w:rPr>
          <w:rFonts w:ascii="Amiri" w:hAnsi="Amiri" w:eastAsia="Amiri" w:cs="Amiri"/>
          <w:color w:val="111111"/>
          <w:sz w:val="28"/>
          <w:sz w:val="28"/>
          <w:szCs w:val="28"/>
          <w:rtl w:val="true"/>
          <w:lang w:bidi="ar-SA"/>
        </w:rPr>
        <w:t>مع مستنده، و هو صحيحة إسماعيل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ذراعان عمقه في </w:t>
      </w:r>
    </w:p>
    <w:p>
      <w:pPr>
        <w:pStyle w:val="BookText"/>
        <w:rPr/>
      </w:pPr>
      <w:r>
        <w:rPr>
          <w:rFonts w:ascii="IRNazanin" w:hAnsi="IRNazanin" w:eastAsia="IRNazanin"/>
          <w:color w:val="111111"/>
          <w:sz w:val="28"/>
          <w:sz w:val="28"/>
          <w:szCs w:val="28"/>
          <w:rtl w:val="true"/>
          <w:lang w:bidi="fa-IR"/>
        </w:rPr>
        <w:t>ذراع و شبر سعته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تكسيره يبلغ إلى ستّة و ثلاثين شبرا، لأنّ المراد بالذراع القدمان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أخبار المواقيت</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القدم شبر، و قد صرّح هو بأنّ المراد بالسعة كلّ من جهتي الطول و العرض، فيكون كلّ منهما ذراعا و شبرا فيضرب الثلاثة في مثله يبلغ المرتفع تسعة، ثمّ يضرب في أربعة فيبلغ المقدار المذكور، و الخطب في ذلك بعد خروجه على خلاف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 لأنّه يتوهّن بذلك، و إن كان صحيحا بل في أعلى مرتبة الصحّة، و العجب عنه كيف استوجه العمل به، و المشهور منه استشكاله في العمل بالصحيح إذا خالف عمل الأصحاب، مع أنّه قابل للتأويل و إرجاعه إلى ما لا يخالف المشهور إلاّ يسيرا،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تأوّلها الشيخ على احتمال بلوغ الأرطال، و هو حسن لأنّه لم يعتبر أحد من أصحابنا هذا المقدار</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الفاضل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تعليقاته على شرح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اعتبرنا الكرّ وزنا و مساحة في المدينة المنوّرة فوجدنا رواية ألف و مائتا رطل مع الحمل على العراقي قريبة غاية القرب من هذه الصحيحة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اعتباره بناء على ما ذكره يرجع إلى سبع و عشرين شبرا</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و قضيّة ذلك انطباق الصحيحة على ما تقدّم من رواية استند إليها القمّيّون، و هو كما ترى استظهار في غير محلّه، و كأنّه و هم نشأ عمّا سبق الإشارة إليه في تحديد الكرّ وزنا من احتجاج بعضهم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على العراقي بأنّه المناسب لرواية ثلاثة أشبار الصحيحة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توهّم فاسد، بل هذه الرواية إمّا توافق مذهب المشهور أو تخالفه و مذهب القمّيّين معا، كما أشار إليه المحقّق الخوانساري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الذراع إن كان شبرين كما في بعض الأفراد فحينئذ لا ينطبق على شيء منهما، بل هو أمر متوسّط </w:t>
      </w:r>
    </w:p>
    <w:p>
      <w:pPr>
        <w:pStyle w:val="BookText"/>
        <w:rPr/>
      </w:pPr>
      <w:r>
        <w:rPr>
          <w:rFonts w:ascii="Amiri" w:hAnsi="Amiri" w:eastAsia="Amiri" w:cs="Amiri"/>
          <w:color w:val="111111"/>
          <w:sz w:val="28"/>
          <w:sz w:val="28"/>
          <w:szCs w:val="28"/>
          <w:rtl w:val="true"/>
          <w:lang w:bidi="ar-SA"/>
        </w:rPr>
        <w:t>بينهما إذ تكسيره يبلغ ستّة و ثلاثين، و إن كان أزيد منهما كما في البعض الآخر فيمكن أن ينطبق على المذهب المشهور، و إن لم ينطبق فيقاربه جدّا، و على أيّ حال يكون أقرب إلى المشهور منه إلى القول الثاني</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يؤيّد كونه مخالفا للقولين أنّ صاحب المدارك</w:t>
      </w:r>
      <w:r>
        <w:rPr>
          <w:rStyle w:val="FootnoteAnchor"/>
          <w:rtl w:val="true"/>
        </w:rPr>
        <w:footnoteReference w:id="659"/>
      </w:r>
      <w:r>
        <w:rPr>
          <w:rFonts w:ascii="Amiri" w:hAnsi="Amiri" w:eastAsia="Amiri" w:cs="Amiri"/>
          <w:color w:val="111111"/>
          <w:sz w:val="28"/>
          <w:sz w:val="28"/>
          <w:szCs w:val="28"/>
          <w:rtl w:val="true"/>
          <w:lang w:bidi="ar-SA"/>
        </w:rPr>
        <w:t>اعتمد عليه مع عدم اختياره بشيء منهما، و لو صحّ ما توهّم فيدفعها ما دفعها حسبما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عن الشلمغاني</w:t>
      </w:r>
      <w:r>
        <w:rPr>
          <w:rStyle w:val="FootnoteAnchor"/>
          <w:rtl w:val="true"/>
        </w:rPr>
        <w:footnoteReference w:id="660"/>
      </w:r>
      <w:r>
        <w:rPr>
          <w:rFonts w:ascii="Amiri" w:hAnsi="Amiri" w:eastAsia="Amiri" w:cs="Amiri"/>
          <w:color w:val="111111"/>
          <w:sz w:val="28"/>
          <w:sz w:val="28"/>
          <w:szCs w:val="28"/>
          <w:rtl w:val="true"/>
          <w:lang w:bidi="ar-SA"/>
        </w:rPr>
        <w:t xml:space="preserve">، و مستنده على ما ذكره بعضهم الرضوى،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غدير فيه الماء أكثر من كرّ لا ينجّسه ما يقع فيه من النجاسات، و العلامة في ذلك أن يؤخذ الحجر فيرمى به في وسط الماء، فإن بلغت أمواجه من الحجر جنبي الغدير فهو دون الكرّ، و إن لم يبلغ فهو كرّ لا ينجّسه شيء</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 هو كما ترى أضعف الأقوال و مستنده أضعف الأدلّة، و يكفي في ذلك موافقته لمذهب أبي حنيفة على ما تقدّم بيانه في صدر باب الكثير، فيقوى فيه احتمال وروده مورد التقيّة بعد سلامة السند عن المناقشة، و مع الغضّ عن ذلك فإعراض الأصحاب عن العمل به ممّا يسقطه عن درجة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عن ابن طاوس</w:t>
      </w:r>
      <w:r>
        <w:rPr>
          <w:rStyle w:val="FootnoteAnchor"/>
          <w:rtl w:val="true"/>
        </w:rPr>
        <w:footnoteReference w:id="662"/>
      </w:r>
      <w:r>
        <w:rPr>
          <w:rFonts w:ascii="Amiri" w:hAnsi="Amiri" w:eastAsia="Amiri" w:cs="Amiri"/>
          <w:color w:val="111111"/>
          <w:sz w:val="28"/>
          <w:sz w:val="28"/>
          <w:szCs w:val="28"/>
          <w:rtl w:val="true"/>
          <w:lang w:bidi="ar-SA"/>
        </w:rPr>
        <w:t>من العمل بكلّ ما روى، و مستنده على ما قيل اختلاف روايات الباب،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مرجعه إلى العمل بقول القمّيّين وجوبا مع استحباب الزائد الّذي عليه المشهور،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مصيره في مسألة التخيير بين الأقلّ و الأكثر إلى وجوب الأقلّ و استحباب الأكثر، كما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صاحب المدارك الميل إليه، كما نبّه عليه عند حكاية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يحمل الزائد على الندب و هو في غاية القوّة لكن بعد صحّة المستند</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الحقّ في مسألة التخيير بين الأقلّ و الأكثر وجوب الزائد و الناقص معا، أنّ التخيير إن اريد به ما يكون في المكلّف به نظير ما هو الحال في خصال الكفّارة فهو فرع الدلالة، لأنّه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منتفية على الفرض، و إن اريد به ما يكون في الإسناد على قياس ما هو الحال في الأدلّة المتعارضة فهو فرع </w:t>
      </w:r>
    </w:p>
    <w:p>
      <w:pPr>
        <w:pStyle w:val="BookText"/>
        <w:rPr/>
      </w:pPr>
      <w:r>
        <w:rPr>
          <w:rFonts w:ascii="Amiri" w:hAnsi="Amiri" w:eastAsia="Amiri" w:cs="Amiri"/>
          <w:color w:val="111111"/>
          <w:sz w:val="28"/>
          <w:sz w:val="28"/>
          <w:szCs w:val="28"/>
          <w:rtl w:val="true"/>
          <w:lang w:bidi="ar-SA"/>
        </w:rPr>
        <w:t>التكافؤ و فقد المرجّح و عدم إمكان العمل، و قد عرفت في تتميم دليل المشهور المنع عن جميع ذلك، فإنّ أقلّ المراتب في ذلك قيام المرجّح من جهات شتّى من الداخليّة و الخارجيّة و هو كاف في علاج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يعلم أنّ هذا المذهب من المعظم مع مصيرهم في تحديد الكرّ إلى ما تقدّم، إنّما يستقيم إذا لم يحصل بين الحدّين تفاوت بحسب المقدار و لو يسيرا،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توهّمه غير واحد، حتّى أنّ منهم من يدّعي في ذلك دوام كون الوزن أقلّ، كبعض مشايخنا</w:t>
      </w:r>
      <w:r>
        <w:rPr>
          <w:rStyle w:val="FootnoteAnchor"/>
          <w:rtl w:val="true"/>
        </w:rPr>
        <w:footnoteReference w:id="664"/>
      </w:r>
      <w:r>
        <w:rPr>
          <w:rFonts w:ascii="Amiri" w:hAnsi="Amiri" w:eastAsia="Amiri" w:cs="Amiri"/>
          <w:color w:val="111111"/>
          <w:sz w:val="28"/>
          <w:sz w:val="28"/>
          <w:szCs w:val="28"/>
          <w:rtl w:val="true"/>
          <w:lang w:bidi="ar-SA"/>
        </w:rPr>
        <w:t xml:space="preserve">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الأمر إشكالا لا يندفع إلاّ بتكلّف إناطة ذلك باختلاف المياه وزنا في الثقل و الخفّة، كما ارتكبه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تحديد الكرّ بكلّ من الجهتين مبنيّ على التحقيق، و لا يكفي فيه التقريب كما قرّر في الاصول، و نصّ عليه هنا غير واحد من الفحول، و ليس الحال فيه بل في جميع التحديدات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الموازين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المقادير الّتي يتسامح فيها عرفا، فلو نقص الماء عن أحد الحدّين و لو بيسير من مثقال بل أقلّ و جزء من شبر ينفعل بالملاقاة، و لا يلحقه أحكام الكرّ جزما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المعتبر في الأشبار إنّما هو شبر مستوى الخلقة، فلا اعتداد بشبر من قصر شبره عن الحدّ المذكور لصغر يده، و لا بشبر من زاد شبره على ذلك الحدّ لكبر يده أو طول أصابعه، و كلّ ذلك قضيّة لانصراف المطلق في نظر العرف و العادة، و لأنّه لو لا ذلك خرج الحدّ الشرعي عن الانضباط، و أفضى إلى الهرج و المرج لغاية وضوح الاختلاف، و قد نصّ على ما ذكرناه أيضا غير واحد من الفحول، و حكي التصريح به عن السرائر</w:t>
      </w:r>
      <w:r>
        <w:rPr>
          <w:rStyle w:val="FootnoteAnchor"/>
          <w:rtl w:val="true"/>
        </w:rPr>
        <w:footnoteReference w:id="665"/>
      </w:r>
      <w:r>
        <w:rPr>
          <w:rFonts w:ascii="IRNazanin" w:hAnsi="IRNazanin" w:eastAsia="IRNazanin"/>
          <w:color w:val="111111"/>
          <w:sz w:val="28"/>
          <w:sz w:val="28"/>
          <w:szCs w:val="28"/>
          <w:rtl w:val="true"/>
          <w:lang w:bidi="fa-IR"/>
        </w:rPr>
        <w:t>و المنتهى</w:t>
      </w:r>
      <w:r>
        <w:rPr>
          <w:rStyle w:val="FootnoteAnchor"/>
          <w:rtl w:val="true"/>
        </w:rPr>
        <w:footnoteReference w:id="666"/>
      </w:r>
      <w:r>
        <w:rPr>
          <w:rFonts w:ascii="IRNazanin" w:hAnsi="IRNazanin" w:eastAsia="IRNazanin"/>
          <w:color w:val="111111"/>
          <w:sz w:val="28"/>
          <w:sz w:val="28"/>
          <w:szCs w:val="28"/>
          <w:rtl w:val="true"/>
          <w:lang w:bidi="fa-IR"/>
        </w:rPr>
        <w:t>و القواعد</w:t>
      </w:r>
      <w:r>
        <w:rPr>
          <w:rStyle w:val="FootnoteAnchor"/>
          <w:rtl w:val="true"/>
        </w:rPr>
        <w:footnoteReference w:id="667"/>
      </w:r>
      <w:r>
        <w:rPr>
          <w:rFonts w:ascii="Amiri" w:hAnsi="Amiri" w:eastAsia="Amiri" w:cs="Amiri"/>
          <w:color w:val="111111"/>
          <w:sz w:val="28"/>
          <w:sz w:val="28"/>
          <w:szCs w:val="28"/>
          <w:rtl w:val="true"/>
          <w:lang w:bidi="ar-SA"/>
        </w:rPr>
        <w:t>و التحرير</w:t>
      </w:r>
      <w:r>
        <w:rPr>
          <w:rStyle w:val="FootnoteAnchor"/>
          <w:rtl w:val="true"/>
        </w:rPr>
        <w:footnoteReference w:id="668"/>
      </w:r>
      <w:r>
        <w:rPr>
          <w:rFonts w:ascii="IRNazanin" w:hAnsi="IRNazanin" w:eastAsia="IRNazanin"/>
          <w:color w:val="111111"/>
          <w:sz w:val="28"/>
          <w:sz w:val="28"/>
          <w:szCs w:val="28"/>
          <w:rtl w:val="true"/>
          <w:lang w:bidi="fa-IR"/>
        </w:rPr>
        <w:t>و جامع المقاصد</w:t>
      </w:r>
      <w:r>
        <w:rPr>
          <w:rStyle w:val="FootnoteAnchor"/>
          <w:rtl w:val="true"/>
        </w:rPr>
        <w:footnoteReference w:id="669"/>
      </w:r>
      <w:r>
        <w:rPr>
          <w:rFonts w:ascii="Amiri" w:hAnsi="Amiri" w:eastAsia="Amiri" w:cs="Amiri"/>
          <w:color w:val="111111"/>
          <w:sz w:val="28"/>
          <w:sz w:val="28"/>
          <w:szCs w:val="28"/>
          <w:rtl w:val="true"/>
          <w:lang w:bidi="ar-SA"/>
        </w:rPr>
        <w:t>و الذكرى</w:t>
      </w:r>
      <w:r>
        <w:rPr>
          <w:rStyle w:val="FootnoteAnchor"/>
          <w:rtl w:val="true"/>
        </w:rPr>
        <w:footnoteReference w:id="670"/>
      </w:r>
      <w:r>
        <w:rPr>
          <w:rFonts w:ascii="Amiri" w:hAnsi="Amiri" w:eastAsia="Amiri" w:cs="Amiri"/>
          <w:color w:val="111111"/>
          <w:sz w:val="28"/>
          <w:sz w:val="28"/>
          <w:szCs w:val="28"/>
          <w:rtl w:val="true"/>
          <w:lang w:bidi="ar-SA"/>
        </w:rPr>
        <w:t>و المسالك</w:t>
      </w:r>
      <w:r>
        <w:rPr>
          <w:rStyle w:val="FootnoteAnchor"/>
          <w:rtl w:val="true"/>
        </w:rPr>
        <w:footnoteReference w:id="671"/>
      </w:r>
      <w:r>
        <w:rPr>
          <w:rFonts w:ascii="Amiri" w:hAnsi="Amiri" w:eastAsia="Amiri" w:cs="Amiri"/>
          <w:color w:val="111111"/>
          <w:sz w:val="28"/>
          <w:sz w:val="28"/>
          <w:szCs w:val="28"/>
          <w:rtl w:val="true"/>
          <w:lang w:bidi="ar-SA"/>
        </w:rPr>
        <w:t>، بل عن الذكرى</w:t>
      </w:r>
      <w:r>
        <w:rPr>
          <w:rStyle w:val="FootnoteAnchor"/>
          <w:rtl w:val="true"/>
        </w:rPr>
        <w:footnoteReference w:id="672"/>
      </w:r>
      <w:r>
        <w:rPr>
          <w:rFonts w:ascii="Amiri" w:hAnsi="Amiri" w:eastAsia="Amiri" w:cs="Amiri"/>
          <w:color w:val="111111"/>
          <w:sz w:val="28"/>
          <w:sz w:val="28"/>
          <w:szCs w:val="28"/>
          <w:rtl w:val="true"/>
          <w:lang w:bidi="ar-SA"/>
        </w:rPr>
        <w:t>أنّه عزاه إلى الأكثر، و إلاّ فالعلم عند اللّه الأكبر</w:t>
      </w:r>
      <w:r>
        <w:rPr>
          <w:rFonts w:eastAsia="Amiri" w:cs="Amiri" w:ascii="Amiri" w:hAnsi="Amiri"/>
          <w:color w:val="111111"/>
          <w:sz w:val="28"/>
          <w:szCs w:val="28"/>
          <w:rtl w:val="true"/>
          <w:lang w:bidi="ar-SA"/>
        </w:rPr>
        <w:t>.</w:t>
      </w:r>
      <w:bookmarkStart w:id="201" w:name="pg16144_233103"/>
    </w:p>
    <w:p>
      <w:pPr>
        <w:pStyle w:val="Heading3"/>
        <w:numPr>
          <w:ilvl w:val="2"/>
          <w:numId w:val="1"/>
        </w:numPr>
        <w:rPr/>
      </w:pPr>
      <w:bookmarkStart w:id="202" w:name="__RefHeading___Toc1804496_1280447820"/>
      <w:bookmarkStart w:id="203" w:name="_Toc79"/>
      <w:bookmarkEnd w:id="201"/>
      <w:bookmarkEnd w:id="202"/>
      <w:r>
        <w:rPr>
          <w:rtl w:val="true"/>
        </w:rPr>
        <w:t xml:space="preserve">ينبوع </w:t>
      </w:r>
      <w:r>
        <w:rPr>
          <w:rtl w:val="true"/>
        </w:rPr>
        <w:t>[</w:t>
      </w:r>
      <w:r>
        <w:rPr>
          <w:rtl w:val="true"/>
        </w:rPr>
        <w:t>في انفعال القليل و عدمه</w:t>
      </w:r>
      <w:r>
        <w:rPr>
          <w:rtl w:val="true"/>
        </w:rPr>
        <w:t>]</w:t>
      </w:r>
      <w:bookmarkEnd w:id="203"/>
    </w:p>
    <w:p>
      <w:pPr>
        <w:pStyle w:val="Heading4"/>
        <w:numPr>
          <w:ilvl w:val="3"/>
          <w:numId w:val="1"/>
        </w:numPr>
        <w:rPr/>
      </w:pPr>
      <w:bookmarkStart w:id="204" w:name="__RefHeading___Toc1804498_1280447820"/>
      <w:bookmarkStart w:id="205" w:name="_Toc80"/>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الماء إذا كان دون الكرّ فله أنواع، كالراكد و الجاري و المطر و الحمّام و البئر و ستسمع البحث عن جميع هذه الأنواع، و لنقدّم البحث عن الأوّل لكونه ممّا يعلم به ما لا يعلم بتقديم البواقي كما لا يخفى، فالكلام فيه يقع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انفعال القليل من الراكد بملاقاة النجاسة في الجملة، و 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إجماع الفرقة تارة و مقيّدا باستثناء من يأتي من أصحابنا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ينفعل بمجرّد الملاقاة تغيّر أو لم يتغيّر، خلافا للعماني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عقيل الحسن من قدماء أصحابنا</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لمصيره فيه إلى عدم الانفعال إلاّ في صورة التغيّر كالكرّ، ثمّ وافقه على ذلك المحدّث الكاشاني</w:t>
      </w:r>
      <w:r>
        <w:rPr>
          <w:rStyle w:val="FootnoteAnchor"/>
          <w:rtl w:val="true"/>
        </w:rPr>
        <w:footnoteReference w:id="674"/>
      </w:r>
      <w:r>
        <w:rPr>
          <w:rFonts w:ascii="Amiri" w:hAnsi="Amiri" w:eastAsia="Amiri" w:cs="Amiri"/>
          <w:color w:val="111111"/>
          <w:sz w:val="28"/>
          <w:sz w:val="28"/>
          <w:szCs w:val="28"/>
          <w:rtl w:val="true"/>
          <w:lang w:bidi="ar-SA"/>
        </w:rPr>
        <w:t>و غيره من جماعة من المتأخّرين على ما حكي عنهم، و عن العامّة في منتهى العلاّمة</w:t>
      </w:r>
      <w:r>
        <w:rPr>
          <w:rStyle w:val="FootnoteAnchor"/>
          <w:rtl w:val="true"/>
        </w:rPr>
        <w:footnoteReference w:id="675"/>
      </w:r>
      <w:r>
        <w:rPr>
          <w:rFonts w:ascii="Amiri" w:hAnsi="Amiri" w:eastAsia="Amiri" w:cs="Amiri"/>
          <w:color w:val="111111"/>
          <w:sz w:val="28"/>
          <w:sz w:val="28"/>
          <w:szCs w:val="28"/>
          <w:rtl w:val="true"/>
          <w:lang w:bidi="ar-SA"/>
        </w:rPr>
        <w:t>اختلافهم في ذلك، فعن أبي حنيفة</w:t>
      </w:r>
      <w:r>
        <w:rPr>
          <w:rStyle w:val="FootnoteAnchor"/>
          <w:rtl w:val="true"/>
        </w:rPr>
        <w:footnoteReference w:id="676"/>
      </w:r>
      <w:r>
        <w:rPr>
          <w:rFonts w:ascii="Amiri" w:hAnsi="Amiri" w:eastAsia="Amiri" w:cs="Amiri"/>
          <w:color w:val="111111"/>
          <w:sz w:val="28"/>
          <w:sz w:val="28"/>
          <w:szCs w:val="28"/>
          <w:rtl w:val="true"/>
          <w:lang w:bidi="ar-SA"/>
        </w:rPr>
        <w:t>و سعيد بن جبير</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ابن عمر</w:t>
      </w:r>
      <w:r>
        <w:rPr>
          <w:rStyle w:val="FootnoteAnchor"/>
          <w:rtl w:val="true"/>
        </w:rPr>
        <w:footnoteReference w:id="678"/>
      </w:r>
      <w:r>
        <w:rPr>
          <w:rFonts w:ascii="IRNazanin" w:hAnsi="IRNazanin" w:eastAsia="IRNazanin"/>
          <w:color w:val="111111"/>
          <w:sz w:val="28"/>
          <w:sz w:val="28"/>
          <w:szCs w:val="28"/>
          <w:rtl w:val="true"/>
          <w:lang w:bidi="fa-IR"/>
        </w:rPr>
        <w:t>و مجاهد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إسحاق</w:t>
      </w:r>
      <w:r>
        <w:rPr>
          <w:rStyle w:val="FootnoteAnchor"/>
          <w:rtl w:val="true"/>
        </w:rPr>
        <w:footnoteReference w:id="680"/>
      </w:r>
      <w:r>
        <w:rPr>
          <w:rFonts w:ascii="Amiri" w:hAnsi="Amiri" w:eastAsia="Amiri" w:cs="Amiri"/>
          <w:color w:val="111111"/>
          <w:sz w:val="28"/>
          <w:sz w:val="28"/>
          <w:szCs w:val="28"/>
          <w:rtl w:val="true"/>
          <w:lang w:bidi="ar-SA"/>
        </w:rPr>
        <w:t>و أبو عبيدة</w:t>
      </w:r>
      <w:r>
        <w:rPr>
          <w:rStyle w:val="FootnoteAnchor"/>
          <w:rtl w:val="true"/>
        </w:rPr>
        <w:footnoteReference w:id="681"/>
      </w:r>
      <w:r>
        <w:rPr>
          <w:rFonts w:ascii="Amiri" w:hAnsi="Amiri" w:eastAsia="Amiri" w:cs="Amiri"/>
          <w:color w:val="111111"/>
          <w:sz w:val="28"/>
          <w:sz w:val="28"/>
          <w:szCs w:val="28"/>
          <w:rtl w:val="true"/>
          <w:lang w:bidi="ar-SA"/>
        </w:rPr>
        <w:t>اختيارهم القول الأوّل، خلافا لحذيفة</w:t>
      </w:r>
      <w:r>
        <w:rPr>
          <w:rStyle w:val="FootnoteAnchor"/>
          <w:rtl w:val="true"/>
        </w:rPr>
        <w:footnoteReference w:id="682"/>
      </w:r>
      <w:r>
        <w:rPr>
          <w:rFonts w:ascii="Amiri" w:hAnsi="Amiri" w:eastAsia="Amiri" w:cs="Amiri"/>
          <w:color w:val="111111"/>
          <w:sz w:val="28"/>
          <w:sz w:val="28"/>
          <w:szCs w:val="28"/>
          <w:rtl w:val="true"/>
          <w:lang w:bidi="ar-SA"/>
        </w:rPr>
        <w:t>و أبي هريرة</w:t>
      </w:r>
      <w:r>
        <w:rPr>
          <w:rStyle w:val="FootnoteAnchor"/>
          <w:rtl w:val="true"/>
        </w:rPr>
        <w:footnoteReference w:id="683"/>
      </w:r>
      <w:r>
        <w:rPr>
          <w:rFonts w:ascii="Amiri" w:hAnsi="Amiri" w:eastAsia="Amiri" w:cs="Amiri"/>
          <w:color w:val="111111"/>
          <w:sz w:val="28"/>
          <w:sz w:val="28"/>
          <w:szCs w:val="28"/>
          <w:rtl w:val="true"/>
          <w:lang w:bidi="ar-SA"/>
        </w:rPr>
        <w:t>و ابن عبّاس</w:t>
      </w:r>
      <w:r>
        <w:rPr>
          <w:rStyle w:val="FootnoteAnchor"/>
          <w:rtl w:val="true"/>
        </w:rPr>
        <w:footnoteReference w:id="68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سعيد بن المسيّب</w:t>
      </w:r>
      <w:r>
        <w:rPr>
          <w:rStyle w:val="FootnoteAnchor"/>
          <w:rtl w:val="true"/>
        </w:rPr>
        <w:footnoteReference w:id="685"/>
      </w:r>
      <w:r>
        <w:rPr>
          <w:rFonts w:ascii="Amiri" w:hAnsi="Amiri" w:eastAsia="Amiri" w:cs="Amiri"/>
          <w:color w:val="111111"/>
          <w:sz w:val="28"/>
          <w:sz w:val="28"/>
          <w:szCs w:val="28"/>
          <w:rtl w:val="true"/>
          <w:lang w:bidi="ar-SA"/>
        </w:rPr>
        <w:t>و الحسن البصري</w:t>
      </w:r>
      <w:r>
        <w:rPr>
          <w:rStyle w:val="FootnoteAnchor"/>
          <w:rtl w:val="true"/>
        </w:rPr>
        <w:footnoteReference w:id="686"/>
      </w:r>
      <w:r>
        <w:rPr>
          <w:rFonts w:ascii="Amiri" w:hAnsi="Amiri" w:eastAsia="Amiri" w:cs="Amiri"/>
          <w:color w:val="111111"/>
          <w:sz w:val="28"/>
          <w:sz w:val="28"/>
          <w:szCs w:val="28"/>
          <w:rtl w:val="true"/>
          <w:lang w:bidi="ar-SA"/>
        </w:rPr>
        <w:t>و عكرمة</w:t>
      </w:r>
      <w:r>
        <w:rPr>
          <w:rStyle w:val="FootnoteAnchor"/>
          <w:rtl w:val="true"/>
        </w:rPr>
        <w:footnoteReference w:id="687"/>
      </w:r>
      <w:r>
        <w:rPr>
          <w:rFonts w:ascii="IRNazanin" w:hAnsi="IRNazanin" w:eastAsia="IRNazanin"/>
          <w:color w:val="111111"/>
          <w:sz w:val="28"/>
          <w:sz w:val="28"/>
          <w:szCs w:val="28"/>
          <w:rtl w:val="true"/>
          <w:lang w:bidi="fa-IR"/>
        </w:rPr>
        <w:t>و عطا</w:t>
      </w:r>
      <w:r>
        <w:rPr>
          <w:rStyle w:val="FootnoteAnchor"/>
          <w:rtl w:val="true"/>
        </w:rPr>
        <w:footnoteReference w:id="688"/>
      </w:r>
      <w:r>
        <w:rPr>
          <w:rFonts w:ascii="IRNazanin" w:hAnsi="IRNazanin" w:eastAsia="IRNazanin"/>
          <w:color w:val="111111"/>
          <w:sz w:val="28"/>
          <w:sz w:val="28"/>
          <w:szCs w:val="28"/>
          <w:rtl w:val="true"/>
          <w:lang w:bidi="fa-IR"/>
        </w:rPr>
        <w:t>و طاوس</w:t>
      </w:r>
      <w:r>
        <w:rPr>
          <w:rStyle w:val="FootnoteAnchor"/>
          <w:rtl w:val="true"/>
        </w:rPr>
        <w:footnoteReference w:id="689"/>
      </w:r>
      <w:r>
        <w:rPr>
          <w:rFonts w:ascii="Amiri" w:hAnsi="Amiri" w:eastAsia="Amiri" w:cs="Amiri"/>
          <w:color w:val="111111"/>
          <w:sz w:val="28"/>
          <w:sz w:val="28"/>
          <w:szCs w:val="28"/>
          <w:rtl w:val="true"/>
          <w:lang w:bidi="ar-SA"/>
        </w:rPr>
        <w:t>و جابر بن زيد</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ابن أبي ليلى</w:t>
      </w:r>
      <w:r>
        <w:rPr>
          <w:rStyle w:val="FootnoteAnchor"/>
          <w:rtl w:val="true"/>
        </w:rPr>
        <w:footnoteReference w:id="691"/>
      </w:r>
      <w:r>
        <w:rPr>
          <w:rFonts w:ascii="Amiri" w:hAnsi="Amiri" w:eastAsia="Amiri" w:cs="Amiri"/>
          <w:color w:val="111111"/>
          <w:sz w:val="28"/>
          <w:sz w:val="28"/>
          <w:szCs w:val="28"/>
          <w:rtl w:val="true"/>
          <w:lang w:bidi="ar-SA"/>
        </w:rPr>
        <w:t>و مالك</w:t>
      </w:r>
      <w:r>
        <w:rPr>
          <w:rStyle w:val="FootnoteAnchor"/>
          <w:rtl w:val="true"/>
        </w:rPr>
        <w:footnoteReference w:id="692"/>
      </w:r>
      <w:r>
        <w:rPr>
          <w:rFonts w:ascii="Amiri" w:hAnsi="Amiri" w:eastAsia="Amiri" w:cs="Amiri"/>
          <w:color w:val="111111"/>
          <w:sz w:val="28"/>
          <w:sz w:val="28"/>
          <w:szCs w:val="28"/>
          <w:rtl w:val="true"/>
          <w:lang w:bidi="ar-SA"/>
        </w:rPr>
        <w:t>و الأوزاعي</w:t>
      </w:r>
      <w:r>
        <w:rPr>
          <w:rStyle w:val="FootnoteAnchor"/>
          <w:rtl w:val="true"/>
        </w:rPr>
        <w:footnoteReference w:id="693"/>
      </w:r>
      <w:r>
        <w:rPr>
          <w:rFonts w:ascii="Amiri" w:hAnsi="Amiri" w:eastAsia="Amiri" w:cs="Amiri"/>
          <w:color w:val="111111"/>
          <w:sz w:val="28"/>
          <w:sz w:val="28"/>
          <w:szCs w:val="28"/>
          <w:rtl w:val="true"/>
          <w:lang w:bidi="ar-SA"/>
        </w:rPr>
        <w:t>و الثوري</w:t>
      </w:r>
      <w:r>
        <w:rPr>
          <w:rStyle w:val="FootnoteAnchor"/>
          <w:rtl w:val="true"/>
        </w:rPr>
        <w:footnoteReference w:id="694"/>
      </w:r>
      <w:r>
        <w:rPr>
          <w:rFonts w:ascii="IRNazanin" w:hAnsi="IRNazanin" w:eastAsia="IRNazanin"/>
          <w:color w:val="111111"/>
          <w:sz w:val="28"/>
          <w:sz w:val="28"/>
          <w:szCs w:val="28"/>
          <w:rtl w:val="true"/>
          <w:lang w:bidi="fa-IR"/>
        </w:rPr>
        <w:t>و ابن المنذر</w:t>
      </w:r>
      <w:r>
        <w:rPr>
          <w:rStyle w:val="FootnoteAnchor"/>
          <w:rtl w:val="true"/>
        </w:rPr>
        <w:footnoteReference w:id="695"/>
      </w:r>
      <w:r>
        <w:rPr>
          <w:rFonts w:ascii="Amiri" w:hAnsi="Amiri" w:eastAsia="Amiri" w:cs="Amiri"/>
          <w:color w:val="111111"/>
          <w:sz w:val="28"/>
          <w:sz w:val="28"/>
          <w:szCs w:val="28"/>
          <w:rtl w:val="true"/>
          <w:lang w:bidi="ar-SA"/>
        </w:rPr>
        <w:t>فإنّ المرويّ عنهم المصير إلى القول الثاني و للشافعي</w:t>
      </w:r>
      <w:r>
        <w:rPr>
          <w:rStyle w:val="FootnoteAnchor"/>
          <w:rtl w:val="true"/>
        </w:rPr>
        <w:footnoteReference w:id="696"/>
      </w:r>
      <w:r>
        <w:rPr>
          <w:rFonts w:ascii="IRNazanin" w:hAnsi="IRNazanin" w:eastAsia="IRNazanin"/>
          <w:color w:val="111111"/>
          <w:sz w:val="28"/>
          <w:sz w:val="28"/>
          <w:szCs w:val="28"/>
          <w:rtl w:val="true"/>
          <w:lang w:bidi="fa-IR"/>
        </w:rPr>
        <w:t>قولان و عن أحمد</w:t>
      </w:r>
      <w:r>
        <w:rPr>
          <w:rStyle w:val="FootnoteAnchor"/>
          <w:rtl w:val="true"/>
        </w:rPr>
        <w:footnoteReference w:id="697"/>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الأصل في المسألة اجتهادا و فقاهة من وجوه شتّى كاستصحاب الطهار و أصلي البراءة و الإباحة عن وجوب الاجتناب و استعمال هذا الماء مطلقا في جانب القول الثاني فلذا قد يؤخذ حجّة لأصحابه، و ليس في جانب القول الأوّل أصل يوافقه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سبق إلى بعض الأوهام الضعيفة جريان أصل الشغل و استصحابه في مشروط المائيّة في جانبه، 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الكلّي في باب الاصول أنّها تجري حيث لم يكن أصل موضوعي في أحد طرفي الشكّ و استصحاب الطهارة أصل موضوعي لا يجري معه الأصلان المشار إليهما، و السرّ في ذلك أنّه حيثما يجري علم </w:t>
      </w:r>
    </w:p>
    <w:p>
      <w:pPr>
        <w:pStyle w:val="BookText"/>
        <w:rPr/>
      </w:pPr>
      <w:r>
        <w:rPr>
          <w:rFonts w:ascii="Amiri" w:hAnsi="Amiri" w:eastAsia="Amiri" w:cs="Amiri"/>
          <w:color w:val="111111"/>
          <w:sz w:val="28"/>
          <w:sz w:val="28"/>
          <w:szCs w:val="28"/>
          <w:rtl w:val="true"/>
          <w:lang w:bidi="ar-SA"/>
        </w:rPr>
        <w:t>شرعي يحرز به الواقع تعبّدا من الشارع يرتفع معه الشكّ في البراءة ارتفاعا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أنّه لو قرّر هنا في بعض الفروض النادرة أصل آخر مخالف لكلا القولين كقاعدة الشغل الجارية عندنا عند الشكّ في المكلّف به و دوران الأمر بين المتباينين، فيما لو فرض انحصار الماء في القليل الملاقي للنجاسة عند الاشتغال بمشروط بالطهارة المردّدة في الفرض بين المائيّة و الترابيّة المقتضية للجمع بينهما لم يكن في محلّه، لارتفاع ذلك الشكّ و التردّد بواسطة الأصل الموضوعي المذكور،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المسألة أصل فهو مختصّ بالقول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فائدته في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المطالب بالدليل في المسألة أصحاب القول الأوّل، لمصيرهم إلى مخالفة الأصل دون أهل القول الثاني، فلو وجدتهم حينئذ مستندين إلى دليل آخر فهو تفضّل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المرجع جدّا عند فقدان الدليل، أو وجوده مجملا أو معارضا بمثله، المساوي له من جميع الجهات، الموجب للعجز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يتراءى عن بعض العبائر من ظهور فائدته في مقام الترجيح، لأنّه يوجب اعتضاد الدليل المقتضي لما يوافقه و تأيّده به، فهو كلام ظاهري منشؤه عدم التأمّل في مفاد الأصل، و موضوعه المغاير لموضوع الدليل، و الغفلة عمّا قدّمنا الإشارة إليه من أنّ المعاضد كالمعارض يشترط فيه وحدة الموضوع فيما بينه و بين ما يتعاضد به، و هي ممّا يمتنع فيما بين الاصول العمليّة و الأدلّة الاجتهاديّة، و قضيّة ذلك امتناع كلّ من التعاضد و التعارض، كما أنّ الأخير ممّا يعلمه كلّ أحد، فهو مع الأوّل من واد واحد لا يعقل الفرق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قرّرناه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المقام الواجب مراعاته إنّما هو النظر في أدلّة القول الأوّل، فإن تمّت دلالة و سندا و سلامة عن المعارض المساوي أو بالأصول المعتبرة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أدلّة الباب إنّما هو الأخبار المرويّة عن أئمّتنا الأطهار الأطياب سلام اللّه عليهم أجمعين، و أمّا نقل الإجماعات و إن ادّعى استفاضتها و اعتمد عليها غير واحد من الأصحاب، و لكنّ التعويل عليها عند التحقيق لا يخلو عن إشكال، كما أنّ الاحتجاج بالضرورة الّذي يوجد في بعض العبارات غير خال عن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الإجماع لو فرضناه محقّقا لا يفيدنا في خصوص المقام شيئا فضلا عن كونه منقولا، لعلمنا بأنّه ليس إلاّ عن الأخبار الواردة في المقام الّتي صارت من مزالّ بعض الأقدام، فلا بدّ من النظر في تلك الأخبار و كيفيّة دلالتها و صحّة أسانيدها، و خلوّها عن معارض أقوى، استعلاما لصدق المجمع عليه، لعدم ثبوت حجّيّة أصل النقل من حيث هو تعبّدا، و لا حجّيّة أصل الاتّفاق كذلك، و إنّما يصير حجّة لو كشف عن الواقع كشفا علميّا، أو عن وجود دليل غير علمي للمجمعين، بحيث لو عثرنا به و وجدنا لعملنا به و لم نبعّده، و هذا ليس منه للعلم التفصيلي بالمستند الّذي لم يتحقّق عندنا حاله بعد، نعم لا مضايقة في أخذها مؤيّدة لتلك الأخبار في مقام ترجيحها على معارضاتها إذا حصل الوثوق بالمنقول، لكشفه حينئذ عمّا يستقيم به الدلالة لو فرض فيها قصور، و يتقوّم به السند لو كان معه ضعف، أو حزازة اخرى ممّا يوجب الوهن في أسانيد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فللقطع بأنّ انفعال ماء القليل بملاقاة النجاسة ليس حاله كحال سائر الضروريّات كوجوب الصلاة على وجه يعرفه كلّ أحد حتّى الرساتيق و البدويّين من الأمّة أو الشيعة، كيف و لم يعهد عن أحد من هؤلاء أنّهم يتحرّزون عن ماء قريب من الكرّ بمجرّد ما لاقاه قطرة بول أو و لغة كلب أو نحوه، بل نرى عملهم على خلافه كما لا يخفى على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ينشأ عن قلّة المبالاة و المسامحة في الدين، غير أنّه احتمال أو مع الرجحان، و لا ريب أنّه لا يجامع الضرورة لمجامعته احتمال كون منشئه الجهل و عدم الاطّلاع بأصل الحكم، و إن اريد بالضرورة ما هي بين الخواصّ و أهالي المعرفة بالمسائل و الأحكام فمنعها أوضح، كما يرشد إليه استنادهم عند السؤال عن وجه المسألة إلى فتوى المجتهد، و من خواصّ الضرورة كون الحكم معلوما لكلّ أحد بعلم ضروري لا يستند إلى قول المفتي كما لا يخفى، بل إحالة الوجه إلى الفتوى ممّا يكشف بنفسه عن عدم العلم الضروري كما لا يخفى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وجهين آخرين استند إليهما العلاّمة، مضافا إلى روايات المسألة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النجاسة امتزجت بالماء و شاعت أجزاؤها في </w:t>
      </w:r>
      <w:bookmarkStart w:id="206" w:name="pg16144_233109"/>
    </w:p>
    <w:p>
      <w:pPr>
        <w:pStyle w:val="BookText"/>
        <w:rPr/>
      </w:pPr>
      <w:bookmarkEnd w:id="206"/>
      <w:r>
        <w:rPr>
          <w:rFonts w:ascii="Amiri" w:hAnsi="Amiri" w:eastAsia="Amiri" w:cs="Amiri"/>
          <w:color w:val="111111"/>
          <w:sz w:val="28"/>
          <w:sz w:val="28"/>
          <w:szCs w:val="28"/>
          <w:rtl w:val="true"/>
          <w:lang w:bidi="ar-SA"/>
        </w:rPr>
        <w:t>أجزائه، و يجب الاحتراز عن أجزاء النجاسة، و قد تعذّر إلاّ بالاحتراز عن الماء المختلط أجزاؤه بأجزائها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 هو كما ترى من أوهن ما لا ينبغي الاستناد إليه في أمثال المقام؛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فيه نوع مصادرة لتوجّه المنع عن وجوب الاحتراز عن أجزاء النجاسة بعد شيوعها في الماء، بل هو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بالكرّ و ما فوقه إذا شاعت فيه أجزاء النجاسة، و لا سيّما إذا فرضنا القليل أقلّ منه بيسير كالمثقال بل المثاقيل، إذ لو لا الحكم على فرض ثبوته تعبديّا صرفا فأيّ عاقل يدرك الفرق بين ألف و مائتي رطل و ما نقص عنه بمثقال بل مدّ بل رطل و نحو ذلك، حتّى يدّعي في الثاني وجوب الاحتراز عن مجموع هذا الماء مقدّمة للاحتراز عن أجزاء النجاسة الشائعة فيه دون الأوّل، هذا كلّه مع ما فيه من عدم جريانه في جميع صور المسألة حتّى ما لا يكون للنجاسة جزء كعضو الكافر أو أخويه، أو شيء من أجزائها الساقطة من عظم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القليل مظنّة الانفعال غالبا، فربّما غيّرت النجاسة أحد أوصافه و لا يظهر للحسّ، فوجب اجتنابه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اعتبار التغيّر التقديري و قد تقدّم المنع عنه، و على وجوب الاحتياط في مواضع الشبهة سيّما إذا قابله أصل موضوعي اجتهادا و فقاهة حينما عرفت أنّه منقوض أوّلا بالفرض المتقدّم، و ثانيا بعدم جريانه في النجاسات الغير المغيّرة لذواتها أو لقلّة و نحوها، و لو قيل بأنّ ذلك تعبّد من الشارع فسقط اعتبار هذا الوجه و يطالب القائل بدليل ذلك، فلا بدّ له من التشبّث بالأدلّة السمعيّة، و قضيّة ذلك انحصار المستند حقيقة في الأخبار فلا بدّ من النظر فيها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804500_1280447820"/>
      <w:bookmarkStart w:id="208" w:name="_Toc81"/>
      <w:bookmarkEnd w:id="207"/>
      <w:r>
        <w:rPr>
          <w:rtl w:val="true"/>
        </w:rPr>
        <w:t>[</w:t>
      </w:r>
      <w:r>
        <w:rPr>
          <w:rtl w:val="true"/>
        </w:rPr>
        <w:t>البحث في أنواع الروايات التي ترد في انفعال القليل</w:t>
      </w:r>
      <w:r>
        <w:rPr>
          <w:rtl w:val="true"/>
        </w:rPr>
        <w:t>]</w:t>
      </w:r>
      <w:bookmarkEnd w:id="208"/>
    </w:p>
    <w:p>
      <w:pPr>
        <w:pStyle w:val="Heading5"/>
        <w:numPr>
          <w:ilvl w:val="4"/>
          <w:numId w:val="1"/>
        </w:numPr>
        <w:rPr/>
      </w:pPr>
      <w:bookmarkStart w:id="209" w:name="__RefHeading___Toc1804502_1280447820"/>
      <w:bookmarkStart w:id="210" w:name="_Toc8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حسبما احتجّ به أهل هذا القول كثيرة جدّا، و منقول فيها البلوغ حدّ التواتر معنى، بل ربّما يدّعى بلوغها نحو مائتين رواية أو أزيد، غير أنّ جملة منها صحاح، و اخرى موثّقات، و ثالثة حسان، و رابعة ضعاف منجبرة بالشهرة العظيمة القريبة من الإجماع، مع نقله المدّعى فيه الاستفاضة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جملة منها ما هو صريح أو ظاهر كالصريح في المطلوب، و اخرى ما هو ظاهر فيه منطوقا، و ثالثة ما هو ظاهر فيه مفهوما، و نحن نراعي في ذكرها هذه الأنواع الثلاث، </w:t>
      </w:r>
      <w:bookmarkStart w:id="211" w:name="pg16144_233110"/>
    </w:p>
    <w:p>
      <w:pPr>
        <w:pStyle w:val="BookText"/>
        <w:rPr/>
      </w:pPr>
      <w:bookmarkEnd w:id="211"/>
      <w:r>
        <w:rPr>
          <w:rFonts w:ascii="Amiri" w:hAnsi="Amiri" w:eastAsia="Amiri" w:cs="Amiri"/>
          <w:color w:val="111111"/>
          <w:sz w:val="28"/>
          <w:sz w:val="28"/>
          <w:szCs w:val="28"/>
          <w:rtl w:val="true"/>
          <w:lang w:bidi="ar-SA"/>
        </w:rPr>
        <w:t>فنذكرها بالترتيب المذكور غير مراع فيه مراتب الصحّة و غيرها من الأنواع الأربع الأوّلة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804504_1280447820"/>
      <w:bookmarkStart w:id="213" w:name="_Toc83"/>
      <w:bookmarkEnd w:id="212"/>
      <w:r>
        <w:rPr>
          <w:rtl w:val="true"/>
        </w:rPr>
        <w:t>فأمّا النوع الأوّل</w:t>
      </w:r>
      <w:r>
        <w:rPr>
          <w:rtl w:val="true"/>
        </w:rPr>
        <w:t>: [</w:t>
      </w:r>
      <w:r>
        <w:rPr>
          <w:rtl w:val="true"/>
        </w:rPr>
        <w:t>ما هو صريح أو ظاهر كالصريح في المطلوب</w:t>
      </w:r>
      <w:r>
        <w:rPr>
          <w:rtl w:val="true"/>
        </w:rPr>
        <w:t>]</w:t>
      </w:r>
      <w:bookmarkEnd w:id="213"/>
    </w:p>
    <w:p>
      <w:pPr>
        <w:pStyle w:val="BookText"/>
        <w:rPr/>
      </w:pPr>
      <w:r>
        <w:rPr>
          <w:rFonts w:ascii="Amiri" w:hAnsi="Amiri" w:eastAsia="Amiri" w:cs="Amiri"/>
          <w:color w:val="111111"/>
          <w:sz w:val="28"/>
          <w:sz w:val="28"/>
          <w:szCs w:val="28"/>
          <w:rtl w:val="true"/>
          <w:lang w:bidi="ar-SA"/>
        </w:rPr>
        <w:t>فروايات،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بالصحّة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أيضا عن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عذافر أبا عبد اللّه عليه السّلام و أنا عنده عن سؤر السنّور و الشاة و البقرة و البعير و الحمار و الفرس و البغال و السباع يشرب أو يتوضّأ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اشرب منه و 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الكلب؟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أ ليس هو بسبع؟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إنّه نجس، لا و اللّه إنّه نجس</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 فيهما</w:t>
      </w:r>
      <w:r>
        <w:rPr>
          <w:rStyle w:val="FootnoteAnchor"/>
          <w:rtl w:val="true"/>
        </w:rPr>
        <w:footnoteReference w:id="702"/>
      </w:r>
      <w:r>
        <w:rPr>
          <w:rFonts w:ascii="Amiri" w:hAnsi="Amiri" w:eastAsia="Amiri" w:cs="Amiri"/>
          <w:color w:val="111111"/>
          <w:sz w:val="28"/>
          <w:sz w:val="28"/>
          <w:szCs w:val="28"/>
          <w:rtl w:val="true"/>
          <w:lang w:bidi="ar-SA"/>
        </w:rPr>
        <w:t>أيضا مثله بطريق آخر إلى معاوية بن ميسرة عن أبي عبد اللّه عليه السّلام، و في الرجال</w:t>
      </w:r>
      <w:r>
        <w:rPr>
          <w:rStyle w:val="FootnoteAnchor"/>
          <w:rtl w:val="true"/>
        </w:rPr>
        <w:footnoteReference w:id="703"/>
      </w:r>
      <w:r>
        <w:rPr>
          <w:rFonts w:ascii="Amiri" w:hAnsi="Amiri" w:eastAsia="Amiri" w:cs="Amiri"/>
          <w:color w:val="111111"/>
          <w:sz w:val="28"/>
          <w:sz w:val="28"/>
          <w:szCs w:val="28"/>
          <w:rtl w:val="true"/>
          <w:lang w:bidi="ar-SA"/>
        </w:rPr>
        <w:t>اتّحاده مع معاوية بن شريح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التهذيب في كتاب الأطعمة و الأشربة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أم معبد العبديّة على أبي عبد اللّه عليه السّلام و أنا عنده،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 يعتريني قراقر في بطني،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لي أطبّاء العراق النبيذ بالسويق و قد وقفت و عرفت كراهتك له فأحببت أن أسألك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عن شربه؟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قلّدتك ديني فألقى اللّه حين ألقاه فاخبره أنّ جعفر بن محمّد أمرني و نهاني،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 لا تسمع إلى هذه المرأة و هذه المسائل، لا و اللّه لا آذن لك في قطرة فلا تذوقي منه قطرة،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منه الميل ينجّس حبّا من ماء يقولها ثلاثا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214" w:name="pg16144_233111"/>
    </w:p>
    <w:p>
      <w:pPr>
        <w:pStyle w:val="BookText"/>
        <w:rPr/>
      </w:pPr>
      <w:bookmarkEnd w:id="214"/>
      <w:r>
        <w:rPr>
          <w:rFonts w:ascii="Amiri" w:hAnsi="Amiri" w:eastAsia="Amiri" w:cs="Amiri"/>
          <w:color w:val="111111"/>
          <w:sz w:val="28"/>
          <w:sz w:val="28"/>
          <w:szCs w:val="28"/>
          <w:rtl w:val="true"/>
          <w:lang w:bidi="ar-SA"/>
        </w:rPr>
        <w:t>وجه الاستدلال بالخبر الأخير واضح لا حاجة معه إلى البيان، و أمّا الأوّلان فلأنّهما يقضيان بالصراحة أنّ السبعيّة ليست عنوانا يقتضي المنع عن الماء، بل المقتضي له إنّما هو النجاسة الّتي يمتاز بها الكلب عن غيره من سائر الأنواع المذكورة في الخبرين، و لا ريب أنّ تعليق الحكم بالنجاسة ليس إلاّ من جهة أنّها تؤثّر في النجاسة، ثمّ إنّ الحكم على الكلب بكونه رجسا نجسا وارد مورد التعليل و إن كان مقدّما في الخبر الأوّل على ما علّل به كما يشهد به التأمّل الصادق، فيعمّ سائر النجاسات و معه يتعدّى إليها الحكم، فيندفع به جملة من الاعتراضات الآتية، نعم هنا بعض آخر من الاعتراضات يعلم اندفاعه بما 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804506_1280447820"/>
      <w:bookmarkStart w:id="216" w:name="_Toc84"/>
      <w:bookmarkEnd w:id="215"/>
      <w:r>
        <w:rPr>
          <w:rtl w:val="true"/>
        </w:rPr>
        <w:t xml:space="preserve">و أمّا النوع الثاني </w:t>
      </w:r>
      <w:r>
        <w:rPr>
          <w:rtl w:val="true"/>
        </w:rPr>
        <w:t>[</w:t>
      </w:r>
      <w:r>
        <w:rPr>
          <w:rtl w:val="true"/>
        </w:rPr>
        <w:t>ما هو ظاهر فيه منطوقا</w:t>
      </w:r>
      <w:r>
        <w:rPr>
          <w:rtl w:val="true"/>
        </w:rPr>
        <w:t>]</w:t>
      </w:r>
      <w:bookmarkEnd w:id="216"/>
    </w:p>
    <w:p>
      <w:pPr>
        <w:pStyle w:val="Heading6"/>
        <w:numPr>
          <w:ilvl w:val="5"/>
          <w:numId w:val="1"/>
        </w:numPr>
        <w:rPr/>
      </w:pPr>
      <w:bookmarkStart w:id="217" w:name="__RefHeading___Toc1804508_1280447820"/>
      <w:bookmarkStart w:id="218" w:name="_Toc85"/>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فروايات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زيادات التهذيب في الصحيح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أشباهها تطأ العذرة، ثمّ تدخل في الماء يتوضّأ منه للصلاة؟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في باب آداب الأحداث في الصحيح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يدخل يده في الإناء و هي قذرة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يكفئ الماء</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في الموثّق بسماعة بن مهران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يدخل يده في الإناء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فإن أدخلت يدك في الإناء و فيها شيء من ذلك فأهرق ذلك الماء</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آداب الأحداث من التهذيب في القويّ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يحمل الركوة أو التور فيدخل إصبعه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يده قذرة فأهرقه و إن كان لم يصبها قذر فيغتسل منه هذا ممّا قال اللّه تعالى مٰا جَعَلَ عَلَيْكُمْ فِي اَلدِّينِ مِنْ حَرَجٍ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الماء إذا ولغ فيه الكلب من التهذيب و الاستبصار في الصحيح عن محمّد بن مسلم عن أبي عبد اللّه عليه السّلام قال سألته عن الكلب يشرب من الإناء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تطهير الثياب من التهذيب في الصحيح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خنزير شرب من إناء كيف يصنع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في هذا الخبر دلالة على المطلب زيادة على ما في سوابقه، من حيث ظهوره في كون أصل التنجّس مفروغا عنه معتقدا للسائل، و إنّما وقع السؤال عن كيفيّة تطهير الإناء، فقرّره الإمام عليه السّلام على ما اعتقده و بيّن له الكيفيّة، و المفروض أنّ السائل هو عليّ بن جعفر، و هو من أهل الوثاقة و الفضل و الفقاهة، كما يشهد بها تكثيره في الرواية عن أخيه، و من البعيد المقطوع ببطلانه أن يعتقد بما لم يكن أخذه من أخيه، أو ثبت له من ضرورة أو غيرها من الطرق العلميّة المتحقّقة له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نوادر كتاب الطهارة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رعف و هو يتوضّأ، فقطر قطرة في إنائه، هل يصلح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 المياه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عليه السّلام إنّه سأل أخاه موسى بن جعفر عليه السّلام عن النصراني يغتسل مع المسلم في الحمّام؟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فيغتسل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 آداب الأحداث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يمسّ الطست أو الركوة، ثمّ يدخل يده في الإناء قبل أن </w:t>
      </w:r>
    </w:p>
    <w:p>
      <w:pPr>
        <w:pStyle w:val="BookText"/>
        <w:rPr/>
      </w:pPr>
      <w:r>
        <w:rPr>
          <w:rFonts w:ascii="Amiri" w:hAnsi="Amiri" w:eastAsia="Amiri" w:cs="Amiri"/>
          <w:color w:val="111111"/>
          <w:sz w:val="28"/>
          <w:sz w:val="28"/>
          <w:szCs w:val="28"/>
          <w:rtl w:val="true"/>
          <w:lang w:bidi="ar-SA"/>
        </w:rPr>
        <w:t>يفرغ على كفّيه؟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 من الماء ثلاث حفنات، فإن لم يفعل فلا بأس، و إن كانت أصابته جنابة فأدخل يده في الماء فلا بأس به إن لم يكن أصاب يده شيء من المنيّ، و إن كان أصاب يده فأدخل يده في الماء قبل أن يفرغ على كفّيه فليهرق الماء كلّه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بابي المياه و تطهير المياه من التهذيب، و باب القليل يحصل فيه النجاسة، و عن الكليني أيضا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معه إناءان فيهما ماء، وقع في أحدهما قذر، لا يدري أيّهما هو؟ و ليس يقدر على ماء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 إن شاء اللّه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بابي تطهير المياه و أحكام التيمّم، من الزيادات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 ليس يقدر على ماء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هذين الخبرين مضافا إلى موافقتهما للأخبار الاخر في جهة الدلالة، دلالة اخرى تستفاد من ملاحظة سياق السؤال، بتقريب ما بيّنّاه في خبر عليّ بن جعفر المتقدّم، كما يشهد به التأمّل، بل فيهما دلالة من جهة ثالثة و هو أمره عليه السّلام بالتيمّم، و ظاهر أن ليس ذلك إلاّ من جهة نجاسة الماء بوقوع القذر فيه، ثمّ اشتباه الطاهر بالنجس من باب الشبهة المحصورة الّتي يجب الاجتناب عنها، كيف و لو لا ذلك لمّا سوّغ العدول من المائيّة إلى التيمّم، لمكان كونه طهارة اضطراريّة، و احتمال كون ذلك لأجل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جنح إليه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ينشأ منه أثر بعد مراعاة قاعدة ترك الاستفصال، فتأمّل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في باب 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يشرب منه الحمامة؟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أكل لحمه فتوضّأ من سؤره و اشرب، و عن ماء شرب منه باز أو صقر، أو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الطير </w:t>
      </w:r>
    </w:p>
    <w:p>
      <w:pPr>
        <w:pStyle w:val="BookText"/>
        <w:rPr/>
      </w:pPr>
      <w:r>
        <w:rPr>
          <w:rFonts w:ascii="Amiri" w:hAnsi="Amiri" w:eastAsia="Amiri" w:cs="Amiri"/>
          <w:color w:val="111111"/>
          <w:sz w:val="28"/>
          <w:sz w:val="28"/>
          <w:szCs w:val="28"/>
          <w:rtl w:val="true"/>
          <w:lang w:bidi="ar-SA"/>
        </w:rPr>
        <w:t>يتوضّأ ممّا يشرب منه، إلاّ أن ترى في منقاره دما، فإن رأيت في منقاره دما فلا تتوضّأ منه و لا تشرب</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آخر باب تطهير الثياب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الكوز أو الإناء يكون قذرا فيه كيف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ماء شربت منه الدجاجة؟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لم تتوضّأ منه و لم تشرب، و إن لم تعلم أنّ في منقارها قذرا توضّأ و اشرب،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يؤكل لحمه فليتوضّأ منه و ليشربه،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يشرب منه صقر أو باز أو عقاب؟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ترى في منقاره دما فإن رأيت في منقاره دما فلا تتوضّأ منه، و 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أواخر زيادات باب المياه من التهذيب، و سأل عمّار بن موسى الساباطي أبا عبد اللّه عليه السّلام عن الرجل يجد في إنائه فأرة و قد توضّأ من ذلك الإناء مرارا و غسل منه ثيابه و اغتسل منه، و قد كانت الفأرة منسلخة،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 يغسل كلّما أصابه ذلك الماء، و يعيد الوضوء و الصلاة، و إن كان إنّما رآها بعد ما فرغ من ذلك و فعله فلا يمسّ من الماء شيئا، و ليس عليه شيء، لأنّه لا يعلم متى سقطت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الباب المذكور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الجرّة تسع مائة رطل من ماء، يقع فيها أوقية من دم أشرب منه و أتوضّأ؟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 مياه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بأس بفضل السنّور أن تتوضّأ منه و يشرب، و لا يشرب سؤر الكلب إلاّ أن </w:t>
      </w:r>
    </w:p>
    <w:p>
      <w:pPr>
        <w:pStyle w:val="BookText"/>
        <w:rPr/>
      </w:pPr>
      <w:r>
        <w:rPr>
          <w:rFonts w:ascii="Amiri" w:hAnsi="Amiri" w:eastAsia="Amiri" w:cs="Amiri"/>
          <w:color w:val="111111"/>
          <w:sz w:val="28"/>
          <w:sz w:val="28"/>
          <w:szCs w:val="28"/>
          <w:rtl w:val="true"/>
          <w:lang w:bidi="ar-SA"/>
        </w:rPr>
        <w:t>يكون حوضا كبيرا يستقي منه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يعفور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تغتسل من غسالة الحمّام، و فيها يجتمع غسالة اليهودي و النصراني و المجوسي و الناصب لنا أهل البيت و هو شرّهم، فإنّ اللّه تبارك و تعالى لم يخلق خلقا أنجس من الكلب، و أنّ الناصب لنا أهل البيت أنجس منه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دخول الحمام من زيادات التهذيب، عن حمزة بن أحمد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سأله غيري عن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بمئزر، و غضّ بصرك، و لا تغتسل من البئر الّتي يجتمع فيها ماء الحمّام، فإنّه يسيل فيها ماء يغتسل به الجنب، و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دلالة هذا الخبر شيء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المياه من التهذيب عن حريز عمّن أخبره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الإناء فصبّه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فقه الرضا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كلب في الماء أو شرب منه اهريق الماء و غسل الإناء ثلاث مرّات مرّة بالتراب و مرّتين بالماء ثمّ يجفّف</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كتاب الأطعمة و الأشربة من التهذيب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ما ترى في قدح من مسكر يصبّ عليه الماء حتّى يذهب عاديته و يذهب سكره؟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لا قطرة قطرت في حبّ إلاّ اهريق ذلك الحبّ</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الحميري في قرب الإسناد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ماء وقع فيه أوقية بول، هل يصلح شربه أو الوضوء؟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219" w:name="pg16144_233116"/>
    </w:p>
    <w:p>
      <w:pPr>
        <w:pStyle w:val="BookText"/>
        <w:rPr/>
      </w:pPr>
      <w:bookmarkEnd w:id="21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النزح من التهذيب، عن عليّ بن حديد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في طريق مكّة فصرنا إلى بئر فاستقى غلام أبي عبد اللّه عليه السّلام دلوا فخرج فيه فأرتان،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فاستقى آخر فخرج فيه فأرة،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أرقه، فاستقى الثالث فلم يخرج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فصبّه في الإناء</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المياه من التهذيب،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سؤر اليهودي و النصراني؟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الحدائق عن الشهيد في الذكرى، و عن غيره في غيره،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قطرة عن طست فيه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بول أو قذر فليغسل ما أصابه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المناهل</w:t>
      </w:r>
      <w:r>
        <w:rPr>
          <w:rStyle w:val="FootnoteAnchor"/>
          <w:rtl w:val="true"/>
        </w:rPr>
        <w:footnoteReference w:id="730"/>
      </w:r>
      <w:r>
        <w:rPr>
          <w:rFonts w:ascii="Amiri" w:hAnsi="Amiri" w:eastAsia="Amiri" w:cs="Amiri"/>
          <w:color w:val="111111"/>
          <w:sz w:val="28"/>
          <w:sz w:val="28"/>
          <w:szCs w:val="28"/>
          <w:rtl w:val="true"/>
          <w:lang w:bidi="ar-SA"/>
        </w:rPr>
        <w:t>عن الصدوق مرسلا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وزغ في إناء فأهرق ذلك الماء، و إذا وقع فيه كلب أو شرب منه أهرق الماء و اغسل الإناء مرّات</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زيادات باب المياه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أحسبه إلاّ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العجين يعجن من الماء النجس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اخرى صحيحة في الباب المذكور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يدفن و لا يباع</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وجدناه من مناطيق روايات المسألة</w:t>
      </w:r>
    </w:p>
    <w:p>
      <w:pPr>
        <w:pStyle w:val="Heading6"/>
        <w:numPr>
          <w:ilvl w:val="5"/>
          <w:numId w:val="1"/>
        </w:numPr>
        <w:rPr/>
      </w:pPr>
      <w:bookmarkStart w:id="220" w:name="__RefHeading___Toc1804510_1280447820"/>
      <w:bookmarkStart w:id="221" w:name="_Toc86"/>
      <w:bookmarkEnd w:id="220"/>
      <w:r>
        <w:rPr>
          <w:rtl w:val="true"/>
        </w:rPr>
        <w:t>و قد عرفت أنّها بحسب المتن على قسمين</w:t>
      </w:r>
      <w:r>
        <w:rPr>
          <w:rtl w:val="true"/>
        </w:rPr>
        <w:t>:</w:t>
      </w:r>
      <w:bookmarkEnd w:id="221"/>
    </w:p>
    <w:p>
      <w:pPr>
        <w:pStyle w:val="Heading6"/>
        <w:numPr>
          <w:ilvl w:val="5"/>
          <w:numId w:val="1"/>
        </w:numPr>
        <w:rPr/>
      </w:pPr>
      <w:bookmarkStart w:id="222" w:name="__RefHeading___Toc1804512_1280447820"/>
      <w:bookmarkStart w:id="223" w:name="_Toc87"/>
      <w:bookmarkEnd w:id="222"/>
      <w:r>
        <w:rPr>
          <w:rtl w:val="true"/>
        </w:rPr>
        <w:t>اشارة</w:t>
      </w:r>
      <w:bookmarkEnd w:id="2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مشتمل على نفي صلاحية ما لاقاه النجاسة من الماء للتوضّي </w:t>
      </w:r>
      <w:bookmarkStart w:id="224" w:name="pg16144_233117"/>
    </w:p>
    <w:p>
      <w:pPr>
        <w:pStyle w:val="BookText"/>
        <w:rPr/>
      </w:pPr>
      <w:bookmarkEnd w:id="224"/>
      <w:r>
        <w:rPr>
          <w:rFonts w:ascii="IRNazanin" w:hAnsi="IRNazanin" w:eastAsia="IRNazanin"/>
          <w:color w:val="111111"/>
          <w:sz w:val="28"/>
          <w:sz w:val="28"/>
          <w:szCs w:val="28"/>
          <w:rtl w:val="true"/>
          <w:lang w:bidi="fa-IR"/>
        </w:rPr>
        <w:t>و الاغتسال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مشتمل على النهي عن التوضّي و الاغتسال، و عن الشرب أيضا و الأمر بالإراقة، و هو الغالب جدّا</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804514_1280447820"/>
      <w:bookmarkStart w:id="226" w:name="_Toc88"/>
      <w:bookmarkEnd w:id="225"/>
      <w:r>
        <w:rPr>
          <w:rtl w:val="true"/>
        </w:rPr>
        <w:t xml:space="preserve">و أمّا وجه الاستدلال بالقسم الأوّل </w:t>
      </w:r>
      <w:r>
        <w:rPr>
          <w:rtl w:val="true"/>
        </w:rPr>
        <w:t>[</w:t>
      </w:r>
      <w:r>
        <w:rPr>
          <w:rtl w:val="true"/>
        </w:rPr>
        <w:t>أي ما هو مشتمل على نفي صلاحية ما لاقاه النجاسة من الماء للتوضّي و الاغتسال به</w:t>
      </w:r>
      <w:r>
        <w:rPr>
          <w:rtl w:val="true"/>
        </w:rPr>
        <w:t>.]</w:t>
      </w:r>
      <w:bookmarkEnd w:id="226"/>
    </w:p>
    <w:p>
      <w:pPr>
        <w:pStyle w:val="BookText"/>
        <w:rPr/>
      </w:pPr>
      <w:r>
        <w:rPr>
          <w:rFonts w:ascii="Amiri" w:hAnsi="Amiri" w:eastAsia="Amiri" w:cs="Amiri"/>
          <w:color w:val="111111"/>
          <w:sz w:val="28"/>
          <w:sz w:val="28"/>
          <w:szCs w:val="28"/>
          <w:rtl w:val="true"/>
          <w:lang w:bidi="ar-SA"/>
        </w:rPr>
        <w:t>فواضح، من جهة أنّ نفي الصلاحية للتوضّي عن الماء الملاقي للنجاسة لا يعقل له وجه،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الملاقاة قد أوجبت فيه زوال وصف وجودي عليه مدار الصلاحية في نظر الشارع و ليس ذلك إلاّ الطهارة، و لا ريب أنّ زوالها ملزوم للنجاسة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أوجبت في الماء حدوث وصف وجودي عليه مدار عدم الصلاحية شرعا، و لا يكون ذلك إلاّ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الوصف الزائل لعلّه وصف الإطلاق، كاحتمال أنّ الوصف الحادث لعلّه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القطرة من الدم الواقعة في الإناء، و الأوقية من البول الواقعة في الحبّ لا يوجبان شيئا من ذلك،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سكون الثاني و تشديد الياء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عبارة عن أربعين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 الجوهري</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يعادل واحدا و عشرين مثقالا صيرفيّا، أو عمّا اصطلح عليه الأطبّاء و هو وزن عشرة مثاقيل و خمسة أسباع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محكيّ المغرب</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 ما كان فهو لا يعادل عشرا من أعشار الحبّ، كما لا يخفى، و معه كيف يعقل كونه سالبا للإطلاق أو موجبا للتغيير، ثمّ إنّه لو سلّم أنّهما في بعض الفروض، يوجبان أحد الأمرين، فلا يقدح في تماميّة الاستدلال بعد ملاحظة ما في الجواب من ترك الاستفصال المفيد للعموم في المقال</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804516_1280447820"/>
      <w:bookmarkStart w:id="228" w:name="_Toc89"/>
      <w:bookmarkEnd w:id="227"/>
      <w:r>
        <w:rPr>
          <w:rtl w:val="true"/>
        </w:rPr>
        <w:t>و أمّا وجه الاستدلال بالقسم الثاني</w:t>
      </w:r>
      <w:r>
        <w:rPr>
          <w:rtl w:val="true"/>
        </w:rPr>
        <w:t>: [</w:t>
      </w:r>
      <w:r>
        <w:rPr>
          <w:rtl w:val="true"/>
        </w:rPr>
        <w:t>ما هو مشتمل على النهي عن التوضّي و الاغتسال، و عن الشرب أيضا و الأمر بالإراقة</w:t>
      </w:r>
      <w:r>
        <w:rPr>
          <w:rtl w:val="true"/>
        </w:rPr>
        <w:t>]</w:t>
      </w:r>
      <w:bookmarkEnd w:id="2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تقرّر في الاصول من أنّ الأوامر و النواهي المتعلّقة بالعبادات و المعاملات بقرينة المقام الّتي يكشف عنها العرف 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القرينة في الأمر الوارد عقيب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حقائقها، بل هي إرشاديّة محضة، معرّاة عن الطلب الحقيقي، واردة لبيان الواقع، و إرشاد المكلّف إلى ما يصلحه و تمييزه له عمّا يفسده، فيراد بالنواهي إحراز المانعيّة مثلا، كما يراد بالأوامر إحراز </w:t>
      </w:r>
    </w:p>
    <w:p>
      <w:pPr>
        <w:pStyle w:val="BookText"/>
        <w:rPr/>
      </w:pPr>
      <w:r>
        <w:rPr>
          <w:rFonts w:ascii="Amiri" w:hAnsi="Amiri" w:eastAsia="Amiri" w:cs="Amiri"/>
          <w:color w:val="111111"/>
          <w:sz w:val="28"/>
          <w:sz w:val="28"/>
          <w:szCs w:val="28"/>
          <w:rtl w:val="true"/>
          <w:lang w:bidi="ar-SA"/>
        </w:rPr>
        <w:t>الشرطيّة أو الجزئيّة أو نحوهما، و لا يعقل في المقام مانع يكشف عنه النواهي إلاّ النجاسة، و هذا بالنسبة إلى النواهي عن التوضّي و الاغتسال واضح و أمّا بالنسبة إلى النواهي عن الشرب فكذلك، حملا على النظائر بقرينة وحدة السياق، و كذلك الحال في الأمر بغسل الإناء فيما شرب منه الكلب، و الأمر بالإراقة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فيه من احتمال كونه واردا من باب الكناية، مرادا به في الحقيقة النهي عن التوضّي، أو الاغتسال أو مطلق الاستعمال نهيا اريد منه الإرشاد حسبما بيّنّاه، بل هذا المعنى ممّا لا اختصاص له بالمقام بل يجري في جميع أبواب الطهارات و النجاسات و التنجّسات، بل و أنت إذا لاحظت الأخبار الواردة في إثبات حكم النجاسة لأنواع النجاسات و إثبات حكم المتنجّس لما يلاقيه النجاسة غير الماء من البدن و الثياب و الأواني و غيرها، لما وجدتها دالّة على ذلك إلاّ بواسطة ما فيها من الأوامر و النواهي، بل قلّما يتّفق فيها ما يدلّ على الحكمين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لاحظ الأخبار الواردة في نجاسة البول و نحوه، فترى أنّه ليس فيها إلاّ الأمر بالغسل عنه مرّتين، أو الأمر بصبّ الماء عليه مرّتين، و ليس ذلك إلاّ من جهة وروده مورد الإرشاد إلى النجاسة، و التنبيه عليها مجرّدا عن الطلب الحقيقي، كيف و لو فرضناه مع الطلب كان غيريّا و هو أيضا مجاز في قول، أو تقييد في أشهر الأقوال، و ما ذكرناه أيضا مجاز، غير أنّه في خصوص المقام أرجح من غيره بحكم العرف و التبادر و نحوه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نثبت الدلالة من غير ابتناء لها على ما ذكرناه من القاعدة في الأوامر و النواهي المتعلّقة بالعبادات أو المعاملات،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استقرّ بناء العرف في الطهارات و النجاسات على تعريف الطهارة بالأمر بالاستعمال أو الشرب أو نحو ذلك، و تعريف النجاسة بالنهي عن الاستعمال، أو الشرب، أو الأمر بالإراقة، أو الصبّ أو إبقائه على حاله، أ لا ترى أنّه لو كان هنا ماء معلوم عندك كونه نجسا فأراد أن يأخذه من لا يعلمه على هذا الوصف للشرب أو سائر الاستعمالات، فأنت تعرّف له النجاسة المعلومة عندك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أو صبّه أو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و هو أيضا لا يفهم من ذلك إلاّ النجاسة، و لا ريب أنّ ما ورد في الأخبار أيضا منزّل و منطبق على هذا المعنى العرفي و إن كان مجازيّا، فإنّ الحمل على المجاز بعد ظهور القرينة العرفيّة و وضوحها </w:t>
      </w:r>
    </w:p>
    <w:p>
      <w:pPr>
        <w:pStyle w:val="BookText"/>
        <w:rPr/>
      </w:pPr>
      <w:r>
        <w:rPr>
          <w:rFonts w:ascii="Amiri" w:hAnsi="Amiri" w:eastAsia="Amiri" w:cs="Amiri"/>
          <w:color w:val="111111"/>
          <w:sz w:val="28"/>
          <w:sz w:val="28"/>
          <w:szCs w:val="28"/>
          <w:rtl w:val="true"/>
          <w:lang w:bidi="ar-SA"/>
        </w:rPr>
        <w:t>ممّا لا ضير فيه، بل كان واجبا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أنّ من ينكر دلالة أوامر المقام و نواهيه على النجاسة، أو يأخذ فيها بالتأويل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يأتي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في إثبات نجاسة أنواع النجاسات، و بتنجّس ما يلاقيها من الثياب و غيرها، فإن عمّم في إنكاره بحيث يشمل المقامين فقد سدّ على نفسه باب إثبات الحكمين، و إن خصّه بالمقام كان مكابرة محضة، حيث إنّه فرّق بين أمرين لا فرق بينهما في نظر العرف و الشرع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الفارق هو الإجماع،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مثله موجود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مخالفة العماني لمعلوميّة نسبه غير قادحة، من غير فرق فيه بين طريقة قدماء أصحابنا أو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ذكرناه من الدلالة خارج عن قانون الفقاهة، و فهم الأحكام الشرعيّة من الأدلّة اللفظيّة بطريق الاستنباط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لو صحّت الدلالة المدّعاة لكانت شاملة للكرّ و ما زاد عليه، مع أنّكم لا تقولون بها فيه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العموم المذكور، كيف و أنّ غالب روايات الباب واردة في الأواني المتّخذة للشرب و التوضّي و الاغتسال، و لا ريب أنّ مجرى العادات في أمثال هذه الأواني ما لا يسع كرّا و لا نصفه و لا ربعه و لا ثمنه و لا 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عموم الحكم بعد ما فرضنا المورد بنفسه عامّا، إذ كلّ مطلق قابل للتقييد، و لا ريب أنّ الأخبار الفارقة بين الكرّ و غيره مقيّدات، فتحمل مطلقات المقام على تلك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ابتناء أخبار الباب على صورة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إلى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جريان أصل الاحتمال، للقطع بعدم كون النجاسات الواردة في أسئلة الروايات موجبة للتغيّر عادة كقذارة اليد، و لا سيّما إذا كانت من منيّ، و الدجاجة الواطئة للعذرة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 الماء، و الدم الّذي يكون في منقار الطيور و ما أشبه ذلك، و كذلك أوقية دم واقعة في جرّة تسع مائة رطل من ماء، و إن كان لاحتمال التغيّر بالقياس إليه نوع قوّة خصوصا في بعض أفراد الدم،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التغيّر غير اختصاص الروايات به، و القادح في الاستدلال هو الثاني و القائم في محلّ المقال هو الأوّل، و أقصى ما يترتّب عليه بعد التسليم بملاحظة قاعدة ترك الاستفصال إنّما هو ثبوت عموم في موضوع الحكم، و هو غير مناف للمقصود بعد اندراج محلّ البحث في هذا العامّ جزما، مع عدم مخرج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يرد على الأخذ بهذا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القول بخلاف ما هو ظاهر الأخبار، 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إبطال التحديد الوارد في الأخبار الكثيرة المجمع على العمل به، و طرح تلك الأخبار مع كثرتها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التحديد لا بدّ له من فائدة تكون فارقة بين الكرّ و ما دونه، و هذه الفائدة إمّا عبارة عن النجاسة بالتغيّر و عدمها فالكرّ لا ينجّس به بخلاف ما دونه، أو عن الانفعال بمجرّد الملاقاة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بالإجماع و غيره ممّا تقدّم في محلّه من الدلالة على أنّ التغيّر ممّا يوجب نجاسة الماء و لو كرّا أو أكرارا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أبطله أهل هذا القول فلا يبقى إلاّ أنّ هذا التحديد قد ورد لغوا، لا يعقل له فائدة اخرى سوى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يدخل في عداد مناطيق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آداب الأحداث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فيه 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في زيادات التهذيب، و باب القليل الّذي يحصل فيه النجاسة من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أيضا في الباب المذكور، بطريق فيه سهل بن زياد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الحياض الّتي ما بين مكّة إلى المدينة تردها السباع، و تلغ فيها الكلاب، و تشرب منها الحمير، و يغتسل منها الجنب، أ يتوضّأ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 إلى الركبة، فقال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الوارد فيهما يدلّ على أنّ السائل كان معتقدا بأنّ الماء منه ما لا ينجّسه شيء، و منه ما ينجّسه شيء، و مشتبها في تشخيص الموضوع و تمييز الأوّل عن الثاني، و إنّما سأل الإمام عمّا يرفع ذلك الاشتباه فقرّره الإمام عليه السلام على الاعتقاد المذكور و أجاب له بما رفع الاشتباه فلو لا الحكم كما اعتقده السائل لما كان لتقرير الإمام عليه السّلام و لا جوابه بما ذكر وجه، بل كان عليه الجواب بما يردعه عن هذا الاعتقاد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قد استفصل عن مقدار الماء الّذي في الحياض، فلو لم يكن فرق بين قليل الماء و كثيرة في الحكم لما كان لذلك الاستفصال وجه، بل كان لغوا، و كان عليه الأمر بالتوضّي مطلقا تنبيها للسائل على أنّ الماء بإطلاقه لا ينجّس بما ذكر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نظره عليه السّلام في ذلك الاستفصال إلى تشخيص ما يتحقّق معه التغيّر الموجب للنجاسة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الوارد في ذلك يأبى عن ذلك؛ إذ لم يذكر فيه من النجاسات ما يوجب التغيّر بل لم يذكر فيه نجاسة إلاّ ولوغ الكلب، و هو كما ترى ليس ممّا يوجب التغيّر جدّا، و معه كيف يمكن تنزيل الاستفصال المذكور إلى مراعاة صورة التغيّر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تقرير الاستدلال بالخبرين الأوّلين من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ما ذكر في السؤال و جواب الإمام المطابق 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الرواية أنّ الماء الّذي لا ينجّسه شيء بعنوانه الكلّي ما كان كرّا، أو ما كان عمقه ذراعين وسعته ذراعا و شبرا، فينعكس هذه الكلّيّة بطريقة عكس النقيض إلى أنّ ما ليس بكرّ و ما لا يكون عمقه ذراعين وسعته ذراعا و شبرا لا يكون بما لا ينجّسه شيء، و لمّا كان النفي في النفي ممّا يفيد الإثبات فكان مفاد العكس إثبات النجاسة لما كان فاقدا للوصفين معا و هو المطلوب، غير أنّ الدلالة فيهما على هذا التقرير تكون من باب المفهوم، فيدخلان في عداد أخبار النوع الثالث، و لا ضير فيه بعد وضوح المطلب</w:t>
      </w:r>
      <w:r>
        <w:rPr>
          <w:rFonts w:eastAsia="Amiri" w:cs="Amiri" w:ascii="Amiri" w:hAnsi="Amiri"/>
          <w:color w:val="111111"/>
          <w:sz w:val="28"/>
          <w:szCs w:val="28"/>
          <w:rtl w:val="true"/>
          <w:lang w:bidi="ar-SA"/>
        </w:rPr>
        <w:t xml:space="preserve">. </w:t>
      </w:r>
      <w:bookmarkStart w:id="229" w:name="pg16144_233122"/>
    </w:p>
    <w:p>
      <w:pPr>
        <w:pStyle w:val="Heading5"/>
        <w:numPr>
          <w:ilvl w:val="4"/>
          <w:numId w:val="1"/>
        </w:numPr>
        <w:rPr/>
      </w:pPr>
      <w:bookmarkStart w:id="230" w:name="__RefHeading___Toc1804518_1280447820"/>
      <w:bookmarkStart w:id="231" w:name="_Toc90"/>
      <w:bookmarkEnd w:id="229"/>
      <w:bookmarkEnd w:id="230"/>
      <w:r>
        <w:rPr>
          <w:rtl w:val="true"/>
        </w:rPr>
        <w:t>[</w:t>
      </w:r>
      <w:r>
        <w:rPr>
          <w:rtl w:val="true"/>
        </w:rPr>
        <w:t>أما النوع الثالث ما هو ظاهر فيه مفهوما</w:t>
      </w:r>
      <w:r>
        <w:rPr>
          <w:rtl w:val="true"/>
        </w:rPr>
        <w:t>]</w:t>
      </w:r>
      <w:bookmarkEnd w:id="231"/>
    </w:p>
    <w:p>
      <w:pPr>
        <w:pStyle w:val="Heading6"/>
        <w:numPr>
          <w:ilvl w:val="5"/>
          <w:numId w:val="1"/>
        </w:numPr>
        <w:rPr/>
      </w:pPr>
      <w:bookmarkStart w:id="232" w:name="__RefHeading___Toc1804520_1280447820"/>
      <w:bookmarkStart w:id="233" w:name="_Toc91"/>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 أمّا أخبار هذا النوع فكثيرة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آداب الأحداث من التهذيب، و باب مقدار الماء الّذي لا ينجّسه شيء من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إنّه سئل عن الماء تبول فيه الدوابّ و تلغ فيه الكلاب و يغتسل منه الجنب؟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الصحيح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الماء الّذي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إلاّ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الّذي 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 المذكور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الكتب الثلاثة في الأبواب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المياه من زيادات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الغدير ماء مجتمع تبول فيه الدوابّ، و تلغ فيه الكلاب و يغتسل فيه الجنب؟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 و الكرّ ستّمائة رطل</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المنجبر بعمل الأصحاب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 الثوري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المذكورة في باب المياه من زيادات التهذيب عن عليّ بن جعفر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يصيب الماء في ساقية أو مستنقع أ يغتسل منه لجنابته، أو يتوضّأ منه للصلاة إذا كان لا يجد غيره؟ و الماء لا يبلغ صاعا </w:t>
      </w:r>
    </w:p>
    <w:p>
      <w:pPr>
        <w:pStyle w:val="BookText"/>
        <w:rPr/>
      </w:pPr>
      <w:r>
        <w:rPr>
          <w:rFonts w:ascii="Amiri" w:hAnsi="Amiri" w:eastAsia="Amiri" w:cs="Amiri"/>
          <w:color w:val="111111"/>
          <w:sz w:val="28"/>
          <w:sz w:val="28"/>
          <w:szCs w:val="28"/>
          <w:rtl w:val="true"/>
          <w:lang w:bidi="ar-SA"/>
        </w:rPr>
        <w:t>للجنابة، و لا مدّا للوضوء، و هو متفرّق فكيف يصنع و هو يتخوّف أن يكون السباع قد شربت منه؟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يده نظيفة فليأخذ كفّا من الماء بيد واحدة فلينضحه خلفه، و كفّا أمامه، و كفّا عن يمينه، و كفّا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شهاب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الكافي في باب الرجل يدخل يده في الإناء قبل أن 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الرجل الجنب يسهو فيغمس يده في الإناء قبل أن يغسلها؟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بأس إذا لم يكن أصاب يده شيء</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كالصحيح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حكم الجنابة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يغتسل الجنب؟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أصاب كفّه منيّ غمسها في الماء ثمّ بدأ بفرجه فأنقاه، ثمّ صبّ على رأسه ثلاث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باعتبار سنده لا يخلو عن شيء لما فيه من الإضمار، و إن قيل فيه بأنّ الظاهر أنّ المضمر أحد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باب آداب الأحداث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 الرجل جنابة فأدخل يده في الإناء فلا بأس، إن لم يكن أصاب يده شيء من المنيّ</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تطهير الثياب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الدنّ يكون فيه الخمر، هل يصلح أن يكون فيه الخلّ أو كامخ أو زيتون؟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 و عن الإبريق يكون فيه خمر أ يصلح أن يكون فيه ماء قال إذا غسل فلا بأس</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كتاب الوسائل، و كتاب قرب الإسناد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الشرب في الإناء يشرب منه الخمر قدحان عيدان أو </w:t>
      </w:r>
      <w:bookmarkStart w:id="234" w:name="pg16144_233124"/>
    </w:p>
    <w:p>
      <w:pPr>
        <w:pStyle w:val="BookText"/>
        <w:rPr/>
      </w:pPr>
      <w:bookmarkEnd w:id="234"/>
      <w:r>
        <w:rPr>
          <w:rFonts w:ascii="Amiri" w:hAnsi="Amiri" w:eastAsia="Amiri" w:cs="Amiri"/>
          <w:color w:val="111111"/>
          <w:sz w:val="28"/>
          <w:sz w:val="28"/>
          <w:szCs w:val="28"/>
          <w:rtl w:val="true"/>
          <w:lang w:bidi="ar-SA"/>
        </w:rPr>
        <w:t>باطية؟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غسله فلا بأس</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مصابيح السيّد عن محمّد بن الحسن الصفّار في كتاب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أسأله 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أخبرتك بما جئت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تسأل عن الجنب يغرف الماء من الحبّ بالكوز، فيصيب يده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سل و إن شئت أخبرتك،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تسأل عن الجنب يسهو فيغمز يده في الماء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ذلك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أصاب يده شيء فلا بأس</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باب المياه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في الرجل يتوضّأ بفضل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الباب المذكور من الكتاب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سؤر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 و توضّأ من سؤر الجنب إذا كانت مأمونة</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804522_1280447820"/>
      <w:bookmarkStart w:id="236" w:name="_Toc92"/>
      <w:bookmarkEnd w:id="235"/>
      <w:r>
        <w:rPr>
          <w:rtl w:val="true"/>
        </w:rPr>
        <w:t>وجه الدلالة في هذا النوع من الأخبار</w:t>
      </w:r>
      <w:r>
        <w:rPr>
          <w:rtl w:val="true"/>
        </w:rPr>
        <w:t>:</w:t>
      </w:r>
      <w:bookmarkEnd w:id="236"/>
    </w:p>
    <w:p>
      <w:pPr>
        <w:pStyle w:val="BookText"/>
        <w:rPr/>
      </w:pPr>
      <w:r>
        <w:rPr>
          <w:rFonts w:ascii="Amiri" w:hAnsi="Amiri" w:eastAsia="Amiri" w:cs="Amiri"/>
          <w:color w:val="111111"/>
          <w:sz w:val="28"/>
          <w:sz w:val="28"/>
          <w:szCs w:val="28"/>
          <w:rtl w:val="true"/>
          <w:lang w:bidi="ar-SA"/>
        </w:rPr>
        <w:t>أنّ الحكم الوارد فيها أعني عدم التنجيس كما في الأربعة الأوّلية، و تجويز الأخذ من الماء كما في الخامسة، و تجويز غمس اليد في الماء كما في السادسة، و تجويز الوضوء من سؤر الجنب كما في الثاني عشر، و نفي البأس كما في البواقي معلّق على وصف الكرّيّة في الأوّل، و وصف النظافة في الثاني، و عدم إصابة المنيّ الكفّ أو اليد و الغسل و المأمونيّة، و من المقرّر في محلّه أنّه في الجمل الشرطيّة يفيد انتفاء الحكم عند انتفاء الوصف المعلّق عليه على ما هو مفاد حجّيّة مفهوم الشرط، و هو في الأربعة الأول عين المطلوب، و في البواقي كاشف عنه، فإنّ نفي الجواز كإثبات البأس ممّا لا معنى له إلاّ لكونه لأجل مانع، و لا يعقل ما يصلح المنع إلاّ النجاسة، أو أنّه المتبادر عرفا في نظائر المقام كما تقدّم الإشارة إليه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فروايات هذا النوع كلّها متّفقة في وجه الدلالة، لكونها في الجميع من باب مفهوم </w:t>
      </w:r>
    </w:p>
    <w:p>
      <w:pPr>
        <w:pStyle w:val="BookText"/>
        <w:rPr/>
      </w:pPr>
      <w:r>
        <w:rPr>
          <w:rFonts w:ascii="Amiri" w:hAnsi="Amiri" w:eastAsia="Amiri" w:cs="Amiri"/>
          <w:color w:val="111111"/>
          <w:sz w:val="28"/>
          <w:sz w:val="28"/>
          <w:szCs w:val="28"/>
          <w:rtl w:val="true"/>
          <w:lang w:bidi="ar-SA"/>
        </w:rPr>
        <w:t xml:space="preserve">الشرط، و إن حصلت المفارقة بينها في كمّيّة المدلول، حيث إنّ الأربع الاول تفيد المطلب بتمامه، و عمومه بالقياس إلى الماء و النجاسة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ستعرف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البواقي فإنّها لا تفيده إلاّ في موارد خاصّة ورد ذكرها في أسئلة تلك الأخبار، فإنّ الحكم المستفاد منها لا يتعدّى تلك الموارد إلاّ مع ضميمة خارجيّة كالإجماع المركّب و عدم القول بالفصل، إذ ليس فيها ما يفيد العموم وضعا أو عرفا بالقياس إلى الماء و لا إلى النجاسة، فبمجرّد تلك الأخبار لا يمكن القول بأنّ كلّ ماء في كلّ حال ينجّس بملاقاة كلّ نجس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حسبما استفدناه من كلام القوم في تقرير وجه الدلالة، غير أنّ لنا مناقشة على ما ذكروه في خصوص الأربعة الأول، لعدم انطباق الدلالة القائمة بها على قاعدة حجّيّة مفهوم الشرط، لأنّ معنى الحجّيّة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المحقّق عندنا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مفاد القضيّة بملاحظة أداة الشرط السببيّة التامّة القائمة بالمقدّم بالقياس إلى التالي، الّتي تفسّر بكون الشيء بحيث يلزم من وجوده الوجود و من عدمه العدم، و قد قطعنا بملاحظة الخارج أنّ الكرّيّة بنفسها ليست سببا تامّا لعدم التنجّس، و إنّما هو جزء للسبب، لأنّ السبب التامّ هو المجموع منها و من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الإغماض عمّا يساعد عليه النظر، و إلاّ فلنا أن نمنع دعوى كون هذا المجموع أيضا سببا، لأنّ المعهود في السبب كونه مؤثّرا فيما هو مسبّب منه، و نحن نقطع بأنّه لا تأثير لشيء من الكرّيّة و عدم التغيّر في طهارة الماء، بل الطهارة حيثما تكون قائمة من مقتضيات نفس الطبيعة المائيّة و لوازمها كنجاسة الكلب و نحوها، كما نطق به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753"/>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قضيّة ذلك كون النجاسة بالنسبة إلى الماء من الطوارئ الّتي لا يلحقه إلاّ بعد ارتفاع ما هو من مقتضياته و أوصافه المستندة إلى طبيعته، و لا ريب أنّ الوصف الأصلي للشيء لا يعقل ارتفاعه عن ذلك الشيء إذا كان بنفسه مقتضيا له، حتّى يطرأ محلّه وصف وجودي </w:t>
      </w:r>
    </w:p>
    <w:p>
      <w:pPr>
        <w:pStyle w:val="BookText"/>
        <w:rPr/>
      </w:pPr>
      <w:r>
        <w:rPr>
          <w:rFonts w:ascii="Amiri" w:hAnsi="Amiri" w:eastAsia="Amiri" w:cs="Amiri"/>
          <w:color w:val="111111"/>
          <w:sz w:val="28"/>
          <w:sz w:val="28"/>
          <w:szCs w:val="28"/>
          <w:rtl w:val="true"/>
          <w:lang w:bidi="ar-SA"/>
        </w:rPr>
        <w:t xml:space="preserve">آخر إلاّ من جهة قيام رافع لولاه لما كان مرتفعا، و ممّا جعله الشارع رافعا لطهارة الماء أو كشف عن رافعيّته إنّما هو التغيّر بالنجاسة، فإذا فرض كون وجوده رافعا لها فكيف يعقل كون عدمه مؤثّرا في وجودها و محدثا لها و لو بعنوان الجزئيّة، و إلاّ لزم ارتفاع النقيضين أو ضدّين لا ثالث لهما، إذ المفروض كون كلّ من الطهارة و النجاسة مستندة إلى أمر خارج عن ذات الماء، فالذات بما هي هي معرّاة عن كلا الوصفين، و إن لم يمكن فرض خلوّها عن أحدهما باعتبار الزمان، حيث إنّها لا تخلو عن أحد وصفي التغيّر و عدمه، إلاّ أنّه كما لا يمكن ارتفاع النقيضين أو الضدّين عن الشيء باعتبار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من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يمكن ارتفاعهما عنه باعتبار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خلوّها بما هي هي عنهما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جعل وصف الماء باعتبار ذاته و خلقته الطهارة، كما يرشد إليه أيضا تعليق عدم الطهارة على العلم بالقذارة، المستفاد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فلو لم يكن وصفه الأصلي هو الطهارة و لا أنّ عدمها من جهة طروّ ما يرفعها، لوجب تعليق عدم قذارته على العلم بالطهارة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أنّ طهارة الماء من مقتضيات ذاته، و أنّه لا يحكم عليها بالعدم إلاّ من جهة طروّ ما يوجب ارتفاعها، و أنّ عدم التغيّر ليس بمؤثّر فيها، بل هو حيثما وجد معها يكون من باب المقارنات الاتّفاقيّة، و أنّ التغيّر هو الّذي يؤثّر في عدمها و يوجب ارتفاعها، علم أنّ ملاقاة النجاسة في الماء القليل أيضا من مقولة الروافع، و لكن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في ارتفاع الطهارة الّتي هي من مقتضيات ذات الماء حينئذ مركّبة عن وصفي القلّة و الملاقاة، فإذا كان وجود هذين الوصفين مؤثّرا في ارتفاع الطهارة فلا يعقل كون عدمها مؤثّرا في وجود الطهارة لعين ما تقدّم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ذلك أن لا يكون وصف الكرّيّة كوصف عدم التغيّر مؤثّرا في الطهارة، بل هو كأخيه حيثما وجد مع الطهارة كان من المقارنات الاتّفاقيّة، و إنّما اعتبره الشارع مناطا للحكم لا من جهة أنّه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بعنوان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أنّه ميزان كلّي هو ملزوم لانتفاء ما هو مؤثّر في ارتفاع الطهارة، و شرط لطروّ النجاسة و هو القلّة، و إلاّ فالمقتضي للطهارة كما عرفت هو نفس الذات لا بشرط هذا الوصف، كيف و لو كان له </w:t>
      </w:r>
      <w:bookmarkStart w:id="237" w:name="pg16144_233127"/>
    </w:p>
    <w:p>
      <w:pPr>
        <w:pStyle w:val="BookText"/>
        <w:rPr/>
      </w:pPr>
      <w:bookmarkEnd w:id="237"/>
      <w:r>
        <w:rPr>
          <w:rFonts w:ascii="Amiri" w:hAnsi="Amiri" w:eastAsia="Amiri" w:cs="Amiri"/>
          <w:color w:val="111111"/>
          <w:sz w:val="28"/>
          <w:sz w:val="28"/>
          <w:szCs w:val="28"/>
          <w:rtl w:val="true"/>
          <w:lang w:bidi="ar-SA"/>
        </w:rPr>
        <w:t>مدخل في اقتضاء الطهارة و لو بعنوان الشرطيّة لزم انتفاء الطهارة في الماء القليل الغير الملاقي للنجاسة أيضا، ضرورة أنّ المشروط عدم عند عدم شرطه، و هو بديهي البطلان، و هذا أيضا من أقوى الشواهد على أنّ طهارة الماء مستندة إلى ذاته من غير مدخل للكرّيّة فيها، و إلاّ لزم تخلّف الشرط عن المشروط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كلّ ما ذكر عدم إمكان تتميم الاستدلال على المطلب بقاعدة حجّيّة مفهوم الشرط، بل لا بدّ 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ظاهر الجملة الشرطيّة و إن كان سببيّة المقدّم للتالي، و لكن الصارف في خصوص المقام صرفنا عن هذا الظاهر و منعنا عن الحكم على الكرّيّة بالسببيّة التامّة، فإمّا أن يحكم عليها حينئذ بالشرطيّة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عليه عند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القضيّة العلقة الشرطيّة على حدّ ما هو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قبضت في المجلس صحّ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يحكم بكونها ملزومة للطهارة من جهة أنّها ملزومة لانتفاء ما هو شرط للنجاسة، فيكون مفاد القضيّة مطلق الملازمة، معرّاة عن التأثير و العلقة السببيّة و الشرطيّة فيما بين المقدّم و التالي، على حدّ 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محدثا فصلاتك ليست بصحيحة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هذين المعنيين و إن كان معنى مجازيّا للقضيّة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تقرّر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المتعيّن منهما بعنوان القطع و اليقين هو المعنى الثاني، بقرينة ما قرّرناه من عدم إمكان فرض الكرّيّة شرطا، و معه يثبت المفهوم و هو الانتفاء مع الانتفاء، و إن لم يكن من باب مفهوم الشرط في الاصطلاح، و هو كاف في تماميّة الاستدلال و ثبوت المطلب جدّا</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804524_1280447820"/>
      <w:bookmarkStart w:id="239" w:name="_Toc93"/>
      <w:bookmarkEnd w:id="238"/>
      <w:r>
        <w:rPr>
          <w:rtl w:val="true"/>
        </w:rPr>
        <w:t>ثمّ إنّه أورد على روايات الباب بوجوه</w:t>
      </w:r>
      <w:r>
        <w:rPr>
          <w:rtl w:val="true"/>
        </w:rPr>
        <w:t>:</w:t>
      </w:r>
      <w:bookmarkEnd w:id="23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ما اشتمل منها على الأمر بالغسل أو الصبّ أو الإراقة و النهي عن الشرب أو التوضّي أو الاغتسال، من أنّ الاستدلال بأمثال ذلك إنّما تصحّ إذا كان الأمر و النهي حقيقة في الوجوب و التحريم و هو في حيّز المنع، و لو سلّم فيشكل التعلّق بهما في الحمل على الوجوب و التحريم، لشيوع استعمالهما في كلام الأئمّة في الندب و الكراهة، بحيث صارا من المجازات الراجحة المساوي احتمالها في اللفظ لاحتمال الحقيقة، كما صرّح به صاحب المعالم</w:t>
      </w:r>
      <w:r>
        <w:rPr>
          <w:rStyle w:val="FootnoteAnchor"/>
          <w:rtl w:val="true"/>
        </w:rPr>
        <w:footnoteReference w:id="756"/>
      </w:r>
      <w:r>
        <w:rPr>
          <w:rFonts w:ascii="Amiri" w:hAnsi="Amiri" w:eastAsia="Amiri" w:cs="Amiri"/>
          <w:color w:val="111111"/>
          <w:sz w:val="28"/>
          <w:sz w:val="28"/>
          <w:szCs w:val="28"/>
          <w:rtl w:val="true"/>
          <w:lang w:bidi="ar-SA"/>
        </w:rPr>
        <w:t>و تبعه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ما علّق فيه الحكم على نظافة اليد من باب مفهوم الشرط، من أنّ طهارة اليد إنّما جعلت شرطا لوجوب الاستعمال، لمكان الأمر الّذي هو حقيقة في الوجوب، و اللازم منه انتفاء الوجوب بانتفائه لا انتفاء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على ما اشتمل من الروايات على نفي البأس معلّقا على ما ذكر فيها من الشروط، من أنّ نفي البأس نفي للحرمة و الكراهة معا، فثبوته يقتضي ثبوت أحدهما فلا يتعيّن ثبوت الحرمة، إذ 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ما يكون دلالته من باب المفهوم، من منع حجّيّة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على ما اشتمل منها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منع كونها في عرفهم بالمعنى المصطلح عليه الآن، لجواز كونها بمعنى الاستقذار و الاستكراه، و حينئذ لا تثبت نجاسة القليل بالمعنى المصطلح الّذي هو المتنازع فيه، بل إنّما ثبت استقذارها، و غاية ما يلزم كراهة استعماله بعد ملاقاة النجاسة و لا نزاع فيه، سلّمنا كونها في عرفهم لهذا المعنى غير أنّها يعارضها عمومات دالّة على عدم نجاسة الماء ما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حجّة القول بعدم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أنّ تخصيص العمومات بها أولى من حملها على المجاز، بل الرجحان مع الثاني بملاحظة الأصل و الاستصحاب و العمومات المتقدّمة الدالّة على طهارة الماء ما لم يعلم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على ما اشتمل منها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الماء قدر كرّ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لا يدلّ على الكليّة المدّعاة من انفعال كلّ ماء بكلّ نجاسة، نظرا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المفهوم نكرة في سياق الإثبات، فلا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في محلّه المدلول عليه بالقاطع كون الأمر حقيقة في الوجوب و النهي حقيقة في التحريم، و تفصيل ذلك في محلّه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المطلب غير مبتن ثبوته على كون المراد بهما الوجوب و التحريم، لما عرفت من قيام القرينة العرفيّة على إرادة الإرشاد، و هو و إن كان معنى مجازيّا، غير أنّ المصير إليه واجب مع القرينة، فلا يضرّ فيه عدم كونهما حقيقة في الوجوب و التحريم، و لا كونهما من المجازات الراجحة في الندب و الكراهة، لو سلّمنا أصل هذه الدعوى </w:t>
      </w:r>
    </w:p>
    <w:p>
      <w:pPr>
        <w:pStyle w:val="BookText"/>
        <w:rPr/>
      </w:pPr>
      <w:r>
        <w:rPr>
          <w:rFonts w:ascii="Amiri" w:hAnsi="Amiri" w:eastAsia="Amiri" w:cs="Amiri"/>
          <w:color w:val="111111"/>
          <w:sz w:val="28"/>
          <w:sz w:val="28"/>
          <w:szCs w:val="28"/>
          <w:rtl w:val="true"/>
          <w:lang w:bidi="ar-SA"/>
        </w:rPr>
        <w:t>و أغمضنا عمّا أوردناه في دفعها و إبطالها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هاتين المناقشتين ممّا لا وقع له في خصوص المقام، بعد ملاحظة ما قرّرناه في توجيه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المعلّق على وصف الطهارة وجوب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قرّرناه من عدم كون أمثال هذه الأوامر مرادا منها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منها الإرشاد إلى الطهارة و تعريفها، و إن كان المستعمل فيه هو تجويز الاستعمال، فيكون المعلّق على الوصف المذكور هو الأمر بهذا المعنى، و اللازم من ذلك انتفاء الجواز عند انتفائه، و يكون ذلك إرشاد إلى النجاسة بالملاقاة و تعريفها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إطلاق القول بكون نفي البأس مرادا منه نفي الحرمة و الكراهة، بل يختلف مفاده في استعمالات الشارع بحسب اختلاف الموارد حسبما يشهد به الانسباق العرفي المقرون بقرينة المقام، فيراد به في موضع توهّم الحرمة نفي الحرمة، و في موضع توهّم الكراهة نفي الكراهة، و في موضع توهّم فساد المعاملة نفي جهة الفساد، و في موضع توهّم بطلان العبادة نفي الجهة المقتضية له، و في موضع توهّم النجاسة نفي النجاسة، و إنّما يعلم ذلك الاختلاف بملاحظة الأسئلة الواردة في الروايات، فإنّ كلّ سؤال يرد في موضع توهّم شيء ممّا ذكر و يرد الجواب على طبقه، فيراد من نفي البأس حينئذ نفي ما توهّمه السائل ليكون الجواب مطابقا للسؤال، و لا ريب أنّ الظاهر من الأسئلة الواردة في باب المياه كونها في موضع توهّم النجاسة، فيكون نفي البأس الوارد في أجوبتها مرادا به نفي النجاسة، و قضيّة ذلك كون المراد بالبأس في جانب المفهوم إثبات النجاسة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عن دعوى عدم حجّيّة المفهوم، بل المحقّق الثابت في محلّه هو الحجّيّة، غير أنّه قد عرفت في المقام عدم إمكان المصير إلى المعنى الحقيقي لقيام صارف عنه، و لكنّه لا يقدح في نهوض الدلالة من جهة اخرى على المطلوب و إن كانت مجازيّة، و هي مع قيام القرينة القاضية بالتعيين ممّا يجب المصير إليها، و قد تبيّن القرينة الّتي مفادها مطابق لمفاد المعنى الحقيقي بالقياس إلى أصل المطلب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وجهه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ابتناء ثبوت المطلب على ثبوت الحقيقة </w:t>
      </w:r>
    </w:p>
    <w:p>
      <w:pPr>
        <w:pStyle w:val="BookText"/>
        <w:rPr/>
      </w:pPr>
      <w:r>
        <w:rPr>
          <w:rFonts w:ascii="Amiri" w:hAnsi="Amiri" w:eastAsia="Amiri" w:cs="Amiri"/>
          <w:color w:val="111111"/>
          <w:sz w:val="28"/>
          <w:sz w:val="28"/>
          <w:szCs w:val="28"/>
          <w:rtl w:val="true"/>
          <w:lang w:bidi="ar-SA"/>
        </w:rPr>
        <w:t>الشرعيّة في تلك اللفظة،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معناه الأصلي اللغوي و هو القذارة قبالا للنظافة، غير أنّ المعلوم من طريقة الشارع أنّ مصداق النجاسة بهذا المعنى في نظر الشارع غير ما هو مصداقها في نظر العرف، فإنّهم يروه صفة ظاهريّة يعرض الماء و غيره من الألوان المكروهة و الأرياح المنتنة و الطعوم المستقبحة، و الشارع يراه صفة معنويّة تعرض الماء و غيره و توجب المنع عن الاستعمال، فإذا علمنا من طريقة الشارع، اعتبار هذا المعنى في مصداق النجاسة في سائر الموارد يجب علينا اعتباره في كلّ موضع لم يقم قرينة على خلافه و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احتمال الاستقذار و الاستكراه العرفيّين ليس ممّا ينبغي تنزيل كلام الشارع إليه، من حيث إنّ بيان أمثال ذلك ليس من وظيفته، بل اللائق بشأنه و بمنصب الإمامة إنّما هو بيان النجاسة بالمعنى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بيان غيره لأجل التنبيه على كراهة الاستعمال،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الكراهة بمجرّد ملاقاة النجاسة من دون انفعال، لعدم قيام الدلالة عليه شرعا، و مجرّد الاحتمال غير كاف في نهوضها، و لا يعارض الدلالة المعتبرة القائمة بإرادة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وجهه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المعارضة أوّلا، و منع كون الرجحان في جانب المعارض ثانيا، بل الرجحان في جانب روايات الباب لقوّة دلالتها في أنفسها لما فيها من الصراحة و الظهور منطوقا و مفهوما، و اعتضادها بالشهرة العظيمة القريبة من الإجماع، و لا مرجّح في جانب المعارض، لكون الأصل و الاستصحاب غير صالحين للترجيح، كما ذكرناه مرارا و لا منافاة لعموم ما دلّ على طهارة الماء حتّى يعلم أنّه قذر، لدخول المقام في غاية هذا العامّ، بناء على أنّ العلم المأخوذ فيه غاية أعمّ من الشرعي، و الأخبار المقامة على النجاسة علم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إعراض الأصحاب عن العمل بالأخبار المعارضة مع كثرتها على ما توهّمه الذاهب إليها موهنا فيها، كاشفا عن قصور فيها سندا أو دلالة أو هما معا، و تمام الكلام في منع نهوضها دليلا على عدم الانفعال، يأتي عند ذكر الاحتجاج بها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قضيّة المفهوم كما ذكر، بل هو قضيّة معقولة لو عبّر عنها باللفظ لعبّر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الماء قدر كرّ ينجّسه كلّ شيء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w:t>
      </w:r>
      <w:bookmarkStart w:id="240" w:name="pg16144_233131"/>
    </w:p>
    <w:p>
      <w:pPr>
        <w:pStyle w:val="BookText"/>
        <w:rPr/>
      </w:pPr>
      <w:bookmarkEnd w:id="240"/>
      <w:r>
        <w:rPr>
          <w:rFonts w:ascii="Amiri" w:hAnsi="Amiri" w:eastAsia="Amiri" w:cs="Amiri"/>
          <w:color w:val="111111"/>
          <w:sz w:val="28"/>
          <w:sz w:val="28"/>
          <w:szCs w:val="28"/>
          <w:rtl w:val="true"/>
          <w:lang w:bidi="ar-SA"/>
        </w:rPr>
        <w:t>القول فيه مع الدليل عليه في الاصول، و مجمل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المخالفة كائنا ما كان يعتبر بينه و بين منطوقه الوحدة و المطابقة من جميع الجهات الّتي منها الكمّ، إلاّ جهتي الإيجاب و السلب و موضوعيهما، و كما أنّ في منطوق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عموما من جهات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و هذان عمومان أفراديّان،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أفراد الماء، و كلّ فرد من أفراد الشيء المنجّس،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الكرّ،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 ينجّسه، و هذان عمومان أحواليّان، فالأوّل منهما في كيفيّات مقادير الكرّ و محالّ وقوعه و أنحاء شكله، و الثاني في كيفيّات الملاقاة من التساوي و الاختلاف، تسنّما أو انحدارا، و ورود النجاسة على الماء أو ورود الماء على النجاسة، و أمثال ذلك، ممّا يستفاد من النسبة، فكذلك يجب أن يعتبر هذا العموم في جانب المفهوم أيضا من جميع الجهات المذكورة، و لا ينافي العموم من الجهة الأخيرة في المفهوم كون عموم الشيء في جانب المنطوق وضعيّا، لكونه نكرة في سياق النفي، و الوضع منتف عنه في جانب المفهوم، لأنّ انتفاء الوضع لا يوجب انتفاء ما يقوم مقامه، كما في المجازات و غيرها، و قد قامت القرينة العرفيّة بل العقليّة القطعيّة على اعتبار العموم في جانب المفهوم أيضا، غايته أنّه عموم معنويّ حيث لا معبّر له في الكلام، و لعلّه صار منشأ لمزالّ بعض الأقدام، و كأنّه غفلة عن قضيّة السببيّة، أو الملازمة المطلقة الّتي يستحيل معها تحقّق المسبّب بدون السبب، أو اللازم بدون الملزوم، و إلاّ لما كان السبب سببا و لا الملزوم ملزوما و قد فرضنا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ما ذكر نحكم على من أنكر العموم في مفهوم يكون منطوقه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الإطلاق و السكوت عن التقييد في معرض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مآله إلى إنكار أصل الحجّيّة، مع أنّه يعدّ نفسه من أهل القول بها، و لا يخفى ما في هاتين الدعويين من التهافت الواضح، و هذا ليس بعادم النظير، بعد ما كان مبناه على الغفلة عن حقيقة الحال، و اللّه العالم في جميع الأحوال</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804526_1280447820"/>
      <w:bookmarkStart w:id="242" w:name="_Toc94"/>
      <w:bookmarkEnd w:id="241"/>
      <w:r>
        <w:rPr>
          <w:rtl w:val="true"/>
        </w:rPr>
        <w:t>و بقي الكلام في حجّة القول بعدم انفعال القليل بملاقاة النجاسة</w:t>
      </w:r>
      <w:bookmarkEnd w:id="242"/>
    </w:p>
    <w:p>
      <w:pPr>
        <w:pStyle w:val="Heading5"/>
        <w:numPr>
          <w:ilvl w:val="4"/>
          <w:numId w:val="1"/>
        </w:numPr>
        <w:rPr/>
      </w:pPr>
      <w:bookmarkStart w:id="243" w:name="__RefHeading___Toc1804528_1280447820"/>
      <w:bookmarkStart w:id="244" w:name="_Toc95"/>
      <w:bookmarkEnd w:id="243"/>
      <w:r>
        <w:rPr>
          <w:rtl w:val="true"/>
        </w:rPr>
        <w:t>[</w:t>
      </w:r>
      <w:r>
        <w:rPr>
          <w:rtl w:val="true"/>
        </w:rPr>
        <w:t xml:space="preserve">استدلال العلامة في عدم الانفعال بالرواية التي وردت عن الصادق عن آبائه عليهم السّلام </w:t>
      </w:r>
      <w:r>
        <w:rPr>
          <w:rtl w:val="true"/>
        </w:rPr>
        <w:t>«</w:t>
      </w:r>
      <w:r>
        <w:rPr>
          <w:rtl w:val="true"/>
        </w:rPr>
        <w:t>أنّ الماء طاهر لا ينجّسه إلاّ ما غيّر لونه أو طعمه أو رائحته</w:t>
      </w:r>
      <w:r>
        <w:rPr>
          <w:rtl w:val="true"/>
        </w:rPr>
        <w:t>»]</w:t>
      </w:r>
      <w:r>
        <w:rPr>
          <w:rtl w:val="true"/>
        </w:rPr>
        <w:t>،</w:t>
      </w:r>
      <w:bookmarkEnd w:id="244"/>
    </w:p>
    <w:p>
      <w:pPr>
        <w:pStyle w:val="Heading6"/>
        <w:numPr>
          <w:ilvl w:val="5"/>
          <w:numId w:val="1"/>
        </w:numPr>
        <w:rPr/>
      </w:pPr>
      <w:bookmarkStart w:id="245" w:name="__RefHeading___Toc1804530_1280447820"/>
      <w:bookmarkStart w:id="246" w:name="_Toc96"/>
      <w:bookmarkEnd w:id="245"/>
      <w:r>
        <w:rPr>
          <w:rtl w:val="true"/>
        </w:rPr>
        <w:t>اشارة</w:t>
      </w:r>
      <w:bookmarkEnd w:id="2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احتجّ العلاّمة </w:t>
      </w:r>
    </w:p>
    <w:p>
      <w:pPr>
        <w:pStyle w:val="BookText"/>
        <w:rPr/>
      </w:pPr>
      <w:r>
        <w:rPr>
          <w:rFonts w:ascii="Amiri" w:hAnsi="Amiri" w:eastAsia="Amiri" w:cs="Amiri"/>
          <w:color w:val="111111"/>
          <w:sz w:val="28"/>
          <w:sz w:val="28"/>
          <w:szCs w:val="28"/>
          <w:rtl w:val="true"/>
          <w:lang w:bidi="ar-SA"/>
        </w:rPr>
        <w:t>له في المختلف، بل حكى عن ابن أبي عقيل الاحتجاج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تواتر 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طاهر لا ينجّسه إلاّ ما غيّر لونه أو طعمه أو رائحته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سئل عليه السّلام عن الماء النقيع و الغدير و أشباههما، فيه الجيف و القذر، و ولوغ الكلاب و يشرب منه الدوابّ و تبول فيه أ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فيه من النجاسة غالبا على الماء فلا تتوضّأ منه، و إن كان الماء غالبا على النجاسة فتوضّأ منه و اغتسل</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في طريق مكّة أنّ بعض مواليه استقى له من بئر دلوا من ماء فخرج فيه فأرتان،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فاستقى آخر فخرج فيه فأرة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 ثمّ استقى دلوا آخر فلم يخرج فيه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فتوضّأ و اغتسل منه و شرب</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الباقر عليه السّلام عن القربة، و الجرّة من الماء سقط فيهما فأرة أو جرذ أو غيره فيموتون فيها،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رائحته على طعم الماء أو لونه فأرقه، و إن لم يغلب عليه فاشرب منه و توضّأ و اطرح الميتة إذا أخرجتها طريّة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بالمدينة رجل يدخل إلى أبي جعفر محمّد ابن عليّ عليهما السّلام، و كان في طريقه ماء فيه العذرة و الجيفة و كان يأمر الغلام يحمل كوزا من ماء يغسل رجليه إذا خاضه فأبصرني يوما أبو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إلاّ طهّره فلا تعد منه غسلا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الأحاديث عامّة في القليل و الكثير، و الأخبار الدالّة على الكثير مقيّدة، و لا يجوز أن يكونا في وقت واحد للتنافي بينهما، بل أحدهما سابق، فالمتأخّر يكون ناسخا و المتأخّر هنا مجهول، فلا يجوز العمل بأحد الخبرين دون الآخر، و يبقى التعويل على الكتاب الدالّ على طهارة الماء مطلقا، و أيضا ليس القول بنجاسة الماء الطاهر بمخالطته للنجاسة بأولى من القول بطهارة النجس لملاقاته الماء الطاهر، مع أنّ اللّه تعالى جعل الماء مزيلا للنجاسة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247" w:name="pg16144_233133"/>
    </w:p>
    <w:p>
      <w:pPr>
        <w:pStyle w:val="Heading6"/>
        <w:numPr>
          <w:ilvl w:val="5"/>
          <w:numId w:val="1"/>
        </w:numPr>
        <w:rPr/>
      </w:pPr>
      <w:bookmarkStart w:id="248" w:name="__RefHeading___Toc1804532_1280447820"/>
      <w:bookmarkStart w:id="249" w:name="_Toc97"/>
      <w:bookmarkEnd w:id="247"/>
      <w:bookmarkEnd w:id="248"/>
      <w:r>
        <w:rPr>
          <w:rtl w:val="true"/>
        </w:rPr>
        <w:t>و الجواب عن ذلك</w:t>
      </w:r>
      <w:r>
        <w:rPr>
          <w:rtl w:val="true"/>
        </w:rPr>
        <w:t xml:space="preserve">: </w:t>
      </w:r>
      <w:r>
        <w:rPr>
          <w:rtl w:val="true"/>
        </w:rPr>
        <w:t>بمنع الصغرى و الكبرى معا</w:t>
      </w:r>
      <w:r>
        <w:rPr>
          <w:rtl w:val="true"/>
        </w:rPr>
        <w:t>.</w:t>
      </w:r>
      <w:bookmarkEnd w:id="249"/>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التنافي الّذي بينهما على تقدير كونهما في وقت واحد، إن اريد به ما يكون كذلك في الظاهر و الواقع فالملازمة ممنوعة؛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إنّما يقتضي العموم معلّقا على عدم ورود ما يكشف عن عدم اعتبار المتكلّم لعمومه و هو الخاصّ، و معه لا اقتضاء فيه للعموم واقعا، فلا تنافي بينه و بين الخاصّ المخالف له واقعا، كما يشهد به العرف و الاعتبار من غير فرق في ذلك بين ورودهما في وقت واحد أو في وقتين مع تأخّر الخاصّ أو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في الجميع حمل العامّ على الخاصّ، و جعل الخاصّ بيانا له و قرينة كاشفة عمّا أراده المتكلّم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ما يكون كذلك في الظاهر فقط فهو غير قادح في الحمل بل شرطه المحقّق له، و لا يقتضي العدول منه إلى النسخ ليعتبر فيه العلم بالتاريخ و تأخّر الناسخ عن المنسوخ، كيف و لو صلح ذلك مانعا لجرى في احتمال النسخ أيضا، و لكن بالنسبة إلى الأزمان من حيث إنّ الناسخ في الحقيقة بيان لانتهاء الحكم، و قد اقتضى دليل الأصل بظاهر إطلاقه أو عمومه دوامه و استمراره، كما هو من شرائط النسخ المقرّرة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النسخ بعد انقطاع الوحي ممّا لا معنى له، و مع الغضّ عن ذلك فانقطاع اليد عن التعويل على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معرفة الناسخ من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لانقطاع اليد عن عموم الكتاب أيضا، بناء على ما عليه بعض المحقّقين من جواز نسخ الكتاب بخبر الواحد، فإذا احتمل عمومات الأخبار لكونها منسوخة بمقيّد أخبار الكرّ كان ذلك الاحتمال قائما في الكتاب الدالّ على طهارة الماء مطلقا، بل لا يعقل فيه البقاء على العموم مع كون ذلك الحكم في الواقع منسوخا، و قضيّة ذلك عدم جواز التعويل على الكتاب أيضا، بل قضيّة إناطة التوقّف بالنسبة إلى النوعين من الأخبار بالجهل بالمتأخّر أن لا يتوقّف في منسوخيّة الكتاب؛ لتأخّر الخبر المقيّد عنه لا محالة، و معه يتعيّن عمومات الأخبار؛ لكونها منسوخة حذرا عن تعدّد النسخ كما لا يخفى، و قضيّة ذلك تعيّن العمل على المقيّد و هو المطلوب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العلاوة،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المصير إلى نجاسة الماء الطاهر بمخالطته للنجاسة ليس لمجرّد التشهّي و هوى النفس، ليتوجّه إليه منع كونه أولى من المصير إلى طهارة </w:t>
      </w:r>
      <w:bookmarkStart w:id="250" w:name="pg16144_233134"/>
    </w:p>
    <w:p>
      <w:pPr>
        <w:pStyle w:val="BookText"/>
        <w:rPr/>
      </w:pPr>
      <w:bookmarkEnd w:id="250"/>
      <w:r>
        <w:rPr>
          <w:rFonts w:ascii="Amiri" w:hAnsi="Amiri" w:eastAsia="Amiri" w:cs="Amiri"/>
          <w:color w:val="111111"/>
          <w:sz w:val="28"/>
          <w:sz w:val="28"/>
          <w:szCs w:val="28"/>
          <w:rtl w:val="true"/>
          <w:lang w:bidi="ar-SA"/>
        </w:rPr>
        <w:t>النجس لملاقاة الماء الطاهر، بل هو من جهة دلالة الشرع عليه بأنحائها المختلفة من الصراحة و الظهور، منطوقا و مفهوما و سياقا و نحو ذلك، و عليه يكون ذلك هو الباعث على الأولويّة، و ليس مثله موجودا في جانب العكس؛ لاعتراف الخصم بأنّ كلّ ما فيه من الأخبار لا يكون إلاّ عمومات أو مطلقات، و لا ريب أنّ الاولى قابلة للتخصيص و الثانية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العلاوة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تعالى جعل الماء مزيلا للنجاسة، إن اريد به ما هو الحال في غسل الثياب و غيرها من المتنجّسات القابلة للتطهير،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خاصّ تعبّدي أثبته الدليل في مورده الخاصّ به فلا يقاس عليه غيره، ما لم يكن هناك مناط معلوم أو أولويّة قطعيّة أو عرفيّة، و إن اريد به ما يكون كذلك مطلقا حتّى بالقياس إلى المتنازع فيه فهو أوّل المسألة كما لا يخفى، فيكون التعويل عليه مصادرة بيّنة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804534_1280447820"/>
      <w:bookmarkStart w:id="252" w:name="_Toc98"/>
      <w:bookmarkEnd w:id="251"/>
      <w:r>
        <w:rPr>
          <w:rtl w:val="true"/>
        </w:rPr>
        <w:t>[</w:t>
      </w:r>
      <w:r>
        <w:rPr>
          <w:rtl w:val="true"/>
        </w:rPr>
        <w:t>قول المحدث الكاشاني و رده</w:t>
      </w:r>
      <w:r>
        <w:rPr>
          <w:rtl w:val="true"/>
        </w:rPr>
        <w:t>]</w:t>
      </w:r>
      <w:bookmarkEnd w:id="252"/>
    </w:p>
    <w:p>
      <w:pPr>
        <w:pStyle w:val="Heading6"/>
        <w:numPr>
          <w:ilvl w:val="5"/>
          <w:numId w:val="1"/>
        </w:numPr>
        <w:rPr/>
      </w:pPr>
      <w:bookmarkStart w:id="253" w:name="__RefHeading___Toc1804536_1280447820"/>
      <w:bookmarkStart w:id="254" w:name="_Toc99"/>
      <w:bookmarkEnd w:id="253"/>
      <w:r>
        <w:rPr>
          <w:rtl w:val="true"/>
        </w:rPr>
        <w:t>و عن المحدّث الكاشاني الذاهب إلى عدم انفعال القليل بملاقاة النجاسة الاحتجاج بوجوه</w:t>
      </w:r>
      <w:r>
        <w:rPr>
          <w:rtl w:val="true"/>
        </w:rPr>
        <w:t>:</w:t>
      </w:r>
      <w:bookmarkEnd w:id="254"/>
    </w:p>
    <w:p>
      <w:pPr>
        <w:pStyle w:val="Heading6"/>
        <w:numPr>
          <w:ilvl w:val="5"/>
          <w:numId w:val="1"/>
        </w:numPr>
        <w:rPr/>
      </w:pPr>
      <w:bookmarkStart w:id="255" w:name="__RefHeading___Toc1804538_1280447820"/>
      <w:bookmarkStart w:id="256" w:name="_Toc100"/>
      <w:bookmarkEnd w:id="255"/>
      <w:r>
        <w:rPr>
          <w:rtl w:val="true"/>
        </w:rPr>
        <w:t>أوّلها</w:t>
      </w:r>
      <w:r>
        <w:rPr>
          <w:rtl w:val="true"/>
        </w:rPr>
        <w:t xml:space="preserve">: </w:t>
      </w:r>
      <w:r>
        <w:rPr>
          <w:rtl w:val="true"/>
        </w:rPr>
        <w:t>ما رواه السكوني عن أبي عبد اللّه عليه السّلام أنّه قال</w:t>
      </w:r>
      <w:r>
        <w:rPr>
          <w:rtl w:val="true"/>
        </w:rPr>
        <w:t xml:space="preserve">: </w:t>
      </w:r>
      <w:r>
        <w:rPr>
          <w:rtl w:val="true"/>
        </w:rPr>
        <w:t>قال رسول اللّه صلّى اللّه عليه و آله و سلّم</w:t>
      </w:r>
      <w:r>
        <w:rPr>
          <w:rtl w:val="true"/>
        </w:rPr>
        <w:t>: «</w:t>
      </w:r>
      <w:r>
        <w:rPr>
          <w:rtl w:val="true"/>
        </w:rPr>
        <w:t>الماء يطهّر و لا يطهّر</w:t>
      </w:r>
      <w:r>
        <w:rPr>
          <w:rtl w:val="true"/>
        </w:rPr>
        <w:t>»</w:t>
      </w:r>
      <w:bookmarkEnd w:id="256"/>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السكوني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في شرح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لا يطهّر لأنّه إن غلب على النجاسة حتّى استهلكت فيه طهّرها و لم ينجّس حتّى يحتاج إلى التطهير، و إن غلبت عليه النجاسة حتّى استهلك فيها صار في حكم تلك النجاسة و لم يقبل التطهير إلاّ بالاستهلاك في الماء الطاهر، و حينئذ لم يبق منه شيء</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في السالبة إنّما هو من جهة انتفاء الموضوع، و ذلك من جهة أنّ الماء إمّا يستهلك فلا ماء، أو يوجب الاستهلاك فلا ينجّس، فليس له حالة يكون فيها باقيا على صدق اسم المائيّة عليه و هو نجس، حتّى يحتاج إلى تطهير يصدق عليه أنّه تطهير للماء، و هذا المعنى ممّا يستفاد من النفي فيكون دليلا على أنّ الماء بما هو ماء لا ينجّس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تطرّق القدح في السند كما لا يخفى، منع دلالته على ما ذكر، كيف و أنّه </w:t>
      </w:r>
      <w:bookmarkStart w:id="257" w:name="pg16144_233135"/>
    </w:p>
    <w:p>
      <w:pPr>
        <w:pStyle w:val="BookText"/>
        <w:rPr/>
      </w:pPr>
      <w:bookmarkEnd w:id="257"/>
      <w:r>
        <w:rPr>
          <w:rFonts w:ascii="Amiri" w:hAnsi="Amiri" w:eastAsia="Amiri" w:cs="Amiri"/>
          <w:color w:val="111111"/>
          <w:sz w:val="28"/>
          <w:sz w:val="28"/>
          <w:szCs w:val="28"/>
          <w:rtl w:val="true"/>
          <w:lang w:bidi="ar-SA"/>
        </w:rPr>
        <w:t>يفضي إلى إنكار تنجّسه بالتغيّر أيضا،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ممّا لا يتأتّى إلاّ باستهلاك الماء في النجاسة،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البداهة القاضية بأنّ الاستهلاك موضوع آخر مغاير لموضوع التغيّر، فهو حال التغيّر ماء و نجس فيحتاج إلى التطهير، فحمل الرواية على المعنى المذكور إخراج لها إلى الكذب، مع أنّه قد سبق منّا</w:t>
      </w:r>
      <w:r>
        <w:rPr>
          <w:rStyle w:val="FootnoteAnchor"/>
          <w:rtl w:val="true"/>
        </w:rPr>
        <w:footnoteReference w:id="765"/>
      </w:r>
      <w:r>
        <w:rPr>
          <w:rFonts w:ascii="Amiri" w:hAnsi="Amiri" w:eastAsia="Amiri" w:cs="Amiri"/>
          <w:color w:val="111111"/>
          <w:sz w:val="28"/>
          <w:sz w:val="28"/>
          <w:szCs w:val="28"/>
          <w:rtl w:val="true"/>
          <w:lang w:bidi="ar-SA"/>
        </w:rPr>
        <w:t>في معنى الرواية محامل كثيرة ظاهرة لا معنى معها لتكلّف الحمل على المعنى المذكور، و لو سلّم عدم ظهورها فلا يسلّم ظهور هذا المعنى أيضا، و معه يكون الرواية سبيلها سبيل المجملات فيخرج به عن عداد ما يعتبر في الاستدلالات</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804540_1280447820"/>
      <w:bookmarkStart w:id="259" w:name="_Toc101"/>
      <w:bookmarkEnd w:id="258"/>
      <w:r>
        <w:rPr>
          <w:rtl w:val="true"/>
        </w:rPr>
        <w:t>و ثانيها</w:t>
      </w:r>
      <w:r>
        <w:rPr>
          <w:rtl w:val="true"/>
        </w:rPr>
        <w:t xml:space="preserve">: </w:t>
      </w:r>
      <w:r>
        <w:rPr>
          <w:rtl w:val="true"/>
        </w:rPr>
        <w:t>أنّه لو كان معيار نجاسة الماء و طهارته نقصانه عن الكرّ و بلوغه إليه، لما جاز إزالة الخبث بالقليل منه بوجه من الوجوه مع أنّه جائز بالاتّفاق؛</w:t>
      </w:r>
      <w:bookmarkEnd w:id="259"/>
    </w:p>
    <w:p>
      <w:pPr>
        <w:pStyle w:val="BookText"/>
        <w:rPr/>
      </w:pPr>
      <w:r>
        <w:rPr>
          <w:rFonts w:ascii="Amiri" w:hAnsi="Amiri" w:eastAsia="Amiri" w:cs="Amiri"/>
          <w:color w:val="111111"/>
          <w:sz w:val="28"/>
          <w:sz w:val="28"/>
          <w:szCs w:val="28"/>
          <w:rtl w:val="true"/>
          <w:lang w:bidi="ar-SA"/>
        </w:rPr>
        <w:t xml:space="preserve">و ذلك لأنّ كلّ جزء من أجزاء الماء الوارد على المحلّ النجس إذا لاقاه كان متنجّسا بالملاقاة، خارجا عن الطهوريّة في أوّل آنات اللقاء، و ما لم يلاقه لم يعقل أن يكون مطهّرا، و الفرق بين وروده على النجاسة و ورودها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إذ الكلام في ذلك الجزء الملاقي و لزوم تنجّسه، و القدر المستعلي لكونه دون مبلغ الكرّ لا يقوى على أن يعصمه بالاتّصال عن الانفعال، فلو كانت الملاقاة مناط التنجيس لزم تنجّس القدر الملاقي لا محالة فلا يحصل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تكلّفه بعضهم من ارتكاب القول بالانفعال هناك من بعد الانفصال عن محلّ النجاسة فمن أبعد التكلّفات، و من ذا الّذي يرتضي القول بنجاسة الملاقي للنجاسة بعد مفارقته عنها و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طهوريّته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ملاقاته لها برطوبة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التعبّديّة الثابتة في الشريعة من جهة الضرورة لا تدفع بالاستبعادات العقليّة، و لا تقابل بالاستغرابات الذوقيّة خصوصا مع ما اشتهر فيما بينهم من أنّ مبنى شرعنا على الجمع بين المختلفات و التفريق بين المتّفقات،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استناد الطهارة إلى نفس الماء و أنّه علّة تامّة له، بل التطهّر حقيقة يحصل بإخراج أجزاء النجاسة عن المحلّ أو إخراج أثرها عنه، و لا يتأتّى ذلك إلاّ بواسطة الماء؛ حيث إنّه إذا صبّ على المحلّ ما يحيط منه عليه و يستولي على أجزاء النجاسة </w:t>
      </w:r>
      <w:bookmarkStart w:id="260" w:name="pg16144_233136"/>
    </w:p>
    <w:p>
      <w:pPr>
        <w:pStyle w:val="BookText"/>
        <w:rPr/>
      </w:pPr>
      <w:bookmarkEnd w:id="260"/>
      <w:r>
        <w:rPr>
          <w:rFonts w:ascii="Amiri" w:hAnsi="Amiri" w:eastAsia="Amiri" w:cs="Amiri"/>
          <w:color w:val="111111"/>
          <w:sz w:val="28"/>
          <w:sz w:val="28"/>
          <w:szCs w:val="28"/>
          <w:rtl w:val="true"/>
          <w:lang w:bidi="ar-SA"/>
        </w:rPr>
        <w:t>الواصلة إليه أوجب إخراجه عنه بالعصر، و ما في معناه فيما لا يقبل العصر، خروج أجزاء النجاسة عنه فيطهّر، و لا ينافيه الحكم عليه بكونه مطهّرا، لأنّه هو الموجب لتحقّق ما هو مناط التطهير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اعتبار العصر و نحوه في الغسل، و أنّه لو كان المحلّ ممّا يمكن فيه عزل أجزاء النجاسة عنه بغير توسّط ماء كان طاهرا، كما لو كان عينا جامدة و النجاسة عينيّة يمكن إلقاؤها مع ما يكتنفها من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اجيب عنه بالنقض بأحجار الاستنجاء، فإنّ الأصحاب اوجبوا فيها الطهارة و حكموا بأنّ النجس منها لا يطهّر، مع أنّها تنجّس حال الاستعمال بمجرّد الملاقاة، و لم يقل أحد بكون نجاسة هذه مانعة عن حصول طهارة المحلّ بها، و نحوه الكلام في مسألة تطهير الأرض</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804542_1280447820"/>
      <w:bookmarkStart w:id="262" w:name="_Toc102"/>
      <w:bookmarkEnd w:id="261"/>
      <w:r>
        <w:rPr>
          <w:rtl w:val="true"/>
        </w:rPr>
        <w:t>و ثالثها</w:t>
      </w:r>
      <w:r>
        <w:rPr>
          <w:rtl w:val="true"/>
        </w:rPr>
        <w:t xml:space="preserve">: </w:t>
      </w:r>
      <w:r>
        <w:rPr>
          <w:rtl w:val="true"/>
        </w:rPr>
        <w:t>أنّ اشتراط الكرّ مثار الوسواس، و لأجله شقّ الأمر على الناس،</w:t>
      </w:r>
      <w:bookmarkEnd w:id="262"/>
    </w:p>
    <w:p>
      <w:pPr>
        <w:pStyle w:val="BookText"/>
        <w:rPr/>
      </w:pPr>
      <w:r>
        <w:rPr>
          <w:rFonts w:ascii="Amiri" w:hAnsi="Amiri" w:eastAsia="Amiri" w:cs="Amiri"/>
          <w:color w:val="111111"/>
          <w:sz w:val="28"/>
          <w:sz w:val="28"/>
          <w:szCs w:val="28"/>
          <w:rtl w:val="true"/>
          <w:lang w:bidi="ar-SA"/>
        </w:rPr>
        <w:t>يعرفه من يجرّبه و يتأمّله، و ممّا لا شكّ فيه أنّ ذلك لو كان شرطا لكان أولى المواضع بتعذّر الطهارة مكّة و المدينة المشرّفتين؛ إذ لا يكثر فيها المياه الجارية و لا الراكد الكثير، و من أوّل عصر النبيّ صلّى اللّه عليه و آله و سلّم إلى آخر عصر الصحابة لم ينقل واقعة في الطهارات، و لا سؤال عن كيفيّة حفظ المياه عن النجاسات، و كانت أواني مياههم تتعاطاها الصبيان و الإماء الّذين لا يتحرّزون من النجاسات، بل الكفّار كما هو معلوم لمن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ممّا لا يفهم معناه، فإن اريد به أنّ إناطة حفظ الماء عن الانفعال بالكرّيّة ممّا يوجب الأمرين لما يكثر في المياه من الشكّ في الكرّيّة،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منقوض بكافّة الموازين الشرعيّة الّتي انيط بها الأحكام الكلّيّة، كإناطة حلّية اللحوم و حرمتها بالتذكية و العدم، و إناطة حلّ الأموال و حرمتها بالملكيّة و العدم، و إناطة الملكيّة بأسبابها المعهودة إلى غير ذلك ممّا لا يحصى عددا، أنّ هذا الشكّ و ما يترتّب عليه من الأمرين بعد تسليم الملازمة يرتفع بملاحظة الضوابط الكلّيّة، و القواعد المقرّرة في الشريعة مرجعا للمكلّف في مظانّ الشكّ و الشبهة من الاصول العمليّة و الاجتهاديّة، فإنّ هذا الشكّ غير خال عن كونه ابتدائيّا أو مسبوقا بمعلوميّة الكرّيّة أو معلوميّة القلّة، و لا إشكال في شيء من الصور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فلتعيّن الرجوع حينئذ إلى الأصل العامّ المستفاد عن عمومات الطهارة، </w:t>
      </w:r>
    </w:p>
    <w:p>
      <w:pPr>
        <w:pStyle w:val="BookText"/>
        <w:rPr/>
      </w:pPr>
      <w:r>
        <w:rPr>
          <w:rFonts w:ascii="Amiri" w:hAnsi="Amiri" w:eastAsia="Amiri" w:cs="Amiri"/>
          <w:color w:val="111111"/>
          <w:sz w:val="28"/>
          <w:sz w:val="28"/>
          <w:szCs w:val="28"/>
          <w:rtl w:val="true"/>
          <w:lang w:bidi="ar-SA"/>
        </w:rPr>
        <w:t xml:space="preserve">و خصوص الخبر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كما أسّسناه و شيّدناه، و بالغنا في إحكامه بتتميم الاحتجاج عليه، و على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الاستصحاب الجاري فيهما، هذا كلّه لو اريد بالوسواس ما يحصل للمعتدلين من المكلّفين، و أمّا غيرهم فوسواسهم إنّما ينشأ من قبل الشيطان فلا يكون منشأ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أنّ من الأناسي طوائف لا يتمكّنون عن الكرّيّة، و لا ما هو بمنزلتها لعدم وجود المياه الجارية و لا الراكدة الكثيرة عندهم، فيشقّ عليهم الأمر في حفظ المياه القليلة عن الانفعال، و معه يشكل و يعسر عليهم الأمر في سائر معايشهم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مثل هذا الفرض، إنّا لا نعقل إشكالا و لا عسرا في حفظ المياه حينئذ عن الانفعال، كما أنّهم يحفظون المآكل و الملابس و غيرها عنه، و معه لا مجال للوسواس أصلا، سيّما بعد ملاحظة ما أوسع اللّه عليهم من إناطة النجاسة بالعلم بها و اكتفائه في طهارة كلّ شيء بمجرّد عدم العلم بالقذارة، مع أنّ لزوم محذور في بعض الفروض النادرة لا يقضي بنقض القاعدة الكلّيّة، المنوطة بمصالح عامّة ملحوظة فيها حال الغالب أو الأغلب، و إلاّ فكم من هذا القبيل، فيلزم حينئذ هدم جميع القواعد و الضوابط الشرعيّة، مع أنّ ذلك لو صلح نقضا لكان وروده على المستدلّ أوضح، و قضى بعدم اعتبار الكرّيّة بالكلّيّة، و ستعرف عنه فيما يأتي من تأويله لأخبار الكرّ أنّه يعتبرها ميزانا لمعرفة التغيّر و عدمه بالنجاسة المعتادة حيثما لم يكن ظاهرا عند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أكثر إثارة للوسواس، و أشدّ مدخليّة في صعوبة الأمر على الناس، لكثرة ما يتّفق لهم من الشكّ في التغيّر عند عدم ظهوره للحسّ، فيكون نتيجة كلامه إنكارا لما ثبت بضرورة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اعتبار الكثرة في الماء في الجملة ممّا اتّفق عليه الفريقان، غاية الأمر وقوع الخلاف بينهما في تقدير تلك الكثرة، حيث إنّ الأصحاب رضوان اللّه عليهم قدّروها بالكرّيّة أخذا برواياتهم المستفيضة، و غيرهم يقدّرونها بطرق اخر ممّا تقدّم إليها الإشارة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تأييد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لم ينقل من أوّل عصر النبيّ صلّى اللّه عليه و آله و سلّم إلى آخر الصحابة واقعة في الطهارات، و لا سؤال عن كيفيّة حفظ المياه من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bookmarkStart w:id="263" w:name="pg16144_233138"/>
    </w:p>
    <w:p>
      <w:pPr>
        <w:pStyle w:val="BookText"/>
        <w:rPr/>
      </w:pPr>
      <w:bookmarkEnd w:id="263"/>
      <w:r>
        <w:rPr>
          <w:rFonts w:ascii="Amiri" w:hAnsi="Amiri" w:eastAsia="Amiri" w:cs="Amiri"/>
          <w:color w:val="111111"/>
          <w:sz w:val="28"/>
          <w:sz w:val="28"/>
          <w:szCs w:val="28"/>
          <w:rtl w:val="true"/>
          <w:lang w:bidi="ar-SA"/>
        </w:rPr>
        <w:t>من أعجب ما يذكر في هذا المقام، كيف و كم من هذا القبيل فيما بين الأحكام الثابتة في الشريعة، و لا سيّما ما اختصّ منها بالفرقة المحقّة، و أيّ ملازمة بين ثبوت حكم كلّي ثمّة و نقل واقعة أو وقائع في مراعاة ذلك الحكم إلينا، فإنّ أمثال هذه الوقائع كثيرا ما لا تنقل اقتناعا ببداهة الحكم فيها، كما أنّها قد لا تنقل لمعاندة المعاندين و مكايدة أعداء الدين، الّذين كان هممهم مصروفة في إخفاء الشريعة المطهّرة، و هدم أساس القوانين النبويّة، كما هو معلوم من طريقتهم في مواضع متكثّرة، مع أنّ العبرة بنقل أصل الحكم بعنوانه الكلّي، و قد نقل بلسان أئمّتنا سلام اللّه عليهم الّذي هو لسان النبيّ صلّى اللّه عليه و آله و سلّم، مع أنّ كلّ واقعة لو فرض نقلها لتطرّق إليها التأويل، كما تطرّق إلى نقل أصل الحكم المتحقّق بما تقدّم من وجوه البيان</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804544_1280447820"/>
      <w:bookmarkStart w:id="265" w:name="_Toc103"/>
      <w:bookmarkEnd w:id="264"/>
      <w:r>
        <w:rPr>
          <w:rtl w:val="true"/>
        </w:rPr>
        <w:t>و رابعها</w:t>
      </w:r>
      <w:r>
        <w:rPr>
          <w:rtl w:val="true"/>
        </w:rPr>
        <w:t xml:space="preserve">: </w:t>
      </w:r>
      <w:r>
        <w:rPr>
          <w:rtl w:val="true"/>
        </w:rPr>
        <w:t>أنّ ما يدلّ على المشهور إنّما يدلّ بالمفهوم، و المفهوم لا يعارض المنطوق و لا الظاهر النصّ،</w:t>
      </w:r>
      <w:bookmarkEnd w:id="265"/>
    </w:p>
    <w:p>
      <w:pPr>
        <w:pStyle w:val="BookText"/>
        <w:rPr/>
      </w:pPr>
      <w:r>
        <w:rPr>
          <w:rFonts w:ascii="Amiri" w:hAnsi="Amiri" w:eastAsia="Amiri" w:cs="Amiri"/>
          <w:color w:val="111111"/>
          <w:sz w:val="28"/>
          <w:sz w:val="28"/>
          <w:szCs w:val="28"/>
          <w:rtl w:val="true"/>
          <w:lang w:bidi="ar-SA"/>
        </w:rPr>
        <w:t>مع أنّ أقصى ما يدلّ عليه هذا المفهوم و تنجّس ما دون الكرّ بملاقاة شيء ما، لا كلّ نجاسة فيحمل على المستولية جمعا، فيكون المراد ما لم يستول عليه شيء، أي لم يظهر فيه النجاسة، فيكون تحديدا للقدر الّذي لا يتغيّر بها في الأغلب، ثمّ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حمل الأخبار المتضمّنة للنهي عن الشرب و الوضوء ممّا لاقته النجاسة على التنزّه و الاستحباب</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804546_1280447820"/>
      <w:bookmarkStart w:id="267" w:name="_Toc104"/>
      <w:bookmarkEnd w:id="266"/>
      <w:r>
        <w:rPr>
          <w:rtl w:val="true"/>
        </w:rPr>
        <w:t>[</w:t>
      </w:r>
      <w:r>
        <w:rPr>
          <w:rtl w:val="true"/>
        </w:rPr>
        <w:t>رد المصنف على المحدث الكاشاني</w:t>
      </w:r>
      <w:r>
        <w:rPr>
          <w:rtl w:val="true"/>
        </w:rPr>
        <w:t>]</w:t>
      </w:r>
      <w:bookmarkEnd w:id="267"/>
    </w:p>
    <w:p>
      <w:pPr>
        <w:pStyle w:val="BookText"/>
        <w:rPr/>
      </w:pPr>
      <w:r>
        <w:rPr>
          <w:rFonts w:ascii="Amiri" w:hAnsi="Amiri" w:eastAsia="Amiri" w:cs="Amiri"/>
          <w:color w:val="111111"/>
          <w:sz w:val="28"/>
          <w:sz w:val="28"/>
          <w:szCs w:val="28"/>
          <w:rtl w:val="true"/>
          <w:lang w:bidi="ar-SA"/>
        </w:rPr>
        <w:t>و لا يخفى ما في كلّ هذه الكلمات، فإنّ دلالة المفهوم من الدلالات المعتبرة في العرف و الشرع، و المناقشة فيها بأنّ أقصاها اقتضاء التنجّس بشيء ما لا كلّ شيء، قد عرفت ما فيها سابقا ممّا بيّنّا إجمالا،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لا يعارض المنطوق واضحة الفساد، بعد ملاحظة أنّ المفهوم كثيرا ما يعارض المنطوق و يقدّم عليه، و لا سيّما المقام الّذي وقع فيه التعارض بين ظاهر العامّ و الجملة الشرطيّة، و من المقرّر في محلّه أنّ الجملة الشرطيّة أظهر في اعتبار المفهوم من العامّ في إرادة العموم، فيخصّص به العامّ جدّا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فرض تسليم ما ادّعى دلالته على عدم الانفعال عموما، و إلاّ فيتّجه المناقشة في أصل الدلالة بالنسبة إلى أكثرها، أو كونها على جهة العموم، فلا منطوق لأكثر تلك الأخبار بحيث يكون منافيا لمفهوم أخبار الانفعال، مع توجّه المنع إلى دعوى انحصار تلك الأخبار في كون دلالتها مفهوميّة؛ لما عرفت من أنّ أكثرها يدلّ </w:t>
      </w:r>
    </w:p>
    <w:p>
      <w:pPr>
        <w:pStyle w:val="BookText"/>
        <w:rPr/>
      </w:pPr>
      <w:r>
        <w:rPr>
          <w:rFonts w:ascii="Amiri" w:hAnsi="Amiri" w:eastAsia="Amiri" w:cs="Amiri"/>
          <w:color w:val="111111"/>
          <w:sz w:val="28"/>
          <w:sz w:val="28"/>
          <w:szCs w:val="28"/>
          <w:rtl w:val="true"/>
          <w:lang w:bidi="ar-SA"/>
        </w:rPr>
        <w:t>على الانفعال منطوقا بعنوان الصراحة أو الظهور، و العذر في توجيه ما اشتمل منها على الأوامر أو النواهي بحملهما على التنزّه و الاستحباب قد عرفت ما فيه، من أنّهما محمولان من جهة قرينة المقام على معنى آخر غير الوجوب و التحريم و الاستحباب و الكراهة و هو الإرشاد، و معه يثبت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في دعوى كون أخبار المقابل دالّة على عدم الانفعال من باب المنطوق على الإطلاق من المنع الواضح، لما سيتّضح من أنّ جملة من ذلك إنّما يدلّ على الحكم مفهوما، و 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مناطيق تلك الأخبار لمناطيق أخبار الانفعال و مقابلة مفاهيمها لمفاهيمها، و لا ريب أنّ أخبار الانفعال في مناطيقها و مفاهيمها معا مقدّمة سندا و متنا على ما يقابلها 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تقدّمها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أنّ الموهون منها بالضعف و الإرسال يتقوّى بالعمل، فضلا عمّا هو المعتبر منها بالصحّة و الموثّقيّة و الحسن، كما أنّ المعتبر من الطرف المقابل يتوهّن بالإعراض، و يسقط به عن درجة الاعتبار، فكيف بما هو غير معتبر منه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تقدّمها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المرجّحات الداخليّة من جهة الدلالة و غيرها، و الخارجيّة باعتبار المضمون و جهة الصدور، و توضيح ذلك يحتاج إلى ذكر تلك الأخبار مفصّلة و التكلّم عليها دلالة و غيرها،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طوائف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بمنطوقه على المطلب في الماء و النجاسة بعنوانهما الكلّي كالنبويّ المتقدّم، المدّعى تواتره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و الخبر المستفيض المرويّ في الكتب الأربعة بطرق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 صحيحة محمّد بن حمران و جميل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التيمّم من زيادات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عن إمام قوم أصابته في سفر جنابة و ليس معه من الماء ما يكفيه في الغسل أ يتوضّأ و يصلّي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لكن يتيمّم و يصلّي، فإنّ اللّه تعالى جعل التراب طهورا، كما جعل الماء </w:t>
      </w:r>
    </w:p>
    <w:p>
      <w:pPr>
        <w:pStyle w:val="BookText"/>
        <w:rPr/>
      </w:pP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 xml:space="preserve">و صحيحة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استنجاء زيادات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بنو إسرائيل إذا أصاب أحدهم قطرة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لكم الماء طهورا إلخ</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هذه الجملة تارة على الجملة، و اخرى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عاقل يرضى بالعمل على تلك الأخبار الّتي هي أعمّ عمومات ما ورد في الماء، و رفع اليد عن أوّل أنواع ما تقدّم من أخبار الانفعال الّذي تضمّن نصوصا صريحة لا سبيل إلى إبداء احتمال الخلاف فيها، و إن اختصّ بموارد خاصّة من النجاسات كالكلب و النبيذ، و هل هذا إلاّ الخروج عن جادّة الإنصاف، و التشبّث بذريعة الاعتساف، بل هو في الحقيقة يرجع إلى التعمّد على مخالفة الحجّة، على ما هو دأب أهل الخلاف الملتزمين بإبداء القول على خلاف قول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دلالة أخبار هذه الجملة على خلاف ما يقتضيه أخبار الانفعال، أمّا في الخبرين الأخيرين فلوضوح كون الإطلاق فيهما مسوقا لبيان حكم آخر و هو قيام وصف المطهّريّة بالماء بحسب خلقته الأصليّة، و أمّا عدم قبوله الانفعال لعارض فلا تعرّض فيهما لبيانه أصلا،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بينهما و بين أخبار التغيّر الموجب للانفعال، نعم لو ثبت أنّهما يدلاّن على أنّ الطبيعة المائيّة علّة تامّة للمطهّريّة اتّجه القول بالدلالة على الحكم المذكور، و لكنّه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أوّلا، بل غاية ما فيه الدلالة على أنّها مقتضية لها فلا ينافيه مجامعة المانع الرافع لما هو مقتضاها، و كونها منقوضة ثانيا بالتغيّر الموجب لزوال الوصف عنه المانع عن حصوله ما دام باقيا، فلو سلّمنا فيها الدلالة ظاهرا فكشف عن خلافها القاطع المثبت للتغيّر عنوانا مقتضيا للتنجّس المنافي للوصف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تعرّض فيه أيضا لبيان حكم الانفعال و عدمه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بها الحكم الواقعي الإلهي المجعول لطبيعة الماء، أو الثابت فيه بحسب الواقع فهو لا يغيّا بالعلم بالقذارة؛ لأنّها من الأحكام الّتي لا يدخل فيها العلم و الجهل، بل هي ثابتة لموضوعها في نفس </w:t>
      </w:r>
    </w:p>
    <w:p>
      <w:pPr>
        <w:pStyle w:val="BookText"/>
        <w:rPr/>
      </w:pPr>
      <w:r>
        <w:rPr>
          <w:rFonts w:ascii="Amiri" w:hAnsi="Amiri" w:eastAsia="Amiri" w:cs="Amiri"/>
          <w:color w:val="111111"/>
          <w:sz w:val="28"/>
          <w:sz w:val="28"/>
          <w:szCs w:val="28"/>
          <w:rtl w:val="true"/>
          <w:lang w:bidi="ar-SA"/>
        </w:rPr>
        <w:t>الأمر سواء علم بها أو بخلافها المكلّف أو لم يعلم بهما، فتعليق خلافها على العلم بالقذارة قرينة واضحة على عدم إرادة هذا المعنى جزما، و لو اريد بها إعطاء حكم ظاهري فمن شأنه التعليق على العلم بالخلاف، و هو الظاهر من الخبر فحينئذ يخرج عن إفادة عدم الانفعال رأسا، لكونه في صدد بيان حكم لصورة الاشتباه، و إفادة أنّ النجاسة إنّما يحكم بها مع العلم بها خاصّة، فيكون جاريا مجرى أدلّة البراءة المعلّقة على العلم بالتكليف، و هو ممّا لا دخل فيه لعدم الانفعال بالعارض بحسب الواقع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ذلك دخول القليل الملاقي للنجاسة في موضوع هذا الحكم و هو الاشتباه، و معه يحكم عليه بالطهارة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يلائم أصل المسألة المفروضة لمعرفة الحكم الواقعي،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يتّجه مع عدم قيام ما يرفع الاشتباه في خصوص المورد، و الأخبار المقامة على الانفعال من النصوص و الظواهر رافعة له، و واردة على هذا الخبر باقتضائها الخروج عن الموضوع، فلا معارضة بينه و بينها على ما هو الحال في سائر الأدلّة المعلّقة على الجهل و الاشتباه في مقابلة الاجتهاديّات الواردة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سلّمنا أنّ الخبر ورد في مقام إعطاء الحكم الواقعي، فمفاده لا يزيد على كون الطبيعة المائيّة ملزومة للطهارة من باب المقتضي، و هو لا ينافي مصادفة ما يوجب ارتفاعها كما يرشد إليه تعليق القذارة على العلم بها، و لو لا الماء بطبعه قابلا لعروض النجاسة لعرى ذلك عن الفائدة بالمرّة، و بطل به قاعدة التغيّر القائمة على حكم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القذارة المستندة إلى العلم بها لا بدّ لها من مورد و القليل الملاقي للنجاسة منه بحكم الأخبار الواردة فيه، كما أنّ منه المتغيّر بالنجاسة، و لا ينافيه كونها في الخبر معلّقة على العلم، لأنّ الأخبار المذكورة علم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حقيقة في الواقعي، فلا يشمل ما ذكر لكونه معنى مجازيّا للعلم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إنّما في موضع عدم نهوض ما يصرفه عن ظاهره من القرائن، و لا ريب أنّ أدلّة حجّيّة أخبار الآحاد صارفة له عن ذلك، و حاكمة على هذا الخبر بكشفها عن كون المراد بالعلم ما يعمّ الشرعي، و إلاّ أشكل الحال بالقياس إلى التغيّر، حيث إنّ أدلّته ليست إلاّ الأخبار،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التغيّر مفيدة للعلم الواقعي لكثرتها و الإجماع على </w:t>
      </w:r>
    </w:p>
    <w:p>
      <w:pPr>
        <w:pStyle w:val="BookText"/>
        <w:rPr/>
      </w:pPr>
      <w:r>
        <w:rPr>
          <w:rFonts w:ascii="Amiri" w:hAnsi="Amiri" w:eastAsia="Amiri" w:cs="Amiri"/>
          <w:color w:val="111111"/>
          <w:sz w:val="28"/>
          <w:sz w:val="28"/>
          <w:szCs w:val="28"/>
          <w:rtl w:val="true"/>
          <w:lang w:bidi="ar-SA"/>
        </w:rPr>
        <w:t>العمل بها،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القليل الملاقي أيضا كذلك لكثرتها، و صراحة دلالة جملة منها، و قيام العمل بها مع شذوذ المخالف و ضعف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النظر في الاستدلال إن كان إلى إطلاق الماء فهو قابل للتقييد فيقيّد بما دون القليل جمعا، و إن كان إلى عموم النكرة المنفيّة فهي قابلة للتخصيص بمتّصل و منفصل، و كما أنّها مخصّصة بما معها من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من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تخصّص بالمنفصل جمعا بضرورة من العرف و اللغة، و معه لا يبقى فيه دلالة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وردت في موارد خاصّة من الماء أو النجس أو هما معا تدلّ بمنطوقها أو مفهومها على المطلب عموما، كحسنة محمّد بن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الكافي و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الجنب ينتهي إلى الماء القليل في الطريق، و يريد أن يغتسل منه، و ليس معه إناء يغترف به، و يداه قذرتان؟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يده و يتوضّأ و يغتسل، هذا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أبي خالد القمّاط، أنّه سمع أبا عبد اللّه عليه السّلام يقول، في الماء يمرّ به الرجل و هو نقيع فيه الميتة الجيفة،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قد تغيّر ريحه أو طعمه فلا تشرب و لا تتوضّأ منه، و إن لم يتغيّر ريحه و طعمه فاشرب و توضّأ</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بصير عن أبي عبد اللّه عليه السّلام، إنّه سئل عن الماء النقيح تبول فيه الدوابّ؟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تغيّر الماء فلا تتوضّأ منه، و إن لم تغيّره أبوالها فتوضّأ منه، و كذلك الدم إذا سال في الماء و أشباهه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فإذا تغيّر الماء أو تغيّر الطعم فلا توضّأ و لا تشرب</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يمرّ بالماء </w:t>
      </w:r>
    </w:p>
    <w:p>
      <w:pPr>
        <w:pStyle w:val="BookText"/>
        <w:rPr/>
      </w:pPr>
      <w:r>
        <w:rPr>
          <w:rFonts w:ascii="Amiri" w:hAnsi="Amiri" w:eastAsia="Amiri" w:cs="Amiri"/>
          <w:color w:val="111111"/>
          <w:sz w:val="28"/>
          <w:sz w:val="28"/>
          <w:szCs w:val="28"/>
          <w:rtl w:val="true"/>
          <w:lang w:bidi="ar-SA"/>
        </w:rPr>
        <w:t>و فيه دابّة ميتة قد أنتنت؟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النتن الغالب على الماء فلا تتوضّأ و لا تشرب</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أسأله 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يا شهاب فسل، و إن شئت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الغدير يكون في جانبه الجيفة أتوضّأ أو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 الجانب الآخر إلاّ أن يغلب الماء الريح فينتن، و جئت لتسأل عن الماء الراكد من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فيه تغيّر أو ريح،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فتوضّأ منه و كلّما غلب كثرة الماء فهو طاهر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 فيه جيفة؟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قاهرا و لا يوجد فيه الريح فتوضّأ</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يكون من شعر الخنزير، يستقى به الماء من البئر، أ يتوضّأ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هشام بن سالم إنّه سأل أبا عبد اللّه عليه السّلام عن السطح يبال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فيصيب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بناء على حجّيّة العلّة المنصوصة المقتضية لاطّراد الحكم في جميع موارد جريانها، و اعتبار الأكثريّة في موضع النصّ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بالميتة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نسافر فربّما بلينا بالغدير من المطر يكون إلى جانب القرية، فيكون فيه العذرة، و يبول فيه الصبيّ، و تبول فيه الدابّة و تروث؟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عرض في قلبك شيء فقل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افرج الماء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فإنّ الدين ليس بمضيّق، و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w:t>
      </w:r>
    </w:p>
    <w:p>
      <w:pPr>
        <w:pStyle w:val="BookText"/>
        <w:rPr/>
      </w:pP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الحياض يبال فيها؟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عليّ بن حمزة قال سألت أبا عبد اللّه عليه السّلام عن الماء الساكن و الاستنجاء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 الجانب الأخر، و لا توضّأ من جانب الجيفة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أكون في السفر فآتي الماء النقيع و يدي قذرة فأغمسها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إسماعيل بن مسلم عن جعفر عن أبيه أنّ النبيّ صلّى اللّه عليه و آله و سلّم أتى الماء فأتاه أهل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إنّ حياضنا هذه تردها السباع و الكلاب و البهائم،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أخذت بأفواهها، و لكم سائر ذلك</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الصدوق مرسلا عن الصادق عليه السّلام أنّه سئل عن غدير فيه جيفة؟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الماء قاهرا لها لا يوجد الريح منه فتوضّأ منه و اغتسل</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ميزاب ببول و ميزاب بماء، فاختلطا ثمّ أصابك ما كان به بأس</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رواية من ماء سقطت فيها فأرة أو جرذ أو صعوة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تفسّخت فيها فلا تشرب من مائها و لا تتوضّأ و صبّها، و إن كان غير متفسّخ فاشرب منه و توضّأ و اطرح الميتة إذا أخرجتها طريّة، و كذلك الجرّة، و حبّ الماء، و القربة، و أشباه ذلك من أوعية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أو لم يتفسّخ إلاّ أن يجيء له ريح يغلب على ريح الماء</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عن الصدوق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فارتجّت عليّ المسائل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يستنجي فيقع ثوبه 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فسكت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تدري و لم صار لا بأس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تقدّم إليه الإشارة من حجّيّة العلّة المنصوصة المقتضية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المحكيّة عن كتاب دعائم الإسلام عن أمير المؤمنين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الجنب في الماء و فيه الجيفة أو الميتة، فإن كان قد تغيّر لذلك طعمه أو ريحه أو لونه فلا يشرب منه، و لا يتوضّأ و لا يتطهّر منه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دفع هذه الأخبار هيّن بعد المراجعة إلى أخبار الانفعال، لكونها عمومات قابلة للتخصيص أو غيره من أنواع التأويل، فلو قابلناها بالنوع الأوّل من أخبار الانفعال فلا ينبغي التأمّل في تعيّن تخصيصها بها، لدلالتها الصريحة على الانفعال فيما دون الكرّ بالخصوص، حيث تضمّنت فضل الكلب كما في خبر الفضل بن أبي العبّاس، أو سؤره كما في خبر معاوية بن شريح، الظاهرين بل الصريحين فيما دون الكرّ، أو حبّ من الماء كما في خبر أبي بصير، نظرا إلى أنّ الحبّ لا يكون إلاّ أنّه يسع ما دون الكرّ أو الغالب فيه هو ذلك، و نظيره الكلام فيما لو قابلناها من أخبار النوع الثالث بما تضمّن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أربعة أو خمسة من أخبار هذا النوع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مفهوم و هو لا يصلح معارضا للمنطوق، قد عرفت ما فيه من صلوحه لذلك، و تقدّمه فيما بين الظواهر على ظاهر العامّ أو المطلق حيثما وردا في كلامين منفصلين، مع اعتضاد المفهوم هنا بوجوه من الخارج كالشهرة العظيمة القريبة من الإجماع، و نقل الإجماعات في حدّ الاستفاضة،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محكيّ الفاضل </w:t>
      </w:r>
    </w:p>
    <w:p>
      <w:pPr>
        <w:pStyle w:val="BookText"/>
        <w:rPr/>
      </w:pPr>
      <w:r>
        <w:rPr>
          <w:rFonts w:ascii="Amiri" w:hAnsi="Amiri" w:eastAsia="Amiri" w:cs="Amiri"/>
          <w:color w:val="111111"/>
          <w:sz w:val="28"/>
          <w:sz w:val="28"/>
          <w:szCs w:val="28"/>
          <w:rtl w:val="true"/>
          <w:lang w:bidi="ar-SA"/>
        </w:rPr>
        <w:t>الهندي في شرح القواعد</w:t>
      </w:r>
      <w:r>
        <w:rPr>
          <w:rStyle w:val="FootnoteAnchor"/>
          <w:rtl w:val="true"/>
        </w:rPr>
        <w:footnoteReference w:id="793"/>
      </w:r>
      <w:r>
        <w:rPr>
          <w:rFonts w:ascii="Amiri" w:hAnsi="Amiri" w:eastAsia="Amiri" w:cs="Amiri"/>
          <w:color w:val="111111"/>
          <w:sz w:val="28"/>
          <w:sz w:val="28"/>
          <w:szCs w:val="28"/>
          <w:rtl w:val="true"/>
          <w:lang w:bidi="ar-SA"/>
        </w:rPr>
        <w:t>عن الناصريّات</w:t>
      </w:r>
      <w:r>
        <w:rPr>
          <w:rStyle w:val="FootnoteAnchor"/>
          <w:rtl w:val="true"/>
        </w:rPr>
        <w:footnoteReference w:id="794"/>
      </w:r>
      <w:r>
        <w:rPr>
          <w:rFonts w:ascii="IRNazanin" w:hAnsi="IRNazanin" w:eastAsia="IRNazanin"/>
          <w:color w:val="111111"/>
          <w:sz w:val="28"/>
          <w:sz w:val="28"/>
          <w:szCs w:val="28"/>
          <w:rtl w:val="true"/>
          <w:lang w:bidi="fa-IR"/>
        </w:rPr>
        <w:t>و الانتصار</w:t>
      </w:r>
      <w:r>
        <w:rPr>
          <w:rStyle w:val="FootnoteAnchor"/>
          <w:rtl w:val="true"/>
        </w:rPr>
        <w:footnoteReference w:id="795"/>
      </w:r>
      <w:r>
        <w:rPr>
          <w:rFonts w:ascii="Amiri" w:hAnsi="Amiri" w:eastAsia="Amiri" w:cs="Amiri"/>
          <w:color w:val="111111"/>
          <w:sz w:val="28"/>
          <w:sz w:val="28"/>
          <w:szCs w:val="28"/>
          <w:rtl w:val="true"/>
          <w:lang w:bidi="ar-SA"/>
        </w:rPr>
        <w:t>و الغنية</w:t>
      </w:r>
      <w:r>
        <w:rPr>
          <w:rStyle w:val="FootnoteAnchor"/>
          <w:rtl w:val="true"/>
        </w:rPr>
        <w:footnoteReference w:id="796"/>
      </w:r>
      <w:r>
        <w:rPr>
          <w:rFonts w:ascii="IRNazanin" w:hAnsi="IRNazanin" w:eastAsia="IRNazanin"/>
          <w:color w:val="111111"/>
          <w:sz w:val="28"/>
          <w:sz w:val="28"/>
          <w:szCs w:val="28"/>
          <w:rtl w:val="true"/>
          <w:lang w:bidi="fa-IR"/>
        </w:rPr>
        <w:t>و الخلاف</w:t>
      </w:r>
      <w:r>
        <w:rPr>
          <w:rStyle w:val="FootnoteAnchor"/>
          <w:rtl w:val="true"/>
        </w:rPr>
        <w:footnoteReference w:id="797"/>
      </w:r>
      <w:r>
        <w:rPr>
          <w:rFonts w:ascii="Amiri" w:hAnsi="Amiri" w:eastAsia="Amiri" w:cs="Amiri"/>
          <w:color w:val="111111"/>
          <w:sz w:val="28"/>
          <w:sz w:val="28"/>
          <w:szCs w:val="28"/>
          <w:rtl w:val="true"/>
          <w:lang w:bidi="ar-SA"/>
        </w:rPr>
        <w:t>، و قوّة احتمال التقيّة فيما يقابله من المناطيق لموافقته مذهب أكثر العامّة كما عرفت في صدر المسألة، مع ما عرفت من أنّ جملة من الأخبار المقابلة إنّما تدلّ على مطلب الخصم مفهوما، كما في موثّقة سماعة و رواية دعائم الإسلام، فالمعارضة حينئذ و إن كانت بين المفهومين إلاّ أنّ الأوّل يقدّم لكونه خاصّا فيخصّص به الثاني لكونه عامّا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قابلناها بالنوع الأوّل و البواقي من مفاهيم النوع الثالث، فطريق العلاج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أخبار هذين النوعين بين صريحة و ظاهرة فيما دون الكرّ، فيخصّص بها ما يعمّه و الكرّ أيضا، و لا يتطرّق إليها المناقشة المذكورة و أمّا المناقشة في دلالة الأوامر و النواهي الواردة فيها قد عرفت ما فيها، مع ما عرفت في طيّ الاستدلال بها من قيام الدلالة بها من غير هذه الجهة، مضافا إلى ما عرفت في جملة منها من الأمر بالتيمّم الّذي لا يصحّ بإجماع الفرقة إلاّ مع تعذّر المائيّة عقلا أو شرعا، مع أنّ الأمر بناء على ابتناء تماميّة الدلالة على كونهما مرادا بهما الوجوب 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في وجه الاستدلال، و اعترف به الخصم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المجاز و التخصيص، أو التقييد، و من المقرّر في محلّه أولويّة الأخيرين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الطرفين من الأخبار هو التباين، بناء على الإغماض عمّا قرّرناه في الوجه السابق، فيرجّح أخبار الانفعال، إمّا لأنّها أظهر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يساعد عليه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اعتضادها من المرجّحات الخارجيّة بما يكشف عن اعتبار دلالتها من الشهرة و نقل الإجماع و عدم تطرّق احتمال التقيّة أو ضعفه فيها، أو لأنّها لمّا دلّت بعمومها على انفعال الكرّ أيضا بمجرّد الملاقاة فتخصّص بما دونه بالإجماع، و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المستفيض من الأخبار، فيرجع التعارض إلى تعارض العامّ و الخاصّ المطلقين، و قضيّة ذلك نهوض تلك الأخبار مخصّصة لأخبار الطرف المقابل، فيحمل الحكم الوارد فيها على الكرّ و يخرج عنها ما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فقد المرجّح و العجز عن الجمع يصير المسألة من باب التعادل، و أقلّ مراتبه البناء على التساقط، أو التوقّف و الرجوع إلى الخارج من أصل و نحوه، و لا ريب أنّ المرجع حينئذ النوع الأوّل من أخبار الانفعال، و القسم الأوّل من مفاهيم أخبار النوع الثالث، لبقائها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بعض الأخبار الدالّة على عدم الانفعال بالقليل، كحسنة محمّد بن ميسّر المشتملة على الماء القليل، لمنع كونه مرادا به ما هو موضوع المسألة، إذ لم يثبت فيه للشارع و لا للأئمّة عليهم السّلام و لا أهل زمانهم اصطلاح بالقياس إليه في المعنى المعهود عند الفقهاء، فيحمل على ما يساعده عليه العرف فيعمّ الكرّ و ما زاد عليه، و على فرض تسليمه أمكن دعوى ظهوره في الجاري، كما يومئ إليه تمسّكهم في بحث الجاري بتلك الرواية على عدم انفعال القليل منه بالملاقاة، فلو سلّم عدم الظهور فأقلّ المراتب كونه أعمّ من الجاري و الراكد، قابلا للتخصيص بالجاري، فينتهض الأخبار المقامة على الانفعال مخصّصة لها، لظهور أكثرها في قليل الراكد، مع توجّه المنع إلى أصل الدلالة في جملة منها و إمكان القدح فيها، كما في صحيحة زرارة الواردة في الحبل من شعر الخنزير، و صحيحة هشام الواردة في إصابة الثوب ممّا يكفّ عن السطح الّذي يبال عليه، و روايتي العلاء بن الفضيل و إسماعيل بن مسلم الواردتين في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دلالتها على أنّ الماء الّذي يتوضّأ هو الّذي يستقى بالحبل المفروض، فتكون الرواية من أدلّة عدم انفعال البئر بالملاقاة، و على فرضه فيتّجه المنع إلى كون الماء المستقى ممّا لاقاه ذلك الحبل، أو تقاطر منه فيه شيء، و لعلّ السؤال ورد لاحتمال ذلك فأجاب المعصوم عليه السّلام بما دلّه على أنّ الاحتمال ممّا لا يوجب المنع، و على فرضه فورودها مورد التقيّة احتمال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الأخيرتان فلظهورهما في الكرّيّة، لأنّ الغالب في الحياض الّتي يتّخذها الناس كونها ممّا يسع الكرّ و ما زاد، سيّما في البلاد الّتي ليس عند أهلها مياه جارية و لا غيرها، فإنّ ديدنهم في مثل ذلك اتّخاذ الحياض لحفظ الكرّ، الّذي يرجع إليه في تطهير النجاسات و نحوه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هشام فأصل الحكم الوارد فيها ممّا لا إشكال فيه، بل هو في مورد </w:t>
      </w:r>
    </w:p>
    <w:p>
      <w:pPr>
        <w:pStyle w:val="BookText"/>
        <w:rPr/>
      </w:pPr>
      <w:r>
        <w:rPr>
          <w:rFonts w:ascii="Amiri" w:hAnsi="Amiri" w:eastAsia="Amiri" w:cs="Amiri"/>
          <w:color w:val="111111"/>
          <w:sz w:val="28"/>
          <w:sz w:val="28"/>
          <w:szCs w:val="28"/>
          <w:rtl w:val="true"/>
          <w:lang w:bidi="ar-SA"/>
        </w:rPr>
        <w:t>هو خارج عن المتنازع، لظهور السياق و كيفيّة السؤال في نزول المطهر و هو مطهّر غير منفعل و لو قليلا، و أمّا التعليل الّذي هو محلّ الاستدلال فالإنصاف إنّا لا نفهم معناه، و نظيره الكلام في رواية الأحوال الواردة في الاستنجاء، فإنّ أصل الحكم فيها ممّا لا إشكال فيه، لكون ماء الاستنجاء من مستثنيات القاعدة، و تعليله بأكثريّة الماء من القذر غير مفهوم المعنى، و لعلّ المراد بها فيهما الأكثريّة المعنويّة أي الزيادة في القوّة العاصمة، أو أنّها حكم مخصوص بالمورد كما قيل به في المطر، و سيلحقك زيادة بيان و توضيح لذلك في بحث الغسالة، عند دفع الاحتجاج بتلك الرواية على طهارة الغسالة، و كيف كان فلو استفدنا منه شيئا ظاهرا فنحن نقول به حيث عاضده العمل، و إلاّ لا ينفكّ عن الوهن المانع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وردت في موارد خاصّة بين ظاهرة في المطلب خصوصا، و غير دالّة عليه نفيا و إثباتا، و ظاهرة في خلافه عند التحقيق في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ممّا ولغ الكلب فيه و السنّور أو شرب منه جمل أو دابّة أو غير ذلك، أ يتوضّأ منه أو يغتسل؟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في التنزّه و عدمه بين وجدان الغير و عدمه، و إن كان لا يلائم الانفعال، و يقتضي كون الأمر بالتنزّه استحبابيّا مقتضيا لكراهة التوضّي و لكنّه لا يلائم تشريك الجمل و الدابّة مطلقا بل السنّور في التنزّه أيضا، و لو فرضناه مستحبّا ملازما لكراهة خلافه فالرواية بعضها يعارض بعضا، فيضطرب معه الدلالة و اعتبارها، فتسقط عن صلاحية المعارضة لنصوص الانفعال و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أخذنا منها بحكم الجواز المعلّق على عدم وجدان المقتضي للطهارة، كانت معارضة بموثّقة أبي بصير عن أبي عبد اللّه عليه السّلام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يشرب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حملها الشيخ في التهذيب</w:t>
      </w:r>
      <w:r>
        <w:rPr>
          <w:rStyle w:val="FootnoteAnchor"/>
          <w:rtl w:val="true"/>
        </w:rPr>
        <w:footnoteReference w:id="800"/>
      </w:r>
      <w:r>
        <w:rPr>
          <w:rFonts w:ascii="Amiri" w:hAnsi="Amiri" w:eastAsia="Amiri" w:cs="Amiri"/>
          <w:color w:val="111111"/>
          <w:sz w:val="28"/>
          <w:sz w:val="28"/>
          <w:szCs w:val="28"/>
          <w:rtl w:val="true"/>
          <w:lang w:bidi="ar-SA"/>
        </w:rPr>
        <w:t xml:space="preserve">على ما بلغ الكرّ جمعا، و لو أخذنا منها </w:t>
      </w:r>
    </w:p>
    <w:p>
      <w:pPr>
        <w:pStyle w:val="BookText"/>
        <w:rPr/>
      </w:pPr>
      <w:r>
        <w:rPr>
          <w:rFonts w:ascii="Amiri" w:hAnsi="Amiri" w:eastAsia="Amiri" w:cs="Amiri"/>
          <w:color w:val="111111"/>
          <w:sz w:val="28"/>
          <w:sz w:val="28"/>
          <w:szCs w:val="28"/>
          <w:rtl w:val="true"/>
          <w:lang w:bidi="ar-SA"/>
        </w:rPr>
        <w:t>بالأمر بالتنزّه المعلّق بوجدان الغير سواء كان إيجابيّا أو ندبيّا، كانت معارضة بما ورد من الروايات في فضل السنّور و سؤر الدوابّ و الغنم دالاّ على عدم المنع بل المرجوحيّة أيضا</w:t>
      </w:r>
      <w:r>
        <w:rPr>
          <w:rStyle w:val="FootnoteAnchor"/>
          <w:rtl w:val="true"/>
        </w:rPr>
        <w:footnoteReference w:id="801"/>
      </w:r>
      <w:r>
        <w:rPr>
          <w:rFonts w:ascii="Amiri" w:hAnsi="Amiri" w:eastAsia="Amiri" w:cs="Amiri"/>
          <w:color w:val="111111"/>
          <w:sz w:val="28"/>
          <w:sz w:val="28"/>
          <w:szCs w:val="28"/>
          <w:rtl w:val="true"/>
          <w:lang w:bidi="ar-SA"/>
        </w:rPr>
        <w:t xml:space="preserve">، مع ما فيها من عدم صلوحها لمعارضة ما سبق من الصحاح، و غيرها المعتضدة بالعمل و غيره، مع ما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المصابيح</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 سندها من حيث اشتماله على محمّد بن سنان الّذي ضعّفه الأكثر، مع تصريح علماء الرجال بأنّ عبد اللّه بن مسكان لم يرو عن أبي عبد اللّه عليه السّلام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فتكون الرواية مرسلة، و لا جابر لها في إرسالها، فيكون عدم صلوحها للمعارضة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من يسأله عن الغدير تجتمع فيه ماء السماء، و يستقى فيه من بئر، فيستنجي فيه الإنسان من بول، أو يغتسل فيه الجنب، ما حدّه الّذي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من مثل هذا إلاّ من ضرورة إليه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الإضمار الموجب لإجمال الضمير، لتردّده بين كونه للمسئول أو المكتوب إليه السائل، مع تردّد المسئول بين الحجّة و غيره، أنّه استدلال بما هو خارج عن المتنازع، لما يأتي من استثناء ماء الاستنجاء من قاعدة الانفعال، فالسؤال إنّما وقع عن جواز التطهير بمثله، و بما يغتسل فيه الجنب و الجواب مطابق له، و لا منافاة في المنع عن التطهير بما لا يكون نجسا تعبّدا من الشارع، مع إمكان حمل الضرورة على التقيّة، و احتماله احتمالا غير خفيّ فلا ينافي التفصيل بينها و بين غيرها للانفعال لو قلنا به في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اليهودي و النصراني يدخل يده في الماء أ يتوضّأ منه للصلاة؟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بنجاسة أهل الكتاب كان حملها على التقيّة احتمالا ظاهرا، </w:t>
      </w:r>
    </w:p>
    <w:p>
      <w:pPr>
        <w:pStyle w:val="BookText"/>
        <w:rPr/>
      </w:pPr>
      <w:r>
        <w:rPr>
          <w:rFonts w:ascii="Amiri" w:hAnsi="Amiri" w:eastAsia="Amiri" w:cs="Amiri"/>
          <w:color w:val="111111"/>
          <w:sz w:val="28"/>
          <w:sz w:val="28"/>
          <w:szCs w:val="28"/>
          <w:rtl w:val="true"/>
          <w:lang w:bidi="ar-SA"/>
        </w:rPr>
        <w:t>كما يرشد إليه التفصيل بين الاضطرار و غيره، بناء على إرادة التقيّة منه بقرينة أنّه لولاه مع فرض عدم الانفعال لما كان لمنعه عن التوضّي في صورة عدم الاضطرار وجه، سواء كان تحريميّا أو تنزيهيّا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بطهارتهم كانت الرواية من أدلّته فكانت خارجة عن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الثوب يصيبه البول؟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الجوهري الإجانة الّتي تغسل فيها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تعرّض الرواية لبيان حكم الماء من حيث إنّه ينفعل أو لا ينفعل، و إنّما هي مسوقة لبيان حكم البول من حيث الاكتفاء بغسل الثوب عنه مرّة واحدة إذا غسل في الجاري و لزوم التعدّد إذا غسل في غيره،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باب المثال فتكون حينئذ من أدلّة القول بعدم اشتراط ورود الماء في إزالة النجاسة كما عن جماعة، و لا ينافيه دلالتها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الانفعال، لجواز كونه حكما خاصّا بالمورد أثبته الشارع تعبّدا، فتكون من أدلّة القول بعدم نجاسة الغسالة كما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اتّجاه المنع إلى الدلالة على ذلك رأسا، لجواز انفعاله و طهر المغسول بالانفصال على ما وجّهناه سابقا، مع ورود النقض بذلك في كافّة أنواع إزالة الخبث إذا كانت بالقليل، فلو لا الحكم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بانفعال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لشقّ الأمر على العباد في تطهير المتنجّسات، مع إمكان القول بأنّ أقصاها الدلالة على أنّ ملاقاة المتنجّس لا توجب الانفعال، و لعلّ القائل بانفعاله بالنجاسة لا يقول به في المتنجّس، و على فرضه يكون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تقاوم ما قدّمناه من النصوص و الظواهر المعتبرة المعتضدة بأنواع المرجّحات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المرويّة عن الفقيه عن الصادق عليه السّلام عن جلود الميتة، يجعل فيها اللبن و الماء و السمن ما ترى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تجعل فيها ما شئت من ماء أو لبن أو </w:t>
      </w:r>
    </w:p>
    <w:p>
      <w:pPr>
        <w:pStyle w:val="BookText"/>
        <w:rPr/>
      </w:pPr>
      <w:r>
        <w:rPr>
          <w:rFonts w:ascii="Amiri" w:hAnsi="Amiri" w:eastAsia="Amiri" w:cs="Amiri"/>
          <w:color w:val="111111"/>
          <w:sz w:val="28"/>
          <w:sz w:val="28"/>
          <w:szCs w:val="28"/>
          <w:rtl w:val="true"/>
          <w:lang w:bidi="ar-SA"/>
        </w:rPr>
        <w:t>سمن، و توضّأ منه و تشرب، و لكن لا تشرب فيها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عدم مقاومتها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أمارات الكذب و التقيّة، فإنّها مبنيّة على ما صارت إليه العامّة من طهر جلود الميتة بالدباغ، فتكون خارجة مخرج التقيّة، كما يشهد به السياق الجامع للماء و اللبن و السمن، مع أنّه لا خلاف في انفعال غير الماء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بعض ذلك الدم قطعا صغارا، فأصاب إناءه هل يصلح له الوضوء منه؟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فلا بأس، و إن كان شيئا بيّنا فلا يتوضّأ منه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النهي في الشقّ الثاني ممّا يكشف عن الانفعال فتكون من أدلّة القول به في الجملة، منع الدلالة على المطلب لما قدّمناه في بحث التغيّر من أنّ أقصى ما فيه الدلالة على إصابة الدم الإناء و هو غير إصابته الماء، و لعلّ السؤال وارد لاستعلام أنّ ذلك هل يصلح أمارة على إصابته الماء فيترتّب عليها الحكم عليه بالانفعال المانع عن الوضوء؟ فخرج الجواب مخرج التفصيل الموافق لمفاد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فالاستبانة و عدمها كنايتان عن العلم بالإصابة و عدمه، و يعطيان إناطة الحكم بالنجاسة بالعلم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يفصح عن ذلك ورود السؤال بعد ذلك عن صورة العلم بالإصابة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رعف و هو يتوضّأ، فقطر قطرة في إنائه هل يصلح الوضوء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فرض تسليم الدلالة ينهض دليلا على ما فصّله الشيخ لا على عدم الانفعال مطلقا، و مع الغضّ عن جميع ذلك فعدم مقاومته لما تقدّم كما سبق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أبي عمير عمّن رواه عن أبي عبد اللّه عليه السّلام في عجين عجن و خبز، ثمّ علم أنّ الماء كانت فيه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فإنّ السؤال بإطلاقه يتناول القليل الراكد أيضا، و إطلاق نفي البأس يدلّ على عدم انفعاله، و لا ينافيه </w:t>
      </w:r>
    </w:p>
    <w:p>
      <w:pPr>
        <w:pStyle w:val="BookText"/>
        <w:rPr/>
      </w:pPr>
      <w:r>
        <w:rPr>
          <w:rFonts w:ascii="Amiri" w:hAnsi="Amiri" w:eastAsia="Amiri" w:cs="Amiri"/>
          <w:color w:val="111111"/>
          <w:sz w:val="28"/>
          <w:sz w:val="28"/>
          <w:szCs w:val="28"/>
          <w:rtl w:val="true"/>
          <w:lang w:bidi="ar-SA"/>
        </w:rPr>
        <w:t>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الاستحالة، و قد قام الإجماع على أنّ النار</w:t>
      </w:r>
      <w:r>
        <w:rPr>
          <w:rStyle w:val="FootnoteAnchor"/>
          <w:rtl w:val="true"/>
        </w:rPr>
        <w:footnoteReference w:id="811"/>
      </w:r>
      <w:r>
        <w:rPr>
          <w:rFonts w:ascii="Amiri" w:hAnsi="Amiri" w:eastAsia="Amiri" w:cs="Amiri"/>
          <w:color w:val="111111"/>
          <w:sz w:val="28"/>
          <w:sz w:val="28"/>
          <w:szCs w:val="28"/>
          <w:rtl w:val="true"/>
          <w:lang w:bidi="ar-SA"/>
        </w:rPr>
        <w:t>إنّما تطهّر ما أحالته دون غيره، فكان ذلك دفعا للاستخباث و الاستقذار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ابتناء الجواب على إبداء احتمال كون وقوع الميتة في الماء الّذي أخذ منه للعجين مسبوقا بالأخذ،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صلوح إطلاقه للتقييد،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مقام ضرب من التقيّة، 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صلوحه لمعارضة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الساكن و الاستنجاء منه؟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 الجانب الآخر، و لا توضّأ من جانب الجيفة</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 رواها الصدوق أيضا مرسلة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الجواب يقضي بكون الماء المسئول عنه بمحضر من الإمام و مرئى منه، حيث إنّه تعرّض لذكر الجيفة و فصّل بين جانبي الماء و هي غير مذكورة في السؤال، و قضيّة ذلك أن لا يكون للماء المسئول عنه إطلاق يصلح للاستناد إليه؛ لقوّة احتمال كونه كرّا و ما زاد، و قد علم به الإمام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هذا الاحتمال فليست الرواية إلاّ من باب حكايات الأحوال، فترمى بالإجمال و يخرج عن صلاحية الاستدلال، و يجري هذا المجرى في جميع ما ذكرناه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بالميتة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 على الإطلاق فيهما فهو قابل للتقييد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ميزاب ببول و ميزاب بماء، فاختلطا، ثمّ أصابك ما كان به بأس</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ورودها في ماء المطر و هو خارج عن المتنازع، و لو كان فيها إطلاق بالقياس إلى حال التقاطر و عدمها فليحمل عليها جمعا، مع ما فيها من قصور السند و عدم صلاحية المعارضة لما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جلد الخنزير يجعل دلوا يستقى به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ورودها تقيّة احتمالا ظاهرا، إمكان حملها على ما ليس من الاستعمالات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كسقي الدوابّ و البساتين و المزارع، أو ورودها استعلاما لحكم البئر فتكون من أدلّة عدم انفعالها، و هي موضوع آخر خارج عن المتنازع، و مع الغضّ عن جميع ذلك فغير صالحة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مريم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 حائط فحضرت الصلاة فنزح دلوا للوضوء من ركيّ له، فخرج عليه قطعة عذرة يابسة فأكفأ</w:t>
      </w:r>
      <w:r>
        <w:rPr>
          <w:rStyle w:val="FootnoteAnchor"/>
          <w:rtl w:val="true"/>
        </w:rPr>
        <w:footnoteReference w:id="817"/>
      </w:r>
      <w:r>
        <w:rPr>
          <w:rFonts w:ascii="Amiri" w:hAnsi="Amiri" w:eastAsia="Amiri" w:cs="Amiri"/>
          <w:color w:val="111111"/>
          <w:sz w:val="28"/>
          <w:sz w:val="28"/>
          <w:szCs w:val="28"/>
          <w:rtl w:val="true"/>
          <w:lang w:bidi="ar-SA"/>
        </w:rPr>
        <w:t>رأسه و توضّأ بالباقي</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السند، 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مجاهيل،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بقصورها دلالة لعدم ظهورها في وصول العذرة إلى الماء، لعود الضمير إلى الدلو، و لا يمتنع استقرار العذرة عليه من دون أن تصل إلى الماء، فأكفأ رأسه لسقوط العذرة و غسل محلّها، كما يشعر به الحكم عليها باليبوسة، إذ لو كانت في الماء لما بقيت يابسة، مع احتمال كون المراد بالعذرة السرقين كما حكي احتماله عن المصابيح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ما ادّعاه بعض الفضلاء من اختصاصها لغة و عرفا بفضلة الإنسان استنادا إلى ما يظهر من كلام الهروي،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العذرة في أصل اللغة فناء الدار، و سمّيت عذرة الإنسان بهذه لأنّها كانت تلقى في الأفنية فكنّي عنها باسم الفناء، فيتوجّه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الصحاح و القاموس أنّها أعمّ منها، حيث فسّر الخرء فيهما بالعذرة، و لا ريب أنّه أعمّ</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يرشد إليه صحيحة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عليه السّلام عن البئر يسقط فيها شيء من العذرة كالبعرة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820"/>
      </w:r>
      <w:r>
        <w:rPr>
          <w:rFonts w:ascii="Amiri" w:hAnsi="Amiri" w:eastAsia="Amiri" w:cs="Amiri"/>
          <w:color w:val="111111"/>
          <w:sz w:val="28"/>
          <w:sz w:val="28"/>
          <w:szCs w:val="28"/>
          <w:rtl w:val="true"/>
          <w:lang w:bidi="ar-SA"/>
        </w:rPr>
        <w:t>، و صحيحة عبد الرحمن ابن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يصلّي و في ثوبه عذرة من إنسان، </w:t>
      </w:r>
    </w:p>
    <w:p>
      <w:pPr>
        <w:pStyle w:val="BookText"/>
        <w:rPr/>
      </w:pPr>
      <w:r>
        <w:rPr>
          <w:rFonts w:ascii="Amiri" w:hAnsi="Amiri" w:eastAsia="Amiri" w:cs="Amiri"/>
          <w:color w:val="111111"/>
          <w:sz w:val="28"/>
          <w:sz w:val="28"/>
          <w:szCs w:val="28"/>
          <w:rtl w:val="true"/>
          <w:lang w:bidi="ar-SA"/>
        </w:rPr>
        <w:t>أو سنّور أو كلب، الحديث</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حملها على اشتباه الراوي، لجواز عدم كون ما رآه عذرة، و قد توهّم كونه عذرة هذا، مع ما فيها من عدم صلوحها للمعارضة للأخبار المتواترة المانعة عن الوضوء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أغتسل في مغتسل يبال فيه، و يغتسل من الجنابة، فيقع في الإناء ماء ينزو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ما وقع في الإناء مرتفعا عن محلّ البول، إذ الرواية تضمّنت كونه ينزو من الأرض و هي أعمّ، فيكون السؤال واردا لاستعلام حال الاشتباه، فأجاب له الإمام عليه السّلام بما وافق أصل الطهارة الجاري في المياه المشتبهة و كون الأرض من الشبهة المحصورة لا يوجب تنجّس ملاقيها كما هو مقرّر في محلّه، هذا مع عدم صلوحها للمعارضة مع ضعفها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أخرج من الخلاء فأستنجي بالماء، فيقع ثوبي في ذلك الماء الّذي استنجيت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خروج ماء الاستنجاء عن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أبي يحيى الواسطي عن بعض أصحابنا،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لعدم تعرّض الرواية لذكر ملاقاة النجاسة، و الغسالة أعمّ منها فلا يبقى إلاّ الاحتمال و هو المنشأ للسؤال و مثله من مجرى الأصل و الجواب مطابق له جدّا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بكّار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يضع الكوز الّذي يغرف به من الحبّ في مكان قذر، ثمّ يدخل الحبّ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الماء ثلاثة أكف، ثمّ يدلك الكوز</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أظهر في الدلالة على خلاف المطلب، نظرا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الماء ثلاثة أكفّ، ثمّ يدلك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لكيفيّة تطهير الكوز، فيريد به صبّ ثلاثة أكفّ على الكوز لغسله، و الّذي أمر به عبارة عن غسله، و المراد بقول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يدخل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الإدخال لا تحقّقه، و القرينة عليه أنّه لو كان فرض السؤال فيما بعد الإدخال لما كان للدّلك الّذي أمر به فائدة أصلا، و شأن الحكيم أرفع من أن يأمر بما لا فائدة فيه أصلا، و ظنّي أنّ هذا المعنى الّذي استظهرناه واضح لا سترة عليه، و قضيّة ذلك قلب الاستدلال بالرواية، بأنّه لو لا الكوز المفروض موجبا لانفعال ماء الحبّ لما أمر بغسله قبل الإدخال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جنب أصابت يده من جنابته، فمسحه بخرقة أدخل يده في غسله قبل أن يغسلها هل يجزيه أن يغتسل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ماء غيره فلا يجزيه أن يغتسل به، و إن لم يجد غيره أجزأه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تلائم القول بالانفعال في شقّها الثاني، فكذلك لا تلائم القول بالعدم، لأنّ لازمه جواز الاغتسال بالماء المفروض و كونه مجزيا عن الفرض، غايته أنّهم يقولون بكراهة استعماله، كما عليه مبنى حملهم النواهي الواردة في المقام عن الاستعمال على الكراهة، و لا ريب أنّ الكراهة لا تؤثّر في عدم الإجزاء، و قد حكم به الإمام عليه السّلام فالاستدلال بها ساقط من الطرفين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يرجع إلى ابتنائها على قاعدة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قرّرناها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اجتماع الكراهة مع الوجوب و الندب، فكان المنع عن الاغتسال بالماء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وجدان ماء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أنّ الاغتسال به ممّا لا أمر به لمكان الكراهة المانعة عنه، بخلاف التقدير الآخر المحكوم عليه بالإجزاء، من حيث إنّ عدم وجدان ماء آخر يوجب الاضطرار إلى الماء المفروض و هو يوجب ارتفاع الكراهة فيحصل الأمر، اعتبارا لوجود المقتضي و فقد المانع، و عليه يمنع كون ما أصاب اليد من الجنابة عبارة عن المنيّ، لجواز كونه شيئا مشتبها به و بطاهر، أو كون الماء المفروض قليلا لجواز كونه عند السائل مردّدا بين الكثير و القليل، و لا ريب أنّ كلاّ من ذلك ممّا يقتضي الاحتياط و يوجب كراهة الاستعمال من حيث كون الماء محتملا للنجاسة، فأعطى له </w:t>
      </w:r>
    </w:p>
    <w:p>
      <w:pPr>
        <w:pStyle w:val="BookText"/>
        <w:rPr/>
      </w:pPr>
      <w:r>
        <w:rPr>
          <w:rFonts w:ascii="Amiri" w:hAnsi="Amiri" w:eastAsia="Amiri" w:cs="Amiri"/>
          <w:color w:val="111111"/>
          <w:sz w:val="28"/>
          <w:sz w:val="28"/>
          <w:szCs w:val="28"/>
          <w:rtl w:val="true"/>
          <w:lang w:bidi="ar-SA"/>
        </w:rPr>
        <w:t>الإمام عليه السّلام قاعدة كلّيّة متضمّنة للتفصيل المذكور، المبتني على الكراهة و زوالها، و مع ذلك كلّه فالرواية غير صالحة للمعارضة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دعائم الإسلام عن أمير المؤمنين عليه السّلام أنّه سئل عن الغدير، تبول فيه و تروث، و يغتسل فيه الجنب؟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رسول اللّه صلّى اللّه عليه و آله و سلّم نزل بأصحابه في سفر لهم على غدير، و كانت دوابّهم تبول فيه و تروث، فيغتسلون فيه و يتوضّئون و يشربون</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عدم إشعارها بملاقاة النجاسة، لعدم التعيّن في مرجع ضمير تبول و نحوه، بل الظاهر كونه مرادا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يرشد إليه تأنيث الضمير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الإمام عليه السّلام عند حكايته الواقعة المفروضة، و لا ريب أنّ الدوابّ لا تتناول مثل الإنسان و نحوه ممّا ليس بطاهر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شهاب بن عبد ربّه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الجنب يغتسل فيقطر الماء عن جسده في الإناء، و ينضح الماء من الأرض فيصير في الإناء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بهذا كلّه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أيضا من عدم إشعاره بنجاسة الأرض و لا الجسد، و لا ينبغي التمسّك بالإطلاق لوروده مقام إفادة حكم آخر، و هو عدم مانعيّة ما تقاطر في الإناء من قطرات غسالة الاغتسال عن صحّة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الكلام في صحيحة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يغتسل فينضح من الماء 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الوشّاء عمّن ذكره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سؤر ولد الزناء، و سؤر اليهودي و النصراني و المشرك، و كلّما خالف الإسلام، و كان أشدّ عنده سؤر الناصب</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الكراهة في أخبار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 استعمالها في التحريم، فلا ينبغي حملها على المعنى المصطلح عليه عند الفقهاء، غير أنّه ينبغي حملها على ما يعمّ المعنيين بقرينة السياق الجامع بين ولد الزناء و غيره من الطوائف المذكورة، مضافا </w:t>
      </w:r>
    </w:p>
    <w:p>
      <w:pPr>
        <w:pStyle w:val="BookText"/>
        <w:rPr/>
      </w:pPr>
      <w:r>
        <w:rPr>
          <w:rFonts w:ascii="Amiri" w:hAnsi="Amiri" w:eastAsia="Amiri" w:cs="Amiri"/>
          <w:color w:val="111111"/>
          <w:sz w:val="28"/>
          <w:sz w:val="28"/>
          <w:szCs w:val="28"/>
          <w:rtl w:val="true"/>
          <w:lang w:bidi="ar-SA"/>
        </w:rPr>
        <w:t>إلى أنّه طريق جمع بينها و بين الأخبار الدالّة على الانفعال صراحة و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الأخبار الّتي عثرنا عليها للقول بعدم الانفعال، و لا ريب أنّ الاستناد إليها لهذا الحكم خروج عن قانون الفقاهة، بعد وجود أخبار اخر متواترة دالّة على الانفعال، فإنّ ذلك لا ينشأ إلاّ عن قصور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الكاشاني كلمات اخر في تشييد مذهبه المخالف للنصوص المتواترة، و هي لغاية سخافتها و إن كانت ممّا لا ينبغي الالتفات إليها، و تضييع الوقت بالتعرّض لنقلها و تزييفها، غير أنّ مزيد انكشاف شناعة ما صار إليه و ما اعتمد عليه يدعونا إلى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أيّد ما صار إليه من عدم انفعال القليل بملاقاة النجاسة، بورود الأخبار المصرّحة بطهارة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الانفعال إنّما ثبت من باب القاعدة، و لا شيء منها إلاّ و هي قابلة للتخصيص، و ما ذكر مخصّص لها، كما ثبت نظيره في المطر بالإجماع و نحوه، و البئر و الجاري على القول بعدم انفعال القليل فيهما، فلو صلح ما ذكر مؤيّدا لمذهبه الفاسد لكان هذه منه، فلا وجه للاقتصار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تخصيص الحكم بماء الاستنجاء في الروايات يشعر بالمغايرة لغيره من المياه الملاقية للنجاسات، فلأن يكون ذلك من مؤيّدات القول بالانفعال طريق الأولويّة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بين الروايات الّتي تمسّك بها لمصيره إلى عدم الانفعال، و الأخبار المصرّحة باشتراط الكرّيّة، بحملها على أنّها مناط و معيار للقدر الّذي لا يتغيّر من الماء بما يعتاد وروده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فنسبة مقدار من النجاسة إلى مقدار من الماء، كنسبة مقدار أقلّ من تلك النجاسة إلى مقدار أقلّ من ذلك الماء، و مقدار أكثر منها إلى مقدار أكثر منه، فكلّما غلب الماء على النجاسة فهو مطهّر لها بالاستحالة، و كلّما غلب النجاسة عليه بغلبة أحد أوصافها فهو منفعل منها خارج عن الطهوريّة بها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أيضا أنّه بعد ما أورد صحيحة صفوان، المتضمّنة للسؤال عن الحياض الّتي </w:t>
      </w:r>
    </w:p>
    <w:p>
      <w:pPr>
        <w:pStyle w:val="BookText"/>
        <w:rPr/>
      </w:pPr>
      <w:r>
        <w:rPr>
          <w:rFonts w:ascii="Amiri" w:hAnsi="Amiri" w:eastAsia="Amiri" w:cs="Amiri"/>
          <w:color w:val="111111"/>
          <w:sz w:val="28"/>
          <w:sz w:val="28"/>
          <w:szCs w:val="28"/>
          <w:rtl w:val="true"/>
          <w:lang w:bidi="ar-SA"/>
        </w:rPr>
        <w:t>بين مكّة و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كانت الحياض بين الحرمين الشريفين معهودة معروفة في ذلك الزمان، اقتصر عليه السّلام على السؤال عن مقدار الماء في عمقها، و لم يسأل عن الطول و العرض، و إنّما سأل عن ذلك ليعلم نسبة الماء إلى تلك النجاسات المذكورة، حتّى يتبيّن انفعاله منها و عدمه، فإنّ نسبة مقدار من النجاسة إلى مقدار من الماء في التأثير و التغيير كنسبة ضعفه إلى ضعفه مثلا و على هذا القياس</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أيّد هذا المعنى الّذي أوّل الأخبار إليه باختلاف تلك الأخبار،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يؤيّد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تخمين و مقايسة بين قدري الماء 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أمرا مضبوطا و حدّا محدودا لم يقع الاختلاف الشديد في تقديره لا مساحة و لا وزنا، و قد وقع الاختلاف فيهما معا، و الوجوب لا يقبل الدرجات بخلاف الاستحباب، و قد اعترف جماعة منهم بمثل ذلك في ماء البئر</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بما أفاده من الحمل دعوى الملازمة بين الكرّيّة و عدم قبول التغيير فهو ممّا يشهد بكذبه الضرورة و العيان، فكم من كرّ بل كرور يقبل التغيّر، فلذا ترى كلماتهم مشحونة في بحث التغيّر بالتصريح بعدم الفرق فيه بين الكرّ و غيره، و إن أراد به دعوى الملازمة بينها و بين مقدار معيّن من النجاسة الواقعة في الماء، ككون وقوعها فيه ممّا جرت العادة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ممّا لم يستقرّ له عادة، بل لم يحصل له حدّ عادي، أنّه يوجب أوّلا ارتكاب التجوّز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تلك الأخبار بحمله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التقييد ثانيا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يعتاد وقوعه من النجاسات، مع لزوم تقييد آخر بحمله على ما كان صالحا للتغيير ليخرج عنه مباشرة الكافر و الكلب و نحوهما ممّا لا يوجب تغيّر أصلا، و أيّ دليل على هذه كلّها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أنّ الداعي إلى ذلك إرادة الجمع بينها و بين ما دلّ بإطلاقه على عدم الانفعال، فتطرّق التأويل إليها ليس بأولى من تطرّقه إلى تلك المطلقات بحملها في اقتضاء عدم الانفعال على الكرّ، مع أنّه لو اعتبر المفهوم مع هذا التأويل كان مفاده أنّ ما دون الكرّ يلازم التغيير و هو خلاف الحسّ، و إلاّ لزم خلاف أصل آخر و هو إلغاء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استنبطه من النسبة فالظاهر 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يعتاد وروده على الماء من النجاسة إذا لم يكن مغيّرا للكرّ، فبعض منه بنسبة مخصوصة إذا وقع في بعض من الكرّ بتلك النسبة لم يكن مغيّرا له أيضا، لوضوح اتّحاد البعض للكلّ في الحكم، فحينئذ لو أنّ ثلثا من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 بعض من النجاسة المعتاد وقوعها في الماء، فلا بدّ من استعلام الحال بأخذ النسبة بين ذلك البعض و كلّه، فإن بلغ ثلثه لم يكن مغيّرا لما هو واقع فيه، كما أنّه لو قصر عنه لم يكن مغيّرا له، و إن تجاوز الثلث كان مغيّرا له، و لو أنّ ربعا ممّا يعتاد وقوعه وقع على بعض من الكرّ يجب مراعاة النسبة بينهما، فإن بلغ ربعه أيضا لم يكن الواقع فيه مغيّرا له، كما أنّه كذلك لو قصر عنه، و أمّا لو زاد عليه كان مغيّرا له، و هكذا إلى آخر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فساد ذلك، و عدم كونه ممّا ينساق عن تلك الأخبار، فإنّ هذا ممّا لا ينضبط أبدا، و مراعاة تلك النسبة ممّا لا يبلغ إليه فهم كافّة المكلّفين عدا الأوحدي من الخواصّ، و مع ذلك فالغالب وقوعه من النجاسات على المياه ما يقع بغتة بلا معلوميّة مقداره، مع تعذّر استعلامه بعد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من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يسوغ على الشارع الحكيم أن ينوط حكمه الّذي يعمّ به البلوى في قاطبة الأعصار و كافّة الأمصار على قاعدة لا يدركها إلاّ الأوحدي من البعض، مع تعذّر إعمالها في غالب موارد موضوعها، مع أنّه لا يدري أنّ اعتبار هذه النسبة و الإرشاد إلى هذا التخمين و المقايسة لأيّ فائدة هو؟ بعد ما كان أصل التغيّر أمرا حسّيّا غير محتاج إلى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يتوجّه إشكال آخر، من جهة لزومه حمل كلام الشارع على ما ليس بيانه من شأنه، و هو إعطاء الضابط و الميزان لما هو من مقولة الحسّيّات، و ما اعتذر له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ربّما يشتبه التغيّر مع أنّ الماء قد تغيّر أوصافه الثلاثة بغير النجاسة فيحصل الاشتباه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قضائه بحمل الكلام على موارده النادرة، أنّ الاشتباه يرتفع بأصل الطهارة الّذي قرّره الشارع، مضافا إلى 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الّذي عرفت اختصاصه بمواضع الاشتباه</w:t>
      </w:r>
      <w:r>
        <w:rPr>
          <w:rFonts w:eastAsia="Amiri" w:cs="Amiri" w:ascii="Amiri" w:hAnsi="Amiri"/>
          <w:color w:val="111111"/>
          <w:sz w:val="28"/>
          <w:szCs w:val="28"/>
          <w:rtl w:val="true"/>
          <w:lang w:bidi="ar-SA"/>
        </w:rPr>
        <w:t xml:space="preserve">. </w:t>
      </w:r>
      <w:bookmarkStart w:id="268" w:name="pg16144_233160"/>
    </w:p>
    <w:p>
      <w:pPr>
        <w:pStyle w:val="BookText"/>
        <w:rPr/>
      </w:pPr>
      <w:bookmarkEnd w:id="268"/>
      <w:r>
        <w:rPr>
          <w:rFonts w:ascii="Amiri" w:hAnsi="Amiri" w:eastAsia="Amiri" w:cs="Amiri"/>
          <w:color w:val="111111"/>
          <w:sz w:val="28"/>
          <w:sz w:val="28"/>
          <w:szCs w:val="28"/>
          <w:rtl w:val="true"/>
          <w:lang w:bidi="ar-SA"/>
        </w:rPr>
        <w:t xml:space="preserve">و أمّا ما ساق إليه التأويل المذكور، بل استشهد به لمختاره من صحيحة صفوان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Style w:val="FootnoteAnchor"/>
          <w:rtl w:val="true"/>
        </w:rPr>
        <w:footnoteReference w:id="836"/>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السؤال الوارد فيها يأبى عن ذلك، حيث لم يذكر فيه من النجاسات ما يوجب تغيّر الماء عادة، كما لا يخفى على المتأمّل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أيّد به مختاره من اختلاف الأخبار المقدّرة للكرّ وزنا و 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ما يقضي بكون الاختلاف من جانب الشارع، فلعلّه اختلاف نشأ من الرواة أو الجاعلين للأخبار الكاذبة، و التأييد إنّما يحصل على التقدير الأوّل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 من هذا القبيل في أخبار أئمّتنا المعصومين، الواردة في جميع أبواب الفقه، فلو كان ذلك منشأ للأثر و موجبا لتطرّق التأويل إلى الأخبار الظاهرة و النصوص المحكمة، لم ينضبط قاعدة من قواعد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صلح إشكالا لكان مشترك الورود، فيتوجّه إلى ما صار إليه بل بطريق أولى؛ لأنّ مرجع كلامنا إلى أنّ أخبار الكرّ واردة لإحراز موضوع لحكم شرعي معلّق عليه و هو الكرّيّة الّتي ينوط بها عدم الانفعال بشيء، و مرجع كلامه إلى أنّها إنّما وردت لإعطاء ضابط كلّي و ميزان مطّرد لمعرفة موضوع حكم و هو التغيّر المورّث للانفعال، فإذا كان الأوّل مقتضيا لكون مفادها أمرا مضبوطا و حدّا محدودا، فكان الثاني أولى بالاقتضاء كما لا يخفى</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804548_1280447820"/>
      <w:bookmarkStart w:id="270" w:name="_Toc105"/>
      <w:bookmarkEnd w:id="269"/>
      <w:r>
        <w:rPr>
          <w:rtl w:val="true"/>
        </w:rPr>
        <w:t>ثمّ إنّه بقى الكلام في مقامين، ينبغي سوق عنان النظر إليهما</w:t>
      </w:r>
      <w:r>
        <w:rPr>
          <w:rtl w:val="true"/>
        </w:rPr>
        <w:t>.</w:t>
      </w:r>
      <w:bookmarkEnd w:id="270"/>
    </w:p>
    <w:p>
      <w:pPr>
        <w:pStyle w:val="Heading5"/>
        <w:numPr>
          <w:ilvl w:val="4"/>
          <w:numId w:val="1"/>
        </w:numPr>
        <w:rPr/>
      </w:pPr>
      <w:bookmarkStart w:id="271" w:name="__RefHeading___Toc1804550_1280447820"/>
      <w:bookmarkStart w:id="272" w:name="_Toc106"/>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معمّمات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مستثنياتها من محلّ وفاق أو خلاف، فاستمع لما يتلى عليك</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804552_1280447820"/>
      <w:bookmarkStart w:id="274" w:name="_Toc107"/>
      <w:bookmarkEnd w:id="273"/>
      <w:r>
        <w:rPr>
          <w:rtl w:val="true"/>
        </w:rPr>
        <w:t xml:space="preserve">أمّا الكلام في المقام الأوّل </w:t>
      </w:r>
      <w:r>
        <w:rPr>
          <w:rtl w:val="true"/>
        </w:rPr>
        <w:t>[</w:t>
      </w:r>
      <w:r>
        <w:rPr>
          <w:rtl w:val="true"/>
        </w:rPr>
        <w:t>في معممات المسألة</w:t>
      </w:r>
      <w:r>
        <w:rPr>
          <w:rtl w:val="true"/>
        </w:rPr>
        <w:t>]</w:t>
      </w:r>
      <w:r>
        <w:rPr>
          <w:rtl w:val="true"/>
        </w:rPr>
        <w:t>،</w:t>
      </w:r>
      <w:bookmarkEnd w:id="274"/>
    </w:p>
    <w:p>
      <w:pPr>
        <w:pStyle w:val="Heading6"/>
        <w:numPr>
          <w:ilvl w:val="5"/>
          <w:numId w:val="1"/>
        </w:numPr>
        <w:rPr/>
      </w:pPr>
      <w:bookmarkStart w:id="275" w:name="__RefHeading___Toc1804554_1280447820"/>
      <w:bookmarkStart w:id="276" w:name="_Toc108"/>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فمن جهات</w:t>
      </w:r>
      <w:r>
        <w:rPr>
          <w:rFonts w:eastAsia="IRNazanin" w:cs="IRNazanin"/>
          <w:color w:val="111111"/>
          <w:sz w:val="28"/>
          <w:szCs w:val="28"/>
          <w:rtl w:val="true"/>
          <w:lang w:bidi="fa-IR"/>
        </w:rPr>
        <w:t>:</w:t>
      </w:r>
    </w:p>
    <w:p>
      <w:pPr>
        <w:pStyle w:val="Heading6"/>
        <w:numPr>
          <w:ilvl w:val="5"/>
          <w:numId w:val="1"/>
        </w:numPr>
        <w:rPr/>
      </w:pPr>
      <w:bookmarkStart w:id="277" w:name="__RefHeading___Toc1804556_1280447820"/>
      <w:bookmarkStart w:id="278" w:name="_Toc109"/>
      <w:bookmarkEnd w:id="277"/>
      <w:r>
        <w:rPr>
          <w:rtl w:val="true"/>
        </w:rPr>
        <w:t>الجهة الاولى</w:t>
      </w:r>
      <w:r>
        <w:rPr>
          <w:rtl w:val="true"/>
        </w:rPr>
        <w:t xml:space="preserve">: </w:t>
      </w:r>
      <w:r>
        <w:rPr>
          <w:rtl w:val="true"/>
        </w:rPr>
        <w:t>يظهر من صاحب المدارك بعد ما صار إلى انفعال القليل بالملاقاة، التشكيك في انفعاله بكلّ نجس</w:t>
      </w:r>
      <w:bookmarkEnd w:id="27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أنّه ليس في شيء من تلك الروايات دلالة على انفعال القليل بوروده على النجاسة، بل و لا على انفعاله بكلّ ما يرد عليه من النجاسات</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العجب منه أنّه ذكر ذلك مع تمسّكه على ما صار إليه بصحيحتي محمّد بن مسلم</w:t>
      </w:r>
      <w:r>
        <w:rPr>
          <w:rStyle w:val="FootnoteAnchor"/>
          <w:rtl w:val="true"/>
        </w:rPr>
        <w:footnoteReference w:id="838"/>
      </w:r>
      <w:r>
        <w:rPr>
          <w:rFonts w:ascii="Amiri" w:hAnsi="Amiri" w:eastAsia="Amiri" w:cs="Amiri"/>
          <w:color w:val="111111"/>
          <w:sz w:val="28"/>
          <w:sz w:val="28"/>
          <w:szCs w:val="28"/>
          <w:rtl w:val="true"/>
          <w:lang w:bidi="ar-SA"/>
        </w:rPr>
        <w:t xml:space="preserve">، و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 كأنّه مبنيّ على منع العموم في المفهوم، كما صار إليه جماعة منهم الكاشاني فيما تقدّم عنه من جملة اعتراضاته على الأخبار الواردة بهذا المضمون، و قد أشرنا إجمالا إلى ما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على ما يساعد عليه العرف و طريقة أهل اللسان، يتبع المنطوق في عمومه و خصوصه، و 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العموم في المفهوم مع كون المنطوق مشتملا على النكرة في سياق النفي، إنّما يتّجه لو فسّر مفاد منطوق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ينجّس بجميع أفراد النجس، ليكون محصّله السلب الجزئيّ المستلزم لكون المفهوم إيجابا جزئيّا، و هو كما ترى بعيد عن هذه العبارة غاية البعد، بل لا يكاد ينساق منها عرفا،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ينجّس بشيء من أفراد النجس، فيكون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ينجّس بكلّ فرد منه، و مع الغضّ عن ذلك يكفينا في إثبات العموم عموم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الكلب</w:t>
      </w:r>
      <w:r>
        <w:rPr>
          <w:rStyle w:val="FootnoteAnchor"/>
          <w:rtl w:val="true"/>
        </w:rPr>
        <w:footnoteReference w:id="840"/>
      </w:r>
      <w:r>
        <w:rPr>
          <w:rFonts w:ascii="IRNazanin" w:hAnsi="IRNazanin" w:eastAsia="IRNazanin"/>
          <w:color w:val="111111"/>
          <w:sz w:val="28"/>
          <w:sz w:val="28"/>
          <w:szCs w:val="28"/>
          <w:rtl w:val="true"/>
          <w:lang w:bidi="fa-IR"/>
        </w:rPr>
        <w:t>حسبما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كثير من أخبار الباب، مع كفاية ملاحظة مجموع الروايات المتضمّن كلّ واحد منها لنوع أو نوعين أو أنواع من النجاسات، حتّى أنّه لا يشذّ منها شيء ظاهرا، مع الإجماع المركّب أيضا، كما في كلام غير واحد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المسائل الفرعيّة الّتي كلّها ضوابط كلّيّة و قواعد مطّردة يقتبس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الطهارات إلى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جزئيّة من جزئيّات موضوعاتها، من غير أن يرد فيها لفظ عامّ شامل لجميع الجزئيّات، و عليه طريقة الفقهاء قديما و حديثا، و لذلك تراهم لا يزالون يستدلّون على الأحكام الكلّيّة بما ورد من الأخبار في بعض الجزئيّات، و كأنّ ذلك من جهة أنّه علموا من طريقة الشارع أنّه يعطي الضوابط الكلّيّة بخطابات جزئيّة و بيانات شخصيّة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دعوى تنقيح المناط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عدم ورود جميع أنواع النجاسات في الأخبار الواردة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يحصل بأنّ الانفعال بالنسبة إلى الموارد الخاصّة الواردة في تلك الأخبار، ليس مستند إلاّ إلى ما في تلك الموارد من </w:t>
      </w:r>
      <w:bookmarkStart w:id="279" w:name="pg16144_233162"/>
    </w:p>
    <w:p>
      <w:pPr>
        <w:pStyle w:val="BookText"/>
        <w:rPr/>
      </w:pPr>
      <w:bookmarkEnd w:id="279"/>
      <w:r>
        <w:rPr>
          <w:rFonts w:ascii="Amiri" w:hAnsi="Amiri" w:eastAsia="Amiri" w:cs="Amiri"/>
          <w:color w:val="111111"/>
          <w:sz w:val="28"/>
          <w:sz w:val="28"/>
          <w:szCs w:val="28"/>
          <w:rtl w:val="true"/>
          <w:lang w:bidi="ar-SA"/>
        </w:rPr>
        <w:t xml:space="preserve">الوصف العنواني الّذي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مدخليّة في ذلك لما فيها من الخصوصيّة الراجعة إلى ذاتيّاتها أو عرضيّاتها من غير جهة هذا الوصف، هذا</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804558_1280447820"/>
      <w:bookmarkStart w:id="281" w:name="_Toc110"/>
      <w:bookmarkEnd w:id="280"/>
      <w:r>
        <w:rPr>
          <w:rtl w:val="true"/>
        </w:rPr>
        <w:t>الجهة الثانية</w:t>
      </w:r>
      <w:r>
        <w:rPr>
          <w:rtl w:val="true"/>
        </w:rPr>
        <w:t xml:space="preserve">: </w:t>
      </w:r>
      <w:r>
        <w:rPr>
          <w:rtl w:val="true"/>
        </w:rPr>
        <w:t>ربّما يحكى في المسألة عدم تنجيس المتنجّس، الّذي لازمه أن لا ينفعل القليل به،</w:t>
      </w:r>
      <w:bookmarkEnd w:id="281"/>
    </w:p>
    <w:p>
      <w:pPr>
        <w:pStyle w:val="BookText"/>
        <w:rPr/>
      </w:pPr>
      <w:r>
        <w:rPr>
          <w:rFonts w:ascii="Amiri" w:hAnsi="Amiri" w:eastAsia="Amiri" w:cs="Amiri"/>
          <w:color w:val="111111"/>
          <w:sz w:val="28"/>
          <w:sz w:val="28"/>
          <w:szCs w:val="28"/>
          <w:rtl w:val="true"/>
          <w:lang w:bidi="ar-SA"/>
        </w:rPr>
        <w:t>و يظهر من المحقّق الخوانساري الميل إليه</w:t>
      </w:r>
      <w:r>
        <w:rPr>
          <w:rStyle w:val="FootnoteAnchor"/>
          <w:rtl w:val="true"/>
        </w:rPr>
        <w:footnoteReference w:id="841"/>
      </w:r>
      <w:r>
        <w:rPr>
          <w:rFonts w:ascii="Amiri" w:hAnsi="Amiri" w:eastAsia="Amiri" w:cs="Amiri"/>
          <w:color w:val="111111"/>
          <w:sz w:val="28"/>
          <w:sz w:val="28"/>
          <w:szCs w:val="28"/>
          <w:rtl w:val="true"/>
          <w:lang w:bidi="ar-SA"/>
        </w:rPr>
        <w:t>، و إن كان جعل الانفعال أولى بعد ما نسبه إلى ظاهر كلام الأصحاب، و يظهر من شيخنا في الجواهر</w:t>
      </w:r>
      <w:r>
        <w:rPr>
          <w:rStyle w:val="FootnoteAnchor"/>
          <w:rtl w:val="true"/>
        </w:rPr>
        <w:footnoteReference w:id="842"/>
      </w:r>
      <w:r>
        <w:rPr>
          <w:rFonts w:ascii="Amiri" w:hAnsi="Amiri" w:eastAsia="Amiri" w:cs="Amiri"/>
          <w:color w:val="111111"/>
          <w:sz w:val="28"/>
          <w:sz w:val="28"/>
          <w:szCs w:val="28"/>
          <w:rtl w:val="true"/>
          <w:lang w:bidi="ar-SA"/>
        </w:rPr>
        <w:t>الفرق بين متنجّس لا يفيد الماء طهره فالانفعال، و متنجّس يفيد الماء طهره فعدم الانفعال، و يظهر ذلك أيضا من محكيّ المصابيح</w:t>
      </w:r>
      <w:r>
        <w:rPr>
          <w:rStyle w:val="FootnoteAnchor"/>
          <w:rtl w:val="true"/>
        </w:rPr>
        <w:footnoteReference w:id="843"/>
      </w:r>
      <w:r>
        <w:rPr>
          <w:rFonts w:ascii="Amiri" w:hAnsi="Amiri" w:eastAsia="Amiri" w:cs="Amiri"/>
          <w:color w:val="111111"/>
          <w:sz w:val="28"/>
          <w:sz w:val="28"/>
          <w:szCs w:val="28"/>
          <w:rtl w:val="true"/>
          <w:lang w:bidi="ar-SA"/>
        </w:rPr>
        <w:t>فيما لو ورد عليه الماء مفيدا طهره، و منشؤه على ما صرّح به في الجواهر</w:t>
      </w:r>
      <w:r>
        <w:rPr>
          <w:rStyle w:val="FootnoteAnchor"/>
          <w:rtl w:val="true"/>
        </w:rPr>
        <w:footnoteReference w:id="844"/>
      </w:r>
      <w:r>
        <w:rPr>
          <w:rFonts w:ascii="Amiri" w:hAnsi="Amiri" w:eastAsia="Amiri" w:cs="Amiri"/>
          <w:color w:val="111111"/>
          <w:sz w:val="28"/>
          <w:sz w:val="28"/>
          <w:szCs w:val="28"/>
          <w:rtl w:val="true"/>
          <w:lang w:bidi="ar-SA"/>
        </w:rPr>
        <w:t xml:space="preserve">طهارة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القليل بالملاقاة، و طهارة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صحّة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سقمه مبنيّتان على النظر في حكم الغسالة، و الكلام مع المدّعين لطهارتها و ستعرفه في محلّه، و أمّا منع الانفعال بالمتنجّس مطلقا فلم نقف له على وجه، و لعلّه غفلة عن التدبّر في روايات الباب، أو مبنيّ على توهّم انحصار أدلّة الانفعال في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مع منع العموم فيه بحيث يشمل المتنجّس أيضا، و كيف كان فهو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فللمفهوم المشار إليه، فإنّه عامّ بالقياس إلى جميع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المتنجّس، غاية الأمر خروج ما كان منها طاهرا بالتخصيص أو التخصّص،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صلاحيّة الطاهر مشمولا للمنطوق، نظرا إلى كون بيان الحكم بالنسبة إليه من باب توضيح الواضحات و هو سفه، فليس من شأن الحكيم بل و يقبح ذلك عليه، و قضيّة ذلك خروجه عن المفهوم من أوّل الأمر من دون حاجة له إلى المخرج</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بالخروج في مواضع التخصيص ليس هو الخروج الحقيقي لاستحالة البداء من الحكيم العالم، بل المراد به انكشاف خروجه بملاحظة الخارج الّذي يعبّر عنه بالمخصّص، و لا ريب أنّ ذلك الخارج الّذي يوجب الانكشاف كما أنّه </w:t>
      </w:r>
    </w:p>
    <w:p>
      <w:pPr>
        <w:pStyle w:val="BookText"/>
        <w:rPr/>
      </w:pPr>
      <w:r>
        <w:rPr>
          <w:rFonts w:ascii="Amiri" w:hAnsi="Amiri" w:eastAsia="Amiri" w:cs="Amiri"/>
          <w:color w:val="111111"/>
          <w:sz w:val="28"/>
          <w:sz w:val="28"/>
          <w:szCs w:val="28"/>
          <w:rtl w:val="true"/>
          <w:lang w:bidi="ar-SA"/>
        </w:rPr>
        <w:t xml:space="preserve">قد يكون لفظا فكذلك قد يكون عقلا قاطعا، و ما قرّرناه في وجه استحالة شمول المنطوق للطاهر ليس إلاّ عقلا قاطعا قام في المقام و كشف عن حقيقة المراد، و إلاّ فاللفظ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قطع النظر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للشمول جزما، فيكون خروجه المذكور عن المنطوق من باب التخصيص، و يتبعه في ذلك المفهوم و يكون مخصّصا بخروج ما ذكر، و يبقى الباقي و منه المتنجّس؛ إذ لا استحالة في كونه مرادا في المنطوق فيكون كذلك في المفهوم؛ إذ لا مخرج له من عقل و 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بالقياس إليه مجمل إذ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تخصيص عليه، و القدر المتيقّن ممّا يشمله المخصّص إنّما هو الطاهر، كما أنّ القدر المتيقّن ممّا يشمله العامّ إنّما هو نفس النجاسة، و أمّا المتنجّس فيبقى متردّدا بين كونه مشمولا للعامّ أو المخصّص، و معه لا معنى للتمسّك بالعموم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هذا النوع من التردّد موجبا لإجمال العامّ، و إنّما هو في الشبهة المصداقيّة أو المفهوميّة بالقياس إلى مسمّى موضوع المخصّص، و المقام ليس بشيء منهما، بل التردّد المذكور فيه ابتدائي ينشأ من احتمال زيادة التخصيص، فيرتفع بملاحظة ظهور اللفظ نوعا، و أصالة عدم الزيادة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عدم ارتفاعه فليس بقادح في جواز التمسّك بالعامّ، لكون اعتبار ظواهر الألفاظ ثابتا بالنوع، و كون قلّة التخصيص أولى من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دار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معروف متسالم عليه عندهم، فلا وجه للمناقشة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قذارة اليد الواردة في أكثر روايات الباب الموجبة للانفعال تشمل ما لو كانت متنجّسة، و حملها على ما لو كانت العين باقية فيها بعيد عن الانفعال</w:t>
      </w:r>
      <w:r>
        <w:rPr>
          <w:rStyle w:val="FootnoteAnchor"/>
          <w:rtl w:val="true"/>
        </w:rPr>
        <w:footnoteReference w:id="846"/>
      </w:r>
      <w:r>
        <w:rPr>
          <w:rFonts w:ascii="Amiri" w:hAnsi="Amiri" w:eastAsia="Amiri" w:cs="Amiri"/>
          <w:color w:val="111111"/>
          <w:sz w:val="28"/>
          <w:sz w:val="28"/>
          <w:szCs w:val="28"/>
          <w:rtl w:val="true"/>
          <w:lang w:bidi="ar-SA"/>
        </w:rPr>
        <w:t>و ينفيه ترك الاستفصال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يده في الإناء و هي قذرة</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 ما في قويّة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يده قذرة فأهرقه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282" w:name="pg16144_233164"/>
    </w:p>
    <w:p>
      <w:pPr>
        <w:pStyle w:val="BookText"/>
        <w:rPr/>
      </w:pPr>
      <w:bookmarkEnd w:id="282"/>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فلخصوص صحيحة عليّ بن جعفر المشتملة في ذيلها 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يده نظيفة فليأخذ كفّا من الماء</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إلخ و موثّقة عمّار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يكون فيه خمر، أ يصلح أن يكون فيه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 رواية عليّ بن جعفر المتضمّنة لقوله عن الشرب في الإناء يشرب منه الخمر قدحان عيدان أو باطية؟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غسله فلا بأس</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 روايتي عليّ بن يقطين</w:t>
      </w:r>
      <w:r>
        <w:rPr>
          <w:rStyle w:val="FootnoteAnchor"/>
          <w:rtl w:val="true"/>
        </w:rPr>
        <w:footnoteReference w:id="852"/>
      </w:r>
      <w:r>
        <w:rPr>
          <w:rFonts w:ascii="Amiri" w:hAnsi="Amiri" w:eastAsia="Amiri" w:cs="Amiri"/>
          <w:color w:val="111111"/>
          <w:sz w:val="28"/>
          <w:sz w:val="28"/>
          <w:szCs w:val="28"/>
          <w:rtl w:val="true"/>
          <w:lang w:bidi="ar-SA"/>
        </w:rPr>
        <w:t>، و عيص بن القاسم</w:t>
      </w:r>
      <w:r>
        <w:rPr>
          <w:rStyle w:val="FootnoteAnchor"/>
          <w:rtl w:val="true"/>
        </w:rPr>
        <w:footnoteReference w:id="853"/>
      </w:r>
      <w:r>
        <w:rPr>
          <w:rFonts w:ascii="Amiri" w:hAnsi="Amiri" w:eastAsia="Amiri" w:cs="Amiri"/>
          <w:color w:val="111111"/>
          <w:sz w:val="28"/>
          <w:sz w:val="28"/>
          <w:szCs w:val="28"/>
          <w:rtl w:val="true"/>
          <w:lang w:bidi="ar-SA"/>
        </w:rPr>
        <w:t>الواردتين في سؤر الحائض و فضلها الحاكمتين بأنّه إذا كانت مأمونة فلا بأس، أو توضّأ منه إذا كانت مأمونة</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804560_1280447820"/>
      <w:bookmarkStart w:id="284" w:name="_Toc111"/>
      <w:bookmarkEnd w:id="283"/>
      <w:r>
        <w:rPr>
          <w:rtl w:val="true"/>
        </w:rPr>
        <w:t>الجهة الثالثة</w:t>
      </w:r>
      <w:r>
        <w:rPr>
          <w:rtl w:val="true"/>
        </w:rPr>
        <w:t xml:space="preserve">: </w:t>
      </w:r>
      <w:r>
        <w:rPr>
          <w:rtl w:val="true"/>
        </w:rPr>
        <w:t>عزي إلى المشهور عدم الفرق في النجاسة الموجبة للانفعال بين كثيرها و قليلها</w:t>
      </w:r>
      <w:bookmarkEnd w:id="284"/>
    </w:p>
    <w:p>
      <w:pPr>
        <w:pStyle w:val="BookText"/>
        <w:rPr/>
      </w:pPr>
      <w:r>
        <w:rPr>
          <w:rFonts w:ascii="Amiri" w:hAnsi="Amiri" w:eastAsia="Amiri" w:cs="Amiri"/>
          <w:color w:val="111111"/>
          <w:sz w:val="28"/>
          <w:sz w:val="28"/>
          <w:szCs w:val="28"/>
          <w:rtl w:val="true"/>
          <w:lang w:bidi="ar-SA"/>
        </w:rPr>
        <w:t>حتّى ما لو كان منها ممّا لا يدركه الطرف مثل رءوس الإبر الّتي لا تحسّ و لا تدرك و لو كان دما، و عن الحلّي</w:t>
      </w:r>
      <w:r>
        <w:rPr>
          <w:rStyle w:val="FootnoteAnchor"/>
          <w:rtl w:val="true"/>
        </w:rPr>
        <w:footnoteReference w:id="854"/>
      </w:r>
      <w:r>
        <w:rPr>
          <w:rFonts w:ascii="Amiri" w:hAnsi="Amiri" w:eastAsia="Amiri" w:cs="Amiri"/>
          <w:color w:val="111111"/>
          <w:sz w:val="28"/>
          <w:sz w:val="28"/>
          <w:szCs w:val="28"/>
          <w:rtl w:val="true"/>
          <w:lang w:bidi="ar-SA"/>
        </w:rPr>
        <w:t xml:space="preserve">دعوى الإجماع عليه، و عليه الشيخ على ما حكي عنه في سائر كتبه سوى المبسوط و الاستبصار، و أمّا فيهما فخالف المشهور و ذهب إلى الفرق بين الكثير و القليل الّذي لا يدركه الطرف فخصّ الحكم بالأوّل دون الثاني، قائلا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القليل ما نقص عن الكرّ، و ذلك ينجّس بكلّ نجاسة تحصل فيه، قليلة كانت النجاسة أو كثيرة، تغيّرت أوصافه أو لم يتغيّر، إلاّ ما لا يمكن التحرّز منه مثل رءوس الإبر من الدم و غيره، فإنّه معفوّ عنه لأنّه لا يمكن التحرّز منه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خصّ ذلك في الاستبصار بالدم</w:t>
      </w:r>
      <w:r>
        <w:rPr>
          <w:rStyle w:val="FootnoteAnchor"/>
          <w:rtl w:val="true"/>
        </w:rPr>
        <w:footnoteReference w:id="856"/>
      </w:r>
      <w:r>
        <w:rPr>
          <w:rFonts w:ascii="Amiri" w:hAnsi="Amiri" w:eastAsia="Amiri" w:cs="Amiri"/>
          <w:color w:val="111111"/>
          <w:sz w:val="28"/>
          <w:sz w:val="28"/>
          <w:szCs w:val="28"/>
          <w:rtl w:val="true"/>
          <w:lang w:bidi="ar-SA"/>
        </w:rPr>
        <w:t>، كما أنّ العلاّمة حكاه عنه في المختلف</w:t>
      </w:r>
      <w:r>
        <w:rPr>
          <w:rStyle w:val="FootnoteAnchor"/>
          <w:rtl w:val="true"/>
        </w:rPr>
        <w:footnoteReference w:id="857"/>
      </w:r>
      <w:r>
        <w:rPr>
          <w:rFonts w:ascii="Amiri" w:hAnsi="Amiri" w:eastAsia="Amiri" w:cs="Amiri"/>
          <w:color w:val="111111"/>
          <w:sz w:val="28"/>
          <w:sz w:val="28"/>
          <w:szCs w:val="28"/>
          <w:rtl w:val="true"/>
          <w:lang w:bidi="ar-SA"/>
        </w:rPr>
        <w:t xml:space="preserve">مخصوصا به من غير تعرّض لتعيين كتابه، و لعلّه أيضا وهم نشأ عن كلامه في الاستبصار، و لأجل ذلك توهّم جماعة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أقواله ثلاثة و الإنصاف يقتضي خلافه، إذ لا إشعار في كلامه في الاستبصار باختصاص الحكم </w:t>
      </w:r>
    </w:p>
    <w:p>
      <w:pPr>
        <w:pStyle w:val="BookText"/>
        <w:rPr/>
      </w:pPr>
      <w:r>
        <w:rPr>
          <w:rFonts w:ascii="Amiri" w:hAnsi="Amiri" w:eastAsia="Amiri" w:cs="Amiri"/>
          <w:color w:val="111111"/>
          <w:sz w:val="28"/>
          <w:sz w:val="28"/>
          <w:szCs w:val="28"/>
          <w:rtl w:val="true"/>
          <w:lang w:bidi="ar-SA"/>
        </w:rPr>
        <w:t>بالدم، كما لا يخفى على من يراجعه في ذيل باب القليل الّذي تحصل فيه النجاسة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ففي المختلف</w:t>
      </w:r>
      <w:r>
        <w:rPr>
          <w:rStyle w:val="FootnoteAnchor"/>
          <w:rtl w:val="true"/>
        </w:rPr>
        <w:footnoteReference w:id="859"/>
      </w:r>
      <w:r>
        <w:rPr>
          <w:rFonts w:ascii="Amiri" w:hAnsi="Amiri" w:eastAsia="Amiri" w:cs="Amiri"/>
          <w:color w:val="111111"/>
          <w:sz w:val="28"/>
          <w:sz w:val="28"/>
          <w:szCs w:val="28"/>
          <w:rtl w:val="true"/>
          <w:lang w:bidi="ar-SA"/>
        </w:rPr>
        <w:t>احتجّ الشيخ رحمه اللّه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في الصحيح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امتخط فصار الدم قطعا فأصاب إناءه، هل يصلح الوضوء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 و إن كان شيئا بيّنا فلا تتوضّأ منه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التحرّز عن ذلك مشقّة عظيمة و ضرر كثير فيسقط،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الرواية مبنيّة على إرادة السائل إصابة الماء من الإناء تسمية باسم المحلّ، لأنّ إرادة خصوص الظرف لا يناسب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بعده لكونه مجازا بلا قرينة واضحة، و لا يلائمه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على التوجيه المذكور في موضع الإضمار، مع توجّه المنع إلى ابتناء دلالتها على ذلك، لجواز تقريرها بأنّ السؤال و إن كان لا قضاء له بإصابة الدم للماء غير أنّ الجواب يشمل بعمومه ما هو المقصود بالاستدلال في وجه، أو هو مختصّ بالمقصود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في بعض النسخ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فلعود الضمير في الفعل الناقص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بوصف كونه مصيبا للإناء، و كون الجملة المتعقّبة له صفة للشيء و الظرف متعلّقا بها،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الدم أو ما أصاب الإناء شيئا يستبين في الماء فلا بأس، و هذا كما ترى يعمّ ما لو لم يكن فيه شيء أصلا، أو كان و لم يكن مستبينا فيه، بناء على رجوع النفي إلى كلّ من الوصف و الموصوف، فثبت به المطلوب أيضا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الحمل عليه لعلّه ليس على ما ينبغي؛ لعدم كون إفادة الحكم لصورة انتفاء الدم بالمرّة من شأن السائل و لا المسئول، مضافا إلى أنّ النفي و الإثبات يرجعان في الكلام إلى القيد، و كما أنّ الإثبات في الفقرة الثانية من الرواية يدور على القيد فكذلك </w:t>
      </w:r>
    </w:p>
    <w:p>
      <w:pPr>
        <w:pStyle w:val="BookText"/>
        <w:rPr/>
      </w:pPr>
      <w:r>
        <w:rPr>
          <w:rFonts w:ascii="Amiri" w:hAnsi="Amiri" w:eastAsia="Amiri" w:cs="Amiri"/>
          <w:color w:val="111111"/>
          <w:sz w:val="28"/>
          <w:sz w:val="28"/>
          <w:szCs w:val="28"/>
          <w:rtl w:val="true"/>
          <w:lang w:bidi="ar-SA"/>
        </w:rPr>
        <w:t>في النفي، فيكون حاصل معنى 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أصاب الإناء شيئا غير مستبين في الماء فلا بأس، و هذا عين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وجدناه في الكافي 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للفعل الناقص، و خبره الجملة المستعقبة للظرف الّذي هو متعلّق بها، أو الظرف و الجملة صفة للشيء،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 النفي إلى الخبر أو إلى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غير مستبين في الماء فلا بأس، أو إن كان شيء غير مستبين حاصلا في الماء، أي إن حصل في الماء شيء غير مستبين فلا بأس، و هذا أيضا عين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قرّرناه يندفع ما أورد عليه غير واحد بأنّه لا يدلّ على إصابة الدم للماء الّتي هي محلّ الكلام،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أنّه غير دالّ على محلّ النزاع، لأنّه ليس في الرواية دلالة على أنّ الدم أصاب الماء، و لا يلزم من إصابته الإناء إصابته للماء، و إن كان يفهم منه ذلك لكن دلالة المفهوم ضعيفة</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معارض برواية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و هو يتوضّأ، فيقطر قطرة في إنائه هل يصلح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هو كما ترى بمكان من الوهن، فإنّ الفرق بين القطرة و ما لا يدركه الطرف المفسّر في كلام الشيخ برءوس الإبر كما بين السماء و الأرض، فهي معارضة بما ليس من محلّ النزاع في شيء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دون هذا الجواب ما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استبانة الدم في الماء لا يقضي بلوغ قطع الدم في الصغر إلى حدّ رءوس الإبر، فإنّه قد لا يستبين في الماء و هو أعظم ممّا ذكر،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مذكور في كلام الشيخ من باب المثال لا من باب الانحصار، و إلاّ فمناط كلامه إنّما هو عدم الاستبانة كائنا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أدون من الجميع ما عن الذخيرة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مورد الرواية دم الأنف، فالتعميم لا يخلو عن إشكال، و أشكل منه إلحاقه في المبسوط كلّ ما لا يستبين</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عند القائلين بانفعال القليل بالملاقاة واحد، و هو مباشرة وصف النجاسة الّتي هي حاصلة في الجميع، و لذا يدّعي إجماعهم المركّب على التعميم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في هدم الاستدلال بالرواية منع دلالة ما فيها من الجواب المفصّل بين الاستبانة و عدمها، بل هي عند التحقيق تقضي بما ذهب إليه المشهور من إطلاق القول بالانفعال،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ضدّ الخفاء،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استبان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اتّضح و تبيّن و انكشف أي زال خفاؤه، و كما أنّ الشيء قد يخفى على الحسّ فلا يرى أو لا يسمع، فكذلك يخفى على الذهن فلا يدرك،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 الحقّ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 الهلال على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ذلك أن يكون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زوال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بالاشتراك على التبيّن في الحسّ و التبيّن في الذهن معا، و لذا لو حصل لك العلم بفسق أحد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خفي عليّ فسقه فتبيّن لي أنّه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تبيّن لي فسقه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إذا رأيت الهلال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خفي على بصري الهلال فتبيّن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يتبيّن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ذلك أن يكون الحكم المعلّق على الاستبانة بهذا المعنى، معلّقا عليها بالمعنى الأعمّ الّذي هو القدر المشترك بين النوعين، فيكون مفاد الرواية حينئذ إناطة حكم النجاسة المانعة عن الوضوء بزوال خفاء مباشرة الدم للماء، الّذي يتحقّق تارة عند البصر كما لو رأيناه فيه بعينه، و اخرى عند الذهن كما لو علمنا بوقوعه فيه و إن خفي على أبصارنا بعد الوقوع،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أصاب الإناء شيئا يخفى عليك كونه في الماء فلا بأس، و إن كان شيئا لا يخفى عليك كونه في الماء فلا يتوضّأ منه، و لا ريب أنّه إذا علمنا بوقوع قليل من الدم أو غيره و لو صغيرا بقدر رءوس الإبر في الماء، لصدق في حقّنا قضيّة القول بعدم خفاء كونه في الماء، و لم يصدق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خفي علينا كونه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نسخة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شيء من الدم أو غيره خفي كونه في الماء فلا بأس به، و إن كان شيئا لا يخفى كونه في الماء فلا يتوضّأ منه، و لا ريب أنّ الرواية بكلّ من التقديرين واضحة الدلالة على أنّ إدراك مباشرة النجاسة بالحسّ أو الذهن موجب لترتّب النجاسة و أحكامها، و هو عين ما صار إليه المشهور، و لا شهادة لها بما صار إليه الشيخ، و محصّل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النجاسة و أحكامها منوطة بالعلم بالمباشرة و لو بتوسّط الحسّ، و يكون موردها كما يرشد إليه السؤال المصرّح بإصابة الدم للإناء صورة الاشتباه و الاحتمال ظنّا أو وهما أو شكّا، لصدق الخفاء المعلّق عليه عدم المنع على الجميع عرفا، و لا ريب أنّها ممّا يحسن معها السؤال، بل السؤال عن مثلها ممّا ينبعث عن التقوى و كمال الاعتناء بآثار الشرع و أحكامه، كما هو من دأب المحتاطين و ديدن المتّقين، لا سيّما الّذين لهم حظّ من العلم و الفقاهة في مسائل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أورد على القول بمنع دلالة الرواية إلاّ على إصابة الإناء، من أنّ ذلك غير لائق بعلوّ شأن السائل و هو عليّ بن جعفر؛ لكونه فقيها جليل القدر عظيم الشأن من أهل العلم و المعرفة، فكيف يسأل عن حكم إصابة النجاسة للإناء دون الماء، مع وضوحه و بداهة أنّ إصابة الإناء ممّا لا يعقل لها تأثير في المنع،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إنّما ينبعث عن الجهل، و من البعيد أن لا يكون عليّ بن جعفر عالما بحكم صورة الاشتباه، و ما قرّر لها من الأصل الّذي يرجع إليه معها، لأنّه لا يناسب ما فيه من الفقاهة و جلالة الشأن و علوّ المرتبة، لمنع اقتضاء كلّ ذلك ما ذكر من الاستبعاد، فإنّ البحر قد يشذّ منه القطرة، مع أنّ الفقاهة إنّما تحصل تدرّجا فلم لا يجوز كون الرواية صادرة في أوّل الأمر، أو أنّه علم الأصل بالاجتهاد و مع ذلك راعى السؤال أخذا بالأوثق، أو أنّ السؤال إنّما ورد تنبيها للغير على حكم المسألة ممّن خفي عليه الأمر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قرّرناه في دفع دلالة الرواية على ما صار إليه الشيخ، وقعنا في فراغ عن القدح في سندها، و الحكم عليه بالضعف من جهة الجهالة، فإنّ في طريقها محمّد ابن أحمد العلوي و هو مجهول حاله، غير منصوص في كلام علماء الرجال بمدح و لا قدح، حتّى يعارض بكون توثيقه مستفادا من تصحيح العلاّمة رواياته في المختلف و المنتهى، </w:t>
      </w:r>
      <w:bookmarkStart w:id="285" w:name="pg16144_233169"/>
    </w:p>
    <w:p>
      <w:pPr>
        <w:pStyle w:val="BookText"/>
        <w:rPr/>
      </w:pPr>
      <w:bookmarkEnd w:id="285"/>
      <w:r>
        <w:rPr>
          <w:rFonts w:ascii="Amiri" w:hAnsi="Amiri" w:eastAsia="Amiri" w:cs="Amiri"/>
          <w:color w:val="111111"/>
          <w:sz w:val="28"/>
          <w:sz w:val="28"/>
          <w:szCs w:val="28"/>
          <w:rtl w:val="true"/>
          <w:lang w:bidi="ar-SA"/>
        </w:rPr>
        <w:t>سيّما هذه الرواية الّتي صحّحها العلاّمة في المختلف</w:t>
      </w:r>
      <w:r>
        <w:rPr>
          <w:rStyle w:val="FootnoteAnchor"/>
          <w:rtl w:val="true"/>
        </w:rPr>
        <w:footnoteReference w:id="865"/>
      </w:r>
      <w:r>
        <w:rPr>
          <w:rFonts w:ascii="IRNazanin" w:hAnsi="IRNazanin" w:eastAsia="IRNazanin"/>
          <w:color w:val="111111"/>
          <w:sz w:val="28"/>
          <w:sz w:val="28"/>
          <w:szCs w:val="28"/>
          <w:rtl w:val="true"/>
          <w:lang w:bidi="fa-IR"/>
        </w:rPr>
        <w:t>بخصوصها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احتجّ به الشيخ فمنعه واضح غاية الوضوح، و تفصيل القول عليه منع الصغرى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أراد بالمشقّة العظيمة العسر و الحرج المنفيّين في الشريعة، أو ما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الكبرى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يترتّب على المشقّة ارتفاع الحكم التكليفي كما هو نتيجة الدليل المصرّح بها في متن الاستدلال المعبّر عنها بالعفو، و لا يلزم منه عدم انعقاد الحكم الوضعي و هو النجاسة و تحقّق الانفعال، كما أنّه ممّا لا يلزم منه ارتفاع الحكم الوضعي، كما ثبت نظيره في غير موضع من الشرعيّات كقليل الدم في لباس المصلّي أو بدنه، و مثله دم القروح و الجروح فيهما و نحو ذلك، و لا ريب أنّ المتنازع فيه هو الثاني دون الأوّل كما لا يخفى، فثبت إذن أنّ الأقوى ما صار إليه المشهور عملا بعموم الأخبار منطوقا و مفهوما، سيّما عموم التعليل الوارد في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و يظهر من المحقّق السبزواري</w:t>
      </w:r>
      <w:r>
        <w:rPr>
          <w:rStyle w:val="FootnoteAnchor"/>
          <w:rtl w:val="true"/>
        </w:rPr>
        <w:footnoteReference w:id="86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بوجيه، فإنّ المستفاد من ملاحظة مجموع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 من التعليل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منوطا بنفس الوصف مع قطع النظر عن خصوصيّة موصوفه، و لا ريب أنّه يتحقّق مع الكثير و مع القليل أيضا في أيّ مرتبة من مراتبه، و التشكيك في مثل ذلك خروج عن جادّة الاستقامة و اجتهاد في مقابلة النصّ، و تبقى الرواية المتقدّمة بالمعنى الّذي فسّرناها به دليلا آخرا و مؤيّدة للدليل، فاحفظ هذا و اغتنم</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804562_1280447820"/>
      <w:bookmarkStart w:id="287" w:name="_Toc112"/>
      <w:bookmarkEnd w:id="286"/>
      <w:r>
        <w:rPr>
          <w:rtl w:val="true"/>
        </w:rPr>
        <w:t>الجهة الرابعة</w:t>
      </w:r>
      <w:r>
        <w:rPr>
          <w:rtl w:val="true"/>
        </w:rPr>
        <w:t xml:space="preserve">: </w:t>
      </w:r>
      <w:r>
        <w:rPr>
          <w:rtl w:val="true"/>
        </w:rPr>
        <w:t>قد استفاض نقل الشهرة في عدم الفرق في انفعال الماء القليل بملاقاة النجاسة بين ورودها عليه، أو وروده عليها، أو تواردهما،</w:t>
      </w:r>
      <w:bookmarkEnd w:id="287"/>
    </w:p>
    <w:p>
      <w:pPr>
        <w:pStyle w:val="Heading6"/>
        <w:numPr>
          <w:ilvl w:val="5"/>
          <w:numId w:val="1"/>
        </w:numPr>
        <w:rPr/>
      </w:pPr>
      <w:bookmarkStart w:id="288" w:name="__RefHeading___Toc1804564_1280447820"/>
      <w:bookmarkStart w:id="289" w:name="_Toc113"/>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كما لو سالا عن ميزابين و نحوهما فاختلطا، كما أنّه اشتهر المخالفة في ذلك عن السيّد المرتضى في الناصريّات لذهابه إلى الفرق بتخصيصه الانفعال بالماء الّذي يرد عليه النجاسة دون العكس، و هو محكيّ عن الشافعي من العامّة، و لكن العبارة المحكيّة عن السيّد غير دالّة على استقرار هذه المخالفة منه، لأنّه عند حكاية القول بعدم الفرق بين الورودين عن جدّه الناصر، قال في الناصريّات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ورود الماء على النجاسة و ورود النجاسة على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لا أعرف لها نصّا لأصحابنا و لا قولا صريحا، و الشافعي يفرّق بين ورود الماء عليها، و ورودها عليه فيعتبر القلّتين في ورود النجاسة على الماء، و لا يعتبر في ورود الماء على النجاسة، و خالفه سائر الفقهاء في هذه المسألة، و الّذي يقوى في نفسي عاجلا إلى أن يقع التأمّل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ذهب إليه الشافعي؛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حكمنا بنجاسة الماء القليل الوارد على النجاسة لأدّى ذلك إلى أنّ الثوب لا يطهّر من النجاسة إلاّ بإيراد كرّ من الماء عليه و ذلك يشقّ، فدلّ على أنّ الماء الوارد على النجاسة، لا يعتبر فيه القلّة و الكثرة كما يعتبر فيما يرد عليه النجاسة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كما ترى ممّا لا يقضي بأنّه أخذ ذلك مذهبا لنفسه على سبيل الإذعان، و لا على استقراره عليه لو فرض إذعانه به حين إنشاء تلك العبارة، و على أيّ حال فلم نقف من أصحابنا على من وافقه على ذلك عدا صاحب المدارك من المتأخّرين،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رجّح في مسألة الانفعال خلاف مذهب العمّاني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أنّه ليس في شيء من تلك الروايات دلالة على انفعال القليل بوروده على النجاسة، و لا على انفعاله بكلّ ما يرد عليه من النجاسات، و من ثمّ ذهب المرتضى رحمه اللّه في جواب المسائل الناصريّة إلى عدم نجاسة القليل بوروده على النجاسة و هو متّجه</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عن الحلّي في السرائر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العبارة المتقدّمة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و ما قوي في نفس السيّد هو الصحيح، المستمرّ على أصل المذهب و فتاوي الأصحاب</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بين كلامه رحمه اللّه و عبارة السيّد المتقدّمة حيث إنّ ظاهره الإجماع على الفرق المذكور، و من البعيد أن يكون مسألة إجماعيّة و لم يعرف السيّد فيها نصّا و لا قولا صريحا لأصحابنا، و هو أقدم منه و أعرف بفتاوي من سلف منهم و اصول مذهبهم، و لعلّه أراد بما نقله ما تحقّق متأخّرا عن عصر السيّد، أو ما تحقّق بين أهل عصره بالخصوص، و هو أيضا بمكان من المنع، حيث لم يوافقه أحد على ذلك النقل، و ربّما يمكن القول بأنّه وهم نشأ عن ملاحظة ما استقرّ عليه المذهب و اجتمعت عليه فتاوي الأصحاب، من أنّ الماء القليل الوارد </w:t>
      </w:r>
    </w:p>
    <w:p>
      <w:pPr>
        <w:pStyle w:val="BookText"/>
        <w:rPr/>
      </w:pPr>
      <w:r>
        <w:rPr>
          <w:rFonts w:ascii="Amiri" w:hAnsi="Amiri" w:eastAsia="Amiri" w:cs="Amiri"/>
          <w:color w:val="111111"/>
          <w:sz w:val="28"/>
          <w:sz w:val="28"/>
          <w:szCs w:val="28"/>
          <w:rtl w:val="true"/>
          <w:lang w:bidi="ar-SA"/>
        </w:rPr>
        <w:t>على المتنجّس يفيد طهارة المحلّ بزعم أنّه ممّا لا يتأتّى إلاّ على فرض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كلام السيّد فيما تقدّم على أن يكون مراده بعدم نجاسة الوارد عدم نجاسة العالي بالسافل، حتّى يكون لما ذكره ابن إدريس من أنّ فتاوي الأصحاب به وجه صحّة فيرتفع الخلاف في البين، و هو كما ترى في وضوح من البعد، و عن ظاهر الشهيد في الذكرى</w:t>
      </w:r>
      <w:r>
        <w:rPr>
          <w:rStyle w:val="FootnoteAnchor"/>
          <w:rtl w:val="true"/>
        </w:rPr>
        <w:footnoteReference w:id="870"/>
      </w:r>
      <w:r>
        <w:rPr>
          <w:rFonts w:ascii="Amiri" w:hAnsi="Amiri" w:eastAsia="Amiri" w:cs="Amiri"/>
          <w:color w:val="111111"/>
          <w:sz w:val="28"/>
          <w:sz w:val="28"/>
          <w:szCs w:val="28"/>
          <w:rtl w:val="true"/>
          <w:lang w:bidi="ar-SA"/>
        </w:rPr>
        <w:t>أنّ كلامهما في الغسالة خاصّة، فلا مخالفة لهما في مسألة الورودين، و يقوى ذلك بملاحظة جملة من العبارات المحكيّة عنهما الظاهرة في موافقة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التطهير بالمستعمل في رفع الحدث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أن يجمع الإنسان وضوءه عن الحدث أو غسله من الجنابة في إناء نظيف و يتوضّأ به، و يغتسل به مرّة اخرى، بعد أن لا يكون في بدنه شيء من النجاسة، بناء على أنّ اعتبار نظافة الإناء و خلوّ البدن عن النجاسة إنّما هو لحفظ الماء الوارد عليهما عن الانفعال كما هو الظاهر، لا لأنّ غسالة النجس لا تصلح مطهّرة، و إن كانت طاهرة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إدريس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أوّل السرائر،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الماء المستعمل في تطهير الأعضاء و البدن الّذي لا نجاسة عليه إذا جمع في إناء نظيف كان طاهرا مطهّرا، سواء كان مستعملا في الطهارة الكبرى أو الصغرى على الصحيح من المذهب</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و التقريب فيه أيضا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أيضا في مسألة ماء الاستنجاء و ماء الاغتسال من الجنابة،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انفصل و وقع على نجاسة ثمّ رجع إليه وجب إزالته</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و هذا كما ترى كالصريح في موافقة المشهور في غير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أيضا من أنّه ادّعى الإجماع و الأخبار على نجاسة غسالة الحمّام، بناء على أنّها في الغالب من المياه الواردة على النجاسة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يستظهر القول المبحوث عنه من الشيخين في المقنعة و المبسوط؛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بطهارة ما يرجع من ماء الوضوء إلى بدن المتوضّي أو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90" w:name="pg16144_233172"/>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يقع على الأرض الطاهرة من الماء الّذي يستنجى به ثمّ يرجع عليه لا يضرّه و لا ينجّس شيئا من ثيابه و بدنه، إلاّ أن يقع على نجاسة ظاهرة فيحملها في رجوعه، فيجب غسل ما أصابه منه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جسد المغتسل نجاسة أزالها ثمّ اغتسل، فإن خالف و اغتسل أوّلا ارتفع حدث الجنابة، و عليه أن يزيل النجاسة إن كانت لم تزل بالاغتسال</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فإنّ حكمه بارتفاع حدث الجنابة مبنيّ على عدم انفعال الماء الوارد على النجاسة الّتي تكون في الجسد، و إلاّ لم يكن لما ذكره وجه، بناء على اشتراط الطهارة في ماء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مراد المفيد من حمل الماء النجاسة تنجّسه بها،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لا حمله جزءا منها حتّى يكون إيجاب الغسل من جهة هذا الجزء لإصابته الثياب أو البدن، فلا ظهور لما ذكره في ما توهّم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كلامه على الاغتسال فيما لا ينفعل من الماء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فلم نقف من أصحابنا على مصرّح بالقول المذكور على نحو يشمل محلّ النزاع، نعم عبارة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الميل إليه، و دونها في الظهور كلام الحلّي المتقدّم</w:t>
      </w:r>
      <w:r>
        <w:rPr>
          <w:rStyle w:val="FootnoteAnchor"/>
          <w:rtl w:val="true"/>
        </w:rPr>
        <w:footnoteReference w:id="879"/>
      </w:r>
      <w:r>
        <w:rPr>
          <w:rFonts w:ascii="Amiri" w:hAnsi="Amiri" w:eastAsia="Amiri" w:cs="Amiri"/>
          <w:color w:val="111111"/>
          <w:sz w:val="28"/>
          <w:sz w:val="28"/>
          <w:szCs w:val="28"/>
          <w:rtl w:val="true"/>
          <w:lang w:bidi="ar-SA"/>
        </w:rPr>
        <w:t>، و أمّا السيّد فقد عرفت أنّ كلامه غير ظاهر في اختياره مذهبا على جهة الاستقرار،</w:t>
      </w:r>
    </w:p>
    <w:p>
      <w:pPr>
        <w:pStyle w:val="Heading6"/>
        <w:numPr>
          <w:ilvl w:val="5"/>
          <w:numId w:val="1"/>
        </w:numPr>
        <w:rPr/>
      </w:pPr>
      <w:bookmarkStart w:id="291" w:name="__RefHeading___Toc1804566_1280447820"/>
      <w:bookmarkStart w:id="292" w:name="_Toc114"/>
      <w:bookmarkEnd w:id="291"/>
      <w:r>
        <w:rPr>
          <w:rtl w:val="true"/>
        </w:rPr>
        <w:t>و على أيّ حال فالحقّ هو المشهور المنصور لوجوه</w:t>
      </w:r>
      <w:r>
        <w:rPr>
          <w:rtl w:val="true"/>
        </w:rPr>
        <w:t>.</w:t>
      </w:r>
      <w:bookmarkEnd w:id="292"/>
    </w:p>
    <w:p>
      <w:pPr>
        <w:pStyle w:val="Heading6"/>
        <w:numPr>
          <w:ilvl w:val="5"/>
          <w:numId w:val="1"/>
        </w:numPr>
        <w:rPr/>
      </w:pPr>
      <w:bookmarkStart w:id="293" w:name="__RefHeading___Toc1804568_1280447820"/>
      <w:bookmarkStart w:id="294" w:name="_Toc115"/>
      <w:bookmarkEnd w:id="293"/>
      <w:r>
        <w:rPr>
          <w:rtl w:val="true"/>
        </w:rPr>
        <w:t>الأوّل</w:t>
      </w:r>
      <w:r>
        <w:rPr>
          <w:rtl w:val="true"/>
        </w:rPr>
        <w:t xml:space="preserve">: </w:t>
      </w:r>
      <w:r>
        <w:rPr>
          <w:rtl w:val="true"/>
        </w:rPr>
        <w:t xml:space="preserve">ظاهر الخبر المستفيض </w:t>
      </w:r>
      <w:r>
        <w:rPr>
          <w:rtl w:val="true"/>
        </w:rPr>
        <w:t>«</w:t>
      </w:r>
      <w:r>
        <w:rPr>
          <w:rtl w:val="true"/>
        </w:rPr>
        <w:t>إذا كان الماء قدر كرّ لم ينجّسه شيء</w:t>
      </w:r>
      <w:r>
        <w:rPr>
          <w:rtl w:val="true"/>
        </w:rPr>
        <w:t xml:space="preserve">» </w:t>
      </w:r>
      <w:r>
        <w:rPr>
          <w:rtl w:val="true"/>
        </w:rPr>
        <w:t>فإنّه بعموم مفهومه التابع لعموم منطوقه يشمل المقام و غيره،</w:t>
      </w:r>
      <w:bookmarkEnd w:id="2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فإنّه بعموم مفهومه التابع لعموم منطوقه يشمل المقام و غيره،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ورود النجاسة على الماء أو تواردهما معا، و الوجه في ذلك ما سبق الإشارة إليه من أنّ له عموما من جهات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فيشملان كلّ ماء و كلّ نجس، و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الأحوال الطارئة له من الاجتماع و التفرقة، مع الاتّصال أو تساوي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اختلافهما، تسنّما أو انحدارا، و باعتبار نسبة التنجيس إلى الشيء المنفيّ في المنطوق المثبت في </w:t>
      </w:r>
      <w:bookmarkStart w:id="295" w:name="pg16144_233173"/>
    </w:p>
    <w:p>
      <w:pPr>
        <w:pStyle w:val="BookText"/>
        <w:rPr/>
      </w:pPr>
      <w:bookmarkEnd w:id="295"/>
      <w:r>
        <w:rPr>
          <w:rFonts w:ascii="Amiri" w:hAnsi="Amiri" w:eastAsia="Amiri" w:cs="Amiri"/>
          <w:color w:val="111111"/>
          <w:sz w:val="28"/>
          <w:sz w:val="28"/>
          <w:szCs w:val="28"/>
          <w:rtl w:val="true"/>
          <w:lang w:bidi="ar-SA"/>
        </w:rPr>
        <w:t>المفهوم، بالنظر إلى الأحوال اللاحقة بالمباشرة الّتي تستفاد من تلك النسبة من كونها حاصلة بورود الشيء على الماء، أو بورود الماء على الشيء، أو بورود كلّ على الآخر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إطلاق تلك النسبة يشمل جميع تلك الأحوال فيتبعه الحكم منطوقا و مفهوما، لئلاّ يلزم الخطاب بما له ظاهر و إرادة خلافه، و ما ادّعي من القول المذكور لا يصار إليه إلاّ مع دليل دافع لذلك الإطلاق و ليس ثابتا لما ستعرف من ضعف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قرّرناه تبيّن اندفاع ما اعترض عليه من منع شموله لمحلّ البحث، تعليلا بأنّ الدلالة تنشأ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المفهوم، و هو بمكان من المنع لكونه نكرة في سياق الإثبات فلا يعمّ، كما تبيّن بطلان 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الدلالة تنشأ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إنّما يشمل من الأفراد لما هو من سنخه بحسب المفهوم العرفي أو اللغوي، و لو من جهة الإطلاق المقابل للتقييد، و لا ريب أنّ كون كلّ فرد من أفراد النجاسة ممّا يوجب انفعال القليل لا يستلزم كونه كذلك في جميع الأحوال اللاحقة بالمباشرة؛ إذ ليست الأحوال من سنخ أفراد النجاسة، كما أنّ كون كلّ فرد من أفراد القليل ممّا ينفعل بالملاقاة لا يستلزم كونه كذلك بالقياس إلى جميع أحوال المباشرة، فلا بدّ من إحراز العموم من جهة اخرى ممّا يرجع إلى المباشرة، نظرا إلى أنّها الّتي تختلف بالأنواع المختلفة المعبّر عنها بالورودين و التوارد</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804570_1280447820"/>
      <w:bookmarkStart w:id="297" w:name="_Toc116"/>
      <w:bookmarkEnd w:id="296"/>
      <w:r>
        <w:rPr>
          <w:rtl w:val="true"/>
        </w:rPr>
        <w:t>الثاني</w:t>
      </w:r>
      <w:r>
        <w:rPr>
          <w:rtl w:val="true"/>
        </w:rPr>
        <w:t xml:space="preserve">: </w:t>
      </w:r>
      <w:r>
        <w:rPr>
          <w:rtl w:val="true"/>
        </w:rPr>
        <w:t>إطلاق جملة من الروايات المتقدّمة</w:t>
      </w:r>
      <w:bookmarkEnd w:id="297"/>
    </w:p>
    <w:p>
      <w:pPr>
        <w:pStyle w:val="BookText"/>
        <w:rPr/>
      </w:pPr>
      <w:r>
        <w:rPr>
          <w:rFonts w:ascii="Amiri" w:hAnsi="Amiri" w:eastAsia="Amiri" w:cs="Amiri"/>
          <w:color w:val="111111"/>
          <w:sz w:val="28"/>
          <w:sz w:val="28"/>
          <w:szCs w:val="28"/>
          <w:rtl w:val="true"/>
          <w:lang w:bidi="ar-SA"/>
        </w:rPr>
        <w:t>كرواية أبي بصير الواردة في النبيذ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منه الميل ينجّس حبّا من ماء</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فإنّ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من باب المثال، للقطع بعدم مدخليّة الخصوصيّة في الحكم، فهو في الحقيقة كناية عن الكثير الّذي يباشره النبيذ كائنا ما كان، و تحديده بما يبلّ منه الميل مبالغة في قوّة ما فيه من التأثير، حتّى أنّ أقلّ قليل منه ينجّس من الماء ما كان أكثر منه بمراتب، و لا ريب أنّ ذلك بإطلاقه يتناول محلّ البحث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عمّار بن موسى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في إنائه فأرة، و قد توضّأ من ذلك الإناء مرارا، و غسل منه ثيابه و اغتسل منه، و قد كانت الفأرة </w:t>
      </w:r>
      <w:bookmarkStart w:id="298" w:name="pg16144_233174"/>
    </w:p>
    <w:p>
      <w:pPr>
        <w:pStyle w:val="BookText"/>
        <w:rPr/>
      </w:pPr>
      <w:bookmarkEnd w:id="298"/>
      <w:r>
        <w:rPr>
          <w:rFonts w:ascii="Amiri" w:hAnsi="Amiri" w:eastAsia="Amiri" w:cs="Amiri"/>
          <w:color w:val="111111"/>
          <w:sz w:val="28"/>
          <w:sz w:val="28"/>
          <w:szCs w:val="28"/>
          <w:rtl w:val="true"/>
          <w:lang w:bidi="ar-SA"/>
        </w:rPr>
        <w:t>منسلخة؟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 يغسل كلّما أصابه ذلك الماء، و يعيد الوضوء و الصلاة الحديث</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فإنّ ترك الاستفصال في موضع الاحتمال يفيد العموم في المقال، و لو لا عدم الفرق بين الورودين لكان اللازم تفصيلا آخر في اولى شقي التفصيل المذكور في الرواية،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ترى في قدح من مسكر يصبّ عليه الماء حتّى يذهب عاديته، و يذهب سكره؟،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لا قطرة قطرت في حبّ إلاّ اهريق ذلك الحبّ</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فإنّ السؤال ظاهر بل صريح في ورود الماء و الجواب صريح في عكسه، فلو لا المراد إعطاء الحكم على الوجه الأعمّ لفاتت المطابقة بينهما، 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توسيط ذلك، بناء على أنّ النفي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إلى فرض السؤال و يبقى ما بعده مخصوصا بصورة العكس، تعميما للحكم بالقياس إلى الصورتين معا و هو المطلوب</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804572_1280447820"/>
      <w:bookmarkStart w:id="300" w:name="_Toc117"/>
      <w:bookmarkEnd w:id="299"/>
      <w:r>
        <w:rPr>
          <w:rtl w:val="true"/>
        </w:rPr>
        <w:t>و الثالث</w:t>
      </w:r>
      <w:r>
        <w:rPr>
          <w:rtl w:val="true"/>
        </w:rPr>
        <w:t xml:space="preserve">: </w:t>
      </w:r>
      <w:r>
        <w:rPr>
          <w:rtl w:val="true"/>
        </w:rPr>
        <w:t>جملة من الروايات أيضا صريحة أو ظاهرة كالصريحة في خصوص المسألة المبحوث عنها،</w:t>
      </w:r>
      <w:bookmarkEnd w:id="300"/>
    </w:p>
    <w:p>
      <w:pPr>
        <w:pStyle w:val="BookText"/>
        <w:rPr/>
      </w:pPr>
      <w:r>
        <w:rPr>
          <w:rFonts w:ascii="Amiri" w:hAnsi="Amiri" w:eastAsia="Amiri" w:cs="Amiri"/>
          <w:color w:val="111111"/>
          <w:sz w:val="28"/>
          <w:sz w:val="28"/>
          <w:szCs w:val="28"/>
          <w:rtl w:val="true"/>
          <w:lang w:bidi="ar-SA"/>
        </w:rPr>
        <w:t>كموثّقة عبد اللّه بن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تغتسل من غسالة الحمّام، و فيها يجتمع غسالة اليهودي، و النصراني، و المجوسيّ،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فإنّ غسالة الحمّام تحصل غالبا بصبّ الماء على البدن لغسل أو تنظيف أو غير ذلك كما لا يخفى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رواية حمزة بن أحمد عن أبي الحسن الأوّل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ماء الحمّام، فإنّه يسيل فيها ماء يغتسل به الجنب، و ولد الزنا، و الناصب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885"/>
      </w:r>
      <w:r>
        <w:rPr>
          <w:rFonts w:ascii="Amiri" w:hAnsi="Amiri" w:eastAsia="Amiri" w:cs="Amiri"/>
          <w:color w:val="111111"/>
          <w:sz w:val="28"/>
          <w:sz w:val="28"/>
          <w:szCs w:val="28"/>
          <w:rtl w:val="true"/>
          <w:lang w:bidi="ar-SA"/>
        </w:rPr>
        <w:t xml:space="preserve">، و لكنّها إنّما تنطبق عليها لو قلنا بظهورها في الانفعال، و إلاّ فأقصاها الدلالة على أنّ الماء المستعمل في رفع الحدث الأكبر لا يرفع </w:t>
      </w:r>
      <w:bookmarkStart w:id="301" w:name="pg16144_233175"/>
    </w:p>
    <w:p>
      <w:pPr>
        <w:pStyle w:val="BookText"/>
        <w:rPr/>
      </w:pPr>
      <w:bookmarkEnd w:id="301"/>
      <w:r>
        <w:rPr>
          <w:rFonts w:ascii="Amiri" w:hAnsi="Amiri" w:eastAsia="Amiri" w:cs="Amiri"/>
          <w:color w:val="111111"/>
          <w:sz w:val="28"/>
          <w:sz w:val="28"/>
          <w:szCs w:val="28"/>
          <w:rtl w:val="true"/>
          <w:lang w:bidi="ar-SA"/>
        </w:rPr>
        <w:t>الحدث، و لا يستعمل ثانيا في التطهير عن الحدث، كما يرشد إليه الجمع بين الناصب و الجنب و ولد الزناء مع عدم كونهما نجسين، و كون الجنب ممّن عليه نجاسة خارجيّة مجرّد احتمال لا ينبغي تنزيل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عمّار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يكون فيه خمرا يصلح أن يكون فيه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و هي صريحة في ورود الماء دالّة بمفهومها على الانفعال في المتنازع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معناها رواية الوسائل و قرب الإسناد، المتضمّنة للسؤال عن الشرب في الإناء يشرب منه الخمر قدحان عيدان أو باطية، المستعقب لقول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1804574_1280447820"/>
      <w:bookmarkStart w:id="303" w:name="_Toc118"/>
      <w:bookmarkEnd w:id="302"/>
      <w:r>
        <w:rPr>
          <w:rtl w:val="true"/>
        </w:rPr>
        <w:t>و الرابع</w:t>
      </w:r>
      <w:r>
        <w:rPr>
          <w:rtl w:val="true"/>
        </w:rPr>
        <w:t xml:space="preserve">: </w:t>
      </w:r>
      <w:r>
        <w:rPr>
          <w:rtl w:val="true"/>
        </w:rPr>
        <w:t>إطلاق الإجماعات المحكيّة في المسألة على حدّ الاستفاضة</w:t>
      </w:r>
      <w:r>
        <w:rPr>
          <w:rtl w:val="true"/>
        </w:rPr>
        <w:t>.</w:t>
      </w:r>
      <w:bookmarkEnd w:id="30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أمالي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من دين الإماميّة الإقرار بأنّ الماء كلّه طاهر حتّى يعلم أنّه قذر، و 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يشمل جميع أنواع النجاسة؛ لأنّه غير قادح فيما نحن بصدده، مع إمكان إرجاعه إلى أكثر الأنواع نظرا إلى أنّ الغالب منها ما يرجع إلى ذي النفس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الغنية</w:t>
      </w:r>
      <w:r>
        <w:rPr>
          <w:rStyle w:val="FootnoteAnchor"/>
          <w:rtl w:val="true"/>
        </w:rPr>
        <w:footnoteReference w:id="889"/>
      </w:r>
      <w:r>
        <w:rPr>
          <w:rFonts w:ascii="Amiri" w:hAnsi="Amiri" w:eastAsia="Amiri" w:cs="Amiri"/>
          <w:color w:val="111111"/>
          <w:sz w:val="28"/>
          <w:sz w:val="28"/>
          <w:szCs w:val="28"/>
          <w:rtl w:val="true"/>
          <w:lang w:bidi="ar-SA"/>
        </w:rPr>
        <w:t>من أنّه إن كان الماء الراكد قليلا، و مياه الآبار قليلا كان أو كثيرا تغيّر بالنجاسة أو لم يتغيّر فهو نجس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المختلف</w:t>
      </w:r>
      <w:r>
        <w:rPr>
          <w:rStyle w:val="FootnoteAnchor"/>
          <w:rtl w:val="true"/>
        </w:rPr>
        <w:footnoteReference w:id="890"/>
      </w:r>
      <w:r>
        <w:rPr>
          <w:rFonts w:ascii="Amiri" w:hAnsi="Amiri" w:eastAsia="Amiri" w:cs="Amiri"/>
          <w:color w:val="111111"/>
          <w:sz w:val="28"/>
          <w:sz w:val="28"/>
          <w:szCs w:val="28"/>
          <w:rtl w:val="true"/>
          <w:lang w:bidi="ar-SA"/>
        </w:rPr>
        <w:t xml:space="preserve">من أنّه اتّفق علماؤنا إلاّ ابن أبي عقيل على أنّ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نقص عن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بملاقاة النجاسة له تغيّر بها أو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السيوري</w:t>
      </w:r>
      <w:r>
        <w:rPr>
          <w:rStyle w:val="FootnoteAnchor"/>
          <w:rtl w:val="true"/>
        </w:rPr>
        <w:footnoteReference w:id="891"/>
      </w:r>
      <w:r>
        <w:rPr>
          <w:rFonts w:ascii="Amiri" w:hAnsi="Amiri" w:eastAsia="Amiri" w:cs="Amiri"/>
          <w:color w:val="111111"/>
          <w:sz w:val="28"/>
          <w:sz w:val="28"/>
          <w:szCs w:val="28"/>
          <w:rtl w:val="true"/>
          <w:lang w:bidi="ar-SA"/>
        </w:rPr>
        <w:t>من أنّ تنجّس القليل من الراكد مذهب كافّة العلماء، إلاّ ابن أبي عقيل منّا و مالكا من الجمهور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شرح المفاتيح للمحقّق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علماؤنا على انفعال القليل </w:t>
      </w:r>
    </w:p>
    <w:p>
      <w:pPr>
        <w:pStyle w:val="BookText"/>
        <w:rPr/>
      </w:pPr>
      <w:r>
        <w:rPr>
          <w:rFonts w:ascii="Amiri" w:hAnsi="Amiri" w:eastAsia="Amiri" w:cs="Amiri"/>
          <w:color w:val="111111"/>
          <w:sz w:val="28"/>
          <w:sz w:val="28"/>
          <w:szCs w:val="28"/>
          <w:rtl w:val="true"/>
          <w:lang w:bidi="ar-SA"/>
        </w:rPr>
        <w:t>بالملاقاة سوى ابن أبي عقيل، و لعلّه خارج غير مضرّ لكونه معلوم النسب إلخ</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تقدّم في عبارة السيّد من الاحتجاج،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قصوره عن إفادة تمام المدّعى كما أشار إليه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غاية ما هناك قضاء الضرورة بطهارة الوارد على المحلّ المتنجّس إذا استعقب طهر المحلّ، فأمّا طهارة الوارد مطلقا و لو على النجس أو المتنجّس فيما عدا الغسلة المطهّرة فلا</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لما سبق الإشارة إلى تحقيقه من أنّه لا مانع عن إفادة هذا الماء و لو مع الانفصال طهارة المحلّ بعد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للشيء لا يصلح لكونه معطيا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منقوض بأحجار الاستنجاء،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الماء بنفسه علّة مستقلّة للطهارة، بل العلّة هو المجموع من وروده طاهرا على المحلّ مع انفصاله عنه بالعصر و نحوه، فالمطهّر حقيقة ورود الطاهر مع انفصاله، و لا يقدح فيه انفعاله بنفسه فيما بين الجزءين إذا دلّ عليه الشرع، فالالتزام به عند التحقيق إنّما هو من جهة الجمع بين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انفعال القليل بالملاقاة، و قاعدة طهر المتنجّس بالقليل الوارد عليه، فإنّ كلاّ من القاعدتين ممّا قام به الدليل، و المفروض أنّ الأسباب الشرعيّة ليست كالعلل العقليّة حتّى تقاس بالعقول، بل هي امور تعبّديّة تتبع دليل التعبّد بها، فإذا قام الدليل عليه يجب الأخذ بها و إعمالها في موارد ذلك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المتأخّرين أنّه بعد ما وافق السيّد في المذهب المذكور احتجّ بأنّ أقصى ما دلّت عليه الأدلّة الدالّة على انفعال القليل هو انفعال ما وردت عليه النجاسة، فيتمسّك فيما عدا ذلك بمقتضى الأصل، و العمومات السالمة على المعارض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بعد ما أحطت خبرا بما قرّرناه في دليل المختار تعرف ضعف ذلك، و أضعف منه ما عرفت عن الحلّي</w:t>
      </w:r>
      <w:r>
        <w:rPr>
          <w:rStyle w:val="FootnoteAnchor"/>
          <w:rtl w:val="true"/>
        </w:rPr>
        <w:footnoteReference w:id="894"/>
      </w:r>
      <w:r>
        <w:rPr>
          <w:rFonts w:ascii="Amiri" w:hAnsi="Amiri" w:eastAsia="Amiri" w:cs="Amiri"/>
          <w:color w:val="111111"/>
          <w:sz w:val="28"/>
          <w:sz w:val="28"/>
          <w:szCs w:val="28"/>
          <w:rtl w:val="true"/>
          <w:lang w:bidi="ar-SA"/>
        </w:rPr>
        <w:t xml:space="preserve">من دعوى استمرار الفرق بين الورودين على فتاوي الأصحاب و اصول المذهب، فإنّه كما ترى ينافي إطلاق الإجماعات المتقدّمة، و كيف ذلك مع ما </w:t>
      </w:r>
      <w:bookmarkStart w:id="304" w:name="pg16144_233177"/>
    </w:p>
    <w:p>
      <w:pPr>
        <w:pStyle w:val="BookText"/>
        <w:rPr/>
      </w:pPr>
      <w:bookmarkEnd w:id="304"/>
      <w:r>
        <w:rPr>
          <w:rFonts w:ascii="Amiri" w:hAnsi="Amiri" w:eastAsia="Amiri" w:cs="Amiri"/>
          <w:color w:val="111111"/>
          <w:sz w:val="28"/>
          <w:sz w:val="28"/>
          <w:szCs w:val="28"/>
          <w:rtl w:val="true"/>
          <w:lang w:bidi="ar-SA"/>
        </w:rPr>
        <w:t>عرفت عن السيّد</w:t>
      </w:r>
      <w:r>
        <w:rPr>
          <w:rStyle w:val="FootnoteAnchor"/>
          <w:rtl w:val="true"/>
        </w:rPr>
        <w:footnoteReference w:id="895"/>
      </w:r>
      <w:r>
        <w:rPr>
          <w:rFonts w:ascii="Amiri" w:hAnsi="Amiri" w:eastAsia="Amiri" w:cs="Amiri"/>
          <w:color w:val="111111"/>
          <w:sz w:val="28"/>
          <w:sz w:val="28"/>
          <w:szCs w:val="28"/>
          <w:rtl w:val="true"/>
          <w:lang w:bidi="ar-SA"/>
        </w:rPr>
        <w:t>من إنكاره وجود نصّ من الأصحاب و لا قول صريح لهم في ذلك</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804576_1280447820"/>
      <w:bookmarkStart w:id="306" w:name="_Toc119"/>
      <w:bookmarkEnd w:id="305"/>
      <w:r>
        <w:rPr>
          <w:rtl w:val="true"/>
        </w:rPr>
        <w:t>المقام الثاني</w:t>
      </w:r>
      <w:r>
        <w:rPr>
          <w:rtl w:val="true"/>
        </w:rPr>
        <w:t xml:space="preserve">: </w:t>
      </w:r>
      <w:r>
        <w:rPr>
          <w:rtl w:val="true"/>
        </w:rPr>
        <w:t>في مستثنيات قاعدة الانفعال ممّا هو محلّ وفاق و ما هو محلّ خلاف،</w:t>
      </w:r>
      <w:bookmarkEnd w:id="306"/>
    </w:p>
    <w:p>
      <w:pPr>
        <w:pStyle w:val="Heading6"/>
        <w:numPr>
          <w:ilvl w:val="5"/>
          <w:numId w:val="1"/>
        </w:numPr>
        <w:rPr/>
      </w:pPr>
      <w:bookmarkStart w:id="307" w:name="__RefHeading___Toc1804578_1280447820"/>
      <w:bookmarkStart w:id="308" w:name="_Toc120"/>
      <w:bookmarkEnd w:id="307"/>
      <w:r>
        <w:rPr>
          <w:rtl w:val="true"/>
        </w:rPr>
        <w:t>و قبل الخوض فيها ينبغي الإشارة إلى دقيقة ينكشف بها بعض الفوائد و الغفلات،</w:t>
      </w:r>
      <w:bookmarkEnd w:id="308"/>
    </w:p>
    <w:p>
      <w:pPr>
        <w:pStyle w:val="BookText"/>
        <w:rPr/>
      </w:pPr>
      <w:r>
        <w:rPr>
          <w:rFonts w:ascii="Amiri" w:hAnsi="Amiri" w:eastAsia="Amiri" w:cs="Amiri"/>
          <w:color w:val="111111"/>
          <w:sz w:val="28"/>
          <w:sz w:val="28"/>
          <w:szCs w:val="28"/>
          <w:rtl w:val="true"/>
          <w:lang w:bidi="ar-SA"/>
        </w:rPr>
        <w:t xml:space="preserve">و هي أنّك قد عرفت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المسألة إلى مقامنا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انفعال القليل بالملاقاة مطلقا، يقابلها أقوال حدثت فيما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العمّاني بعدم انفعاله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بعدم انفعاله إذا كان واردا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الغسالة الحاصلة من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سراية النجاسة من أسفل الماء إلى أعلاه و لو قليلا، و هذا قول إجماعي في الجملة على ما حكي، و لا ريب أنّ كلاّ من هذه الأقوال ناظر إلى جهة تطرأ القليل من غير الجهة الطارئة له بالنظر إلى قول آخر، فالقليل ممّا يطرؤه جهات متكثّرة نشأت من كلّ جهة قول، غير أنّ هذه الجهات قد تجامعه في بعض فروضه، و قد تفارق بعضها بعضا في البعض الآخر من الفروض،</w:t>
      </w:r>
    </w:p>
    <w:p>
      <w:pPr>
        <w:pStyle w:val="Heading6"/>
        <w:numPr>
          <w:ilvl w:val="5"/>
          <w:numId w:val="1"/>
        </w:numPr>
        <w:rPr/>
      </w:pPr>
      <w:bookmarkStart w:id="309" w:name="__RefHeading___Toc1804580_1280447820"/>
      <w:bookmarkStart w:id="310" w:name="_Toc121"/>
      <w:bookmarkEnd w:id="309"/>
      <w:r>
        <w:rPr>
          <w:rtl w:val="true"/>
        </w:rPr>
        <w:t>[</w:t>
      </w:r>
      <w:r>
        <w:rPr>
          <w:rtl w:val="true"/>
        </w:rPr>
        <w:t>الأول القليل الوارد على النجاسة</w:t>
      </w:r>
      <w:r>
        <w:rPr>
          <w:rtl w:val="true"/>
        </w:rPr>
        <w:t>]</w:t>
      </w:r>
      <w:bookmarkEnd w:id="310"/>
    </w:p>
    <w:p>
      <w:pPr>
        <w:pStyle w:val="Heading6"/>
        <w:numPr>
          <w:ilvl w:val="5"/>
          <w:numId w:val="1"/>
        </w:numPr>
        <w:rPr/>
      </w:pPr>
      <w:bookmarkStart w:id="311" w:name="__RefHeading___Toc1804582_1280447820"/>
      <w:bookmarkStart w:id="312" w:name="_Toc122"/>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القليل الوارد على النجاسة عاليا كان أو غير عال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ورد على النجاسة و استعقب طهر المحلّ و انفصل عنه بعد وروده، فذلك الماء المنفصل حينئذ ممّا يلحقه حكم الطهارة قبالا للحكم عليه بالنجاسة من جهات، بحسب الأقوال الناشئة عن تلك الجهات، للزومه أن يقول بطهارته العماني لما يراه من عدم انفعال القليل بملاقاة النجاسة في جميع أحواله، و أصحاب القول بطهارة الغسالة لكونه من أفرادها، و السيّد لكونه من أفراد الماء الوارد على النجاسة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ورد على النجاسة من غير أن يستعقب طهارة المحلّ، انفصل عنه أو لم ينفصل مستعليا كان أو غيره، و هذا ممّا يتمشّى فيه قولا العماني و السيّد، فما سبق إلى بعض الأوهام من أنّ القول بالفرق بين الورودين مبنيّ على القول بطهارة الغسالة، </w:t>
      </w:r>
    </w:p>
    <w:p>
      <w:pPr>
        <w:pStyle w:val="BookText"/>
        <w:rPr/>
      </w:pP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ورد عليها مستعليا، و هذا ممّا يجري فيه قول العماني و قول السيّد و القول بعدم سراية النجاسة من الأسفل، فما سبق إلى بعض الأوهام من أنّ طهارة المستعلي مبنيّة على الفرق بين الورودين غفلة، مبناها عدم مراعاة حيثيّات المسألة فإنّها ممّا تختلف باختلافها العنوانات، و اجتماع حيثيّة مع حيثيّة اخرى في موضوع واحد لا يوجب وحدة المسألة بعد ما تعدّد الموضوع بتعدّدهما، و لذا ترى أنّ إحدى الحيثيّتين تفارق الحيثيّة الاخرى، فينعقد بها مسألة لا يدخل فيها مسألة اخرى، و يمتاز الحيثيّة الاخرى بانعقاد الإجماع على الحكم معها، مع الخلاف فيه بالقياس إلى الحيثيّة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الماء المفروض من حيث إنّه مستعل غير منفعل بما ورد عليه من النجاسة، ممّا لا مدخليّة فيه، لكونه غير منفعل من حيث إنّه وارد عليها، غاية الأمر كونهما متصادقين في مورد واحد، و هو ليس من اتّحاد المسألتين في شيء، و لذا ترى أنّه من حيث الورود قد يطرؤه أحوال يجري على الجميع الحكم بعدم الانفعال عند أهل القول بالفرق بين الورودين، و هي حالة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حالة بقائه متّصلا بها إلى مدّة، و حالة انفصاله المستتبع لزوال وصف العلوّ عنه، فإنّ قضيّة إطلاق القول بعدم انفعال الوارد و دليله أيضا لو تمّ تشمل جميع تلك الأحوال، بخلاف القول بعدم نجاسة العالي، فإنّ ظاهره كونه كذلك ما دام وصف العلوّ باقيا، و أمّا إذا زال عنه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بقي على كونه ملاقيا لها أو انفصل عنها جزء فجزء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 عنوان الغير المستعلي الملاقي للنجاسة، و هو كما ترى خروج عن الموضوع، و معه لا يعقل لحوق الحكم به لكون القضيّة بالقياس إلى الوصف الزائل من باب المشروطة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فمسألة عدم انفعال المستعلي مفروضة في العالي بوصف كونه عاليا، و أظهر أفراده ما لو جعل الماء في انبوبة متّصل رأسها بنجاسة بحيث أوجب اتّصالها بها اتّصال الماء من الجانب التحتاني بها، و هذا مع نظائره ممّا يندرج تحت مفهوم المستعلي ممّا يعدّ من مستثنيات قاعدة الانفعال، و يستفاد من غير واحد ثبوت هذا الاستثناء، بل ظاهرهم فيما وجدناه من كلماتهم في الفروع الّتي منها ما سبق الإشارة إليه في فروع الكرّ الاتّفاق </w:t>
      </w:r>
    </w:p>
    <w:p>
      <w:pPr>
        <w:pStyle w:val="BookText"/>
        <w:rPr/>
      </w:pPr>
      <w:r>
        <w:rPr>
          <w:rFonts w:ascii="Amiri" w:hAnsi="Amiri" w:eastAsia="Amiri" w:cs="Amiri"/>
          <w:color w:val="111111"/>
          <w:sz w:val="28"/>
          <w:sz w:val="28"/>
          <w:szCs w:val="28"/>
          <w:rtl w:val="true"/>
          <w:lang w:bidi="ar-SA"/>
        </w:rPr>
        <w:t>عليه، و في كلام غير واحد منهم صاحب الحدائق</w:t>
      </w:r>
      <w:r>
        <w:rPr>
          <w:rStyle w:val="FootnoteAnchor"/>
          <w:rtl w:val="true"/>
        </w:rPr>
        <w:footnoteReference w:id="896"/>
      </w:r>
      <w:r>
        <w:rPr>
          <w:rFonts w:ascii="Amiri" w:hAnsi="Amiri" w:eastAsia="Amiri" w:cs="Amiri"/>
          <w:color w:val="111111"/>
          <w:sz w:val="28"/>
          <w:sz w:val="28"/>
          <w:szCs w:val="28"/>
          <w:rtl w:val="true"/>
          <w:lang w:bidi="ar-SA"/>
        </w:rPr>
        <w:t>في فروع الكرّ التعليل له بعدم تعقّل سراية النجاسة من الأسفل إلى الأعلى، و حكى ذلك عن الشهيد في الروض</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ما فيه، فإنّ الأحكام الشرعيّة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أحكام الطهارة 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بالعقول، فقصور العقل عن إدراك السراية من الأسفل لا يوجب الحكم عليها بالعدم، بعد ما كان مقتضى الأدلّة النقليّة من العمومات و الإطلاقات هو السراية؛ ضرورة جريان قاعدة الانفعال في المفروض أيضا، مع أنّ السراية الّتي لا تعقل هنا إن اريد بها سراية عين النجاسة الحاصلة بتفرّق أجزائها في أجزاء الماء و امتزاجها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بالمتساوي السطوح من القليل الّذي يقع فيه من النجاسات ما لا تتفرّق أجزاؤه مطلقا أو في الجملة، فقضيّة ما ذكر من الاستحالة أن لا يحكم فيه بالانفعال، لأنّ مبناها على عدم سراية العين و هو حاصل في الفرض، فينبغي من أجل ذلك أن يفصّل في مسألة انفعال القليل بملاقاة النجاسة بين ما كان النجاسة الواقعة فيه ممّا له أجزاء قابلة للتفرّق و السراية فيحكم بالانفعال، و بين غيره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سراية أثر النجاسة، فأيّ استحالة في سراية الأثر من الأسفل إلى الأعلى، و أيّ شيء قضى لكم بها في غير مختلف السطوح، و النجاسة لا تباشره إلاّ في جزء منه و هو لا يقضي بها هنا و لا يجري في المقام، و هل هو إلاّ تعبّد من الشارع، أو لأنّ الأثر يسري من جزء إلى جزء آخر بواسطة ما بينهما من الاتّصال، و أنّ الجزء الملاقي لعين النجاسة ينفعل بها و يوجب انفعال ما اتّصل به من الجزء الغير الملاقي لها و هكذا أتى آخر الأجزاء، بناء على أنّ انفعال القليل لا يفرّق فيه بين استناده إلى ملاقاة النجس و ملاقاة المتنجّس، بمعنى أنّ ملاقاة المتنجّس أيضا توجب انفعال الملاقي له كملاقاة النجس، و أيّ عقل ينكر إمكان جريان الأوّل في مفروض المسألة، كما أنّه أيّ عقل يقضي باستحالة جريان الثاني فيه، مع أنّ الواسطة في الانفعال و هو مجرّد الاتّصال متحقّقة معه جزما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الحكم تعبّدي و مستنده الإجماع لمن حصّل له ذلك، أو منقوله لمن يراه حجّة، و قد استفاض من علمائنا الأعلام نقله، و منهم ثاني الشهيدين في روضه</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تصدّى لنقله صاحب الحدائق</w:t>
      </w:r>
      <w:r>
        <w:rPr>
          <w:rStyle w:val="FootnoteAnchor"/>
          <w:rtl w:val="true"/>
        </w:rPr>
        <w:footnoteReference w:id="899"/>
      </w:r>
      <w:r>
        <w:rPr>
          <w:rFonts w:ascii="Amiri" w:hAnsi="Amiri" w:eastAsia="Amiri" w:cs="Amiri"/>
          <w:color w:val="111111"/>
          <w:sz w:val="28"/>
          <w:sz w:val="28"/>
          <w:szCs w:val="28"/>
          <w:rtl w:val="true"/>
          <w:lang w:bidi="ar-SA"/>
        </w:rPr>
        <w:t>أيضا في غير موضع يظهر للمتتبّع، و السيّد صاحب المصابيح</w:t>
      </w:r>
      <w:r>
        <w:rPr>
          <w:rStyle w:val="FootnoteAnchor"/>
          <w:rtl w:val="true"/>
        </w:rPr>
        <w:footnoteReference w:id="900"/>
      </w:r>
      <w:r>
        <w:rPr>
          <w:rFonts w:ascii="Amiri" w:hAnsi="Amiri" w:eastAsia="Amiri" w:cs="Amiri"/>
          <w:color w:val="111111"/>
          <w:sz w:val="28"/>
          <w:sz w:val="28"/>
          <w:szCs w:val="28"/>
          <w:rtl w:val="true"/>
          <w:lang w:bidi="ar-SA"/>
        </w:rPr>
        <w:t>في عبارة محكيّة منه، و صرّح به صاحب المدارك</w:t>
      </w:r>
      <w:r>
        <w:rPr>
          <w:rStyle w:val="FootnoteAnchor"/>
          <w:rtl w:val="true"/>
        </w:rPr>
        <w:footnoteReference w:id="901"/>
      </w:r>
      <w:r>
        <w:rPr>
          <w:rFonts w:ascii="Amiri" w:hAnsi="Amiri" w:eastAsia="Amiri" w:cs="Amiri"/>
          <w:color w:val="111111"/>
          <w:sz w:val="28"/>
          <w:sz w:val="28"/>
          <w:szCs w:val="28"/>
          <w:rtl w:val="true"/>
          <w:lang w:bidi="ar-SA"/>
        </w:rPr>
        <w:t>في مسألة عدم اشتراط تساوي السطوح في عدم انفعال الكرّ، ردّا على المحقّق الثاني في احتجاجه بما تقدّم في بحث الكرّ على عدم تقوّي الأعلى بالأسفل، و قد حكي</w:t>
      </w:r>
      <w:r>
        <w:rPr>
          <w:rStyle w:val="FootnoteAnchor"/>
          <w:rtl w:val="true"/>
        </w:rPr>
        <w:footnoteReference w:id="902"/>
      </w:r>
      <w:r>
        <w:rPr>
          <w:rFonts w:ascii="Amiri" w:hAnsi="Amiri" w:eastAsia="Amiri" w:cs="Amiri"/>
          <w:color w:val="111111"/>
          <w:sz w:val="28"/>
          <w:sz w:val="28"/>
          <w:szCs w:val="28"/>
          <w:rtl w:val="true"/>
          <w:lang w:bidi="ar-SA"/>
        </w:rPr>
        <w:t>ذلك عن صاحب المقابس</w:t>
      </w:r>
      <w:r>
        <w:rPr>
          <w:rStyle w:val="FootnoteAnchor"/>
          <w:rtl w:val="true"/>
        </w:rPr>
        <w:footnoteReference w:id="903"/>
      </w:r>
      <w:r>
        <w:rPr>
          <w:rFonts w:ascii="Amiri" w:hAnsi="Amiri" w:eastAsia="Amiri" w:cs="Amiri"/>
          <w:color w:val="111111"/>
          <w:sz w:val="28"/>
          <w:sz w:val="28"/>
          <w:szCs w:val="28"/>
          <w:rtl w:val="true"/>
          <w:lang w:bidi="ar-SA"/>
        </w:rPr>
        <w:t>من تلامذة السيّد المتقدّم ذكره، و له في مصابيحه عبارة عثرنا على حكايته و لا بأس بأن نذكرها لتضمّنها تحقيقا و بسطا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 المستعلي من السائل عن نبع و غيره، و المراد به ما فوق الملاقي للنجاسة أو المتنجّس بغير هذه الملاقاة، لما تقدّم من عدم الفرق في الملاقي بين الوارد و المورود عليه كما هو المشهور، و الحكم بطهارة المستعلي بهذا المعنى مجمع عليه، و قد حكى جماعة من الأصحاب، منهم الشهيد في الروض</w:t>
      </w:r>
      <w:r>
        <w:rPr>
          <w:rStyle w:val="FootnoteAnchor"/>
          <w:rtl w:val="true"/>
        </w:rPr>
        <w:footnoteReference w:id="904"/>
      </w:r>
      <w:r>
        <w:rPr>
          <w:rFonts w:ascii="Amiri" w:hAnsi="Amiri" w:eastAsia="Amiri" w:cs="Amiri"/>
          <w:color w:val="111111"/>
          <w:sz w:val="28"/>
          <w:sz w:val="28"/>
          <w:szCs w:val="28"/>
          <w:rtl w:val="true"/>
          <w:lang w:bidi="ar-SA"/>
        </w:rPr>
        <w:t>، و سبطه في المدارك</w:t>
      </w:r>
      <w:r>
        <w:rPr>
          <w:rStyle w:val="FootnoteAnchor"/>
          <w:rtl w:val="true"/>
        </w:rPr>
        <w:footnoteReference w:id="905"/>
      </w:r>
      <w:r>
        <w:rPr>
          <w:rFonts w:ascii="Amiri" w:hAnsi="Amiri" w:eastAsia="Amiri" w:cs="Amiri"/>
          <w:color w:val="111111"/>
          <w:sz w:val="28"/>
          <w:sz w:val="28"/>
          <w:szCs w:val="28"/>
          <w:rtl w:val="true"/>
          <w:lang w:bidi="ar-SA"/>
        </w:rPr>
        <w:t>الإجماع على عدم سراية النجاسة من الأسفل إلى الأعلى، و المراد نفي السراية في السائل خاصّة، فلو استقرّ نجس الأعلى إلاّ على القول بالفرق بين الورودين، فالمستعلي على هذا القول طاهر مطلقا، سواء في ذلك الملاقي للنجاسة و غيره، و لا فرق في طهارة المستعلي من السائل بين النابع و غيره، و إن كان الحكم في الأوّل أظهر لثبوت العصمة فيه باعتبار الجريان و الاستعلاء معا، بخلاف الثاني فإنّ المانع من انفعاله هو الثاني خاصّة، و على قول العلاّمة باشتراط الكرّيّة في الجاري فالمانع عن الانفعال هو الاستعلاء مطلقا، و قد صرّح غير واحد من الأصحاب في مسألة تغيّر الجاري و الكثير باختصاص المتغيّر بالتنجيس إذا اختلف سطوح الماء و كان المتغيّر هو الأسفل، و هذا يقتضي طهارة المستعلي عن نبع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العلاّمة رحمه اللّه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الأنهار الكبار و الصغار، نعم الأقرب اشتراط الكرّيّة لانفعال الناقص عنها مطلقا، و لو كان القليل يجري على أرض منحدرة كان ما فوق النجاسة طاهرا</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الجاري أقلّ من الكرّ نجس بالملاقاة الملاقي و ما تحته</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و 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الجاري لا عن مادّة و لاقته النجاسة لم ينجّس ما فوقها مطلقا</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و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الجاري بلا مادّة نجس بالملاقاة إذا نقص عن الكرّ، و لا ينجّس به ما فوق النجاسة</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فهد في الموجز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لا عن مادّة كثيرا لم ينجّس بالملاقاة مطلقا، و قليلا ينفعل السافل خاصّة</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و قال المحقّق الكركي في حواشي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الجاري هو النابع من الأرض دون ما جرى فإنّه واقف، و إن لم ينجّس العالي منه بنجاسة السافل إذا اختلف السطوح</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و هذه العبارات صريحة في طهارة المستعلي من السائل من حيث هو كذلك، جاريا كان أو راكدا، سواء قلنا بنجاسة الماء الوارد على النجاسة أو لم نقل</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رحمه اللّه من عموم الحكم بالقياس إلى السائل عن مادّة و السائل لا عن مادّة في محلّه، بل و إطلاق بعض هذه العبارات بل و صريح بعضها يقضي بعدم الفرق في ذلك بين ما لو كان العالي بنفسه كرّا أو عاليا في كرّ أو في قليل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الكلام مع السيّد المتقدّم رحمه اللّه في شيء، حيث إنّه خصّ الحكم بما إذا كان العالي سائلا، فإنّه غير معلوم الوجه، و لعلّه اقتصار على القدر المتيقّن من معقد الإجماع المخرج عن القاعدة، أو مستفاد من كون المسألة في فتاوي الأصحاب مفروضة في خصوص الجاري بالمعنى الأعمّ من النابع و السائل لا عن نبع كما يرشد إليه الكلمات السابقة، أو من أنّ إجماعات المسألة قد نقلت في الجاري بالمعنى الأخصّ، أو في مسألة اختلاف سطوح الكثير الّذي لا يتأتّى فرضه إلاّ مع السيلان، و على كلّ تقدير فهو </w:t>
      </w:r>
    </w:p>
    <w:p>
      <w:pPr>
        <w:pStyle w:val="BookText"/>
        <w:rPr/>
      </w:pPr>
      <w:r>
        <w:rPr>
          <w:rFonts w:ascii="Amiri" w:hAnsi="Amiri" w:eastAsia="Amiri" w:cs="Amiri"/>
          <w:color w:val="111111"/>
          <w:sz w:val="28"/>
          <w:sz w:val="28"/>
          <w:szCs w:val="28"/>
          <w:rtl w:val="true"/>
          <w:lang w:bidi="ar-SA"/>
        </w:rPr>
        <w:t>إغماض عن إطلاق العبارة في منقول الإجماع المتضمّنة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 لا تسري من الأسفل إلى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أنّها تشمل الغير السائل أيضا، بل أظهر أفراده ما تقدّم الإشارة إليه من مسألة الانبوبة، و من المصرّح به في كلام غير واحد من الأساطين أنّ منقول الإجماع عند العاملين به تعبّدا باعتبار العبارة الحاكية له من جملة الأدلّة اللفظيّة، و لذا يسمّونه بالسنّة الإجماليّة، فيجري عليه جميع أحكام اللفظ من إطلاق و تقييد، و عموم و خصوص، و إجمال و بيان، فإذا كان عبارة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 لا تسري من الأسفل إلى الأعلى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 أجمعوا على عدم سراية النجاسة من الأسفل إلى الأعلى مطلقة شاملة لعال غير سائل، فأيّ شيء يقضي بخروج ذلك عن الحكم المثبت بذلك و هو يوجب تقييد تلك العبارة، و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الاقتصار على مورد اليقين لا مجال إليها في الظواهر، لأنّ الظاهر حيثما ثبت حجّيّة سنده قائم مقام اليقين و معه لا معنى للاقتصار، و خصوصيّة المثال في فتاوي الأصحاب لا تقضي باختصاص إجماعهم المنقول بعبارة مطلقة ظاهرة في العموم، كما أنّ خصوص المورد و السبب لا يوجب تخصيصا في العامّ و لا تقييدا في المطلق، و اعتبار كون كلّ ذلك قرينة كاشفة عن حقيقة مراد الناقلين للإجماع من تلك العبارة، أو مراد المفتين في المسألة بتلك العبارة ليس على ما ينبغي، لتوجّه المنع الواضح إلى صلوح ذلك للقرينيّة، و إلاّ لكان ينبغي أن يقال بمثله في غير محلّ المقال كعمومات اخر واردة في موارد خاصّة، و مجرّد الاحتمال لا يعارض الظهور، و يقوى هذا الإشكال لو كان مستند الحكم أو مستند الإجماع ما سبق الإشارة إلى ضعفه من عدم معقوليّة سراية النجاسة من الأسفل إلى الأعلى، كما لا يخفى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الاعتذار له قدّس سرّه بأنّ مستنده في حكم المسألة إجماع حصّله بنفسه، كما صرّح به في صدر العبارة المتقدّمة، و كان معقد ذلك الإجماع مجملا في نظره بالقياس إلى بعض الأفراد، فاضطرّ إلى الاقتصار على مورد اليقين، حيث إنّ الإجماع المحصّل ليس من مقولة الألفاظ ليعتبر فيه إطلاق أو عموم أو نحو ذلك، و لكنّه بعيد عن المتتبّع الناقد، و لعلّه عثر من الخارج على ما دلّه على ما ادّعاه فهو أبصر بحقيقة الحال، و لكن مجرّد ذلك لا يوجب لغيره الغير العاثر على ما عثر عليه رفع اليد عن ظهور منقول </w:t>
      </w:r>
      <w:bookmarkStart w:id="313" w:name="pg16144_233183"/>
    </w:p>
    <w:p>
      <w:pPr>
        <w:pStyle w:val="BookText"/>
        <w:rPr/>
      </w:pPr>
      <w:bookmarkEnd w:id="313"/>
      <w:r>
        <w:rPr>
          <w:rFonts w:ascii="IRNazanin" w:hAnsi="IRNazanin" w:eastAsia="IRNazanin"/>
          <w:color w:val="111111"/>
          <w:sz w:val="28"/>
          <w:sz w:val="28"/>
          <w:szCs w:val="28"/>
          <w:rtl w:val="true"/>
          <w:lang w:bidi="fa-IR"/>
        </w:rPr>
        <w:t>الإجماع إن قال بالتعبّد به،</w:t>
      </w:r>
    </w:p>
    <w:p>
      <w:pPr>
        <w:pStyle w:val="Heading6"/>
        <w:numPr>
          <w:ilvl w:val="5"/>
          <w:numId w:val="1"/>
        </w:numPr>
        <w:rPr/>
      </w:pPr>
      <w:bookmarkStart w:id="314" w:name="__RefHeading___Toc1804584_1280447820"/>
      <w:bookmarkStart w:id="315" w:name="_Toc123"/>
      <w:bookmarkEnd w:id="314"/>
      <w:r>
        <w:rPr>
          <w:rtl w:val="true"/>
        </w:rPr>
        <w:t>ثمّ إنّ هاهنا فروعا ينبغي الإشارة إليها</w:t>
      </w:r>
      <w:r>
        <w:rPr>
          <w:rtl w:val="true"/>
        </w:rPr>
        <w:t>.</w:t>
      </w:r>
      <w:bookmarkEnd w:id="315"/>
    </w:p>
    <w:p>
      <w:pPr>
        <w:pStyle w:val="Heading6"/>
        <w:numPr>
          <w:ilvl w:val="5"/>
          <w:numId w:val="1"/>
        </w:numPr>
        <w:rPr/>
      </w:pPr>
      <w:bookmarkStart w:id="316" w:name="__RefHeading___Toc1804586_1280447820"/>
      <w:bookmarkStart w:id="317" w:name="_Toc124"/>
      <w:bookmarkEnd w:id="316"/>
      <w:r>
        <w:rPr>
          <w:rtl w:val="true"/>
        </w:rPr>
        <w:t>أحدها</w:t>
      </w:r>
      <w:r>
        <w:rPr>
          <w:rtl w:val="true"/>
        </w:rPr>
        <w:t xml:space="preserve">: </w:t>
      </w:r>
      <w:r>
        <w:rPr>
          <w:rtl w:val="true"/>
        </w:rPr>
        <w:t>هل الحكم يثبت للعالي بجميع أجزائه حتّى الجزء الملاصق للنجس أو المتنجّس، أو يختصّ بما عدا ذلك الجزء؟</w:t>
      </w:r>
      <w:bookmarkEnd w:id="317"/>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العالي يشمل بإطلاقه جميع الأجزاء حتّى الجزء الملاصق، و من أنّ الأسفل في مقابلة الأعلى المأخوذ في عبارة الإجماع ظاهر في الماء و هو محكوم عليه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يفصح عنه التعبير بأنّ النجاسة لا تسري من الأسفل إلى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كما تنبّه عليه السيّد المتقدّم في قوله المتقدّم، و المراد به ما فوق الملاقي للنجاسة أو المتنجّس بغير هذه الملاقاة، بناء على أنّ مراده بالملاقي للنجاسة أو المتنجّس هو الجزء الملاصق لهما من الأعلى، فإنّ المحكوم عليه بالطهارة هو ما فوق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فمحكوم عليه بالنجاسة مستدلاّ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تقدّم من عدم الفرق في الملاقي بين الوارد و المورود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 هذا التعليل من الوهن الواضح، فإنّ مستند انفعال ذلك الجزء لو كان هو قضيّة عدم الفرق بين الورودين لقضى بانفعال ما فوقه أيضا، لأنّ ما لا يفرّق فيه بين الورودين أعمّ من أن يكون واردا على النجس أو المتنجّس، بناء على عدم الفرق في انفعال القليل بين ملاقاة النجس أو المتنجّس كما سبق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السيّد كما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المتنجّس بغير هذه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يكن فائدة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الوارد على المتنجّس ينجّس بملاقاته يلزم نجاسة ما فوق الجزء الملاقي أيضا، لوروده على المتنجّس، و لا فرق في الملاقاة بين الورودين، فلزم أنّ الحكم بالفرق بين الجزء الملاصق و ما فوقه تعبّدي أثبته الإجماع، و على هذا فالمفروض من مستثنيات قاعدة انفعال القليل بالمتنجّس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الإشكال في تحديد ذلك الجزء استعلاما للطاهر عن المتنجّس، و لو قيل بأنّه أقلّ ما يصدق عليه الماء الملاصق للنجس أو المتنجّس لم يكن بعيدا، جمعا بين الوجهين المتقدّمين، فلا يكفي مجرّد النداوة و الرطوبة الظاهرة لو أمكن إدراكها منفصلة عمّا فوقها</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804588_1280447820"/>
      <w:bookmarkStart w:id="319" w:name="_Toc125"/>
      <w:bookmarkEnd w:id="318"/>
      <w:r>
        <w:rPr>
          <w:rtl w:val="true"/>
        </w:rPr>
        <w:t>و ثانيها</w:t>
      </w:r>
      <w:r>
        <w:rPr>
          <w:rtl w:val="true"/>
        </w:rPr>
        <w:t xml:space="preserve">: </w:t>
      </w:r>
      <w:r>
        <w:rPr>
          <w:rtl w:val="true"/>
        </w:rPr>
        <w:t>ظاهر عباراتهم فتوى و نقلا للإجماع أن يكون المراد بالعلوّ و الاستعلاء الارتفاع بحسب المكان،</w:t>
      </w:r>
      <w:bookmarkEnd w:id="31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مجرّد الفوقيّة بأن يكون الماء واردا على النجس أو المتنجّس من مكان مرتفع موجب لارتفاع الماء المحكوم عليه بالطهارة على الجزء </w:t>
      </w:r>
      <w:bookmarkStart w:id="320" w:name="pg16144_233184"/>
    </w:p>
    <w:p>
      <w:pPr>
        <w:pStyle w:val="BookText"/>
        <w:rPr/>
      </w:pPr>
      <w:bookmarkEnd w:id="320"/>
      <w:r>
        <w:rPr>
          <w:rFonts w:ascii="Amiri" w:hAnsi="Amiri" w:eastAsia="Amiri" w:cs="Amiri"/>
          <w:color w:val="111111"/>
          <w:sz w:val="28"/>
          <w:sz w:val="28"/>
          <w:szCs w:val="28"/>
          <w:rtl w:val="true"/>
          <w:lang w:bidi="ar-SA"/>
        </w:rPr>
        <w:t>الملاصق لهما في نظر الحسّ، و إلاّ لزمهم الحكم بالطهارة في غالب أفراد القليل و معظم أحواله، إذ الغالب من الملاقي و لو كان ساكنا و تساوى سطوحه اختصاص الملاقاة بما تحته إذا كان هو الوارد على النجس، فيكون سائر الأجزاء المتواصلة واقعة في طرف الفوق، فلو أنّ مجرّد هذه الفوقيّة توجب العصمة لقضى بما ذكرناه، و هو باطل جزما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804590_1280447820"/>
      <w:bookmarkStart w:id="322" w:name="_Toc126"/>
      <w:bookmarkEnd w:id="321"/>
      <w:r>
        <w:rPr>
          <w:rtl w:val="true"/>
        </w:rPr>
        <w:t>و ثالثها</w:t>
      </w:r>
      <w:r>
        <w:rPr>
          <w:rtl w:val="true"/>
        </w:rPr>
        <w:t xml:space="preserve">: </w:t>
      </w:r>
      <w:r>
        <w:rPr>
          <w:rtl w:val="true"/>
        </w:rPr>
        <w:t>قد عرفت في بحث الكرّ أنّ العلوّ قد يكون على جهة التسنيم و قد يكون على جهة الانحدار،</w:t>
      </w:r>
      <w:bookmarkEnd w:id="322"/>
    </w:p>
    <w:p>
      <w:pPr>
        <w:pStyle w:val="BookText"/>
        <w:rPr/>
      </w:pPr>
      <w:r>
        <w:rPr>
          <w:rFonts w:ascii="Amiri" w:hAnsi="Amiri" w:eastAsia="Amiri" w:cs="Amiri"/>
          <w:color w:val="111111"/>
          <w:sz w:val="28"/>
          <w:sz w:val="28"/>
          <w:szCs w:val="28"/>
          <w:rtl w:val="true"/>
          <w:lang w:bidi="ar-SA"/>
        </w:rPr>
        <w:t>و تحتهما أفراد مختلفة في الظهور و الخفاء، و أخفى أفراد العالي ما لو كان من المنحدر ما توقّف سيلان الماء على الأرض على ارتفاع خفيّ لها بحيث يدقّ إدراكه على الحسّ، و عبارات الأصحاب و إن كانت مطلقة في الحكم على الأعلى بعدم انفعاله بالأسفل، غير أنّ انصراف ذلك الإطلاق إلى المفروض من المنحدر و ما يشبهه محلّ إشكال، كما أنّ المتيقّن من مورد الإجماع و صريح فتاوي الأصحاب ما لو كان عاليا على جهة التسنيم، و دونه على وجه يعدّ من مصاديق الظاهر صورة الانحدار الّذي يكون ظاهرا في الأنظار، و ما عداهما ممّا فرض سابقا يبقى مشكوكا في حاله من حيث خروجه عن عموم قاعدة الانفعال و عدمه، و لمّا كان دليل تلك القاعدة في عمومه ظاهر التناول لجميع أفراد المسألة الّتي منها المشكوك فيه فليحكم عليه بعدم الخروج عنها، عملا بالظاهر السليم عمّا يصلح للمعارضة، لعدم تبيّن التخصيص بالقياس إليه، غايته بقاء الاحتمال فيرتفع بالأصل، و ممّن تنبّه على ما قرّرناه شيخنا الاستاد مدّ ظلّه في شرحه على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المتيقّن من الإجماع صورة التسنيم و ما يشبهه من التصريح، و للتأمّل في غير ذلك مجال، و التمسّك بالعموم أوضح، وفاقا لظاهر كشف الغطاء</w:t>
      </w:r>
      <w:r>
        <w:rPr>
          <w:rStyle w:val="FootnoteAnchor"/>
          <w:rtl w:val="true"/>
        </w:rPr>
        <w:footnoteReference w:id="913"/>
      </w:r>
      <w:r>
        <w:rPr>
          <w:rFonts w:ascii="Amiri" w:hAnsi="Amiri" w:eastAsia="Amiri" w:cs="Amiri"/>
          <w:color w:val="111111"/>
          <w:sz w:val="28"/>
          <w:sz w:val="28"/>
          <w:szCs w:val="28"/>
          <w:rtl w:val="true"/>
          <w:lang w:bidi="ar-SA"/>
        </w:rPr>
        <w:t xml:space="preserve">لصدق وحدة الماء،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لو كان الماء على هذه الهيئة كرّا لم ينفعل شيء منه بالملاقاة</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صرّح بذلك أيضا الفاضل الكاظميني في شرحه للدروس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محكيّة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عند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الجاري لا عن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بقى شيء، و هو أنّ إطلاق عدم النجاسة فيما فوقها غير جيّد، إذ على تقدير تساوي السطوح و خصوصا مع كون حركة الماء ضعيفة ينجّس ما فوق النجاسة إذا </w:t>
      </w:r>
      <w:bookmarkStart w:id="323" w:name="pg16144_233185"/>
    </w:p>
    <w:p>
      <w:pPr>
        <w:pStyle w:val="BookText"/>
        <w:rPr/>
      </w:pPr>
      <w:bookmarkEnd w:id="323"/>
      <w:r>
        <w:rPr>
          <w:rFonts w:ascii="Amiri" w:hAnsi="Amiri" w:eastAsia="Amiri" w:cs="Amiri"/>
          <w:color w:val="111111"/>
          <w:sz w:val="28"/>
          <w:sz w:val="28"/>
          <w:szCs w:val="28"/>
          <w:rtl w:val="true"/>
          <w:lang w:bidi="ar-SA"/>
        </w:rPr>
        <w:t>نقص المجموع عن الكرّ</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إطلاقات الأصحاب و إطلاق الإجماعات المنقولة شاملة لمحلّ الفرض، و هي و إن كانت معارضة لاطلاقاتهم في الانفعال القليل، و إطلاق ادّعاء بعضهم عدم الفرق بين أفراد القليل في حكم الانفعال بالملاقاة، إلاّ أنّ الترجيح معها لتأييدها بالاصول و العمومات، و لكنّ الاحتياط ممّا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بالتأمّل فيما قرّرناه تقدر على دفعه، مع ما في إبداء المعارضة بين إطلاقات مسألتنا هذه و إطلاقات مسألة الانفعال ما لا يخفى من خروجه عن السداد، فإنّ هذه الإطلاقات لو صحّت و تمّت دلالتها بحيث تشمل مفروض المسألة كانت بأنفسها قاطعة لاطلاقات الانفعال، لرجوع النسبة فيما بينهما إلى العموم و الخصوص المطلقتين كما لا يخفى، و معه لا يكون الحاجة ماسّة إلى التشبّث بالمرجّح الخارجي، مع ما في الترجيح بما ذكر ممّا لا يخفى، كما أشرنا إليه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إلى الوهم شبهة أنّ النسبة بينهما عموم من وجه،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الإطلاقات تشمل المستعلي من المضاف، فتفترق من جهته، و إطلاقات انفعال القليل تشمل غير المستعلي من الماء فتفترق به، و تجتمعان في المستعلي من قليل الماء، لدفعها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سنبيّنه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يجدي نفعا في المقام لبقاء تلك النسبة من جهة اخرى، فإنّ اطلاقات المستعلي تشمل ما لو كان المستعلي من الماء كرّا و إطلاقات القليل تشمل غير المستعلي منه، فيتعارضان في المستعلي من الماء إذا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ذلك بملاحظة أنّ أكثر إطلاقات الانفعال بملاقاة النجاسة تشمل الكرّ و ما دونه، فتكون إطلاقات المستعلي أخصّ منها مطلقا</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804592_1280447820"/>
      <w:bookmarkStart w:id="325" w:name="_Toc127"/>
      <w:bookmarkEnd w:id="324"/>
      <w:r>
        <w:rPr>
          <w:rtl w:val="true"/>
        </w:rPr>
        <w:t>و رابعها</w:t>
      </w:r>
      <w:r>
        <w:rPr>
          <w:rtl w:val="true"/>
        </w:rPr>
        <w:t xml:space="preserve">: </w:t>
      </w:r>
      <w:r>
        <w:rPr>
          <w:rtl w:val="true"/>
        </w:rPr>
        <w:t>في إلحاق المضاف بالماء في عدم نجاسة أعلاه بأسفله قولان،</w:t>
      </w:r>
      <w:bookmarkEnd w:id="3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أو مال إليه بعض أفاضل السادة في مناهله</w:t>
      </w:r>
      <w:r>
        <w:rPr>
          <w:rStyle w:val="FootnoteAnchor"/>
          <w:rtl w:val="true"/>
        </w:rPr>
        <w:footnoteReference w:id="916"/>
      </w:r>
      <w:r>
        <w:rPr>
          <w:rFonts w:ascii="Amiri" w:hAnsi="Amiri" w:eastAsia="Amiri" w:cs="Amiri"/>
          <w:color w:val="111111"/>
          <w:sz w:val="28"/>
          <w:sz w:val="28"/>
          <w:szCs w:val="28"/>
          <w:rtl w:val="true"/>
          <w:lang w:bidi="ar-SA"/>
        </w:rPr>
        <w:t>من عدم لحوقه به، ناسبا له إلى بعض فضلاء معاصريه، قائلا في عبارة محكيّة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فإذن احتمال سراية النجاسة من الأسفل إلى الأعلى في المضاف في غاية القوّة، كما ذهب إليه بعض فضلاء </w:t>
      </w:r>
    </w:p>
    <w:p>
      <w:pPr>
        <w:pStyle w:val="BookText"/>
        <w:rPr/>
      </w:pPr>
      <w:r>
        <w:rPr>
          <w:rFonts w:ascii="Amiri" w:hAnsi="Amiri" w:eastAsia="Amiri" w:cs="Amiri"/>
          <w:color w:val="111111"/>
          <w:sz w:val="28"/>
          <w:sz w:val="28"/>
          <w:szCs w:val="28"/>
          <w:rtl w:val="true"/>
          <w:lang w:bidi="ar-SA"/>
        </w:rPr>
        <w:t>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مستنده على ما في شرح الشرائع للأستاد</w:t>
      </w:r>
      <w:r>
        <w:rPr>
          <w:rStyle w:val="FootnoteAnchor"/>
          <w:rtl w:val="true"/>
        </w:rPr>
        <w:footnoteReference w:id="917"/>
      </w:r>
      <w:r>
        <w:rPr>
          <w:rFonts w:ascii="Amiri" w:hAnsi="Amiri" w:eastAsia="Amiri" w:cs="Amiri"/>
          <w:color w:val="111111"/>
          <w:sz w:val="28"/>
          <w:sz w:val="28"/>
          <w:szCs w:val="28"/>
          <w:rtl w:val="true"/>
          <w:lang w:bidi="ar-SA"/>
        </w:rPr>
        <w:t>دعوى شمول إطلاق فتاويهم و معاقد إجماعاتهم على انفعال المضاف بالملاقاة لما إذا كان المضاف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ظاهرهم تنجّس المضاف مطلقا على نحو تنجّس المطلق القليل، بل الملاقاة في كلامهم غير معلوم الشمول لهذا الفرد، خصوصا عند من لا يرى اتّحاد العالي مع السافل</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رجّحه الشيخ الاستاذ في شرحه</w:t>
      </w:r>
      <w:r>
        <w:rPr>
          <w:rStyle w:val="FootnoteAnchor"/>
          <w:rtl w:val="true"/>
        </w:rPr>
        <w:footnoteReference w:id="919"/>
      </w:r>
      <w:r>
        <w:rPr>
          <w:rFonts w:ascii="Amiri" w:hAnsi="Amiri" w:eastAsia="Amiri" w:cs="Amiri"/>
          <w:color w:val="111111"/>
          <w:sz w:val="28"/>
          <w:sz w:val="28"/>
          <w:szCs w:val="28"/>
          <w:rtl w:val="true"/>
          <w:lang w:bidi="ar-SA"/>
        </w:rPr>
        <w:t>، وفاقا لصريح السيّدين في المدارك، و المصابيح، و الرسالة المنظومة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إن نجسا لاقى عدا ما قد علا على الملاقي باتّفاق من خلا</w:t>
      </w:r>
    </w:p>
    <w:p>
      <w:pPr>
        <w:pStyle w:val="BookText"/>
        <w:rPr/>
      </w:pPr>
      <w:r>
        <w:rPr>
          <w:rFonts w:ascii="Amiri" w:hAnsi="Amiri" w:eastAsia="Amiri" w:cs="Amiri"/>
          <w:color w:val="111111"/>
          <w:sz w:val="28"/>
          <w:sz w:val="28"/>
          <w:szCs w:val="28"/>
          <w:rtl w:val="true"/>
          <w:lang w:bidi="ar-SA"/>
        </w:rPr>
        <w:t xml:space="preserve">،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أنّ المضاف متى لاقته نجاسة نجس، قليله و كثيره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تسري النجاسة مع اختلاف السطوح إلى الأعلى قطعا، تمسّكا بمقتضى الأصل السالم عن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مراده قدّس سرّه بالأصل القاعدة المجمع عليها من عدم سراية النجاسة من الأسفل إلى الأعلى، خصوصا إذا استند لها إلى عدم المعقوليّة كما عرفته عن ثاني الشهيدين في الروض</w:t>
      </w:r>
      <w:r>
        <w:rPr>
          <w:rStyle w:val="FootnoteAnchor"/>
          <w:rtl w:val="true"/>
        </w:rPr>
        <w:footnoteReference w:id="921"/>
      </w:r>
      <w:r>
        <w:rPr>
          <w:rFonts w:ascii="Amiri" w:hAnsi="Amiri" w:eastAsia="Amiri" w:cs="Amiri"/>
          <w:color w:val="111111"/>
          <w:sz w:val="28"/>
          <w:sz w:val="28"/>
          <w:szCs w:val="28"/>
          <w:rtl w:val="true"/>
          <w:lang w:bidi="ar-SA"/>
        </w:rPr>
        <w:t>، و إلاّ أشكل الحال في الجمع بين دعوى القطع و التمسّك بالأصل الّذي لا مجال له إلى إيراث القطع، و عن المصابيح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أنّ المستعلي من الماء لا ينجّس بملاقاة النجاسة لما تحته فكذا غيره من المائعات،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 لا تسري من الأسفل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الماء و غيره، فلو صبّ من قارورة ماء الورد مثلا على يد الكافر اختصّ ما في يده بالتنجّس، و كان ما في الإناء و الخارج الغير الملاقي طاهرا إجماعا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نفي الفرق بين الورودين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محلّ البحث هو القدر المتّصل بالنجاسة دون ما فوقه، فإنّه طاهر إجماعا، لأنّ النجاسة لا تسري من الأسفل إلى الأعلى قطعا، سواء في ذلك الماء و غيره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إطلاق هذا الكلام شيء يظهر وجهه بالتأمّل فيما قرّرناه سابقا، من مفارقة </w:t>
      </w:r>
    </w:p>
    <w:p>
      <w:pPr>
        <w:pStyle w:val="BookText"/>
        <w:rPr/>
      </w:pPr>
      <w:r>
        <w:rPr>
          <w:rFonts w:ascii="Amiri" w:hAnsi="Amiri" w:eastAsia="Amiri" w:cs="Amiri"/>
          <w:color w:val="111111"/>
          <w:sz w:val="28"/>
          <w:sz w:val="28"/>
          <w:szCs w:val="28"/>
          <w:rtl w:val="true"/>
          <w:lang w:bidi="ar-SA"/>
        </w:rPr>
        <w:t xml:space="preserve">مسألة الورودين كثيرا عن مسألة العالي و السافل، و كلامه يقتضي المصادقة الدائمة و إلاّ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لتخصيص محلّ البحث من مسألة الورودين بما يبدأ فيه الفرق بين القدر المتّصل بالنجاسة و ما فوقه، إلاّ أن يكون مراده بالفوقيّة ما يتحقّق مع تساوي السطوح أيضا، و قد عرفت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 المسألة هو هذا، خلافا لما عرفت عن المناهل، عملا بإطلاق الإجماعات المنقولة، على أنّ النجاسة لا تسري من الأسفل إلى الأعلى، فإنّه يشمل المقام و سائر المائعات ممّا لا يندرج تحت المطلق و لا المضاف الّذي يطلق عليه الماء مجازا جزما، بحيث يكون الاسترابة فيه دفعا للضرورة، فعلى ثبوت العمل به تمّ الدليل و استقرّت الحجّة، و ليس للمخالف على ما عرفت إلاّ إطلاقات الفتاوي، و الإجماعات المنعقدة على انفعال المضاف مطلقا، و دفعه بعد ملاحظة أنّ إطلاقاتهم فتوى و دعوى للإجماع في الفرق بين العالي و غيره أخصّ مطلقا من تلك الإطلاقات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بينهما ترجع إلى عموم من وجه، لافتراق الاولى في الماء المستعلي، و افتراق الثانية في المضاف الغير المستعلي، فيجتمعان في المضاف المستعلي، و يلزمه الترجيح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ترجيح الاولى بموافقتها الأصل، فيه منع واضح فإنّ ذلك إنّما يتّجه إذا لوحظت الثانية منفردة عن إطلاقات انفعال الماء القليل، و أمّا إذا لوحظتا معا و هما متوافقان في الحكم كان إطلاقات المستعلي أخصّ منهما مطلقا فتخصّصهما معا، أ لا ترى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الأخير مخصّصا للأوّلين معا إذا لوحظا منضمّين، و إن كان بينه و بين كلّ واحد منهما إذا لوحظ منفردا عموما من وجه كما لا يخفى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الشيخ الاستاذ في الشرح المشار إليه</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الضرورة و السيرة فيه و في الماء، و كون مسألة عدم السراية مركوزة في أذهان المتشرّعة، و هو في الجملة ليس ببعيد خصوصا في الماء، ثمّ إنّه دام ظلّه خصّ الحكم فيه و في المطلق بما إذا كان العالي سائلا، و أمّا مع وقوف العالي على السافل من دون سيلان كما لو أدخل إبرة </w:t>
      </w:r>
      <w:bookmarkStart w:id="326" w:name="pg16144_233188"/>
    </w:p>
    <w:p>
      <w:pPr>
        <w:pStyle w:val="BookText"/>
        <w:rPr/>
      </w:pPr>
      <w:bookmarkEnd w:id="326"/>
      <w:r>
        <w:rPr>
          <w:rFonts w:ascii="Amiri" w:hAnsi="Amiri" w:eastAsia="Amiri" w:cs="Amiri"/>
          <w:color w:val="111111"/>
          <w:sz w:val="28"/>
          <w:sz w:val="28"/>
          <w:szCs w:val="28"/>
          <w:rtl w:val="true"/>
          <w:lang w:bidi="ar-SA"/>
        </w:rPr>
        <w:t>نجسة في قارورة من ماء الورد فنفي الإشكال فيه عن انفعال جميعه، نافيا للخلاف عنه، و هو أيضا ليس ببعيد بالنظر إلى ما قرّرناه في الفرع الثاني، و إن كنّا رجّحنا خلافه في أصل المسألة ردّا على السيّد المتقدّم قدّس سرّه، فإنّ الظاهر أنّ ما ذكرناه ثمّة من الفرض داخل في عنوان متساوي السطوح من الوارد على النجاسة،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الاحتياط ممّا لا ينبغي تركه على كلّ حال، كما أنّ الاحتياط ممّا لا ينبغي ترك مراعاته فيما لا يكون الاختلاف بين الأعلى و الأسفل على جهة التسنيم، و لا سيّما ما كان من السافل له حركة ضعيفة كما في بعض صور الانحدار، و اللّه العالم، هذا تمام الكلام في أوّل ما استثني من قاعدة انفعال القليل بالملاقاة</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804594_1280447820"/>
      <w:bookmarkStart w:id="328" w:name="_Toc128"/>
      <w:bookmarkEnd w:id="327"/>
      <w:r>
        <w:rPr>
          <w:rtl w:val="true"/>
        </w:rPr>
        <w:t>و الثاني</w:t>
      </w:r>
      <w:r>
        <w:rPr>
          <w:rtl w:val="true"/>
        </w:rPr>
        <w:t xml:space="preserve">: </w:t>
      </w:r>
      <w:r>
        <w:rPr>
          <w:rtl w:val="true"/>
        </w:rPr>
        <w:t>ممّا استثنى منها وفاقا في الجملة ماء الاستنجاء،</w:t>
      </w:r>
      <w:bookmarkEnd w:id="328"/>
    </w:p>
    <w:p>
      <w:pPr>
        <w:pStyle w:val="Heading6"/>
        <w:numPr>
          <w:ilvl w:val="5"/>
          <w:numId w:val="1"/>
        </w:numPr>
        <w:rPr/>
      </w:pPr>
      <w:bookmarkStart w:id="329" w:name="__RefHeading___Toc1804596_1280447820"/>
      <w:bookmarkStart w:id="330" w:name="_Toc129"/>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 المراد به ماء يغسل به موضع النجو،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استنجيت، أي غسلت موضع النجو، و منه الاستنجاء أعني إزالة ما يخرج من النجو، كذا في المجمع</w:t>
      </w:r>
      <w:r>
        <w:rPr>
          <w:rStyle w:val="FootnoteAnchor"/>
          <w:rtl w:val="true"/>
        </w:rPr>
        <w:footnoteReference w:id="926"/>
      </w:r>
      <w:r>
        <w:rPr>
          <w:rFonts w:ascii="Amiri" w:hAnsi="Amiri" w:eastAsia="Amiri" w:cs="Amiri"/>
          <w:color w:val="111111"/>
          <w:sz w:val="28"/>
          <w:sz w:val="28"/>
          <w:szCs w:val="28"/>
          <w:rtl w:val="true"/>
          <w:lang w:bidi="ar-SA"/>
        </w:rPr>
        <w:t xml:space="preserve">، و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و منه الحديث لم ير للنبيّ صلّى اللّه عليه و آله نجو</w:t>
      </w:r>
      <w:r>
        <w:rPr>
          <w:rStyle w:val="FootnoteAnchor"/>
          <w:rtl w:val="true"/>
        </w:rPr>
        <w:footnoteReference w:id="927"/>
      </w:r>
      <w:r>
        <w:rPr>
          <w:rFonts w:ascii="Amiri" w:hAnsi="Amiri" w:eastAsia="Amiri" w:cs="Amiri"/>
          <w:color w:val="111111"/>
          <w:sz w:val="28"/>
          <w:sz w:val="28"/>
          <w:szCs w:val="28"/>
          <w:rtl w:val="true"/>
          <w:lang w:bidi="ar-SA"/>
        </w:rPr>
        <w:t>أي غائط، و ما بمعنى الحدث و منه أنجى أي أحدث، و لعلّه بهذا المعنى مخصوص بالغائط و البول أو يشملهما أيضا، و مع الغضّ عنه فظاهر التفسير الأوّل اختصاصه بالغائط، و عليه لا يتناول الاستنجاء إزالة البول و غسل موضعه، و لكن الّذي يظهر من الأخبار كونه للأعمّ، كما يشهد به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أبول، و أتوضّأ، و أنسى استنجائي، ثمّ أذكر بعد ما صلّيت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ذكرك، و أعد صلاتك، و لا تعد وضوءك</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دعوى ثبوت الحقيقة الشرعيّة له في المعنى الأعمّ، كما يفصح عنه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و يجزيك من الاستنجاء ثلاثة أحجار، بذلك جرت السنّة من رسول اللّه صلّى اللّه عليه و آله، و أمّا البول فإنّه لا بدّ من غسله</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فإنّه لو لا للأعمّ لما حاجة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البول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احتمال التجوّز ممّا لا يعتنى به </w:t>
      </w:r>
      <w:bookmarkStart w:id="331" w:name="pg16144_233189"/>
    </w:p>
    <w:p>
      <w:pPr>
        <w:pStyle w:val="BookText"/>
        <w:rPr/>
      </w:pPr>
      <w:bookmarkEnd w:id="331"/>
      <w:r>
        <w:rPr>
          <w:rFonts w:ascii="Amiri" w:hAnsi="Amiri" w:eastAsia="Amiri" w:cs="Amiri"/>
          <w:color w:val="111111"/>
          <w:sz w:val="28"/>
          <w:sz w:val="28"/>
          <w:szCs w:val="28"/>
          <w:rtl w:val="true"/>
          <w:lang w:bidi="ar-SA"/>
        </w:rPr>
        <w:t>عند أهل اللسان، فإنّما أتى به عليه السّلام على عدم إرادة الأعمّ صونا له عن الوقوع في مخالفة الواقع لأجل فهمه الأعمّ كما هو دأب الحكيم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عدمه فهو في الأخبار حيثما تجرّد عن قرينة مخصوصة محمول على الأعمّ بقرينة فهم الأصحاب، كما في أخبار الباب على ما ستعرفه من أنّهم في ذهابهم إلى طهارة الاستنجاء، أو ثبوت العفو عنه يستندون إلى هذه الأخبار، مع تصريحهم في عناوين المسألة بالتعميم بالنسبة إلى الحدثين، و نقلوا إجماعاتهم على هذا المذكور صريحا في معاقدها كما سيأتي بيانها، بل ظاهر تعليلاتهم فيما يأتي من مسألة التعميم بالنسبة إلى المخرجين يقتضي كونه للأعمّ باعتبار الوضع، و لعلّه وضع شرعي كما أشرنا إليه،</w:t>
      </w:r>
    </w:p>
    <w:p>
      <w:pPr>
        <w:pStyle w:val="Heading6"/>
        <w:numPr>
          <w:ilvl w:val="5"/>
          <w:numId w:val="1"/>
        </w:numPr>
        <w:rPr/>
      </w:pPr>
      <w:bookmarkStart w:id="332" w:name="__RefHeading___Toc1804598_1280447820"/>
      <w:bookmarkStart w:id="333" w:name="_Toc130"/>
      <w:bookmarkEnd w:id="332"/>
      <w:r>
        <w:rPr>
          <w:rtl w:val="true"/>
        </w:rPr>
        <w:t>و كيف كان فالبحث في ماء الاستنجاء مفروض عندهم في مسألتين</w:t>
      </w:r>
      <w:r>
        <w:rPr>
          <w:rtl w:val="true"/>
        </w:rPr>
        <w:t>:</w:t>
      </w:r>
      <w:bookmarkEnd w:id="333"/>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مباشرته، و عدم وجوب غسل الثوب و البدن عنه من جهة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الجواز هل هو من جهة العفو، حتّى لا ينافي نجاسته على قياس ما هو الحال في بعض أفراد الدم و غيره، أو من جهة الطهارة و عدم انفعاله بمباشرة النجاسة، و يظهر الفائدة في جواز استعماله في الشرب و نحوه، و اختصاص الجواز بحالة الصلاة لزوال مانعيّتها بدليل العفو، كما في قليل الدم،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طريق الاستدلال على الحكمين واحدا على القول بعدم النجاسة، فنحن نورد البحث عنهما في سياق واحد حذرا عن الإطالة بلا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خروج ماء الاستنجاء عن قاعدة انفعال القليل إذا جامع الشروط الآتية، سواء كان عن غائط أو بول، و الأصل في ذلك الروايات المستفيضة المعتضدة بالمستفيضة من الإجماعات، مع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يقع ثوبه على الماء الّذي استنجى به، أ ينجّس ذلك ثوبه؟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بإبراهيم بن هاشم المرويّ في التهذيب و الكافي عن محمّد بن النعمان الأحوال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أخرج من الخلاء، فأستنجي </w:t>
      </w:r>
    </w:p>
    <w:p>
      <w:pPr>
        <w:pStyle w:val="BookText"/>
        <w:rPr/>
      </w:pPr>
      <w:r>
        <w:rPr>
          <w:rFonts w:ascii="Amiri" w:hAnsi="Amiri" w:eastAsia="Amiri" w:cs="Amiri"/>
          <w:color w:val="111111"/>
          <w:sz w:val="28"/>
          <w:sz w:val="28"/>
          <w:szCs w:val="28"/>
          <w:rtl w:val="true"/>
          <w:lang w:bidi="ar-SA"/>
        </w:rPr>
        <w:t>بالماء، فيقع ثوبي في ذلك الماء الّذي استنجيت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و عن الصدوق رواه باسناده عن محمّد بن نعمان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عن الصدوق في العلل، من مرسلة يونس بن عبد الرحمن عن رجل عن العيزار عن الأحول أنّه قال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يستنجي فيقع ثوبه في الماء الّذي استنجى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و لم صار لا بأس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و تمام الحديث قد سبق في جملة الأخبار المتمسّك بها على عدم انفعال القليل، و ضعفه بالإرسال و جهالة العيزار ينجبر بموافقة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النعمان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أستنجي، ثمّ يقع ثوبي فيه، و أنا 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و كما يمكن أن يكون اعتبار الجنابة كناية عن وجود المني مع الحدث في المخرج، فكان الاستنجاء غسالة عنهما معا، فكذا يمكن كونه لتوهّم تأثير القذارة المعنويّة الحاصلة بالجنابة في نجاسة الماء المستنجى به، و ليس الأوّل أظهر من الثاني، لعدم الملازمة عقلا و لا عادة بين الجنابة و تنجّس موضع الاستنجاء بالمني، فيكون ذلك مجملا فلا يرد أنّه كما يدلّ على طهارة ماء الاستنجاء فكذلك يدلّ على طهارة الغسالة من المنيّ، فينبغي القول بهما معا لا بأحدهما فقط، فتأمّل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حاجة في تتميم الاستدلال إلى انضمام هذه الرواية، لما في سوابقها من الكفاية، و لا ريب أنّها على ما ادّعيناه واضحة الدلالة، و لا يقدح فيها كون السؤال مخصوصا بالثوب، لأنّ المنساق عرفا من أمثال هذه الأسئلة كون الجواب واردا عليها على وجه عامّ يشمل الثوب و غيره، على معنى ورود الحكم فيه بعنوان كلّي، و إن كان السبب الباعث على السؤال خاصّا، أو لأنّ الفرق بين وقوع الثوب و غيره ممّا لا يعقل إلاّ على فرض كون المراد الدلالة على العفو عن هذا النحو من المتنجّس، كما في بعض </w:t>
      </w:r>
    </w:p>
    <w:p>
      <w:pPr>
        <w:pStyle w:val="BookText"/>
        <w:rPr/>
      </w:pPr>
      <w:r>
        <w:rPr>
          <w:rFonts w:ascii="Amiri" w:hAnsi="Amiri" w:eastAsia="Amiri" w:cs="Amiri"/>
          <w:color w:val="111111"/>
          <w:sz w:val="28"/>
          <w:sz w:val="28"/>
          <w:szCs w:val="28"/>
          <w:rtl w:val="true"/>
          <w:lang w:bidi="ar-SA"/>
        </w:rPr>
        <w:t>أنواع الدم لا على عدم النجاسة؛ إذ لولاه كان الفرق بين المقامين في التنجّس بذلك المتنجّس و عدمه غير معقول، كما لا يخفى على المتأمّل، أو لأنّ التعميم إنّما يثبت بالإجماع على عدم الفرق كما نقله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يورد عليها بمعارضة رواية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طشت فيه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بول أو قذر فليغسل ما أصابه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عامّة و روايات الباب خاصّة فيجب حملها عليها، مضافا إلى ما في سندها من الكلام القادح حيث إنّها لم توجد في الكتب الأربعة، و لم يظهر حال سندها فلعلّها لا تكون معوّلا عليها، كذا ذكره المحقّق الخوانساري في شرح الدروس</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نشرح المقام ليتّضح به وجه المعارضة، و انطباق الجواب عليها و عدمه، و العمدة في ذلك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السؤال، قال في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بالفتح اسم الماء الّذي يتوضّأ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يطلق الوضوء على الاستنجاء و غسل اليد و هو شائع فيهما، و من الأوّل حديث اليهودي و النصراني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أنّه يبول و لا يتوضّأ، أي لا يستنجي، و من الثاني حديثهما في المؤاكلة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من طعامك و توضّأ فلا بأس، و المراد به غسل اليد الخ</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أنّ هذين الأخيرين تفسير للوضوء بالضمّ و هو مصدر، و لا يبعد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الآلة من هذين المعنيين أيضا هو الوضوء بالفتح، بل لا محيص من حمله في الرواية عليه، بناء على الحمل عليهما إذ المعنى المصدري لا يلائمه السؤال كما لا يخفى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بجميع ما ذكر أنّه عبارة إمّا عن الماء الّذي يتوضّأ به، أو الماء الّذي يستنجى به، أو الماء الّذي يغسل به اليد، و يمكن إرادة مطلق الغسالة منه، و مقتضى عبارة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حقيقة في الأوّل و مجازا في الأخيرين المصدّر بيانهما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ينبغي أن يكون مبنى المعارضة على المعنى الأوّل، لبعده عن السؤال و منافاته للجواب المفصّل بين البول و القذر و غيرهما منطوقا و مفهوما، فلا بدّ أن يكون مبناها على المعنى الثاني و هو إرادة الاستنجاء، و أمّا الجواب </w:t>
      </w:r>
    </w:p>
    <w:p>
      <w:pPr>
        <w:pStyle w:val="BookText"/>
        <w:rPr/>
      </w:pPr>
      <w:r>
        <w:rPr>
          <w:rFonts w:ascii="Amiri" w:hAnsi="Amiri" w:eastAsia="Amiri" w:cs="Amiri"/>
          <w:color w:val="111111"/>
          <w:sz w:val="28"/>
          <w:sz w:val="28"/>
          <w:szCs w:val="28"/>
          <w:rtl w:val="true"/>
          <w:lang w:bidi="ar-SA"/>
        </w:rPr>
        <w:t>عنها فمبناها على المعنى الثالث، أو المعنى الأخير الّذي احتملناه، و عليه كيف ينطبق الجواب على السؤال، و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عامّة و رواياتنا خاصّة، خصوصا إذا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الغائط منه دون مطلق النجاسة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الواقع إمّا حقيقة في جميع المعاني الأربعة، أو حقيقة في الأوّلين و مجاز في الأخيرين، أو حقيقة في الأوّل و الأخيرين أو أحدهما و مجاز في الثاني، أو حقيقة في الأوّل خاصّة و مجاز في البواقي، و لا يتمّ الاستدلال بشيء من الاحتمالات، لأنّ الحمل على المعنى الأوّل ممّا لا مجال إليه بقرينة ما قرّرناه، فهو متعذّر على جميع التقادير، بل قد عرفت أنّ مبناه على المعنى الثاني، و عليه يكون الدلالة على صحّة المعارضة متوقّفة على ارتكاب أمرين كلاهما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الشرطيّة في الجواب على ما لا مفهوم لها، بأن يكون المراد بالشرطيّة بيان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التعليق على الشرط القاضي بانتفاء الحكم في جانب المفهوم لانتفاء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موضوع له في جانب المفهوم كما لا يخفى، 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بول أو قذر فليغسل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 و إن رزقت مالا فاحمد اللّه، و إن قدم زيد من السفر فاستقبله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كما ترى مجاز لا يصار إليه إلاّ مع القرينة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التقييد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خصوص الغائط، و هو أيضا خلاف الظاهر لظهورها في مطلق النجاسة، ثمّ إنّه لو قلنا بكون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خاصّة في المعنى الأوّل لزم مجاز آخر فيه بحمله على المعنى الثاني، فيلزم من بناء الاستدلال عليه ارتكاب تقييد و مجازين، بخلاف ما لو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الأخيرين فإنّه يستلزم مجازا واحدا، و لا ريب أنّه أولى و متعيّن، و لو قلنا بكونه حقيقة فيهما أيضا أو في أحدهما قوى وجه ضعف الحمل المذكور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الحمل عليهما يلزم تخصيص بإخراج ماء الاستنجاء عنه كما هو مبنيّ عليه الجواب، و لكن لا يوجب ذلك قدحا في الحمل عليهما لكونه خلاف أصل واحد إن قلنا بالحقيقة فيهما أيضا، أو خلاف أصلين إن قلنا بالمجازيّة فيهما، و هو على كلّ تقدير يترجّح على حمله على المعنى الثاني، بل التخصيص إنّما يلزم لو حملناه على الثاني من الأخيرين خاصّة كما لا يخفى، فلم لا يحمل على الأوّل منهما ليكون خارجا </w:t>
      </w:r>
    </w:p>
    <w:p>
      <w:pPr>
        <w:pStyle w:val="BookText"/>
        <w:rPr/>
      </w:pPr>
      <w:r>
        <w:rPr>
          <w:rFonts w:ascii="Amiri" w:hAnsi="Amiri" w:eastAsia="Amiri" w:cs="Amiri"/>
          <w:color w:val="111111"/>
          <w:sz w:val="28"/>
          <w:sz w:val="28"/>
          <w:szCs w:val="28"/>
          <w:rtl w:val="true"/>
          <w:lang w:bidi="ar-SA"/>
        </w:rPr>
        <w:t>عن المسألة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الحكم على الوضوء بكونه في الطشت الّذي هو إناء معروف، فإنّ الغالب بين الناس إنّما هو غسل اليد في الطشت من البول و غيره من قذر و غيره، و أمّا الاستنجاء عليه ففي غاية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بكون الوضوء حقيقة في الاستنجاء أيضا و مجازا في الأخيرين كانت المسألة من دوران الأمر بين تقييد و مجاز، و تخصيص و مجاز، فإن لم نقل بترجيح الثاني لكون التخصيص بنفسه أرجح فلا أقلّ من عدم ترجيح الأوّل، و لازمه خروج الرواية مجملة لتكافؤ الاحتمالين، و معه لا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بكونه حقيقة في الجميع يكون المسألة من باب تعارض مجاز و تقييد معا في مقابلة التخصيص، و لا ريب أنّ الثاني متعيّن، ترجيحا لما هو راجح بنفسه و تقليلا لمخالفة الأصل، و لو حملناه على الأوّل من الأخيرين خاصّة لم يلزم مخالفة أصل أصلا كما لا يخفى، فلا سبيل إلى الحمل على المعنى الّذي عليه مبنى الاستدلال، و معه يبطل أصل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في الرواية من القدح في سندها، مضافا إلى أنّها لو تمّت دلالتها و استقام سندها لم تكن صالحة لمعارضة ما سبق من روايات المسألة، لكثرتها و صحّة أسانيد أكثرها، و اعتضادها بالعمل و الشهرة العظيمة، و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شيئين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الدليل بحيث يشمل استنجاء البول أيضا، و الأمر في ذلك هيّن بعد وضوح المدرك؛ لشمول الأخبار كلا المقامين، إمّا بأنفسها بناء على ما قرّرناه سابقا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يقتضي كون هذا اللفظ عامّا، كما يستفاد من جماعة من أساطين الأصحاب كما تعرفه بملاحظة عباراتهم الآتية بعضها، أو من جهة الخارج حيث لم نقف على مشكّك في ذلك، مع استنادهم في الحكم إلى الأخبار المتقدّمة، بل عباراتهم فيما نعلم مصرّحة بالتعميم، و ظاهرهم الاتّفاق على ذلك كما يشعر به عبارة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الأصحاب من غسالة النجاسة ماء الاستنجاء من الحدثين</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 xml:space="preserve">، و نسب </w:t>
      </w:r>
    </w:p>
    <w:p>
      <w:pPr>
        <w:pStyle w:val="BookText"/>
        <w:rPr/>
      </w:pPr>
      <w:r>
        <w:rPr>
          <w:rFonts w:ascii="Amiri" w:hAnsi="Amiri" w:eastAsia="Amiri" w:cs="Amiri"/>
          <w:color w:val="111111"/>
          <w:sz w:val="28"/>
          <w:sz w:val="28"/>
          <w:szCs w:val="28"/>
          <w:rtl w:val="true"/>
          <w:lang w:bidi="ar-SA"/>
        </w:rPr>
        <w:t>إلى كثير من الأصحاب التصريح بالعموم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الدبر و القبل يدخل تحت هذا الحكم، لعموم اسم الاستنجاء لهما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يستوي ما يغسل به القبل و الدبر، لأنّه يطلق على كلّ واحد منهما لفظ الاستنجاء</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المخرجين للشمول</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و عن الدروس</w:t>
      </w:r>
      <w:r>
        <w:rPr>
          <w:rStyle w:val="FootnoteAnchor"/>
          <w:rtl w:val="true"/>
        </w:rPr>
        <w:footnoteReference w:id="942"/>
      </w:r>
      <w:r>
        <w:rPr>
          <w:rFonts w:ascii="IRNazanin" w:hAnsi="IRNazanin" w:eastAsia="IRNazanin"/>
          <w:color w:val="111111"/>
          <w:sz w:val="28"/>
          <w:sz w:val="28"/>
          <w:szCs w:val="28"/>
          <w:rtl w:val="true"/>
          <w:lang w:bidi="fa-IR"/>
        </w:rPr>
        <w:t>، و جامع المقاصد</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المخرجين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عدم الفرق بين المخرجين؛ لعموم الأدلّة من الإجماع و الأخبار</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و عن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المخرجين لإطلاق اللفظ</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النصّ و كلام الأصحاب عدم الفرق بين المخرجين</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هذه الأخبار يقتضي عدم الفرق بين المخرجين، لصدق الاستنجاء بالنسبة إلى كلّ منهما، و بذلك صرّح الأصحاب رضي اللّه عنهم أيضا</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فإذن لا إشكال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ماء الاستنجاء عن القاعدة هل هو لأجل كونه طاهرا، أو لثبوت العفو عنه؟ و هذه المسألة و إن فرضت في كلام جماعة من الأساطين كالمحقّق الخوانساري</w:t>
      </w:r>
      <w:r>
        <w:rPr>
          <w:rStyle w:val="FootnoteAnchor"/>
          <w:rtl w:val="true"/>
        </w:rPr>
        <w:footnoteReference w:id="948"/>
      </w:r>
      <w:r>
        <w:rPr>
          <w:rFonts w:ascii="IRNazanin" w:hAnsi="IRNazanin" w:eastAsia="IRNazanin"/>
          <w:color w:val="111111"/>
          <w:sz w:val="28"/>
          <w:sz w:val="28"/>
          <w:szCs w:val="28"/>
          <w:rtl w:val="true"/>
          <w:lang w:bidi="fa-IR"/>
        </w:rPr>
        <w:t>، و صاحب الحدائق</w:t>
      </w:r>
      <w:r>
        <w:rPr>
          <w:rStyle w:val="FootnoteAnchor"/>
          <w:rtl w:val="true"/>
        </w:rPr>
        <w:footnoteReference w:id="949"/>
      </w:r>
      <w:r>
        <w:rPr>
          <w:rFonts w:ascii="IRNazanin" w:hAnsi="IRNazanin" w:eastAsia="IRNazanin"/>
          <w:color w:val="111111"/>
          <w:sz w:val="28"/>
          <w:sz w:val="28"/>
          <w:szCs w:val="28"/>
          <w:rtl w:val="true"/>
          <w:lang w:bidi="fa-IR"/>
        </w:rPr>
        <w:t>، و صاحب المناهل</w:t>
      </w:r>
      <w:r>
        <w:rPr>
          <w:rStyle w:val="FootnoteAnchor"/>
          <w:rtl w:val="true"/>
        </w:rPr>
        <w:footnoteReference w:id="950"/>
      </w:r>
      <w:r>
        <w:rPr>
          <w:rFonts w:ascii="Amiri" w:hAnsi="Amiri" w:eastAsia="Amiri" w:cs="Amiri"/>
          <w:color w:val="111111"/>
          <w:sz w:val="28"/>
          <w:sz w:val="28"/>
          <w:szCs w:val="28"/>
          <w:rtl w:val="true"/>
          <w:lang w:bidi="ar-SA"/>
        </w:rPr>
        <w:t>خلافيّة ذات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حكاه صاحب المناهل في كتاب آخر منسوب إليه</w:t>
      </w:r>
      <w:r>
        <w:rPr>
          <w:rStyle w:val="FootnoteAnchor"/>
          <w:rtl w:val="true"/>
        </w:rPr>
        <w:footnoteReference w:id="951"/>
      </w:r>
      <w:r>
        <w:rPr>
          <w:rFonts w:ascii="Amiri" w:hAnsi="Amiri" w:eastAsia="Amiri" w:cs="Amiri"/>
          <w:color w:val="111111"/>
          <w:sz w:val="28"/>
          <w:sz w:val="28"/>
          <w:szCs w:val="28"/>
          <w:rtl w:val="true"/>
          <w:lang w:bidi="ar-SA"/>
        </w:rPr>
        <w:t>عن الجعفريّة</w:t>
      </w:r>
      <w:r>
        <w:rPr>
          <w:rStyle w:val="FootnoteAnchor"/>
          <w:rtl w:val="true"/>
        </w:rPr>
        <w:footnoteReference w:id="952"/>
      </w:r>
      <w:r>
        <w:rPr>
          <w:rFonts w:ascii="IRNazanin" w:hAnsi="IRNazanin" w:eastAsia="IRNazanin"/>
          <w:color w:val="111111"/>
          <w:sz w:val="28"/>
          <w:sz w:val="28"/>
          <w:szCs w:val="28"/>
          <w:rtl w:val="true"/>
          <w:lang w:bidi="fa-IR"/>
        </w:rPr>
        <w:t>، و جامع المقاصد</w:t>
      </w:r>
      <w:r>
        <w:rPr>
          <w:rStyle w:val="FootnoteAnchor"/>
          <w:rtl w:val="true"/>
        </w:rPr>
        <w:footnoteReference w:id="953"/>
      </w:r>
      <w:r>
        <w:rPr>
          <w:rFonts w:ascii="IRNazanin" w:hAnsi="IRNazanin" w:eastAsia="IRNazanin"/>
          <w:color w:val="111111"/>
          <w:sz w:val="28"/>
          <w:sz w:val="28"/>
          <w:szCs w:val="28"/>
          <w:rtl w:val="true"/>
          <w:lang w:bidi="fa-IR"/>
        </w:rPr>
        <w:t>، و الروض</w:t>
      </w:r>
      <w:r>
        <w:rPr>
          <w:rStyle w:val="FootnoteAnchor"/>
          <w:rtl w:val="true"/>
        </w:rPr>
        <w:footnoteReference w:id="954"/>
      </w:r>
      <w:r>
        <w:rPr>
          <w:rFonts w:ascii="Amiri" w:hAnsi="Amiri" w:eastAsia="Amiri" w:cs="Amiri"/>
          <w:color w:val="111111"/>
          <w:sz w:val="28"/>
          <w:sz w:val="28"/>
          <w:szCs w:val="28"/>
          <w:rtl w:val="true"/>
          <w:lang w:bidi="ar-SA"/>
        </w:rPr>
        <w:t>، و مجمع الفائدة</w:t>
      </w:r>
      <w:r>
        <w:rPr>
          <w:rStyle w:val="FootnoteAnchor"/>
          <w:rtl w:val="true"/>
        </w:rPr>
        <w:footnoteReference w:id="955"/>
      </w:r>
      <w:r>
        <w:rPr>
          <w:rFonts w:ascii="Amiri" w:hAnsi="Amiri" w:eastAsia="Amiri" w:cs="Amiri"/>
          <w:color w:val="111111"/>
          <w:sz w:val="28"/>
          <w:sz w:val="28"/>
          <w:szCs w:val="28"/>
          <w:rtl w:val="true"/>
          <w:lang w:bidi="ar-SA"/>
        </w:rPr>
        <w:t>، و الذخيرة</w:t>
      </w:r>
      <w:r>
        <w:rPr>
          <w:rStyle w:val="FootnoteAnchor"/>
          <w:rtl w:val="true"/>
        </w:rPr>
        <w:footnoteReference w:id="9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المشارق و الرياض</w:t>
      </w:r>
      <w:r>
        <w:rPr>
          <w:rStyle w:val="FootnoteAnchor"/>
          <w:rtl w:val="true"/>
        </w:rPr>
        <w:footnoteReference w:id="957"/>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الخلاف</w:t>
      </w:r>
      <w:r>
        <w:rPr>
          <w:rStyle w:val="FootnoteAnchor"/>
          <w:rtl w:val="true"/>
        </w:rPr>
        <w:footnoteReference w:id="958"/>
      </w:r>
      <w:r>
        <w:rPr>
          <w:rFonts w:ascii="IRNazanin" w:hAnsi="IRNazanin" w:eastAsia="IRNazanin"/>
          <w:color w:val="111111"/>
          <w:sz w:val="28"/>
          <w:sz w:val="28"/>
          <w:szCs w:val="28"/>
          <w:rtl w:val="true"/>
          <w:lang w:bidi="fa-IR"/>
        </w:rPr>
        <w:t>، و المبسوط</w:t>
      </w:r>
      <w:r>
        <w:rPr>
          <w:rStyle w:val="FootnoteAnchor"/>
          <w:rtl w:val="true"/>
        </w:rPr>
        <w:footnoteReference w:id="959"/>
      </w:r>
      <w:r>
        <w:rPr>
          <w:rFonts w:ascii="Amiri" w:hAnsi="Amiri" w:eastAsia="Amiri" w:cs="Amiri"/>
          <w:color w:val="111111"/>
          <w:sz w:val="28"/>
          <w:sz w:val="28"/>
          <w:szCs w:val="28"/>
          <w:rtl w:val="true"/>
          <w:lang w:bidi="ar-SA"/>
        </w:rPr>
        <w:t>، و المقنعة</w:t>
      </w:r>
      <w:r>
        <w:rPr>
          <w:rStyle w:val="FootnoteAnchor"/>
          <w:rtl w:val="true"/>
        </w:rPr>
        <w:footnoteReference w:id="960"/>
      </w:r>
      <w:r>
        <w:rPr>
          <w:rFonts w:ascii="IRNazanin" w:hAnsi="IRNazanin" w:eastAsia="IRNazanin"/>
          <w:color w:val="111111"/>
          <w:sz w:val="28"/>
          <w:sz w:val="28"/>
          <w:szCs w:val="28"/>
          <w:rtl w:val="true"/>
          <w:lang w:bidi="fa-IR"/>
        </w:rPr>
        <w:t>، و الجامع</w:t>
      </w:r>
      <w:r>
        <w:rPr>
          <w:rStyle w:val="FootnoteAnchor"/>
          <w:rtl w:val="true"/>
        </w:rPr>
        <w:footnoteReference w:id="961"/>
      </w:r>
      <w:r>
        <w:rPr>
          <w:rFonts w:ascii="IRNazanin" w:hAnsi="IRNazanin" w:eastAsia="IRNazanin"/>
          <w:color w:val="111111"/>
          <w:sz w:val="28"/>
          <w:sz w:val="28"/>
          <w:szCs w:val="28"/>
          <w:rtl w:val="true"/>
          <w:lang w:bidi="fa-IR"/>
        </w:rPr>
        <w:t>، و السرائر</w:t>
      </w:r>
      <w:r>
        <w:rPr>
          <w:rStyle w:val="FootnoteAnchor"/>
          <w:rtl w:val="true"/>
        </w:rPr>
        <w:footnoteReference w:id="962"/>
      </w:r>
      <w:r>
        <w:rPr>
          <w:rFonts w:ascii="IRNazanin" w:hAnsi="IRNazanin" w:eastAsia="IRNazanin"/>
          <w:color w:val="111111"/>
          <w:sz w:val="28"/>
          <w:sz w:val="28"/>
          <w:szCs w:val="28"/>
          <w:rtl w:val="true"/>
          <w:lang w:bidi="fa-IR"/>
        </w:rPr>
        <w:t>و الشرائع</w:t>
      </w:r>
      <w:r>
        <w:rPr>
          <w:rStyle w:val="FootnoteAnchor"/>
          <w:rtl w:val="true"/>
        </w:rPr>
        <w:footnoteReference w:id="963"/>
      </w:r>
      <w:r>
        <w:rPr>
          <w:rFonts w:ascii="IRNazanin" w:hAnsi="IRNazanin" w:eastAsia="IRNazanin"/>
          <w:color w:val="111111"/>
          <w:sz w:val="28"/>
          <w:sz w:val="28"/>
          <w:szCs w:val="28"/>
          <w:rtl w:val="true"/>
          <w:lang w:bidi="fa-IR"/>
        </w:rPr>
        <w:t>، و المنتهى</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الظاهر مصير الأكثر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المحقّق في الشرائع</w:t>
      </w:r>
      <w:r>
        <w:rPr>
          <w:rStyle w:val="FootnoteAnchor"/>
          <w:rtl w:val="true"/>
        </w:rPr>
        <w:footnoteReference w:id="965"/>
      </w:r>
      <w:r>
        <w:rPr>
          <w:rFonts w:ascii="Amiri" w:hAnsi="Amiri" w:eastAsia="Amiri" w:cs="Amiri"/>
          <w:color w:val="111111"/>
          <w:sz w:val="28"/>
          <w:sz w:val="28"/>
          <w:szCs w:val="28"/>
          <w:rtl w:val="true"/>
          <w:lang w:bidi="ar-SA"/>
        </w:rPr>
        <w:t>، و المحقّق الخوانساري</w:t>
      </w:r>
      <w:r>
        <w:rPr>
          <w:rStyle w:val="FootnoteAnchor"/>
          <w:rtl w:val="true"/>
        </w:rPr>
        <w:footnoteReference w:id="966"/>
      </w:r>
      <w:r>
        <w:rPr>
          <w:rFonts w:ascii="Amiri" w:hAnsi="Amiri" w:eastAsia="Amiri" w:cs="Amiri"/>
          <w:color w:val="111111"/>
          <w:sz w:val="28"/>
          <w:sz w:val="28"/>
          <w:szCs w:val="28"/>
          <w:rtl w:val="true"/>
          <w:lang w:bidi="ar-SA"/>
        </w:rPr>
        <w:t>، و صاحب المدارك</w:t>
      </w:r>
      <w:r>
        <w:rPr>
          <w:rStyle w:val="FootnoteAnchor"/>
          <w:rtl w:val="true"/>
        </w:rPr>
        <w:footnoteReference w:id="967"/>
      </w:r>
      <w:r>
        <w:rPr>
          <w:rFonts w:ascii="IRNazanin" w:hAnsi="IRNazanin" w:eastAsia="IRNazanin"/>
          <w:color w:val="111111"/>
          <w:sz w:val="28"/>
          <w:sz w:val="28"/>
          <w:szCs w:val="28"/>
          <w:rtl w:val="true"/>
          <w:lang w:bidi="fa-IR"/>
        </w:rPr>
        <w:t>، و صاحب الحدائق</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 معفوّا عنه حكاه في المناهل</w:t>
      </w:r>
      <w:r>
        <w:rPr>
          <w:rStyle w:val="FootnoteAnchor"/>
          <w:rtl w:val="true"/>
        </w:rPr>
        <w:footnoteReference w:id="969"/>
      </w:r>
      <w:r>
        <w:rPr>
          <w:rFonts w:ascii="Amiri" w:hAnsi="Amiri" w:eastAsia="Amiri" w:cs="Amiri"/>
          <w:color w:val="111111"/>
          <w:sz w:val="28"/>
          <w:sz w:val="28"/>
          <w:szCs w:val="28"/>
          <w:rtl w:val="true"/>
          <w:lang w:bidi="ar-SA"/>
        </w:rPr>
        <w:t>و كتابه الآخر</w:t>
      </w:r>
      <w:r>
        <w:rPr>
          <w:rStyle w:val="FootnoteAnchor"/>
          <w:rtl w:val="true"/>
        </w:rPr>
        <w:footnoteReference w:id="970"/>
      </w:r>
      <w:r>
        <w:rPr>
          <w:rFonts w:ascii="Amiri" w:hAnsi="Amiri" w:eastAsia="Amiri" w:cs="Amiri"/>
          <w:color w:val="111111"/>
          <w:sz w:val="28"/>
          <w:sz w:val="28"/>
          <w:szCs w:val="28"/>
          <w:rtl w:val="true"/>
          <w:lang w:bidi="ar-SA"/>
        </w:rPr>
        <w:t>، و لكنّا لم نقف على قول صريح به عدا ما يظهر من الشهيد في محكيّ الذكرى من الميل إليه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المعتبر ليس في الاستنجاء تصريح بالطهارة إنّما هو بالعفو، و يظهر الفائدة في استعماله و لعلّه أقرب لتيقن البراءة بغيره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قضيّة هذه العبارة كون العفو قولا للمحقّق في المعتبر أيضا، و تبعه على نقل هذه العبارة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أنّه كغيره من المياه الطاهرة في ثبوت الطهارة، و نقل في المنتهى</w:t>
      </w:r>
      <w:r>
        <w:rPr>
          <w:rStyle w:val="FootnoteAnchor"/>
          <w:rtl w:val="true"/>
        </w:rPr>
        <w:footnoteReference w:id="972"/>
      </w:r>
      <w:r>
        <w:rPr>
          <w:rFonts w:ascii="Amiri" w:hAnsi="Amiri" w:eastAsia="Amiri" w:cs="Amiri"/>
          <w:color w:val="111111"/>
          <w:sz w:val="28"/>
          <w:sz w:val="28"/>
          <w:szCs w:val="28"/>
          <w:rtl w:val="true"/>
          <w:lang w:bidi="ar-SA"/>
        </w:rPr>
        <w:t>على ذلك الإجماع، و قال في المعتبر</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الاستنجاء تصريح بالطهارة و إنّما هو بالعفو، و يظهر الفائدة في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أقرب، لتيقّن البراءة بغيره</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أصرح منهما في نسبة هذا القول إلى المعتبر كلام محكيّ عن ثاني الشهيدين في الروض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المعتبر هو عفو، و قرّبه في الذكرى</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عليهم هذه النسبة إلى المعتبر في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لم أقف على ما نقلوه في الكتاب المذكور، بل كلامه فيه كالصريح في الطهارة،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طهارة ماء </w:t>
      </w:r>
    </w:p>
    <w:p>
      <w:pPr>
        <w:pStyle w:val="BookText"/>
        <w:rPr/>
      </w:pPr>
      <w:r>
        <w:rPr>
          <w:rFonts w:ascii="Amiri" w:hAnsi="Amiri" w:eastAsia="Amiri" w:cs="Amiri"/>
          <w:color w:val="111111"/>
          <w:sz w:val="28"/>
          <w:sz w:val="28"/>
          <w:szCs w:val="28"/>
          <w:rtl w:val="true"/>
          <w:lang w:bidi="ar-SA"/>
        </w:rPr>
        <w:t>الاستنجاء فهو مذهب الشيخين، و قال علم الهدى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ينتضح من ماء الاستنجاء على الثوب و البدن، و كلامه صريح في العفو و ليس بصريح في الطهارة، و يدلّ على الطهارة ما رواه الأحول، و نقل الروايتين المتقدّمين</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يعني صحيحتي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في ذلك الإنكار و نقل العبارة المذكورة صاحب الحدائق أيضا،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فنسبة القول بالطهارة إلى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في المدارك، و 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ذلك نقل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عبارته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بالعفو عن المعتبر بتلك العبارة، و تبعه على ذلك الشيخ عليّ في شرح القواعد، و شيخنا الشهيد الثاني في الروض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أصل السهو من شيخنا الشهيد في الذكرى، و تبعه من تبعه من غير ملاحظة لكتاب المعتبر، و عبارة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عمّا ذكروه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بالعبارة المشار إليها ما تقدّم حكايته عن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أجمل المحقّق كلامه في ذلك فهو محتمل للقولين، و ربّما كان احتمال القول بالطهارة فيه أظهر، و قد كثر في كلام المتأخّرين نسبة القول بالعفو إليه و لا وجه له، و العجب أنّ الشهيد في الذكرى 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الاستنجاء تصريح بالطهارة و إنّما هو بالعفو، ثمّ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أقرب لتيقّن البراءة بغيره</w:t>
      </w:r>
      <w:r>
        <w:rPr>
          <w:rStyle w:val="FootnoteAnchor"/>
          <w:rtl w:val="true"/>
        </w:rPr>
        <w:footnoteReference w:id="978"/>
      </w:r>
      <w:r>
        <w:rPr>
          <w:rFonts w:ascii="Amiri" w:hAnsi="Amiri" w:eastAsia="Amiri" w:cs="Amiri"/>
          <w:color w:val="111111"/>
          <w:sz w:val="28"/>
          <w:sz w:val="28"/>
          <w:szCs w:val="28"/>
          <w:rtl w:val="true"/>
          <w:lang w:bidi="ar-SA"/>
        </w:rPr>
        <w:t>، و هذه الحكاية وهم ظاهر، فإنّ المحقّق حكى عن الشيخين صريحا القول بالطهارة، و إنّما ذكر هذا الكلام عند نقله عبارة علم الهدى</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الخوانساري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صحّح هذه النسبة إلى المعتبر، و عقّبه بتوجيه العبارة المنقولة عن المعتبر في الذكرى و صحّحها على ما وجّهه،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قد تقرّر هذا، ظهر أنّ ما نسبه المصنّف في الذكرى إلى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المحقّق الشيخ عليّ ره في شرح القواعد، و الشهيد الثاني في شرح الإرشاد صحيح، و مراد الذكرى من أنّ في المعتبر ليس في الاستنجاء تصريح بالطهارة، </w:t>
      </w:r>
    </w:p>
    <w:p>
      <w:pPr>
        <w:pStyle w:val="BookText"/>
        <w:rPr/>
      </w:pPr>
      <w:r>
        <w:rPr>
          <w:rFonts w:ascii="Amiri" w:hAnsi="Amiri" w:eastAsia="Amiri" w:cs="Amiri"/>
          <w:color w:val="111111"/>
          <w:sz w:val="28"/>
          <w:sz w:val="28"/>
          <w:szCs w:val="28"/>
          <w:rtl w:val="true"/>
          <w:lang w:bidi="ar-SA"/>
        </w:rPr>
        <w:t>أنّه ليس في الروايات لا في كلام الأصحاب، و هو كذلك كما قرّرناه</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فيه من ابتنائه إلى وهم فاسد سبق إليه، و إلجائه إلى تصديق الجماعة فيما نسبوه إلى المعتبر و سنزيّفه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يتحقّق عندنا ما شهد بصحّة هذه النسبة، و لم يثبت أنّ العفو ما يقول به في المعتبر، و العبارة المتكفّلة لبيان هذه النسبة قد عرفت أنّها غير ثابتة عن المعتبر، و هذا الكتاب و إن لم يحضرنا الآن لننظر في صحّة ما نسبوه و سقمه على ما ذكروه الجماعة المتقدّمة، لكنّ المظنون أنّ ما نقله الشهيد في الذكرى تقطيع عن العبارة الّتي سمعت نقلها عن صاحب المدارك، مبنيّ على الاشتباه و الإغماض عن دقّة النظر، و إلاّ فهذه العبارة لا توافق شيئا من هذه النسبة، و إن كانت هي أيضا ممّا اختلفت الأنظار في فهمها، و أنّها هل تدلّ على أنّ مذهب المحقّق 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المدارك</w:t>
      </w:r>
      <w:r>
        <w:rPr>
          <w:rStyle w:val="FootnoteAnchor"/>
          <w:rtl w:val="true"/>
        </w:rPr>
        <w:footnoteReference w:id="981"/>
      </w:r>
      <w:r>
        <w:rPr>
          <w:rFonts w:ascii="Amiri" w:hAnsi="Amiri" w:eastAsia="Amiri" w:cs="Amiri"/>
          <w:color w:val="111111"/>
          <w:sz w:val="28"/>
          <w:sz w:val="28"/>
          <w:szCs w:val="28"/>
          <w:rtl w:val="true"/>
          <w:lang w:bidi="ar-SA"/>
        </w:rPr>
        <w:t>، و جعله أظهر الاحتمالين في المعالم</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 مذهبه العفو كما استظهره المحقّق الخوانساري في شرح الدروس</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لأجله صدّق الشهيد و من تبعه فيما نسبوه إلى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كلامه هل هو صريح في الطهارة أم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يتراءى ظاهرا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الطهارة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لكن التأمّل يشهد بالثاني فيكون مراده بالطهارة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أورد في الاستدلال رواية الأحول</w:t>
      </w:r>
      <w:r>
        <w:rPr>
          <w:rStyle w:val="FootnoteAnchor"/>
          <w:rtl w:val="true"/>
        </w:rPr>
        <w:footnoteReference w:id="984"/>
      </w:r>
      <w:r>
        <w:rPr>
          <w:rFonts w:ascii="Amiri" w:hAnsi="Amiri" w:eastAsia="Amiri" w:cs="Amiri"/>
          <w:color w:val="111111"/>
          <w:sz w:val="28"/>
          <w:sz w:val="28"/>
          <w:szCs w:val="28"/>
          <w:rtl w:val="true"/>
          <w:lang w:bidi="ar-SA"/>
        </w:rPr>
        <w:t>، و ظاهر أنّه لا تفاوت بينها و بين عبارة المرتضى في المعنى، فحيث صرّح بأنّه ليس في عبارته تصريح بالطهارة فكيف يجوز أن يجعل الرواية دليلا عليها، و أمّا دليله الآخر من رواية عبد الكريم</w:t>
      </w:r>
      <w:r>
        <w:rPr>
          <w:rStyle w:val="FootnoteAnchor"/>
          <w:rtl w:val="true"/>
        </w:rPr>
        <w:footnoteReference w:id="985"/>
      </w:r>
      <w:r>
        <w:rPr>
          <w:rFonts w:ascii="Amiri" w:hAnsi="Amiri" w:eastAsia="Amiri" w:cs="Amiri"/>
          <w:color w:val="111111"/>
          <w:sz w:val="28"/>
          <w:sz w:val="28"/>
          <w:szCs w:val="28"/>
          <w:rtl w:val="true"/>
          <w:lang w:bidi="ar-SA"/>
        </w:rPr>
        <w:t xml:space="preserve">فهو أيضا ليس تصريح في الطهارة، لأنّ عدم تنجيسه الثوب لا يستلزم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تقرّر هذا، ظهر أنّ ما نسبه المصنّف في الذكرى إلى آخر ما نقلناه عنه سابقا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دليله الآخر من رواية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إنّما ذكر ذلك لأنّه حينما نقل </w:t>
      </w:r>
    </w:p>
    <w:p>
      <w:pPr>
        <w:pStyle w:val="BookText"/>
        <w:rPr/>
      </w:pPr>
      <w:r>
        <w:rPr>
          <w:rFonts w:ascii="Amiri" w:hAnsi="Amiri" w:eastAsia="Amiri" w:cs="Amiri"/>
          <w:color w:val="111111"/>
          <w:sz w:val="28"/>
          <w:sz w:val="28"/>
          <w:szCs w:val="28"/>
          <w:rtl w:val="true"/>
          <w:lang w:bidi="ar-SA"/>
        </w:rPr>
        <w:t>عن المعتبر ما نقله صاحب المدارك من العبارة المتقدّمة نسب إلى المحقّق في تلك العبارة أنّه في الاستدلال على الطهارة جمع بين رواية الأحول و رواية عبد الكريم، و أنت خبير بفساد ما فهمه مع تعليله، إذ لا تنافي بين ما نسبه إلى علم الهدى و جعله الرواية دليلا على الطهارة، و إن كانت العبارة الصادرة منه موافقة لعبارة الرواية، فإنّه لمّا كان بصدد ضبط ما ذهب إليه أصحابنا، و قالوا به صراحة أو ظهورا، فنسب إلى الشيخين الذهاب إلى الطهارة، و مقتضى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مذهب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التصريح منهما بذلك، و كونه معلوما له من صريح كلامهما، بخلاف كلام علم الهدى المتضمّن لنفي البأس، فإنّه ليس بصريح في الطهارة لاحتمال أن يريد به نفي البأس عن المباشرة الغير المنافي للنجاسة، فيحكم على كلامه بأنّه ليس بصريح في الطهارة، بمعنى أنّه لا يدلّ على دعوى الطهارة دلالة صريحة، و معنى كونه صريحا في العفو أنّ القدر المتيقّن من مذهبه على وجه يصحّ إسناده إليه المعلوم من هذا الكلام كونه قائلا بالعفو لا محاله، لأنّه لا ينفكّ عن القول بالطهارة، فهو سواء كان قائلا بالطهارة أو لا قائل بالعفو على وجه ينبغي معه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عدم دلالة هذه العبارة في كلام السيّد على أنّ مذهبه المحقّق هو الطهارة على وجه الصراحة، لا ينافي دلالته عليها على وجه الظهور، فلا ينافي كونها في الرواية دليلا لنا على الطهارة، نظرا إلى أنّ مبنى دليليّة الأدلّة اللفظيّة على الصراحة تارة و الظهور اخرى، فإذا ثبت أنّها في الرواية تدلّ على الطهارة على 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على ما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انتهضت الرواية دليلا عليها، و صحّ إطلاق الدليل عليها من جهته في الاصطلاح، فهو مستظهر من رواية الأحوال الدلالة على الطهارة بتقريب ما سنقرّره ثمّ يقوى هذا الظهور بملاحظة رواية عبد الكريم، فلذا جمع بينهما في الاستدلال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هذا المعنى تعرّضه لحكم ماء الاستنجاء في الشرائع و النافع مصرّحا بالطهارة في الأوّل</w:t>
      </w:r>
      <w:r>
        <w:rPr>
          <w:rStyle w:val="FootnoteAnchor"/>
          <w:rtl w:val="true"/>
        </w:rPr>
        <w:footnoteReference w:id="987"/>
      </w:r>
      <w:r>
        <w:rPr>
          <w:rFonts w:ascii="Amiri" w:hAnsi="Amiri" w:eastAsia="Amiri" w:cs="Amiri"/>
          <w:color w:val="111111"/>
          <w:sz w:val="28"/>
          <w:sz w:val="28"/>
          <w:szCs w:val="28"/>
          <w:rtl w:val="true"/>
          <w:lang w:bidi="ar-SA"/>
        </w:rPr>
        <w:t>، و ظاهرا فيه كلامه في الثاني</w:t>
      </w:r>
      <w:r>
        <w:rPr>
          <w:rStyle w:val="FootnoteAnchor"/>
          <w:rtl w:val="true"/>
        </w:rPr>
        <w:footnoteReference w:id="988"/>
      </w:r>
      <w:r>
        <w:rPr>
          <w:rFonts w:ascii="Amiri" w:hAnsi="Amiri" w:eastAsia="Amiri" w:cs="Amiri"/>
          <w:color w:val="111111"/>
          <w:sz w:val="28"/>
          <w:sz w:val="28"/>
          <w:szCs w:val="28"/>
          <w:rtl w:val="true"/>
          <w:lang w:bidi="ar-SA"/>
        </w:rPr>
        <w:t xml:space="preserve">، حيث استثناه عمّا يزال به الخبث الّذي رجّح فيه القول بالتنجيس الّذي جعله أشهر القولين، نظرا إلى أنّ الاستثناء عن </w:t>
      </w:r>
    </w:p>
    <w:p>
      <w:pPr>
        <w:pStyle w:val="BookText"/>
        <w:rPr/>
      </w:pPr>
      <w:r>
        <w:rPr>
          <w:rFonts w:ascii="Amiri" w:hAnsi="Amiri" w:eastAsia="Amiri" w:cs="Amiri"/>
          <w:color w:val="111111"/>
          <w:sz w:val="28"/>
          <w:sz w:val="28"/>
          <w:szCs w:val="28"/>
          <w:rtl w:val="true"/>
          <w:lang w:bidi="ar-SA"/>
        </w:rPr>
        <w:t>الإثبات نفي، و نفي التنجيس في معنى إثبات الطهارة، و من هنا تبيّن إصابة صاحب المدارك فيما فهمه عن تلك العبارة، من أنّه قائل بالطهارة قولا ظاهرا كالصريح، و بطلان ما ذكره المحقّق الخوانساري و غيره من أنّه قائل بالعفو، كبطلان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ظهر اندفاع ما أورده صاحب المدارك على المصنّف و تابعيه من أنّ هذه النسبة إلى المعتبر غلط، بل كلامه فيه كالصريح في الطهارة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بطلان ما أورده صاحب الحدائق على صاحب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فنسبة القول بالطهارة إلى المعتبر كما فهمه في المدارك و جمع ممّن تأخّر عنه كما ترى</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عنه في الحدائق حيث إنّه اختلّ ذهنه في إدراك حقيقة المراد من عبارة المعتبر فرماها بالإجمال و حكم عليها بالاضطراب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كلام المعتبر في هذا الباب لا يخلو من إجمال بل اضطراب، و لهذا اختلفت في نقل مذهبه كلمة من تأخّر عنه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بنقل عين العبارة فعقّبها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بأنّ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الطهارة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القولين أوّلا هو اعتبار الطهارة الّتي هي أحد ذينك القولين و قوله في الدليل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في التفصّي عنه عسرا فيسوغ</w:t>
      </w:r>
      <w:r>
        <w:rPr>
          <w:rStyle w:val="FootnoteAnchor"/>
          <w:rtl w:val="true"/>
        </w:rPr>
        <w:footnoteReference w:id="991"/>
      </w:r>
      <w:r>
        <w:rPr>
          <w:rFonts w:ascii="Amiri" w:hAnsi="Amiri" w:eastAsia="Amiri" w:cs="Amiri"/>
          <w:color w:val="111111"/>
          <w:sz w:val="28"/>
          <w:sz w:val="28"/>
          <w:szCs w:val="28"/>
          <w:rtl w:val="true"/>
          <w:lang w:bidi="ar-SA"/>
        </w:rPr>
        <w:t>العفو للعسر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اختيار العفو الّذي هو القول الآخر أيضا، و أيضا ففي حكمه على كلام المرتضى رضى اللّه عنه بالصراحة في القول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 على رواية الأحول بالدلالة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تدافع، فإنّ العبارة فيهما واحدة، إذ نفي البأس إن كان صريحا في العفو ففي الموضعين، و إن كان في الطهارة فكذلك، و حينئذ فنسبة القول بالطهارة إلى المعتبر</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إلى آخر ما نقلناه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 هذه الكلمات السخيفة و الاستخراجات الواهية، إذ قد عرفت أنّه لا اضطراب في عبارة المعتبر، و لا إجمال أصلا، بل هي صريحة الدلالة في اختيار الطهارة، و لا تدافع بين الحكم على الرواية بالدلالة على الطهارة و على كلام السيّد بالصراحة في العفو، بعد ملاحظة ما قرّرناه من المعنى الواضح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قوله بالطهارة استنادا إلى الرواية استدلاله ثانيا بلزوم العسر المسوّغ عدمه العفو، إمّا لأنّ مراده بالعفو الطهارة توسّعا، كما استدلّ عليها به جماعة منهم ثاني </w:t>
      </w:r>
    </w:p>
    <w:p>
      <w:pPr>
        <w:pStyle w:val="BookText"/>
        <w:rPr/>
      </w:pPr>
      <w:r>
        <w:rPr>
          <w:rFonts w:ascii="Amiri" w:hAnsi="Amiri" w:eastAsia="Amiri" w:cs="Amiri"/>
          <w:color w:val="111111"/>
          <w:sz w:val="28"/>
          <w:sz w:val="28"/>
          <w:szCs w:val="28"/>
          <w:rtl w:val="true"/>
          <w:lang w:bidi="ar-SA"/>
        </w:rPr>
        <w:t>الشهيدين فيما يأتي بيانه، أو لأنّ ذلك تأييد الأوّل من حيث موافقته له في لازم مفاده و هو العفو الّذي لا ينفكّ عن الطهارة ظاهرا، أو أنّ الغرض بالتمسّك به إثبات بعض المطلب و إن كان من جهة الملزوم لا إثبات تمامه، أو إثبات ما هو مفاده ليصار إليه لو خرج الوجه الأوّل مردودا أو غير واضح الدلالة على الطهارة، حيث إنّ المصير إليه بعد قصور دليل الطهارة عن الدلالة ممّا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القول بالعفو إلى المعتبر مستفادا من عبارته المتقدّمة ليس على ما ينبغي، و إن تصدّى لها جماعة من الأساطين، إذ الصارم قد ينبو و الجواد قد يكبو، بل الحقّ الّذي لا محيص عنه هو القول بصراحة المعتبر في اختيار الطهارة، فليس من أصحابنا من صرّح بالعفو، و صار إليه على سبيل الجزم و الإذعان، و لا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للعلاّمة في المنتهى كلام ربّما يدخل في الوهم مصيره إلى العفو دون الطهارة، و من هنا يظهر عن المحقّق الخوانساري في شرح الدروس نسبته إليه في الكتاب المذكور بنقل عبارته، فإنّه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عفي عن ماء الاستنجاء إذا سقط منه شيء على ثوبه أو بدنه، سواء رجع على الأرض الطاهرة أو لا، و صرّح الشيخان بطهارته</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رجع على الأرض الطاهرة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نذكره بعد ذلك أنّه سواء سقط على الأرض الطاهرة فرجع منها إلى الثوب أو البدن، أو سقط عليهما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ذلك أيضا وهم صرف منشؤه عدم المراجعة إلى فقرات كلامه المتأخّرة عن تلك العبارة، بل الّذي يقتضيه التدبّر و صحيح النظر أنّه أيضا قائل فيه بالطهارة، و أنّ تعبيره بالعفو مسامحة أو كناية عنها، و أنّ مراده بما نسبه إلى الشيخين الإتيان بموافق له في تلك المقالة، لا إبداء المخالفة بينه و بينهما، و الّذي يفصح عن ذلك امور عديدة، كلّ واحد منها قرينة واضحة على ما ادّعيناه، و شاهد على بما نسبناه إليه، و جعلنا العفو المصرّح به في كلامه عبارة عن الطهارة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جملة هذه الامور،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المذكورة بلا فاصلة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سقط و على الأرض نجاسة ثمّ رجع على الثوب أو البدن فهو نجس، سواء تغيّر أو لا</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فإنّ ذلك مع ضميمة ما سبق تفصيل لحكم ماء الاستنجاء بين ما لو رجع على الثوب و البدن بعد </w:t>
      </w:r>
    </w:p>
    <w:p>
      <w:pPr>
        <w:pStyle w:val="BookText"/>
        <w:rPr/>
      </w:pPr>
      <w:r>
        <w:rPr>
          <w:rFonts w:ascii="Amiri" w:hAnsi="Amiri" w:eastAsia="Amiri" w:cs="Amiri"/>
          <w:color w:val="111111"/>
          <w:sz w:val="28"/>
          <w:sz w:val="28"/>
          <w:szCs w:val="28"/>
          <w:rtl w:val="true"/>
          <w:lang w:bidi="ar-SA"/>
        </w:rPr>
        <w:t xml:space="preserve">سقوطه على الأرض النجسة و بين ما لم يكن كذلك، و لمّا كان الأوّل محكوما عليه بالنجاسة، فلا بدّ و أن يكون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عليه بالطهارة ليختلف القسمان المتقابلان في الحكم، و إنّما حكم بالنجاسة في الأوّل أخذا بالقدر المتيقّن ممّا خرج بالدليل عن قاعدة انفعال القليل الملاقي للنجاسة، أو لأنّ الظاهر من ماء الاستنجاء المحكوم عليه بالطهارة في الروايات ما لم يباشر نجاسة اخرى غير نجاسة الحدثين و المفروض ليس منه، و لذا جعلوا عدم ملاقاته نجاسة اخرى خارجة عن حقيقة الحدث المستنجى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الشروط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ذكر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تغيّر أحد أوصافه من الاستنجاء</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فإنّه تشبيه للمتغيّر من ماء الاستنجاء بالاستنجاء بالقسم المحكوم عليه بالنجاسة، فيكون هو أيضا محكوما عليه بها، و هو ممّا حكم عليه بالعفو بمنزلة الاستثناء، فيكون المراد بالعفو المحكوم به هنا الطهارة، ليتغاير المستثنى مع المستثنى 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فرغ من الاستدلال على العفو، الّذي حكم به في الاستنجاء بروايتي الأحول و رواية عبد الكريم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هكذا حكم الماء الّذي يتوضّأ به أو يغتسل به من الجنابة، أمّا عندنا فظاهر و أمّا عند الشيخ فلما رواه الشيخ في الصحيح عن الفضيل بن يسار عن أبي عبد اللّه عليه السّلام في الرجل الجنب يغتسل، فينتضح من الأرض في إنائه؟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مٰا جَعَلَ عَلَيْكُمْ فِي اَلدِّينِ مِنْ حَرَجٍ </w:t>
      </w:r>
      <w:r>
        <w:rPr>
          <w:rStyle w:val="FootnoteAnchor"/>
          <w:rtl w:val="true"/>
        </w:rPr>
        <w:footnoteReference w:id="996"/>
      </w:r>
      <w:r>
        <w:rPr>
          <w:rFonts w:ascii="Amiri" w:hAnsi="Amiri" w:eastAsia="Amiri" w:cs="Amiri"/>
          <w:color w:val="111111"/>
          <w:sz w:val="28"/>
          <w:sz w:val="28"/>
          <w:szCs w:val="28"/>
          <w:rtl w:val="true"/>
          <w:lang w:bidi="ar-SA"/>
        </w:rPr>
        <w:t>و في الصحيح عن الفضيل أيضا</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تشبيه للماء المستعمل في الوضوء و الغسل بماء الاستنجاء، و من المعلوم لزوم مشاركة المشبّه للمشبّه به في الحكم، و لو لا المراد بالعفو المحكوم به على ماء الاستنجاء الطهارة خرج هذا التشبيه باطلا، لأنّ مذهبه في المستعمل في دفع الحدثين الأصغر و الأكبر إنّما هو كونه طاهرا و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الّذي يراه طاهرا فقط،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عندنا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إحالة لوجه المسألة إلى ما حقّقه سابقا في مسألتي الماء المستعمل في رفع الحدث الأصغر و المستعمل في رفع الحدث الأكبر، فإنّه حكم في الاولى بأنّه طاهر مطهّر إجماعا</w:t>
      </w:r>
      <w:r>
        <w:rPr>
          <w:rStyle w:val="FootnoteAnchor"/>
          <w:rtl w:val="true"/>
        </w:rPr>
        <w:footnoteReference w:id="998"/>
      </w:r>
      <w:r>
        <w:rPr>
          <w:rFonts w:ascii="Amiri" w:hAnsi="Amiri" w:eastAsia="Amiri" w:cs="Amiri"/>
          <w:color w:val="111111"/>
          <w:sz w:val="28"/>
          <w:sz w:val="28"/>
          <w:szCs w:val="28"/>
          <w:rtl w:val="true"/>
          <w:lang w:bidi="ar-SA"/>
        </w:rPr>
        <w:t xml:space="preserve">، ثمّ ساق الكلام إلى نقل مذاهب العامّة في ذلك، و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أسند إلى الشيخين و ابن بابويه في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طاهر غير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العامّة مذاهبهم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أذهب إليه أنّه طاهر مطهّر</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ثمّ أخذ بتفصيل المسألة و الاستدلال عليها بالنسبة إلى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بعد الفراغ عن المسألة في مسألة الآنية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تغسل به الآنية لا يلحقه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أسند إلى الشيخ في الخلاف خلاف ذلك، ثمّ أخذ بالاستدلال على ما صار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قليل لاقى نجاسة فينفعل بها، و لا يتعدّى إليه الرخصة الّتي في الاستنجاء، لأنّه استعمال الماء الّذي قام المانع على المنع منه، مع عدم قيام الموجب</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الحكم عليه بالنجاسة، بعد الحكم عليه بعدم لحوق حكم ماء الاستنجاء، ظاهر في أنّ الحكم الّذي نفى لحوقه بماء الغسالة عبارة عن عدم الانفعال، بدليل أنّه بعد ما نفى ذلك الحكم عنه استدلّ عليه بما يقتضي ثبوت نقيضه، فلا بدّ و أن يكون الحكم المنفيّ هنا الثابت لماء الاستنجاء هو عدم الانفعال، لأنّ نقيضه الثابت هنا هو الانفعال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بين أصحابنا قول محقّق بالعفو قبالا للطهارة، سوى ما عرفت عن الشهيد في الذكرى من احتمال الأقربيّة، فكان الحكم بالطهارة على الإطلاق من إجماعيّات الأصحاب، و لا ينافيه الحكم عليه بعدم المطهّريّة عن الحدث مطلقا، المدّعى عليه الإجماع في المعتبر</w:t>
      </w:r>
      <w:r>
        <w:rPr>
          <w:rStyle w:val="FootnoteAnchor"/>
          <w:rtl w:val="true"/>
        </w:rPr>
        <w:footnoteReference w:id="1001"/>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حكم خاصّ ثبت له بالخارج، كثبوته في أشياء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ترى أنّه قد استفاضت الإجماعات المنقولة على الطهارة الّتي تصدّى بنقلها صاحب المناهل في الكتاب الآخر</w:t>
      </w:r>
      <w:r>
        <w:rPr>
          <w:rStyle w:val="FootnoteAnchor"/>
          <w:rtl w:val="true"/>
        </w:rPr>
        <w:footnoteReference w:id="1003"/>
      </w:r>
      <w:r>
        <w:rPr>
          <w:rFonts w:ascii="Amiri" w:hAnsi="Amiri" w:eastAsia="Amiri" w:cs="Amiri"/>
          <w:color w:val="111111"/>
          <w:sz w:val="28"/>
          <w:sz w:val="28"/>
          <w:szCs w:val="28"/>
          <w:rtl w:val="true"/>
          <w:lang w:bidi="ar-SA"/>
        </w:rPr>
        <w:t>المنسوب إليه، حيث إنّه عند ذكر الأدلّة على الطهارة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جماعة الإجماع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المستعمل في إزالة الخبث نجس، إلاّ ماء الاستنجاء من الحدثين فإنّه طاهر إجماعا، كما نقله المصنّف في المنتهى</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الجعفريّة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الاستنجاء من الحدثين طاهر إجماعا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استثنى الأصحاب من غسالة النجاسة ماء الاستنجاء من الحدثين، فاتّفقوا على عدم تنجّسه، و حكم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نجاسة الثوب الملاقي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أنّه كغيره من المياه الطاهرة في ثبوت الطهارة له، و نقل في المنتهى</w:t>
      </w:r>
      <w:r>
        <w:rPr>
          <w:rStyle w:val="FootnoteAnchor"/>
          <w:rtl w:val="true"/>
        </w:rPr>
        <w:footnoteReference w:id="1006"/>
      </w:r>
      <w:r>
        <w:rPr>
          <w:rFonts w:ascii="Amiri" w:hAnsi="Amiri" w:eastAsia="Amiri" w:cs="Amiri"/>
          <w:color w:val="111111"/>
          <w:sz w:val="28"/>
          <w:sz w:val="28"/>
          <w:szCs w:val="28"/>
          <w:rtl w:val="true"/>
          <w:lang w:bidi="ar-SA"/>
        </w:rPr>
        <w:t>على ذلك الإجماع</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الاستنجاء طاهر إجماعا، حكاه ابن إدريس</w:t>
      </w:r>
      <w:r>
        <w:rPr>
          <w:rStyle w:val="FootnoteAnchor"/>
          <w:rtl w:val="true"/>
        </w:rPr>
        <w:footnoteReference w:id="1008"/>
      </w:r>
      <w:r>
        <w:rPr>
          <w:rFonts w:ascii="Amiri" w:hAnsi="Amiri" w:eastAsia="Amiri" w:cs="Amiri"/>
          <w:color w:val="111111"/>
          <w:sz w:val="28"/>
          <w:sz w:val="28"/>
          <w:szCs w:val="28"/>
          <w:rtl w:val="true"/>
          <w:lang w:bidi="ar-SA"/>
        </w:rPr>
        <w:t>في باب تطهير الثياب</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و احتمال كون الطهارة في عبارة هؤلاء الأساطين مرادا بها معنى العفو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فنحن نفرض المسألة خلافيّة، و نتكلّم فيها دفعا لمقالة من لو توهّم أنّ الحكم الثابت هنا إنّما هو العفو دون الطهارة، و ينبغي قبل الخوض في الاحتجاج أن نشير إلى مقدّمة يتّضح بها معنى العنوان، و يتحرّر ما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بطهارة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النجاسة، الّتي هي عبارة عن الحالة المانعة عن المباشرة، و الباعثة على وجوب الغسل، و عدم جواز الاستعمال في التطهير عن الحدث و الخبث، و في شربه و تناوله، و لازمه أن يحكم عليه بجميع الآثار الشرعيّة المترتّبة على خلاف النجاسة، من الامور المذكورة و غيرها عدا ما خرج منها بالدليل، كاستعماله في إزالة الحدث المدّعى على عدم جوازه الإجماع فيما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العفو المقابل لها، فقرينة المقابلة تقتضي كون المراد به ما يلازم النجاسة مع سلب بعض أحكامها، أعني الحكم بنجاسته مع الرخصة في مباشرته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الظاهر من الشهيد في عبارته المتقدّمة من الذكرى كون المراد به سلب الطهوريّة و إن كان أكثر الأدلّة المقامة على القول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لاقتضائها الطهارة بالمعنى المقابل للمعنى الأوّل من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في استعماله، و لعلّه الأقرب، لتيقّن البراءة بغيره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لتيقّن البراءة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استدلّ به على ما احتمل كونه أقرب و هو العفو، و لمّا كان الدليل لا بدّ من انطباقه على المدّعى، فذلك يكشف عن أنّ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كون ماء الاستنجاء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رافعا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فحكم عليه بالعدم لأنّ اليقين بالبراءة لا يحصل باستعماله بل يحصل باستعمال غيره، و إلاّ فلو كان المبحوث عنه هو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النجاسة مع الرخصة في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من تيقّن البراءة بغيره كونه في الواقع نجسا مع الرخصة في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يقرّر هذا الدليل بالقياس إلى الصلاة بثوب باشره هذا الماء، لأنّه لو تمّ لقضى بالنجاسة المطلقة، الملزومة لعدم الرخصة في مباشرته، و هو خلاف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ترى أنّ غير واحد من أصحابنا استظهر منه ذلك، كصاحب المدارك و تبعه صاحب الحدائق، فقال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إطلاق العفو عن ماء الاستنجاء يقتضي جواز مباشرته مطلقا، و عدم وجوب إزالته عن الثوب و البدن للصلاة و غيرها، و هذا معنى الطاهر، فلا يستقيم ما نقله المحقّق الشيخ عليّ في حواشي الكتاب عن المعتبر أنّه اختار كونه نجسا معفوّا عنه، بل و لا جعل القول بالعفو عنه مقابلا للقول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مرادهم بالعفو هنا عدم الطهوريّة كما يفهم من كلام شيخنا الشهيد رحمه اللّه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بالطهارة و العفو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في استعماله، و قد نقل المصنّف في المعتبر، و العلاّمة في المنتهى الإجماع على عدم جواز رفع الحدث بما تزال به النجاسة مطلقا، فتنحصر فائدة الخلاف في جواز إزالة النجاسة به ثانيا و الأصحّ الجواز تمسّكا بالعموم، و صدق الامتثال باستعماله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أشعر ذلك بكون العفو عبارة عن الحكم بنجاسته مع الرخصة في مباشرته، و الّذي يظهر من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عليه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العفو هنا إنّما هو بمعنى سلب الطهوريّة،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فيصير محطّ الخلاف في جواز رفع الحدث أو الخبث به و عدمه، و كذا تناوله و عدمه، إلاّ أنّهم نقلوا الإجماع أيضا على عدم جواز الرفع بما تزال به النجاسة مطلقا، كما سيأتي في تالي هذه المسألة، و حينئذ </w:t>
      </w:r>
    </w:p>
    <w:p>
      <w:pPr>
        <w:pStyle w:val="BookText"/>
        <w:rPr/>
      </w:pPr>
      <w:r>
        <w:rPr>
          <w:rFonts w:ascii="Amiri" w:hAnsi="Amiri" w:eastAsia="Amiri" w:cs="Amiri"/>
          <w:color w:val="111111"/>
          <w:sz w:val="28"/>
          <w:sz w:val="28"/>
          <w:szCs w:val="28"/>
          <w:rtl w:val="true"/>
          <w:lang w:bidi="ar-SA"/>
        </w:rPr>
        <w:t xml:space="preserve">فينحصر الخلاف في الأخيرين،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تمسّكا بأصالة الطهارة عموما و خصوصا، و صدق الماء المطلق عليه، فيجوز شربه و إزالة الخبث به</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ملخّص الفرق بين المعنيين للعفو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مطلبين لا بدّ و أن يكون أحدهما مرادا للقائل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بطهارته و استثنائه من عموم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يثبت له أحكام الطهارة بأسرها، فإن كان مدّعى القائل بالطهارة هو المعنى الأوّل، فيقابله العفو بمعنى أنّه نجس و مرخّص في مباشرته، و إن كان مدّعاه المعنى الثاني فيقابله العفو بمعنى أنّه طاهر يخصّ حكمه بما دون التناول و رفع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الشائع جريانه في لسان القوم هو المعنى الأوّل، فأمّا بالمعنى الثاني فغير معهود في كلامهم، فلا ينبغي صرف إطلاقه في كلام من لم يعلم مذهبه إلى إرادة هذا المعنى، و ثبوت كون مراد الشهيد منه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دليله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بكونه في كلام من عداه مرادا به هذا المعنى، كيف و أنّ أكثر الأدلّة المقامة على القول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تقضي بما يقابل المعنى الأوّل من العفو، فعرف منه أنّه هو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عن صاحب المدارك كيف غفل عن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مرادهم بالعفو هنا عدم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 منشأ هذا الاستظهار، و هو الّذي ذكره أوّلا في الاعتراض على المحقّق الشيخ عليّ، و على من يجعل العفو مقابلا للقول بالطهارة، لوضوح وهن كلّ منهما، فإنّ الطاهر لا ينحصر أحكامه فيما ذكره، بل له أحكام اخر من جواز تناوله، و عدم انفعال ما يلاقيه برطوبة، و جواز غسل ما يباشره من الثوب و البدن بقصد التطهير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إباحته شرعا بعدم دخوله في البدعة المحرّمة، نظرا إلى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لكان غسله بعد العنوان بدعة و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الأحكام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فثبوت بعض أحكام الطاهر لهذا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يلتزم به القائل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كونه طاهرا في مقابلة النجس، لجواز كونه نجسا قد رفع عنه بعض أحكام النجاسة فلا منافاة، و بهذا الاعتبار يصحّ مقابلة القول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الملازم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يسلّم أنّ العفو في كلام كلّ قائل به وارد على إطلاقه، و مراد به رفع جميع أحكام النجاسة لئلاّ يصحّ المقابلة، و يوجب ذلك العدول عن المعنى الظاهر المعهود إلى معنى آخر غير معهود، كيف و أنّ عباراتهم تنادي بأعلى صوتها أنّ القول بالعفو يلزمه عدم تجويز الاستعمال من تناول و نحوه، و هو كما ترى من لوازم النجاسة و أحكامها، إذ لا يعقل في المقام باعث عليه و لا داع إليه سوى قيام هذا الوصف به، بل ظاهرهم الإجماع على أنّه لا مانع سواه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فالحاسم لمادّة هذا الإشكال، الّذي ربّما يحصل في تشخيص محلّ المقال، أن يجعل البحث بالنسبة إلى مسألة العفو هنا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عرفت له من المعنيين، ثمّ ينظر في كلّ جهة إلى مقتضى ما هو الموجود من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الكلام في تحرير عنوان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البحث في الطهارة و العفو بالمعنى الأوّل إلى أنّ مفاد الدليل الوارد في ماء الاستنجاء، هل هو سلب جميع أحكام النجاسة عن هذا الماء أو سلب بعضها مع إبقاء البعض الآخر؟ كما أنّ مرجعه على العفو بالمعنى الثاني إلى أنّ مفاد الدليل الوارد فيه هل إثبات جميع أحكام الطهارة لهذا الماء أو إثبات بعضها مع إلغاء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النزاع على الوجه الأوّل يرجع إلى أصل الاستثناء عن عموم دليل انفعال الماء القليل بملاقاة النجاسة، فالقائل بالطهارة لا بدّ و أن يدّعي وقوع هذا الاستثناء، و القائل بالعفو لا بدّ و أن ينكر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الدليل الوارد فيه كائنا ما كان إنّما هو سلب بعض أحكام النجاسة عن هذا الماء لا إخراجه عن حكم النجاسة بالمرّة، كما أنّه على الوجه الثاني يرجع إلى تحقيق معنى الطهارة الثابتة هنا بالدليل الوارد، بعد الاتّفاق على وقوع أصل الاستثناء، و خروج هذا الفرد من القليل عن عموم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باب الاستنجاء بالنسبة إلى كلّ من الوجهين وقع في مقامين أحدهما وفاقي، و الآخر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على الوجه الأوّل فهو أنّه قد ثبت لماء الاستنجاء عمّا بين مشاركاته حكم يمتاز به عمّا عداه من المياه القليلة الملاقية للنجاسة جزما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هذا الحكم الثابت فيه هل هو خروجه عن </w:t>
      </w:r>
      <w:bookmarkStart w:id="334" w:name="pg16144_233207"/>
    </w:p>
    <w:p>
      <w:pPr>
        <w:pStyle w:val="BookText"/>
        <w:rPr/>
      </w:pPr>
      <w:bookmarkEnd w:id="334"/>
      <w:r>
        <w:rPr>
          <w:rFonts w:ascii="Amiri" w:hAnsi="Amiri" w:eastAsia="Amiri" w:cs="Amiri"/>
          <w:color w:val="111111"/>
          <w:sz w:val="28"/>
          <w:sz w:val="28"/>
          <w:szCs w:val="28"/>
          <w:rtl w:val="true"/>
          <w:lang w:bidi="ar-SA"/>
        </w:rPr>
        <w:t>حكم الانفعال بالمرّة و كونه محكوما عليه بالطهارة أو هو زوال بعض أحكام النجاسة مع بقاء أصل الوصف الملازم لبقاء البعض الآخر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قد خرج ذلك عن حكم الانفعال بالمرّة، و حكم عليه خاصّة بالطهارة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هل يثبت له جميع أحكام الطهارة أو يثبت بعضها و ينتفي البعض الآخر، و من البيّن أنّ الخلاف إن كان في الجهة الاولى صحّ لمدّعي الطهارة أن يتمسّك بما تقدّم من الأخبار الواردة في الاستنجاء، و لمدّع العفو حينئذ أن يناقش في دلالة تلك الأخبار، و لا يسوغ للأوّل الرجوع إلى القواعد الخارجة المقتضية للطهارة من الأصل و الاستصحاب و العمومات كما لا يخفى، و إن كان في الجهة الثانية فلا معنى في دعوى الطهارة للرجوع إلى تلك الأخبار، لأنّها إنّما قضت بخروج الموضوع عن حكم الانفعال، و لا تعرّض فيها أصلا لبيان أنّ هذا الموضوع المحكوم عليه بكونه طاهرا يثبت له جميع أحكام الطهارة أو بعضها، بل لا بدّ له من الرجوع إلى الخارج، و لأجل اختلاط هاتين الجهتين اختلط الأمر كثيرا ما على بعض الفحول، فيتمسّك تارة بما يناسب الجهة الاولى، و اخرى بما يناسب الجهة الثانية فلاحظ و تأمّل،</w:t>
      </w:r>
    </w:p>
    <w:p>
      <w:pPr>
        <w:pStyle w:val="Heading6"/>
        <w:numPr>
          <w:ilvl w:val="5"/>
          <w:numId w:val="1"/>
        </w:numPr>
        <w:rPr/>
      </w:pPr>
      <w:bookmarkStart w:id="335" w:name="__RefHeading___Toc1804600_1280447820"/>
      <w:bookmarkStart w:id="336" w:name="_Toc131"/>
      <w:bookmarkEnd w:id="335"/>
      <w:r>
        <w:rPr>
          <w:rtl w:val="true"/>
        </w:rPr>
        <w:t>و إذا تقرّر هذا كلّه فلا مناص من إيراد الكلام في الجهتين معا</w:t>
      </w:r>
      <w:r>
        <w:rPr>
          <w:rtl w:val="true"/>
        </w:rPr>
        <w:t>.</w:t>
      </w:r>
      <w:bookmarkEnd w:id="336"/>
    </w:p>
    <w:p>
      <w:pPr>
        <w:pStyle w:val="Heading6"/>
        <w:numPr>
          <w:ilvl w:val="5"/>
          <w:numId w:val="1"/>
        </w:numPr>
        <w:rPr/>
      </w:pPr>
      <w:bookmarkStart w:id="337" w:name="__RefHeading___Toc1804602_1280447820"/>
      <w:bookmarkStart w:id="338" w:name="_Toc132"/>
      <w:bookmarkEnd w:id="337"/>
      <w:r>
        <w:rPr>
          <w:rtl w:val="true"/>
        </w:rPr>
        <w:t>أمّا الجهة الاولى</w:t>
      </w:r>
      <w:r>
        <w:rPr>
          <w:rtl w:val="true"/>
        </w:rPr>
        <w:t xml:space="preserve">: </w:t>
      </w:r>
      <w:r>
        <w:rPr>
          <w:rtl w:val="true"/>
        </w:rPr>
        <w:t>فالحقّ فيها أنّ ماء الاستنجاء و إن كان من أفراد القليل الملاقي للنجاسة، و لكنّه لا ينجّس بتلك الملاقاة،</w:t>
      </w:r>
      <w:bookmarkEnd w:id="338"/>
    </w:p>
    <w:p>
      <w:pPr>
        <w:pStyle w:val="Heading6"/>
        <w:numPr>
          <w:ilvl w:val="5"/>
          <w:numId w:val="1"/>
        </w:numPr>
        <w:rPr/>
      </w:pPr>
      <w:bookmarkStart w:id="339" w:name="__RefHeading___Toc1804604_1280447820"/>
      <w:bookmarkStart w:id="340" w:name="_Toc133"/>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فهو طاهر لا أنّه نجس معفوّ عنه، خلافا لمن يتوهّمه كذلك إن كان؛ إذ ليس له مستند فيما نعلم سوى ما حكي من العمومات الدالّة على أنّ الماء القليل ينجّس بملاقاة النجاسة، و هذا إنّما يتّجه لو لا الدليل الوارد الموجب للتخصيص في تلك العمومات</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804606_1280447820"/>
      <w:bookmarkStart w:id="342" w:name="_Toc134"/>
      <w:bookmarkEnd w:id="341"/>
      <w:r>
        <w:rPr>
          <w:rtl w:val="true"/>
        </w:rPr>
        <w:t>و احتجّ موافقونا في الاختيار بوجوه</w:t>
      </w:r>
      <w:r>
        <w:rPr>
          <w:rtl w:val="true"/>
        </w:rPr>
        <w:t>:</w:t>
      </w:r>
      <w:bookmarkEnd w:id="342"/>
    </w:p>
    <w:p>
      <w:pPr>
        <w:pStyle w:val="Heading6"/>
        <w:numPr>
          <w:ilvl w:val="5"/>
          <w:numId w:val="1"/>
        </w:numPr>
        <w:rPr/>
      </w:pPr>
      <w:bookmarkStart w:id="343" w:name="__RefHeading___Toc1804608_1280447820"/>
      <w:bookmarkStart w:id="344" w:name="_Toc135"/>
      <w:bookmarkEnd w:id="343"/>
      <w:r>
        <w:rPr>
          <w:rtl w:val="true"/>
        </w:rPr>
        <w:t>منها</w:t>
      </w:r>
      <w:r>
        <w:rPr>
          <w:rtl w:val="true"/>
        </w:rPr>
        <w:t xml:space="preserve">: </w:t>
      </w:r>
      <w:r>
        <w:rPr>
          <w:rtl w:val="true"/>
        </w:rPr>
        <w:t>ما عن الذخيرة و المشارق و مجمع الفائدة من أصالة الطهارة، و استصحابها،</w:t>
      </w:r>
      <w:bookmarkEnd w:id="34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الذخيرة</w:t>
      </w:r>
      <w:r>
        <w:rPr>
          <w:rStyle w:val="FootnoteAnchor"/>
          <w:rtl w:val="true"/>
        </w:rPr>
        <w:footnoteReference w:id="1014"/>
      </w:r>
      <w:r>
        <w:rPr>
          <w:rFonts w:ascii="IRNazanin" w:hAnsi="IRNazanin" w:eastAsia="IRNazanin"/>
          <w:color w:val="111111"/>
          <w:sz w:val="28"/>
          <w:sz w:val="28"/>
          <w:szCs w:val="28"/>
          <w:rtl w:val="true"/>
          <w:lang w:bidi="fa-IR"/>
        </w:rPr>
        <w:t>و المشارق</w:t>
      </w:r>
      <w:r>
        <w:rPr>
          <w:rStyle w:val="FootnoteAnchor"/>
          <w:rtl w:val="true"/>
        </w:rPr>
        <w:footnoteReference w:id="1015"/>
      </w:r>
      <w:r>
        <w:rPr>
          <w:rFonts w:ascii="Amiri" w:hAnsi="Amiri" w:eastAsia="Amiri" w:cs="Amiri"/>
          <w:color w:val="111111"/>
          <w:sz w:val="28"/>
          <w:sz w:val="28"/>
          <w:szCs w:val="28"/>
          <w:rtl w:val="true"/>
          <w:lang w:bidi="ar-SA"/>
        </w:rPr>
        <w:t>و مجمع الفائدة</w:t>
      </w:r>
      <w:r>
        <w:rPr>
          <w:rStyle w:val="FootnoteAnchor"/>
          <w:rtl w:val="true"/>
        </w:rPr>
        <w:footnoteReference w:id="1016"/>
      </w:r>
      <w:r>
        <w:rPr>
          <w:rFonts w:ascii="Amiri" w:hAnsi="Amiri" w:eastAsia="Amiri" w:cs="Amiri"/>
          <w:color w:val="111111"/>
          <w:sz w:val="28"/>
          <w:sz w:val="28"/>
          <w:szCs w:val="28"/>
          <w:rtl w:val="true"/>
          <w:lang w:bidi="ar-SA"/>
        </w:rPr>
        <w:t>من أصالة الطهارة، و استصحابها،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يضاف إليهما العمومات القاضية بأنّ الأصل في الماء الطهارة</w:t>
      </w:r>
      <w:r>
        <w:rPr>
          <w:rFonts w:eastAsia="Amiri" w:cs="Amiri" w:ascii="Amiri" w:hAnsi="Amiri"/>
          <w:color w:val="111111"/>
          <w:sz w:val="28"/>
          <w:szCs w:val="28"/>
          <w:rtl w:val="true"/>
          <w:lang w:bidi="ar-SA"/>
        </w:rPr>
        <w:t xml:space="preserve">. </w:t>
      </w:r>
      <w:bookmarkStart w:id="345" w:name="pg16144_233208"/>
    </w:p>
    <w:p>
      <w:pPr>
        <w:pStyle w:val="BookText"/>
        <w:rPr/>
      </w:pPr>
      <w:bookmarkEnd w:id="345"/>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أنّ الأصل و الاستصحاب ممّا لا مدخل لهما في تعريف الحكم الواقعي، و مع ذلك فقد انقطعا بعموم قاعدة انفعال القليل، و معه لا معنى للاستناد إليهما، و لعلّه مبنيّ على القول بمنع العموم في تلك القاعدة، و قد ظهر لك ضعفه في محلّه، و أمّا العمومات فالأمر فيها أوهن، لأنّ الاستناد إليها إنّما يصحّ لو كان الغرض معرفة حكم ذلك بنوعه و خلقته الأصليّة و لا كلام لنا فيه، بل الغرض الأصلي هنا معرفة حكمه من حيث قبوله الانفعال و عدمه بالعارض، و لا تعرّض في تلك العمومات لذلك نفيا و لا إثباتا، و على فرض تعرّضها للنفي فهي منقطعة بما يحكم عليها من الدليل الشرعي، إذ المفروض أنّ العارض و هو ملاقاة النجاسة متحقّق، و عموم الدليل على كون هذا النحو من العارض ممّا يوجب الانفعال قائم، فلا محيص من تخصيصها بذلك، و المناقشة في عموم ذلك الدليل قد تبيّن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بجميع ما ذكر يتبيّن ضعف ما في شرح الدروس للخوانساري</w:t>
      </w:r>
      <w:r>
        <w:rPr>
          <w:rStyle w:val="FootnoteAnchor"/>
          <w:rtl w:val="true"/>
        </w:rPr>
        <w:footnoteReference w:id="1017"/>
      </w:r>
      <w:r>
        <w:rPr>
          <w:rFonts w:ascii="Amiri" w:hAnsi="Amiri" w:eastAsia="Amiri" w:cs="Amiri"/>
          <w:color w:val="111111"/>
          <w:sz w:val="28"/>
          <w:sz w:val="28"/>
          <w:szCs w:val="28"/>
          <w:rtl w:val="true"/>
          <w:lang w:bidi="ar-SA"/>
        </w:rPr>
        <w:t>من الاحتجاج بما يقرب ممّا تقدّم من أنّ الأصل في الأشياء الطهارة و الإباحة، و قد عرفت أنّ أدلّة نجاسة القليل لا عموم لها بحيث يشمل ما نحن فيه، و إنّما كان التعدّي عن الموارد المخصوصة الّتي وردت فيها الروايات إلى بعض الصور لأجل الشهرة و عدم القول بالفصل و كلاهما مفقودان فيما نحن فيه فيبنى على الأصل فيثبت جواز الطهارة و التناول</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804610_1280447820"/>
      <w:bookmarkStart w:id="347" w:name="_Toc136"/>
      <w:bookmarkEnd w:id="346"/>
      <w:r>
        <w:rPr>
          <w:rtl w:val="true"/>
        </w:rPr>
        <w:t>و منها</w:t>
      </w:r>
      <w:r>
        <w:rPr>
          <w:rtl w:val="true"/>
        </w:rPr>
        <w:t xml:space="preserve">: </w:t>
      </w:r>
      <w:r>
        <w:rPr>
          <w:rtl w:val="true"/>
        </w:rPr>
        <w:t>ما احتجّ به جماعة من لزوم العسر و المشقّة لو لا البناء على الطهارة</w:t>
      </w:r>
      <w:r>
        <w:rPr>
          <w:rtl w:val="true"/>
        </w:rPr>
        <w:t>.</w:t>
      </w:r>
      <w:bookmarkEnd w:id="347"/>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حيث لا نجد عسرا في التحرّز عن هذا الماء أصلا، خصوصا إذا كان الاستنجاء من البول، إذ لو اريد به ما يلزم حالة الاستنجاء من حيث إنّها معرض للرشاش، فلدفعه طرق واضحة لا تكاد تخفى على أحد، و لو اريد به ما يلزم من جهة غلبة الابتلاء بماء الاستنجاء بالمباشرة و نحوها فمنعه أوضح، إذ لا نعقل ابتلاء به يكون غالبيّا أو كثيرا إلاّ حالة التشاغل بأصل الاستنجاء، و هو كما ترى لا يقتضي عسرا في التحرّز عنه إذا تحقّق معه الغسل على النهج المقرّر في الشرع، المستتبع لطهارة المحلّ و اليد المباشرة له و زوال الغسالة على النحو المتعارف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إذ لو اريد بالعسر ما ينشأ من الوسواس فلا عبرة به في الشريعة لفساد مبناه، و لو اريد به ما ينشأ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حسن على كلّ حال </w:t>
      </w:r>
      <w:bookmarkStart w:id="348" w:name="pg16144_233209"/>
    </w:p>
    <w:p>
      <w:pPr>
        <w:pStyle w:val="BookText"/>
        <w:rPr/>
      </w:pPr>
      <w:bookmarkEnd w:id="3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غير معلوم الشمول للأدلّة النافية له فهو غير منفيّ حينئذ، و لو اريد به ما ينشأ من التكليف الإلزامي الالهي فيرتفع بالعفو عنه و الرخصة في مباشرته، و هو ممّا لا ينكره الخصم، و المفروض عدم حصول البلوى باستعماله في التطهير ليلزم العسر، بل العذر على تقدير نجاسته لتوقّف التطهير على الطهارة، و مجرّد المباشرة بالثوب و البدن لا يقتضي أزيد من العفو و الرخصة، و إلى ذلك أشار المحقّق الخوانساري في دفع الاحتجاج،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الحرج على تقدير تسليمه يرتفع بالعفو، و لا يتوقّف على طهارته، إذ لا حرج في عدم جواز استعماله في رفع الخبث و التناول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تبعه على ذلك غير واحد من الأصحاب</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804612_1280447820"/>
      <w:bookmarkStart w:id="350" w:name="_Toc137"/>
      <w:bookmarkEnd w:id="349"/>
      <w:r>
        <w:rPr>
          <w:rtl w:val="true"/>
        </w:rPr>
        <w:t>و منها</w:t>
      </w:r>
      <w:r>
        <w:rPr>
          <w:rtl w:val="true"/>
        </w:rPr>
        <w:t xml:space="preserve">: </w:t>
      </w:r>
      <w:r>
        <w:rPr>
          <w:rtl w:val="true"/>
        </w:rPr>
        <w:t>ما تكرّر الاحتجاج به في كلام الأصحاب من الأخبار المتقدّم بيانها،</w:t>
      </w:r>
      <w:bookmarkEnd w:id="350"/>
    </w:p>
    <w:p>
      <w:pPr>
        <w:pStyle w:val="BookText"/>
        <w:rPr/>
      </w:pPr>
      <w:r>
        <w:rPr>
          <w:rFonts w:ascii="Amiri" w:hAnsi="Amiri" w:eastAsia="Amiri" w:cs="Amiri"/>
          <w:color w:val="111111"/>
          <w:sz w:val="28"/>
          <w:sz w:val="28"/>
          <w:szCs w:val="28"/>
          <w:rtl w:val="true"/>
          <w:lang w:bidi="ar-SA"/>
        </w:rPr>
        <w:t>و هي الحجّة الّتي لا محيص عنها في المسألة، لوضوح دلالتها و لا سيّما الأوّل منها، و هو خبر عبد الكريم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ذلك بما يظهر من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نفي البأس الوارد في أكثر تلك الأخبار أعمّ من الطهارة و العفو، فلا قضاء له بالطهارة</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تلك الدعوى صاحب الحدائق</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رواية عبد الكريم، فإنّ عدم تنجيسه الثوب لا يستلزم طهارته، إذ كونه معفوّا عنه مطلقا أيضا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المناقشة في خبر عبد الكريم، فبأنّ الاستلزام إن اريد به العقلي فانتفاؤه مسلّم، و لكن اعتباره في الشرعيّات بل و دلالة الألفاظ ليس بلازم، و إن اريد به غيره شرعيّا أو عرفيّا فهو موجود بكلا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المعلوم من طريقة الشارع المركوز في أذهان المتشرّعة أنّ ملاقاة النجس إذا قارنت شرائط التأثير توجب النجاسة في الملاقي أيضا، إلاّ في مواضع مخصوصة خرجت بالدليل، و إنكاره مكابرة لا يلتفت إليها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ينجّس ذلك بذلك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و العادة إنّما هو انتفاء النجاسة من الشيء الثاني، و إن كان </w:t>
      </w:r>
    </w:p>
    <w:p>
      <w:pPr>
        <w:pStyle w:val="BookText"/>
        <w:rPr/>
      </w:pPr>
      <w:r>
        <w:rPr>
          <w:rFonts w:ascii="Amiri" w:hAnsi="Amiri" w:eastAsia="Amiri" w:cs="Amiri"/>
          <w:color w:val="111111"/>
          <w:sz w:val="28"/>
          <w:sz w:val="28"/>
          <w:szCs w:val="28"/>
          <w:rtl w:val="true"/>
          <w:lang w:bidi="ar-SA"/>
        </w:rPr>
        <w:t>المصرّح بنفيه في عبارة الجواب إنّما هو نجاسة الشيء الأوّل، نظرا إلى أنّ نفي اللازم يقضي بنفي الملزوم، بناء على أنّ الملازمة بينهما عند تحقّق اللقاء مع اجتماع شرائط التأثير مركوزة في أذهان المتشرّعة فعدم تنجيسه الثوب إنّما هو لعدم كونه بنفسه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ذلك حمل السلب في قضيّة الجواب على كونه باعتبار انتفاء الموضوع، 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لو فرض كون النجاسة مأخوذة في موضوع قضيّة السؤال و ليس كذلك، بل الموضوع هو ذات ماء الاستنجاء معرّاة عن وصف النجاسة، و هذا الموضوع باق في قضيّة الجواب، و ليس السلب الوارد فيه من جهة انتفائه، بل من جهة انتفاء أمر خارج عنه غير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وصف النجاسة مأخوذا في قضيّة السؤال فلأيّ فائدة وقع السؤال؟ فإنّ كلّ عاقل يعلم بأنّ الشيء لا ينجّس بواسطة ملاقاة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السؤال استعلام ما احتمله السائل من قيام وصف النجاسة بماء الاستنجاء، كغيره من المياه القليلة الملاقية للنجاسة الموجب لسرايته إلى ما يلاقيه، فأورد السؤال عن اللازم انتقالا إلى ما هو مرامه من الملزوم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لا دلالته على عدم النجاسة لما كان دالاّ على العفو أيضا، بالمعنى المعروف الّذي فرضنا البحث من جهته، لأنّ القائلين به معترفون بأنّه نجس، و يوجب النجاسة في مباشره و لكنّهم يدّعون العفو عنه، على معنى أنّ هذه النجاسة الحاصلة في الثوب أو البدن من جهة أنّها حاصلة عن ماء الاستنجاء لا تقدح في صحّة الصلاة أو الطواف أو غير ذلك من مشروط بطهارة الثوب و البدن، بل هي من جهة ما فيها من الخصوصيّة ملغاة في نظر الشارع تسهيلا للأمر على المكلّف، و صونا له عن الوقوع في العسر و المشقّة، و قد دلّت الرواية على انتفاء النجاسة من الثوب رأسا، لا أنّها موجودة و لكنّها معفوّ عنها، و بذلك بطل ما ذكره في التعليل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كونه معفوّا عنه مطلقا أيضا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عدم تنجّس الثوب، فإنّه مخالف لما عليه أهل القول بالعفو، فلا يمكن حمله على إرادة العفو، و معه يتعيّن حمله على إرادة الطهارة؛ للإجماع على انتفاء الواسطة، كما لا يخفى على الفطن العارف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عن المناقشة في الروايات المشتملة على نفي البأس، فلأنّ الظاهر من سياق السؤال و ملاحظة الأسئلة الواردة في نظائر المقام، كون السؤال ناشئا عن الجهل بحكم هذا الماء، و واردا في موضع توهّم نجاسته، و إن كان المذكور في متن السؤال وقوع الثوب فيه، فلو كان المراد بنفي البأس نفيه عن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يكون مفاده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يطابق الجواب للسؤال، و لم يوجب رفع الجهالة عن السائل فيما 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 البأس ظاهر في الماهيّة الصادقة على جميع ما يصدق عليه في العرف أنّه بأس، و العفو بالمعنى المبحوث عنه مراد به انتفاء البأس عن مجرّد مباشرته حال الصلاة و نحوها، فلو حمل النفي في الرواية على إرادة هذا المعنى فقط كان منافيا لإطلاقه المفيد للعموم؛ لكونه تقييدا بلا دليل، خصوصا إذا ضمّ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الماء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نجس و ينجّس ما يلاقيه، و لكن عفى عن مباشرته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نجس و لا ينجّس ما يلاقيه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نجس و ينجّس ما يلاقيه، و لا يجوز مباشرته في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الأخيران منفيّان بالإجماع، مضافا إلى كون الأخير منهما منفيّا بنصّ الرواية، فتعيّن الأوّل؛ لكون الثاني تخصيصا في العامّ أو تقييدا في المطلق، و لا يصار إليهما إلاّ بدليل و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قضيّة الحمل المذكور أن لا يجوز تناول المعتصر من هذا الماء الّذي باشر الثوب لو فرض عصره على نحو يحصل منه ما يمكن تناوله، و أن لا يجوز استعماله في إزالة الخبث لو اعتصر منه ما يكفي في الإزالة، و أن ينجّس ما يلاقيه في الثوب الملاقي له، و أن ينفعل القليل الّذي يقع فيه ما لاقاه من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تحقيقه من عدم الفرق في انفعال القليل بالملاقاة بين النجس و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كلّ ذلك بأس يبقى خارجا عن النفي، و هو مناف لإطلاق النفي أو عمومه، و لو حمل النفي على نفي جميع ذلك رجع مفاده إلى إثبات الطهارة، إذ لا يعني بالطهارة إلاّ ما انتفى معه جميع آثار النجاسة و أحكامها و هو المطلوب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أشار المحقّق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إطلاق العفو عنه، أو القول بطهارته؛ لأنّه إن جاز مباشرته من كلّ </w:t>
      </w:r>
    </w:p>
    <w:p>
      <w:pPr>
        <w:pStyle w:val="BookText"/>
        <w:rPr/>
      </w:pPr>
      <w:r>
        <w:rPr>
          <w:rFonts w:ascii="Amiri" w:hAnsi="Amiri" w:eastAsia="Amiri" w:cs="Amiri"/>
          <w:color w:val="111111"/>
          <w:sz w:val="28"/>
          <w:sz w:val="28"/>
          <w:szCs w:val="28"/>
          <w:rtl w:val="true"/>
          <w:lang w:bidi="ar-SA"/>
        </w:rPr>
        <w:t xml:space="preserve">الوجوه لزم الثاني؛ لأنّه إذا باشره بيده ثمّ باشر به ماء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يمنع من الوضوء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طاهرا لا محالة، و إلاّ وجب المنع من مباشرة نحو ماء الوضوء به إذا كان قليلا، فلا يكون العفو مطلقا، و هو خلاف ما ظهر من الخبر و كلام الأصحاب</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قرّرناه في وجه الاستدلال بخبر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قيل من أنّ كونه معفوّا عنه مطلقا مع نجاسته يستلزم نجاسة ما يلاقيه، غايته أنّه يكون أيضا معفوّا عنه، فحيث حكم بعدم تنجيسه الثوب ظهر أنّه 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رواية الأحول،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تستلزم وجوب إزالته عن الثوب و البدن، و وجود البأس فيه، فحيث نفي البأس عنه يثبت طهارته، فإنّ الظاهر أنّ إفراد استلزام نجاسته نجاسة ما يلاقيه و وجوب إزالته عن الثوب و البدن بالذكر إنّما هو من باب المثال، إذ كلّ أحد ممّن له أدنى معرفة بتفاصيل الشرع يعلم أنّ النجاسة كما يقتضي الامور المذكورة، فكذا تقتضي امورا اخر ممّا أشرنا إليها سابقا و ممّا لم نشر، كاقتضائها المنع عن رفع الحدث و إزالة الخبث بذلك الماء، خصوصا إذا اعتبرناه معتصرا عن الثوب الملاقي له، فحيث نفي نجاسة الثوب به و نفي البأس عنه على الإطلاق يدلّ على طهارته، لأنّ نفي اللوازم يستدعي نفي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الخوانساري في شرحه للدروس في 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الاستلزام ممنوع، و غاية ما يتمسّك به في اقتضاء النجاسة هذه الامور الإجماع، و هو فيما نحن فيه مفقود</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فإنّ غاية ما فقد فيه الإجماع من اللوازم إنّما هو وجوب إزالة هذا الماء عن الثوب و البدن، كما هو مفاد القول بالعفو، و أمّا سائر اللوازم فلا خلاف عندهم في وجودها على تقدير ثبوت العفو، و المفروض أنّ الروايتين دلّتا بعمومهما على انتفاء اللوازم بأسرها، و معه لا مناص عن القول بالطهارة، فالكلام المذكور عن المحقّق من الامور العجيبة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منه ما ذكره عقيب الكلام المذكور،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 لو فرض تحقّق عمومات دالّة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بحث القليل تدلّ على نجاسة هذا الماء أيضا عند من يقول بعمومها كالمحقّق و أضرابه، و النجاسة كما تقتضي الأشياء الّتي ذكرتم، كذلك </w:t>
      </w:r>
    </w:p>
    <w:p>
      <w:pPr>
        <w:pStyle w:val="BookText"/>
        <w:rPr/>
      </w:pPr>
      <w:r>
        <w:rPr>
          <w:rFonts w:ascii="Amiri" w:hAnsi="Amiri" w:eastAsia="Amiri" w:cs="Amiri"/>
          <w:color w:val="111111"/>
          <w:sz w:val="28"/>
          <w:sz w:val="28"/>
          <w:szCs w:val="28"/>
          <w:rtl w:val="true"/>
          <w:lang w:bidi="ar-SA"/>
        </w:rPr>
        <w:t>تقتضي أشياء اخر من عدم جواز رفع الحدث و رفع الخبث و التناول؛ للاتّفاق على عدم الفرق بين هذه الامور و بين تلك، و هذان الخبران إنّما دلّا على ارتفاع بعض أحكامها ممّا ذكر، و أمّا البعض الآخر من عدم جواز استعماله في رفع الحدث و الخبث و تناوله، فينبغي أن يكون على حاله حتّى يثبت ارتفاعه بدليل آخر، و نفي البأس غير ظاهر في الجميع، بل ظاهره عدم النجاسة أو العفو</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نكرة منفيّة و كانت النكرة المنفيّة مفيدة للعموم خصوصا مع ملاحظة حذف المتعلّق المفيد للعموم أيضا، و إذا كان نفي نجاسة الثوب مستلزما لنفي جميع لوازم النجاسة عن الماء الّذي هو في الثوب، فأيّ شيء يدعو إلى دعوى أنّ هذان الخبران إنّما دلّا على ارتفاع بعض أحكامها، و بأيّ قاعدة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البأس ظاهر في عدم النجاسة أو العفو، مع أنّ العامّ لا يردّد بين العموم و الخصوص إلاّ على بعض المذاهب الفاسدة في صيغ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فنّ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يعقل إبداء المعارضة بين عمومات القليل المقتضية لانفعاله بالملاقاة و بين هذين الخبرين، و هما خاصّان و كلّ خاصّ مقدّم على العامّ و حاكم عليه، و هل الكلام المذكور التزام بالتخصيص في المخصّص أيضا بعد التزامه في المخصّص بلا دليل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يلتزم به من التخصيص 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بالنسبة إلى رفع الحدث، لنقل الإجماع على عدم جوازه بذلك الماء مع إمكان المناقشة فيه، و أمّا سائر أحكام الطهارة فباقية تحت عموم نفي البأس و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ما ذكر من التخصيص يكفي الخصم في إثبات النجاسة مع العفو؛ لأنّ النجاسة هي الباعثة على ذلك الحكم الثابت بالإجماع، لمنع انحصار الباعث على هذا الحكم في النجاسة، أ لا يرى أنّ المضاف أيضا ممّا لا يرفع به الحدث، و كذا الماء المغصوب، و الماء المستتبع استعماله في ذلك للضرر على النفس المحترمة و نحوها، و لعلّ الباعث على ذلك في ماء الاستنجاء زوال وصف ينوط به قوّته الرافعة غير الطهارة، أو حدوث وصف يمنع عن تأثيره في الرفع غير النجاسة، و قد علم به الشارع الحكيم و نبّه عليه، و ممّا يفصح عن ذلك استناد المفتين بذلك في الكتب الفقهيّة إلى </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الجميع ما ذكره في دفع ما أورده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يرتفع هذه الأحكام أيضا يلزم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بلزوم التخصيص في عمومات القليل، و الترجيح لها كما لا يخفى</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 فإنّ الخاصّ في مقابلة العامّ بمنزلة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بنفسه من جملة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 يرجع إلى أنّه أظهر و الأظهر يقدّم على الظاهر، مع أنّ التخصيص الّذي يحترز عنه في عمومات القليل إن اريد به أصل التخصيص فهو وفاقي الحصول بيننا و بينه، فكيف يعقل نفيه بترجيح تخصيص الخبرين عليه، و إن اريد به كثرة التخصيص فالمقام ليس منها، لأنّ المخرج عن تلك العمومات ليس إلاّ فرد واحد و هو ماء الاستنجاء و ليس في مقابله شيء يكون الأمر فيما بينه و بينه دائرا بين الأقلّ و الأكثر حتّى يرجّح إخراج الأقلّ على إخراج الأكثر، و ما يرى من القلّة و الكثرة اللتين يدور الأمر بينهما فهو مفروض بالنسبة إلى لوازم النجاسة الّتي كانت تثبت في ذلك الماء لو لا المخرج له عن عمومات النجاسة، فلا يعقل في مثل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على تلك العمومات تخصيص و لكنّه مردّد بين كونه في الأقلّ أو الأكثر، و الأصل عدم الزيادة في التخصيص فيرجّح تخصيص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توضيح ذلك فقس المقام على ما لو ورد خطاب عامّ بوجوب كلّ صلاة، ثمّ قام خطاب آخر خاصّ بعدم وجوب صلاة الوتيرة مثلا، و المفروض أنّ المنفيّ هنا شيء مركّب مفهومه بين الاستدعاء و المنع، و قضيّة نفيه انتفاء كلّ من جزأيه،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بمنع ذلك لاستلزامه تخصيص الأكثر و المتيقّن ممّا خرج عن العامّ إنّما هو أحد جزئي وجوب هذا الفرد، و هو المنع عن الترك مثلا، فيحكم بأنّه الخارج تقليلا للتخصيص و ذلك واضح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في المناهل</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 المتقدّم إليها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قضيّة إطلاق نصوص الباب و فتاوي الأصحاب عدم الفرق بين المتعدّي و غيره، ما لم يتفاحش على وجه لا يصدق معه على إزالته اسم الاستنجاء عرفا، كما صرّح به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عليّ في حواشي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نجاسة المخرجين، و لا بين المتعدّي و غيره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المخرجين، و لا بين المتعدّي و غيره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الخوانساري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يتفاحش بحيث يخرج به عن مسمّى الاستنجاء، و لا بأس به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المتعدّي و غيره للعموم</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المتعدّي و غيره، إلاّ أن يتفاحش</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المتعدّي و غيره، إلاّ أن يتفاحش على وجه لا يصدق على إزالته اسم الاستنجاء</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النصّ و كلام الأصحاب عدم الفرق بين المتعدّي و غيره، إلاّ أن يتفاحش على وجه لا يصدق على إزالته اسم الاستنجاء به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التقييد بعدم التفاحش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تدور مع عناوينها وجودا و عدما، و قضيّة ذلك انقلابها بانقلاب العناوين، و الظاهر أنّ تعدّي الحدث من المخرج إلى أن يتفاحش على الوجه المذكور ممّا يوجب انقلاب العنوان، فإنّ حكم الطهارة قد علّق في النصّ على عنوان الاستنجاء، و إزالة المتعدّي على الوجه المذكور ليست من هذا العنوان في شيء، و لكنّه مبنيّ على كون الاستنجاء عبارة عن إزالة الحدث المعهود عن المخرج خاصّة و ما يلحق به من الحواشي القريبة منه، و لعلّه كذلك بل هو الظاهر من نصّ اللغوي و كلام الأصحاب، و لذا تراهم لا يسمّون إزالة الحدثين عن الثوب أو موضع آخر من البدن استنجاء، و لا يلحقه حكم ماء الاستنجاء، فللخصوصيّة مدخليّة في صدق </w:t>
      </w:r>
    </w:p>
    <w:p>
      <w:pPr>
        <w:pStyle w:val="BookText"/>
        <w:rPr/>
      </w:pPr>
      <w:r>
        <w:rPr>
          <w:rFonts w:ascii="Amiri" w:hAnsi="Amiri" w:eastAsia="Amiri" w:cs="Amiri"/>
          <w:color w:val="111111"/>
          <w:sz w:val="28"/>
          <w:sz w:val="28"/>
          <w:szCs w:val="28"/>
          <w:rtl w:val="true"/>
          <w:lang w:bidi="ar-SA"/>
        </w:rPr>
        <w:t>الاسم، و مع انتفائها ينتفي الصدق فينقلب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غير واحد أيضا التصريح بعدم الفرق بين الطبيعي و غيره، كما عن الذخيرة</w:t>
      </w:r>
      <w:r>
        <w:rPr>
          <w:rStyle w:val="FootnoteAnchor"/>
          <w:rtl w:val="true"/>
        </w:rPr>
        <w:footnoteReference w:id="1032"/>
      </w:r>
      <w:r>
        <w:rPr>
          <w:rFonts w:ascii="Amiri" w:hAnsi="Amiri" w:eastAsia="Amiri" w:cs="Amiri"/>
          <w:color w:val="111111"/>
          <w:sz w:val="28"/>
          <w:sz w:val="28"/>
          <w:szCs w:val="28"/>
          <w:rtl w:val="true"/>
          <w:lang w:bidi="ar-SA"/>
        </w:rPr>
        <w:t>، و في كلام المحقّق الشيخ عليّ‌</w:t>
      </w:r>
      <w:r>
        <w:rPr>
          <w:rStyle w:val="FootnoteAnchor"/>
          <w:rtl w:val="true"/>
        </w:rPr>
        <w:footnoteReference w:id="1033"/>
      </w:r>
      <w:r>
        <w:rPr>
          <w:rFonts w:ascii="Amiri" w:hAnsi="Amiri" w:eastAsia="Amiri" w:cs="Amiri"/>
          <w:color w:val="111111"/>
          <w:sz w:val="28"/>
          <w:sz w:val="28"/>
          <w:szCs w:val="28"/>
          <w:rtl w:val="true"/>
          <w:lang w:bidi="ar-SA"/>
        </w:rPr>
        <w:t xml:space="preserve">تقييده بالاعتياد تمسّكا بالإطلاق، و عن بعضهم المناقشة في ذلك بمنع انصراف إطلاق عبائر الأصحاب و نصوص الباب إلى غسالة غير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صار معتادا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لندرته، و إفادة ترك الاستفصال في الأخبار العموم بحيث يشمل ذلك محلّ تأمّل، اللّهمّ إلاّ أن يمنع من الدليل على نجاسته، و الأحوط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عدم الانصراف إلى غير الطبيعي لندرته و إن كانت كما ادّعيت، و التمسّك بالإطلاق و إن كان ليس في محلّه، و ترك الاستفصال في مثله لا يفيد العموم، غير أنّه يمكن القول بأنّ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طريقة الشارع و بناء الأصحاب في نظائر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و نجاسة تابع للعنوان، و الخصوصيّات بأسرها ملغاة في نظر الشارع، فيوجد الحكم حيثما وجد العنوان و ينتفي بانتفائه، كما يفصح عن ذلك بناؤهم في انفعال القليل على عموم الحكم لمجرّد روايات خاصّة، مع ما فيها من الخصوصيّات و الإضافات ما لا تحصى عددا، فقصور لفظ الرواية عن شموله لبعض الأفراد غير قادح، فلذا نقول بعدم الفرق في طهارة ماء الاستنجاء بين كون الحدث المستنجى منه من المكلّف نفسه أو من غيره، فلو سقط من استنجاء غيره شيء على ثوبه أو بدنه لم يكن به بأس، مع أنّ النصّ غير ظاهر التناول جزما، فيجري الحكم في الماء الّذي يطهّر به مخرج المريض أو الطفل أو المجنون أو نحو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يلحق به غسل مخرج غير هؤلاء من سائر أنواع الحيوان، لعدم تحقّق العنوان بالنسبة إليه، فالعمدة في المقام إحراز أنّ المفروض ممّا يصدق عليه العنوان و إن كان ممّا ندر وقوعه، بناء على أنّ الاستنجاء بحسب المفهوم ليس إلاّ إزالة الحدثين عن المخرج كائنا ما كان، و أمّا خصوص كون المخرج هو الموضع المعهود الّذي جرى عليه الطبيعة الانسانيّة فممّا لا مدخل له في ذلك لغة و لا عرفا، أو أنّ عنوان الحكم على ما </w:t>
      </w:r>
      <w:bookmarkStart w:id="351" w:name="pg16144_233217"/>
    </w:p>
    <w:p>
      <w:pPr>
        <w:pStyle w:val="BookText"/>
        <w:rPr/>
      </w:pPr>
      <w:bookmarkEnd w:id="351"/>
      <w:r>
        <w:rPr>
          <w:rFonts w:ascii="Amiri" w:hAnsi="Amiri" w:eastAsia="Amiri" w:cs="Amiri"/>
          <w:color w:val="111111"/>
          <w:sz w:val="28"/>
          <w:sz w:val="28"/>
          <w:szCs w:val="28"/>
          <w:rtl w:val="true"/>
          <w:lang w:bidi="ar-SA"/>
        </w:rPr>
        <w:t>يستفاد عن طريقة الشارع هو الإزالة عن المخرج كائنا ما كان، و إن لم يندرج تحت مفهوم الاستنجاء، و اختصاصه بالذكر في النصوص من جهة أنّه محلّ ابتلاء السائل دون غيره، و على أيّ حال فالمسألة غير خالية عن الإشكال، و للاحتياط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إطلاق النصوص و كلام الأصحاب القاضي بعدم الفرق في الطهارة بين الغسلة الاولى و الثانية فيما يعتبر فيه التعدّد، كما نصّ عليه السيّد في المناهل</w:t>
      </w:r>
      <w:r>
        <w:rPr>
          <w:rStyle w:val="FootnoteAnchor"/>
          <w:rtl w:val="true"/>
        </w:rPr>
        <w:footnoteReference w:id="1034"/>
      </w:r>
      <w:r>
        <w:rPr>
          <w:rFonts w:ascii="Amiri" w:hAnsi="Amiri" w:eastAsia="Amiri" w:cs="Amiri"/>
          <w:color w:val="111111"/>
          <w:sz w:val="28"/>
          <w:sz w:val="28"/>
          <w:szCs w:val="28"/>
          <w:rtl w:val="true"/>
          <w:lang w:bidi="ar-SA"/>
        </w:rPr>
        <w:t>و غيره، و هو المحكيّ عن الكشف</w:t>
      </w:r>
      <w:r>
        <w:rPr>
          <w:rStyle w:val="FootnoteAnchor"/>
          <w:rtl w:val="true"/>
        </w:rPr>
        <w:footnoteReference w:id="1035"/>
      </w:r>
      <w:r>
        <w:rPr>
          <w:rFonts w:ascii="Amiri" w:hAnsi="Amiri" w:eastAsia="Amiri" w:cs="Amiri"/>
          <w:color w:val="111111"/>
          <w:sz w:val="28"/>
          <w:sz w:val="28"/>
          <w:szCs w:val="28"/>
          <w:rtl w:val="true"/>
          <w:lang w:bidi="ar-SA"/>
        </w:rPr>
        <w:t>أيضا، ناسبا له إلى نصّ السرائر</w:t>
      </w:r>
      <w:r>
        <w:rPr>
          <w:rStyle w:val="FootnoteAnchor"/>
          <w:rtl w:val="true"/>
        </w:rPr>
        <w:footnoteReference w:id="1036"/>
      </w:r>
      <w:r>
        <w:rPr>
          <w:rFonts w:ascii="Amiri" w:hAnsi="Amiri" w:eastAsia="Amiri" w:cs="Amiri"/>
          <w:color w:val="111111"/>
          <w:sz w:val="28"/>
          <w:sz w:val="28"/>
          <w:szCs w:val="28"/>
          <w:rtl w:val="true"/>
          <w:lang w:bidi="ar-SA"/>
        </w:rPr>
        <w:t>، فما عن الشيخ في الخلاف</w:t>
      </w:r>
      <w:r>
        <w:rPr>
          <w:rStyle w:val="FootnoteAnchor"/>
          <w:rtl w:val="true"/>
        </w:rPr>
        <w:footnoteReference w:id="1037"/>
      </w:r>
      <w:r>
        <w:rPr>
          <w:rFonts w:ascii="Amiri" w:hAnsi="Amiri" w:eastAsia="Amiri" w:cs="Amiri"/>
          <w:color w:val="111111"/>
          <w:sz w:val="28"/>
          <w:sz w:val="28"/>
          <w:szCs w:val="28"/>
          <w:rtl w:val="true"/>
          <w:lang w:bidi="ar-SA"/>
        </w:rPr>
        <w:t>من تخصّصه بالغسلة الثانية ليس على ما ينبغي، و الاعتذار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لعلّه لبعد الطهارة و العفو مع اختلاطه، أو للجمع بين هذه النصوص و مضمرة العيص</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غير مسموع</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804614_1280447820"/>
      <w:bookmarkStart w:id="353" w:name="_Toc138"/>
      <w:bookmarkEnd w:id="352"/>
      <w:r>
        <w:rPr>
          <w:rtl w:val="true"/>
        </w:rPr>
        <w:t>ثمّ إنّهم رضوان اللّه عليهم ذكروا لما صاروا إليه من طهارة ماء الاستنجاء أو العفو عنه شروطا، بعضها محلّ وفاق عندهم و البعض الآخر محلّ خلاف</w:t>
      </w:r>
      <w:r>
        <w:rPr>
          <w:rtl w:val="true"/>
        </w:rPr>
        <w:t>.</w:t>
      </w:r>
      <w:bookmarkEnd w:id="353"/>
    </w:p>
    <w:p>
      <w:pPr>
        <w:pStyle w:val="Heading6"/>
        <w:numPr>
          <w:ilvl w:val="5"/>
          <w:numId w:val="1"/>
        </w:numPr>
        <w:rPr/>
      </w:pPr>
      <w:bookmarkStart w:id="354" w:name="__RefHeading___Toc1804616_1280447820"/>
      <w:bookmarkStart w:id="355" w:name="_Toc139"/>
      <w:bookmarkEnd w:id="354"/>
      <w:r>
        <w:rPr>
          <w:rtl w:val="true"/>
        </w:rPr>
        <w:t>أوّلها</w:t>
      </w:r>
      <w:r>
        <w:rPr>
          <w:rtl w:val="true"/>
        </w:rPr>
        <w:t xml:space="preserve">: </w:t>
      </w:r>
      <w:r>
        <w:rPr>
          <w:rtl w:val="true"/>
        </w:rPr>
        <w:t>عدم تغيّره بالنجاسة في أحد أوصافه الثلاثة،</w:t>
      </w:r>
      <w:bookmarkEnd w:id="355"/>
    </w:p>
    <w:p>
      <w:pPr>
        <w:pStyle w:val="BookText"/>
        <w:rPr/>
      </w:pPr>
      <w:r>
        <w:rPr>
          <w:rFonts w:ascii="Amiri" w:hAnsi="Amiri" w:eastAsia="Amiri" w:cs="Amiri"/>
          <w:color w:val="111111"/>
          <w:sz w:val="28"/>
          <w:sz w:val="28"/>
          <w:szCs w:val="28"/>
          <w:rtl w:val="true"/>
          <w:lang w:bidi="ar-SA"/>
        </w:rPr>
        <w:t>نصّ عليه في الشرائع</w:t>
      </w:r>
      <w:r>
        <w:rPr>
          <w:rStyle w:val="FootnoteAnchor"/>
          <w:rtl w:val="true"/>
        </w:rPr>
        <w:footnoteReference w:id="1039"/>
      </w:r>
      <w:r>
        <w:rPr>
          <w:rFonts w:ascii="Amiri" w:hAnsi="Amiri" w:eastAsia="Amiri" w:cs="Amiri"/>
          <w:color w:val="111111"/>
          <w:sz w:val="28"/>
          <w:sz w:val="28"/>
          <w:szCs w:val="28"/>
          <w:rtl w:val="true"/>
          <w:lang w:bidi="ar-SA"/>
        </w:rPr>
        <w:t>، و الرياض</w:t>
      </w:r>
      <w:r>
        <w:rPr>
          <w:rStyle w:val="FootnoteAnchor"/>
          <w:rtl w:val="true"/>
        </w:rPr>
        <w:footnoteReference w:id="1040"/>
      </w:r>
      <w:r>
        <w:rPr>
          <w:rFonts w:ascii="Amiri" w:hAnsi="Amiri" w:eastAsia="Amiri" w:cs="Amiri"/>
          <w:color w:val="111111"/>
          <w:sz w:val="28"/>
          <w:sz w:val="28"/>
          <w:szCs w:val="28"/>
          <w:rtl w:val="true"/>
          <w:lang w:bidi="ar-SA"/>
        </w:rPr>
        <w:t>أيضا غير أنّه عبّر عنه بعدم العلم بتغيّره، و ربّما يحمل عليه كلام الأصحاب في هذا الشرط و غيره من الشروط الآتية، فيعتبر العلم في جميع ذلك كما صرّح به المحقّق البهبهاني في حواشيه على المدارك، حيث إنّه عند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 المصنّف و غيره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المراد بالشرطيّة معناها المعروف، لأنّ الشكّ في الشرط يوجب الشكّ في المشروط، فيلزم ندرة تحقّق الغسالة الطاهرة، بل المراد أنّه إن علم التغيير أو غيره ممّا ذكر ينجّس، و لا يجوز حمل الأخبار و كلام الأخيار على الفروض النادرة، سيّما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فاعتبار هذا الشرط وفاقي عندهم ظاهرا، حيث لم نقف فيه على مخالف، بل ربّما يتمسّك على اعتباره بالإجماع كما في المناهل</w:t>
      </w:r>
      <w:r>
        <w:rPr>
          <w:rStyle w:val="FootnoteAnchor"/>
          <w:rtl w:val="true"/>
        </w:rPr>
        <w:footnoteReference w:id="1042"/>
      </w:r>
      <w:r>
        <w:rPr>
          <w:rFonts w:ascii="Amiri" w:hAnsi="Amiri" w:eastAsia="Amiri" w:cs="Amiri"/>
          <w:color w:val="111111"/>
          <w:sz w:val="28"/>
          <w:sz w:val="28"/>
          <w:szCs w:val="28"/>
          <w:rtl w:val="true"/>
          <w:lang w:bidi="ar-SA"/>
        </w:rPr>
        <w:t xml:space="preserve">، نعم يظهر من </w:t>
      </w:r>
    </w:p>
    <w:p>
      <w:pPr>
        <w:pStyle w:val="BookText"/>
        <w:rPr/>
      </w:pPr>
      <w:r>
        <w:rPr>
          <w:rFonts w:ascii="Amiri" w:hAnsi="Amiri" w:eastAsia="Amiri" w:cs="Amiri"/>
          <w:color w:val="111111"/>
          <w:sz w:val="28"/>
          <w:sz w:val="28"/>
          <w:szCs w:val="28"/>
          <w:rtl w:val="true"/>
          <w:lang w:bidi="ar-SA"/>
        </w:rPr>
        <w:t>الخوانساري في شرح الدروس</w:t>
      </w:r>
      <w:r>
        <w:rPr>
          <w:rStyle w:val="FootnoteAnchor"/>
          <w:rtl w:val="true"/>
        </w:rPr>
        <w:footnoteReference w:id="1043"/>
      </w:r>
      <w:r>
        <w:rPr>
          <w:rFonts w:ascii="Amiri" w:hAnsi="Amiri" w:eastAsia="Amiri" w:cs="Amiri"/>
          <w:color w:val="111111"/>
          <w:sz w:val="28"/>
          <w:sz w:val="28"/>
          <w:szCs w:val="28"/>
          <w:rtl w:val="true"/>
          <w:lang w:bidi="ar-SA"/>
        </w:rPr>
        <w:t>التشكيك في ذلك لو لا مستنده الإجماع، حيث إنّه بعد ما ذكر الشرط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إجماعي و إلاّ لأمكن المناقشة، إذ الروايات الدالّة على نجاسة المتغيّر عامّة و هذه الروايات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ذلك بل بينهما عموم من وجه، فإنّ أخبار ماء الاستنجاء من حيث موردها خاصّة، و من حيث شمولها لحالتي التغيّر و عدمه عامّة، و ما دلّ من الأخبار على نجاسة الماء بالتغيّر بالنجاسة من حيث اختصاص مورده بالتغيّر خاصّ، و من حيث شمولها لماء الاستنجاء و غيره عامّ، فإذن ينبغي الرجوع إلى وجوه الترجيح، و من الظاهر أنّها مع الأخبار الدالّة على نجاسة الماء بالتغيّر بالنجاسة، فلا يجوز العدول عنها</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نظره في دعوى كون الترجيح مع تلك الأخبار، إلى العمل و الفتوى و نقل الإجماع و غيره من المرجّحات الخارجة، و إلاّ فمع الغضّ عن ذلك فالمرجّح الداخلي من حيث الدلالة في جانب أخبار المقام، لكونها أقلّ أفرادا من الأخبار الدالّة على نجاسة المتغيّر، فتكون أظهر منها دلالة فيكون حكمها حكم الخاصّ، و لعلّه الّذي أراده الخوانساري من حكمه على تلك الأخبار بكونها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ينطبق على القواعد، و لا يبتني على ثبوت الإجماع عليه، بحيث لو لا ثبوته كان الحكم بالاشتراط في موضع التأمّل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الإطلاق في روايات المقام بحيث يشمل صورة التغيّر و إن فرضناها خاصّة بالقياس إلى أخبار التغيّر، لا لما ذكره في المناهل من ندرة التغيّر في ماء الاستنجاء، بل لأنّ التغيّر حيثيّة اخرى مبيّن حكمها في الخارج، و الملحوظ في المقام إنّما هو حيثيّة الاستنجاء من حيث هو مع قطع النظر عن الحيثيّات الاخر، و من البيّن اختلاف العنوانات باختلاف الحيثيّات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توهّم من الإطلاق و إن كان إطلاقا في الأحوال غير أنّه إنّما يجدي في تعميم الحكم بالقياس إلى ما شمله من الأحوال، إذا لم يكن الحالة حيثيّة ممتازة عن غيرها بحكم مبيّن لها في الخارج؛ ضرورة أنّ عدم اعتبار الإطلاق معه لا يكون منافيا </w:t>
      </w:r>
    </w:p>
    <w:p>
      <w:pPr>
        <w:pStyle w:val="BookText"/>
        <w:rPr/>
      </w:pPr>
      <w:r>
        <w:rPr>
          <w:rFonts w:ascii="Amiri" w:hAnsi="Amiri" w:eastAsia="Amiri" w:cs="Amiri"/>
          <w:color w:val="111111"/>
          <w:sz w:val="28"/>
          <w:sz w:val="28"/>
          <w:szCs w:val="28"/>
          <w:rtl w:val="true"/>
          <w:lang w:bidi="ar-SA"/>
        </w:rPr>
        <w:t>للحكمة و لا موجبا لمحذور، و لذا تراهم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1045"/>
      </w:r>
      <w:r>
        <w:rPr>
          <w:rFonts w:ascii="Amiri" w:hAnsi="Amiri" w:eastAsia="Amiri" w:cs="Amiri"/>
          <w:color w:val="111111"/>
          <w:sz w:val="28"/>
          <w:sz w:val="28"/>
          <w:szCs w:val="28"/>
          <w:rtl w:val="true"/>
          <w:lang w:bidi="ar-SA"/>
        </w:rPr>
        <w:t>لا يجوّزون أكل موضع عضّ الكلب و لو مع عدم التطهير، مع أنّ الاطلاق الأحوالي قائم فيه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الحيثيّة المذكورة خارجة عن مفاد الأخبار، و كانت هي بنفسها مقتضية للمنع لم يتعدّ إليها حكم الطهارة، لا لأنّه تقييد في ماء الاستنجاء، أو تخصيص في الأخبار الواردة فيه حتّى يطالب بدليله، أو يرجع التعارض فيما بينها و بين أخبار التغيّر إلى تعارض الخاصّ مع العامّ، أو تعارض العامّين من وجه، بل لأنّه أخذ بالمنع الثابت لحيثيّة التغيّر، و هو عنوان آخر لا مدخل له لعنوان الاستنجاء، مجامع له من باب المقارنات، فعند التحقيق لا معارضة بينهما لاختلاف موضوعيهما، و العمل في الحقيقة بالدليلين معا، لا أنّه أخذ بأحدهما و طرح للآخر؛ لعدم تنافيهما، فنحكم بكلّ من الحيثين المجامعتين بحكمها الخاصّ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مقتضية للطهارة، و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مقتضية للنجاسة، غير أنّ هاتين الحيثيّتين لاجتماعهما في مورد واحد شخصي ممّا لا يمكن ترتيب الآثار على حكمهما معا في مقام العمل، فلا بدّ من رفع اليد عن أحدهما ترتيبا للآثار على الآخر، لإمكانه حينئذ على قياس ما هو الحال في الواجبين المتزاحمين، حيث يرفع اليد عن أحدهما لعدم إمكان امتثالهما معا، من دون أن يقضي بتخصيص دليله كما قرّر في محلّه، غاية الفرق بينهما أنّ البناء فيهما على التخيير لإمكان الامتثال كذلك، و لئلاّ يلزم الترجيح بلا مرجّح، بخلاف المقام حيث إنّ المتعيّن فيه إنّما هو العمل على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الجهة المانعة في جميع الموارد على جهة الإذن، على 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تسلك هنا مسلكا آخر،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عن أهل العصمة فيما يرتبط بالمقام أو ما هو من أفراده، الحاكمة بعضها بالطهارة و بعضها بالنجاسة، الّتي يلاحظ النسبة بينها و بين أخبار المقام،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معنون بعنوان التغيّر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معنون بعنوان الكرّيّة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معنون بعنوان الملاقاة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كلّ واحد منها بعد الجمع بين مناطيقها و مفاهيمها ينحلّ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و 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بالنجاسة نجس، و الماء الغير المتغيّر بالنجاسة 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من الماء لا ينجّس بملاقاة النجاسة، و ما دون الكرّ منه ينجّس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الملاقي للنجاسة ينجّس بالملاقاة، و الغير الملاقي لها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ملاحظة النسبة بين كلّ واحد من تلك القضايا الستّة مع الاخرى يرتقي صور المسألة إلى خمسة عشر،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يتحقّق معارضة في البين إلاّ في أربع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بالنجاسة ينجّس بالتغيّر، و الكرّ من الماء لا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الغير المتغيّر بالنجاسة لا ينجّس بالملاقاة، و ما دون الكرّ من الماء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الغير المتغيّر بالنجاسة لا ينجّس بالملاقاة، و الماء الملاقي للنجاسة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من الماء لا ينجّس بملاقاة النجاسة، و الماء الملاقي للنجاسة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في الصورتين الاوليين عموم من وجه، و في الأخيرتين عموم و خصوص مطلق، كما لا يخفى على المتأمّل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قاعدتهم في تعارض العامّين من وجه، و في تعارض الخاصّ و العامّ و إن كانت تقتضي الرجوع إلى وجوه الترجيح في الاوليين، و تقديم الخاصّ على العامّ في الأخيرتين، إلاّ إنّا نراهم أنّهم في الاولى من الاوليين يحكّمون عموم التغيّر على عموم الكرّ من غير تأمّل و لا خلاف، و في الثانية منهما يحكّمون عموم ما دون الكرّ على عموم عدم التغيّر، و في الاولى من الأخيرتين يقدّمون العامّ على الخاصّ، فلا يفرّقون في نجاسة ما دون الكرّ بين صورتي التغيّر و عدمها، و ليس ذلك إلاّ من جهة أنّهم عثروا </w:t>
      </w:r>
    </w:p>
    <w:p>
      <w:pPr>
        <w:pStyle w:val="BookText"/>
        <w:rPr/>
      </w:pPr>
      <w:r>
        <w:rPr>
          <w:rFonts w:ascii="Amiri" w:hAnsi="Amiri" w:eastAsia="Amiri" w:cs="Amiri"/>
          <w:color w:val="111111"/>
          <w:sz w:val="28"/>
          <w:sz w:val="28"/>
          <w:szCs w:val="28"/>
          <w:rtl w:val="true"/>
          <w:lang w:bidi="ar-SA"/>
        </w:rPr>
        <w:t xml:space="preserve">من الأدلّة الشرعيّة و القرائن المعتبرة ما دعاهم إلى ذلك، و إلاّ فلا ريب أنّ تقديم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يصنعونه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مشوا على طبق القاعدة في الصورة الرابعة، حيث قدّموا خصوص الكرّ على عموم الملاقاة، فمن بنائهم في هذا المقام يظهر الإجماع على تحكيم أدلّة التغيّر على أدلّة سائر العنوانات، و لو فرضت في بعضها جهة خصوصيّة بالقياس إلى عنوان التغيّر، و إجماعهم ذلك يكشف جزما عن وجود دليل محكم و قرينة معتبرة، و إن لم نعلم بهما عينا، و قضيّة ذلك خروج صورة التغيّر عن أدلّة ماء الاستنجاء، كما هي خارجة عن أدلّة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أدلّة الاستنجاء و أدلّة التغيّر و إن كانت في ابتداء النظر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صاحب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منقلبة إلى ما لا معارضة معه، بعد تحكّم أدلّة التغيّر على أدلّة الكرّ، ثمّ تحكيم أدلّة الكرّ على أدلّة الماء الملاقي للنجاسة، ثمّ تحكيم أدلّة الاستنجاء على أدلّة القليل الملاقي للنجاسة، فإنّ صورة التغيّر حينئذ خارجة عن عنوان الكرّ، فهو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مقيّد بعدم التغيّر، فيكون مفهومه أيضا مقيّدا به، إذ المفهوم تابع للمنطوق في جميع ما اعتبر فيه، فالحكم بعدم انفعال القليل إنّما ورد عليه و هو مقيّد بعدم التغيّر، و المفروض أنّ ماء الاستنجاء مخرج منه، فيكون مشاركا له في قيده، لوجوب دخول المستثنى في الاستثناء المتّصل في جملة أفراد المستثنى منه، و معه أيضا لا يتناول حكم الطهارة في الاستثناء لصورة التغيّر، فيبقى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عليها بالنجاسة سليمة عن المعارض، فتأمّل جيّدا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التغيّر في طهارة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الجماعة، و أطبقوا عليه، و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bookmarkStart w:id="356" w:name="pg16144_233222"/>
    </w:p>
    <w:p>
      <w:pPr>
        <w:pStyle w:val="Heading6"/>
        <w:numPr>
          <w:ilvl w:val="5"/>
          <w:numId w:val="1"/>
        </w:numPr>
        <w:rPr/>
      </w:pPr>
      <w:bookmarkStart w:id="357" w:name="__RefHeading___Toc1804618_1280447820"/>
      <w:bookmarkStart w:id="358" w:name="_Toc140"/>
      <w:bookmarkEnd w:id="356"/>
      <w:bookmarkEnd w:id="357"/>
      <w:r>
        <w:rPr>
          <w:rtl w:val="true"/>
        </w:rPr>
        <w:t>و ثانيها</w:t>
      </w:r>
      <w:r>
        <w:rPr>
          <w:rtl w:val="true"/>
        </w:rPr>
        <w:t xml:space="preserve">: </w:t>
      </w:r>
      <w:r>
        <w:rPr>
          <w:rtl w:val="true"/>
        </w:rPr>
        <w:t>أن لا يقع ماء الاستنجاء على نجاسة خارجة عن حقيقة الحدث المستنجى منه</w:t>
      </w:r>
      <w:bookmarkEnd w:id="358"/>
    </w:p>
    <w:p>
      <w:pPr>
        <w:pStyle w:val="BookText"/>
        <w:rPr/>
      </w:pPr>
      <w:r>
        <w:rPr>
          <w:rFonts w:ascii="Amiri" w:hAnsi="Amiri" w:eastAsia="Amiri" w:cs="Amiri"/>
          <w:color w:val="111111"/>
          <w:sz w:val="28"/>
          <w:sz w:val="28"/>
          <w:szCs w:val="28"/>
          <w:rtl w:val="true"/>
          <w:lang w:bidi="ar-SA"/>
        </w:rPr>
        <w:t>كالدم المستصحب له، أو عن محلّه و إن لم يخرج عن الحقيقة كالحدث الملقى على الأرض، من غائط أو بول أو غيرهما من النجاسات، فلو سقط ماء الاستنجاء و على الأرض نجاسة ثمّ رجع إلى الثوب أو البدن فهو نجس، سواء تغيّر به أو لا، و سواء كانت النجاسة هو البول أو الغائط المستنجى منهما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ذلك في الشرائع</w:t>
      </w:r>
      <w:r>
        <w:rPr>
          <w:rStyle w:val="FootnoteAnchor"/>
          <w:rtl w:val="true"/>
        </w:rPr>
        <w:footnoteReference w:id="1048"/>
      </w:r>
      <w:r>
        <w:rPr>
          <w:rFonts w:ascii="Amiri" w:hAnsi="Amiri" w:eastAsia="Amiri" w:cs="Amiri"/>
          <w:color w:val="111111"/>
          <w:sz w:val="28"/>
          <w:sz w:val="28"/>
          <w:szCs w:val="28"/>
          <w:rtl w:val="true"/>
          <w:lang w:bidi="ar-SA"/>
        </w:rPr>
        <w:t xml:space="preserve">، و قد تقدّم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المنتهى</w:t>
      </w:r>
      <w:r>
        <w:rPr>
          <w:rStyle w:val="FootnoteAnchor"/>
          <w:rtl w:val="true"/>
        </w:rPr>
        <w:footnoteReference w:id="1049"/>
      </w:r>
      <w:r>
        <w:rPr>
          <w:rFonts w:ascii="Amiri" w:hAnsi="Amiri" w:eastAsia="Amiri" w:cs="Amiri"/>
          <w:color w:val="111111"/>
          <w:sz w:val="28"/>
          <w:sz w:val="28"/>
          <w:szCs w:val="28"/>
          <w:rtl w:val="true"/>
          <w:lang w:bidi="ar-SA"/>
        </w:rPr>
        <w:t>و حكي ذلك عن القواعد</w:t>
      </w:r>
      <w:r>
        <w:rPr>
          <w:rStyle w:val="FootnoteAnchor"/>
          <w:rtl w:val="true"/>
        </w:rPr>
        <w:footnoteReference w:id="1050"/>
      </w:r>
      <w:r>
        <w:rPr>
          <w:rFonts w:ascii="IRNazanin" w:hAnsi="IRNazanin" w:eastAsia="IRNazanin"/>
          <w:color w:val="111111"/>
          <w:sz w:val="28"/>
          <w:sz w:val="28"/>
          <w:szCs w:val="28"/>
          <w:rtl w:val="true"/>
          <w:lang w:bidi="fa-IR"/>
        </w:rPr>
        <w:t>، و الدروس</w:t>
      </w:r>
      <w:r>
        <w:rPr>
          <w:rStyle w:val="FootnoteAnchor"/>
          <w:rtl w:val="true"/>
        </w:rPr>
        <w:footnoteReference w:id="1051"/>
      </w:r>
      <w:r>
        <w:rPr>
          <w:rFonts w:ascii="IRNazanin" w:hAnsi="IRNazanin" w:eastAsia="IRNazanin"/>
          <w:color w:val="111111"/>
          <w:sz w:val="28"/>
          <w:sz w:val="28"/>
          <w:szCs w:val="28"/>
          <w:rtl w:val="true"/>
          <w:lang w:bidi="fa-IR"/>
        </w:rPr>
        <w:t>، و جامع المقاصد</w:t>
      </w:r>
      <w:r>
        <w:rPr>
          <w:rStyle w:val="FootnoteAnchor"/>
          <w:rtl w:val="true"/>
        </w:rPr>
        <w:footnoteReference w:id="1052"/>
      </w:r>
      <w:r>
        <w:rPr>
          <w:rFonts w:ascii="Amiri" w:hAnsi="Amiri" w:eastAsia="Amiri" w:cs="Amiri"/>
          <w:color w:val="111111"/>
          <w:sz w:val="28"/>
          <w:sz w:val="28"/>
          <w:szCs w:val="28"/>
          <w:rtl w:val="true"/>
          <w:lang w:bidi="ar-SA"/>
        </w:rPr>
        <w:t>، و الجعفريّة</w:t>
      </w:r>
      <w:r>
        <w:rPr>
          <w:rStyle w:val="FootnoteAnchor"/>
          <w:rtl w:val="true"/>
        </w:rPr>
        <w:footnoteReference w:id="1053"/>
      </w:r>
      <w:r>
        <w:rPr>
          <w:rFonts w:ascii="Amiri" w:hAnsi="Amiri" w:eastAsia="Amiri" w:cs="Amiri"/>
          <w:color w:val="111111"/>
          <w:sz w:val="28"/>
          <w:sz w:val="28"/>
          <w:szCs w:val="28"/>
          <w:rtl w:val="true"/>
          <w:lang w:bidi="ar-SA"/>
        </w:rPr>
        <w:t>، و المقاصد العليّة</w:t>
      </w:r>
      <w:r>
        <w:rPr>
          <w:rStyle w:val="FootnoteAnchor"/>
          <w:rtl w:val="true"/>
        </w:rPr>
        <w:footnoteReference w:id="1054"/>
      </w:r>
      <w:r>
        <w:rPr>
          <w:rFonts w:ascii="Amiri" w:hAnsi="Amiri" w:eastAsia="Amiri" w:cs="Amiri"/>
          <w:color w:val="111111"/>
          <w:sz w:val="28"/>
          <w:sz w:val="28"/>
          <w:szCs w:val="28"/>
          <w:rtl w:val="true"/>
          <w:lang w:bidi="ar-SA"/>
        </w:rPr>
        <w:t>، و الروضة</w:t>
      </w:r>
      <w:r>
        <w:rPr>
          <w:rStyle w:val="FootnoteAnchor"/>
          <w:rtl w:val="true"/>
        </w:rPr>
        <w:footnoteReference w:id="1055"/>
      </w:r>
      <w:r>
        <w:rPr>
          <w:rFonts w:ascii="IRNazanin" w:hAnsi="IRNazanin" w:eastAsia="IRNazanin"/>
          <w:color w:val="111111"/>
          <w:sz w:val="28"/>
          <w:sz w:val="28"/>
          <w:szCs w:val="28"/>
          <w:rtl w:val="true"/>
          <w:lang w:bidi="fa-IR"/>
        </w:rPr>
        <w:t>، و الروض</w:t>
      </w:r>
      <w:r>
        <w:rPr>
          <w:rStyle w:val="FootnoteAnchor"/>
          <w:rtl w:val="true"/>
        </w:rPr>
        <w:footnoteReference w:id="1056"/>
      </w:r>
      <w:r>
        <w:rPr>
          <w:rFonts w:ascii="Amiri" w:hAnsi="Amiri" w:eastAsia="Amiri" w:cs="Amiri"/>
          <w:color w:val="111111"/>
          <w:sz w:val="28"/>
          <w:sz w:val="28"/>
          <w:szCs w:val="28"/>
          <w:rtl w:val="true"/>
          <w:lang w:bidi="ar-SA"/>
        </w:rPr>
        <w:t>، و مجمع الفائدة</w:t>
      </w:r>
      <w:r>
        <w:rPr>
          <w:rStyle w:val="FootnoteAnchor"/>
          <w:rtl w:val="true"/>
        </w:rPr>
        <w:footnoteReference w:id="1057"/>
      </w:r>
      <w:r>
        <w:rPr>
          <w:rFonts w:ascii="Amiri" w:hAnsi="Amiri" w:eastAsia="Amiri" w:cs="Amiri"/>
          <w:color w:val="111111"/>
          <w:sz w:val="28"/>
          <w:sz w:val="28"/>
          <w:szCs w:val="28"/>
          <w:rtl w:val="true"/>
          <w:lang w:bidi="ar-SA"/>
        </w:rPr>
        <w:t>، و الكشف</w:t>
      </w:r>
      <w:r>
        <w:rPr>
          <w:rStyle w:val="FootnoteAnchor"/>
          <w:rtl w:val="true"/>
        </w:rPr>
        <w:footnoteReference w:id="1058"/>
      </w:r>
      <w:r>
        <w:rPr>
          <w:rFonts w:ascii="Amiri" w:hAnsi="Amiri" w:eastAsia="Amiri" w:cs="Amiri"/>
          <w:color w:val="111111"/>
          <w:sz w:val="28"/>
          <w:sz w:val="28"/>
          <w:szCs w:val="28"/>
          <w:rtl w:val="true"/>
          <w:lang w:bidi="ar-SA"/>
        </w:rPr>
        <w:t>، و صرّح به في الرياض</w:t>
      </w:r>
      <w:r>
        <w:rPr>
          <w:rStyle w:val="FootnoteAnchor"/>
          <w:rtl w:val="true"/>
        </w:rPr>
        <w:footnoteReference w:id="1059"/>
      </w:r>
      <w:r>
        <w:rPr>
          <w:rFonts w:ascii="Amiri" w:hAnsi="Amiri" w:eastAsia="Amiri" w:cs="Amiri"/>
          <w:color w:val="111111"/>
          <w:sz w:val="28"/>
          <w:sz w:val="28"/>
          <w:szCs w:val="28"/>
          <w:rtl w:val="true"/>
          <w:lang w:bidi="ar-SA"/>
        </w:rPr>
        <w:t>أيضا، و نفى عنه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ذلك يظهر بالتأمّل فيما تقدّم، فإنّ وقوعه على ما فرض من النجاسة ممّا يوجب انقلاب العنوان، و يتبعه انقلاب الحكم أيضا، و إلى ذلك أشار في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اشتراط عدم وقوعه على نجاسة خارجة غير بعيد، لأنّ الظاهر من الدليل هو الطهارة من حيث النجاسة الّتي في المحلّ ما دام كذلك</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1804620_1280447820"/>
      <w:bookmarkStart w:id="360" w:name="_Toc141"/>
      <w:bookmarkEnd w:id="359"/>
      <w:r>
        <w:rPr>
          <w:rtl w:val="true"/>
        </w:rPr>
        <w:t>و ثالثها</w:t>
      </w:r>
      <w:r>
        <w:rPr>
          <w:rtl w:val="true"/>
        </w:rPr>
        <w:t xml:space="preserve">: </w:t>
      </w:r>
      <w:r>
        <w:rPr>
          <w:rtl w:val="true"/>
        </w:rPr>
        <w:t>ما اعتبره جماعة من أن لا يخالط الحدثان لنجاسة اخرى كالدم و المنيّ،</w:t>
      </w:r>
      <w:bookmarkEnd w:id="36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عزى إلى جامع المقاصد</w:t>
      </w:r>
      <w:r>
        <w:rPr>
          <w:rStyle w:val="FootnoteAnchor"/>
          <w:rtl w:val="true"/>
        </w:rPr>
        <w:footnoteReference w:id="1061"/>
      </w:r>
      <w:r>
        <w:rPr>
          <w:rFonts w:ascii="Amiri" w:hAnsi="Amiri" w:eastAsia="Amiri" w:cs="Amiri"/>
          <w:color w:val="111111"/>
          <w:sz w:val="28"/>
          <w:sz w:val="28"/>
          <w:szCs w:val="28"/>
          <w:rtl w:val="true"/>
          <w:lang w:bidi="ar-SA"/>
        </w:rPr>
        <w:t>، و محكيّ الذخيرة</w:t>
      </w:r>
      <w:r>
        <w:rPr>
          <w:rStyle w:val="FootnoteAnchor"/>
          <w:rtl w:val="true"/>
        </w:rPr>
        <w:footnoteReference w:id="1062"/>
      </w:r>
      <w:r>
        <w:rPr>
          <w:rFonts w:ascii="Amiri" w:hAnsi="Amiri" w:eastAsia="Amiri" w:cs="Amiri"/>
          <w:color w:val="111111"/>
          <w:sz w:val="28"/>
          <w:sz w:val="28"/>
          <w:szCs w:val="28"/>
          <w:rtl w:val="true"/>
          <w:lang w:bidi="ar-SA"/>
        </w:rPr>
        <w:t>عن جماعة، و استشكل فيه صاحب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اشتراطه أحوط، و إن كان للتوقّف فيه مجال لإطلاق النصّ</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و وافقه على ذلك الخوانساري في شرح الدروس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اشتراطه محلّ كلام لإطلاق اللفظ، مع أنّ الغالب عدم انفكاك الغائط عن شيء آخر من الدم، أو الأجزاء </w:t>
      </w:r>
      <w:bookmarkStart w:id="361" w:name="pg16144_233223"/>
    </w:p>
    <w:p>
      <w:pPr>
        <w:pStyle w:val="BookText"/>
        <w:rPr/>
      </w:pPr>
      <w:bookmarkEnd w:id="361"/>
      <w:r>
        <w:rPr>
          <w:rFonts w:ascii="Amiri" w:hAnsi="Amiri" w:eastAsia="Amiri" w:cs="Amiri"/>
          <w:color w:val="111111"/>
          <w:sz w:val="28"/>
          <w:sz w:val="28"/>
          <w:szCs w:val="28"/>
          <w:rtl w:val="true"/>
          <w:lang w:bidi="ar-SA"/>
        </w:rPr>
        <w:t xml:space="preserve">الغير المنهضمة من الغذاء، أو الدود، على أنّ في صحيحة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بالعفو عنه، و إن كان على الذكر منيّ،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بما فيه من الخلط و الاشتباه، و الحقّ التفصيل في ذلك، فإن كانت النجاسة المخالطة بنفسها عنوانا مستقلا في النجاسة، ثابتا حكمها من الخارج كالدم و المنيّ إذا خرجا مخلوطين مع الحدث المستنجى منه، فلا مناص فيه من المنع و الحكم بالنجاسة، لمكان تداخل العنوانين و اجتماع الحيثين، فيقدّم جهة المنع على جهة الإذن لما تقدّم الإشارة إليه، و لا ينبغي التمسّك بالإطلاق حينئذ لعين ما مرّ، و دعوى وقوع الإشعار بخلافه في الصحيحة المذكورة غير مسموعة، بملاحظة ما تقدّم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كذلك، بل كانت نجاسته مكتسبة عن الحدث المستنجى منه، فالأقرب فيه ما صار إليه الجماعة من الحكم بالطهارة، لمكان الإطلاق السليم عن المعارض، و إن كان أحواليّا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804622_1280447820"/>
      <w:bookmarkStart w:id="363" w:name="_Toc142"/>
      <w:bookmarkEnd w:id="362"/>
      <w:r>
        <w:rPr>
          <w:rtl w:val="true"/>
        </w:rPr>
        <w:t>و رابعها</w:t>
      </w:r>
      <w:r>
        <w:rPr>
          <w:rtl w:val="true"/>
        </w:rPr>
        <w:t xml:space="preserve">: </w:t>
      </w:r>
      <w:r>
        <w:rPr>
          <w:rtl w:val="true"/>
        </w:rPr>
        <w:t>ما حكى اشتراطه عن جامع المقاصد ، و الروض ، من عدم انفصال أجزاء من النجاسة متميّزة مع الماء،</w:t>
      </w:r>
      <w:bookmarkEnd w:id="363"/>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اشتراطه عن جامع المقاصد</w:t>
      </w:r>
      <w:r>
        <w:rPr>
          <w:rStyle w:val="FootnoteAnchor"/>
          <w:rtl w:val="true"/>
        </w:rPr>
        <w:footnoteReference w:id="1065"/>
      </w:r>
      <w:r>
        <w:rPr>
          <w:rFonts w:ascii="IRNazanin" w:hAnsi="IRNazanin" w:eastAsia="IRNazanin"/>
          <w:color w:val="111111"/>
          <w:sz w:val="28"/>
          <w:sz w:val="28"/>
          <w:szCs w:val="28"/>
          <w:rtl w:val="true"/>
          <w:lang w:bidi="fa-IR"/>
        </w:rPr>
        <w:t>، و الروض</w:t>
      </w:r>
      <w:r>
        <w:rPr>
          <w:rStyle w:val="FootnoteAnchor"/>
          <w:rtl w:val="true"/>
        </w:rPr>
        <w:footnoteReference w:id="1066"/>
      </w:r>
      <w:r>
        <w:rPr>
          <w:rFonts w:ascii="Amiri" w:hAnsi="Amiri" w:eastAsia="Amiri" w:cs="Amiri"/>
          <w:color w:val="111111"/>
          <w:sz w:val="28"/>
          <w:sz w:val="28"/>
          <w:szCs w:val="28"/>
          <w:rtl w:val="true"/>
          <w:lang w:bidi="ar-SA"/>
        </w:rPr>
        <w:t>، من عدم انفصال أجزاء من النجاسة متميّزة مع الماء،</w:t>
      </w:r>
    </w:p>
    <w:p>
      <w:pPr>
        <w:pStyle w:val="BookText"/>
        <w:rPr/>
      </w:pPr>
      <w:r>
        <w:rPr>
          <w:rFonts w:ascii="Amiri" w:hAnsi="Amiri" w:eastAsia="Amiri" w:cs="Amiri"/>
          <w:color w:val="111111"/>
          <w:sz w:val="28"/>
          <w:sz w:val="28"/>
          <w:szCs w:val="28"/>
          <w:rtl w:val="true"/>
          <w:lang w:bidi="ar-SA"/>
        </w:rPr>
        <w:t>محتجّين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أجزاء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الماء بعد مفارقة المحلّ، و لا يخفى ما فيه من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المدارك</w:t>
      </w:r>
      <w:r>
        <w:rPr>
          <w:rStyle w:val="FootnoteAnchor"/>
          <w:rtl w:val="true"/>
        </w:rPr>
        <w:footnoteReference w:id="1067"/>
      </w:r>
      <w:r>
        <w:rPr>
          <w:rFonts w:ascii="Amiri" w:hAnsi="Amiri" w:eastAsia="Amiri" w:cs="Amiri"/>
          <w:color w:val="111111"/>
          <w:sz w:val="28"/>
          <w:sz w:val="28"/>
          <w:szCs w:val="28"/>
          <w:rtl w:val="true"/>
          <w:lang w:bidi="ar-SA"/>
        </w:rPr>
        <w:t>أيضا قائلا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استدلّ على القول الأوّل بما سبق عن مجمع الفائدة</w:t>
      </w:r>
      <w:r>
        <w:rPr>
          <w:rStyle w:val="FootnoteAnchor"/>
          <w:rtl w:val="true"/>
        </w:rPr>
        <w:footnoteReference w:id="1068"/>
      </w:r>
      <w:r>
        <w:rPr>
          <w:rFonts w:ascii="Amiri" w:hAnsi="Amiri" w:eastAsia="Amiri" w:cs="Amiri"/>
          <w:color w:val="111111"/>
          <w:sz w:val="28"/>
          <w:sz w:val="28"/>
          <w:szCs w:val="28"/>
          <w:rtl w:val="true"/>
          <w:lang w:bidi="ar-SA"/>
        </w:rPr>
        <w:t>من أنّ الظاهر من الدليل هو الطهارة من حيث النجاسة الّتي في المحلّ ما دام كذلك لكان أسدّ،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العنوان معه، فإنّ المفروض بعد مفارقة المحلّ داخل في عنوان القليل الملاقي للنجاسة في غير محلّ الاستنجاء، فيلحقه حكمه، و يقوي ذلك لو بقي على هذه الحالة بعد الانفصال مدّة ثمّ باشره الثوب أو البدن، فاتّضح أنّ الاشتراط المذكور في محلّه</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804624_1280447820"/>
      <w:bookmarkStart w:id="365" w:name="_Toc143"/>
      <w:bookmarkEnd w:id="364"/>
      <w:r>
        <w:rPr>
          <w:rtl w:val="true"/>
        </w:rPr>
        <w:t>و خامسها</w:t>
      </w:r>
      <w:r>
        <w:rPr>
          <w:rtl w:val="true"/>
        </w:rPr>
        <w:t xml:space="preserve">: </w:t>
      </w:r>
      <w:r>
        <w:rPr>
          <w:rtl w:val="true"/>
        </w:rPr>
        <w:t>ما عزى إلى الكشف و محكيّ بعض، من اشتراط عدم سبق اليد على الماء في ملاقاة المحلّ،</w:t>
      </w:r>
      <w:bookmarkEnd w:id="365"/>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عزى إلى الكشف</w:t>
      </w:r>
      <w:r>
        <w:rPr>
          <w:rStyle w:val="FootnoteAnchor"/>
          <w:rtl w:val="true"/>
        </w:rPr>
        <w:footnoteReference w:id="1069"/>
      </w:r>
      <w:r>
        <w:rPr>
          <w:rFonts w:ascii="Amiri" w:hAnsi="Amiri" w:eastAsia="Amiri" w:cs="Amiri"/>
          <w:color w:val="111111"/>
          <w:sz w:val="28"/>
          <w:sz w:val="28"/>
          <w:szCs w:val="28"/>
          <w:rtl w:val="true"/>
          <w:lang w:bidi="ar-SA"/>
        </w:rPr>
        <w:t>و محكيّ بعض، من اشتراط عدم سبق اليد على الماء في ملاقاة المحلّ،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سبقته ينجّس، و لو سبقها أو كانا متقارنين كان طاهرا أو معفوّا عنه، و يظهر من شرح</w:t>
      </w:r>
      <w:r>
        <w:rPr>
          <w:rStyle w:val="FootnoteAnchor"/>
          <w:rtl w:val="true"/>
        </w:rPr>
        <w:footnoteReference w:id="1070"/>
      </w:r>
      <w:r>
        <w:rPr>
          <w:rFonts w:ascii="Amiri" w:hAnsi="Amiri" w:eastAsia="Amiri" w:cs="Amiri"/>
          <w:color w:val="111111"/>
          <w:sz w:val="28"/>
          <w:sz w:val="28"/>
          <w:szCs w:val="28"/>
          <w:rtl w:val="true"/>
          <w:lang w:bidi="ar-SA"/>
        </w:rPr>
        <w:t>الدروس الاحتجاج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نجاسة اليد إنّما تكون </w:t>
      </w:r>
      <w:bookmarkStart w:id="366" w:name="pg16144_233224"/>
    </w:p>
    <w:p>
      <w:pPr>
        <w:pStyle w:val="BookText"/>
        <w:rPr/>
      </w:pPr>
      <w:bookmarkEnd w:id="366"/>
      <w:r>
        <w:rPr>
          <w:rFonts w:ascii="Amiri" w:hAnsi="Amiri" w:eastAsia="Amiri" w:cs="Amiri"/>
          <w:color w:val="111111"/>
          <w:sz w:val="28"/>
          <w:sz w:val="28"/>
          <w:szCs w:val="28"/>
          <w:rtl w:val="true"/>
          <w:lang w:bidi="ar-SA"/>
        </w:rPr>
        <w:t>مستثناة بسبب جعلها آلة للغسل، فلو اتّفقت لغرض آخر كانت في معنى النجاسة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أو خروج عن الفرض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صريح جامع المقاصد</w:t>
      </w:r>
      <w:r>
        <w:rPr>
          <w:rStyle w:val="FootnoteAnchor"/>
          <w:rtl w:val="true"/>
        </w:rPr>
        <w:footnoteReference w:id="1071"/>
      </w:r>
      <w:r>
        <w:rPr>
          <w:rFonts w:ascii="Amiri" w:hAnsi="Amiri" w:eastAsia="Amiri" w:cs="Amiri"/>
          <w:color w:val="111111"/>
          <w:sz w:val="28"/>
          <w:sz w:val="28"/>
          <w:szCs w:val="28"/>
          <w:rtl w:val="true"/>
          <w:lang w:bidi="ar-SA"/>
        </w:rPr>
        <w:t>، و الرياض</w:t>
      </w:r>
      <w:r>
        <w:rPr>
          <w:rStyle w:val="FootnoteAnchor"/>
          <w:rtl w:val="true"/>
        </w:rPr>
        <w:footnoteReference w:id="1072"/>
      </w:r>
      <w:r>
        <w:rPr>
          <w:rFonts w:ascii="Amiri" w:hAnsi="Amiri" w:eastAsia="Amiri" w:cs="Amiri"/>
          <w:color w:val="111111"/>
          <w:sz w:val="28"/>
          <w:sz w:val="28"/>
          <w:szCs w:val="28"/>
          <w:rtl w:val="true"/>
          <w:lang w:bidi="ar-SA"/>
        </w:rPr>
        <w:t>و الذخيرة</w:t>
      </w:r>
      <w:r>
        <w:rPr>
          <w:rStyle w:val="FootnoteAnchor"/>
          <w:rtl w:val="true"/>
        </w:rPr>
        <w:footnoteReference w:id="1073"/>
      </w:r>
      <w:r>
        <w:rPr>
          <w:rFonts w:ascii="IRNazanin" w:hAnsi="IRNazanin" w:eastAsia="IRNazanin"/>
          <w:color w:val="111111"/>
          <w:sz w:val="28"/>
          <w:sz w:val="28"/>
          <w:szCs w:val="28"/>
          <w:rtl w:val="true"/>
          <w:lang w:bidi="fa-IR"/>
        </w:rPr>
        <w:t>، و المشارق</w:t>
      </w:r>
      <w:r>
        <w:rPr>
          <w:rStyle w:val="FootnoteAnchor"/>
          <w:rtl w:val="true"/>
        </w:rPr>
        <w:footnoteReference w:id="1074"/>
      </w:r>
      <w:r>
        <w:rPr>
          <w:rFonts w:ascii="IRNazanin" w:hAnsi="IRNazanin" w:eastAsia="IRNazanin"/>
          <w:color w:val="111111"/>
          <w:sz w:val="28"/>
          <w:sz w:val="28"/>
          <w:szCs w:val="28"/>
          <w:rtl w:val="true"/>
          <w:lang w:bidi="fa-IR"/>
        </w:rPr>
        <w:t>، و ظاهر الشرائع</w:t>
      </w:r>
      <w:r>
        <w:rPr>
          <w:rStyle w:val="FootnoteAnchor"/>
          <w:rtl w:val="true"/>
        </w:rPr>
        <w:footnoteReference w:id="1075"/>
      </w:r>
      <w:r>
        <w:rPr>
          <w:rFonts w:ascii="IRNazanin" w:hAnsi="IRNazanin" w:eastAsia="IRNazanin"/>
          <w:color w:val="111111"/>
          <w:sz w:val="28"/>
          <w:sz w:val="28"/>
          <w:szCs w:val="28"/>
          <w:rtl w:val="true"/>
          <w:lang w:bidi="fa-IR"/>
        </w:rPr>
        <w:t>، و المنتهى</w:t>
      </w:r>
      <w:r>
        <w:rPr>
          <w:rStyle w:val="FootnoteAnchor"/>
          <w:rtl w:val="true"/>
        </w:rPr>
        <w:footnoteReference w:id="1076"/>
      </w:r>
      <w:r>
        <w:rPr>
          <w:rFonts w:ascii="IRNazanin" w:hAnsi="IRNazanin" w:eastAsia="IRNazanin"/>
          <w:color w:val="111111"/>
          <w:sz w:val="28"/>
          <w:sz w:val="28"/>
          <w:szCs w:val="28"/>
          <w:rtl w:val="true"/>
          <w:lang w:bidi="fa-IR"/>
        </w:rPr>
        <w:t>، و الدروس</w:t>
      </w:r>
      <w:r>
        <w:rPr>
          <w:rStyle w:val="FootnoteAnchor"/>
          <w:rtl w:val="true"/>
        </w:rPr>
        <w:footnoteReference w:id="1077"/>
      </w:r>
      <w:r>
        <w:rPr>
          <w:rFonts w:ascii="Amiri" w:hAnsi="Amiri" w:eastAsia="Amiri" w:cs="Amiri"/>
          <w:color w:val="111111"/>
          <w:sz w:val="28"/>
          <w:sz w:val="28"/>
          <w:szCs w:val="28"/>
          <w:rtl w:val="true"/>
          <w:lang w:bidi="ar-SA"/>
        </w:rPr>
        <w:t>، و الجعفريّة</w:t>
      </w:r>
      <w:r>
        <w:rPr>
          <w:rStyle w:val="FootnoteAnchor"/>
          <w:rtl w:val="true"/>
        </w:rPr>
        <w:footnoteReference w:id="1078"/>
      </w:r>
      <w:r>
        <w:rPr>
          <w:rFonts w:ascii="Amiri" w:hAnsi="Amiri" w:eastAsia="Amiri" w:cs="Amiri"/>
          <w:color w:val="111111"/>
          <w:sz w:val="28"/>
          <w:sz w:val="28"/>
          <w:szCs w:val="28"/>
          <w:rtl w:val="true"/>
          <w:lang w:bidi="ar-SA"/>
        </w:rPr>
        <w:t>، و المقاصد العليّة</w:t>
      </w:r>
      <w:r>
        <w:rPr>
          <w:rStyle w:val="FootnoteAnchor"/>
          <w:rtl w:val="true"/>
        </w:rPr>
        <w:footnoteReference w:id="1079"/>
      </w:r>
      <w:r>
        <w:rPr>
          <w:rFonts w:ascii="Amiri" w:hAnsi="Amiri" w:eastAsia="Amiri" w:cs="Amiri"/>
          <w:color w:val="111111"/>
          <w:sz w:val="28"/>
          <w:sz w:val="28"/>
          <w:szCs w:val="28"/>
          <w:rtl w:val="true"/>
          <w:lang w:bidi="ar-SA"/>
        </w:rPr>
        <w:t>، و الروضة</w:t>
      </w:r>
      <w:r>
        <w:rPr>
          <w:rStyle w:val="FootnoteAnchor"/>
          <w:rtl w:val="true"/>
        </w:rPr>
        <w:footnoteReference w:id="1080"/>
      </w:r>
      <w:r>
        <w:rPr>
          <w:rFonts w:ascii="Amiri" w:hAnsi="Amiri" w:eastAsia="Amiri" w:cs="Amiri"/>
          <w:color w:val="111111"/>
          <w:sz w:val="28"/>
          <w:sz w:val="28"/>
          <w:szCs w:val="28"/>
          <w:rtl w:val="true"/>
          <w:lang w:bidi="ar-SA"/>
        </w:rPr>
        <w:t>، و الروض، أنّ ذلك ليس بشرط، و حكى الاحتجاج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التنجّس على كلّ حال؛ إذ لا أثر للتقدّم و التأخّر في ذلك</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و إطلاق هذا الكلام ليس على ما ينبغي، كما أنّ إطلاق القول الأوّل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يقتضيه التدبّر، التفصيل بين ما لو كان سبق اليد منبعثا عن العزم على الغسل و قارنه الفعل فلا يكون قادحا، و بين ما لو لم تكن لأجل هذا الغرض، فاتّفق حدوث العزم على الغسل بعد ما تنجّست، فيكون نجاستها موجبة لنجاسة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سبق،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أعمال اليد من لوازم الاستنجاء و مقدّماته، فالحكم عليه بالطهارة يقضي بعدم قادحيّة النجاسة الحاصلة فيها بمباشرة النجاسة الحدثيّة إن لم نقل بقضائه بعدم قبولها النجاسة في هذه الحالة، فهذا المعنى ممّا يستفاد من النصّ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لوحظ ما فيه من الإطلاق السليم عن المعارض بالنسبة إليه يتمّ المطلوب، من عدم الفرق بين السبق و المسبوقيّة و المقارنة</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804626_1280447820"/>
      <w:bookmarkStart w:id="368" w:name="_Toc144"/>
      <w:bookmarkEnd w:id="367"/>
      <w:r>
        <w:rPr>
          <w:rtl w:val="true"/>
        </w:rPr>
        <w:t>و سادسها</w:t>
      </w:r>
      <w:r>
        <w:rPr>
          <w:rtl w:val="true"/>
        </w:rPr>
        <w:t xml:space="preserve">: </w:t>
      </w:r>
      <w:r>
        <w:rPr>
          <w:rtl w:val="true"/>
        </w:rPr>
        <w:t>ما عن الشهيد في الذكرى ، من اشتراطه عدم زيادة وزن الماء على ما قبل الاستنجاء،</w:t>
      </w:r>
      <w:bookmarkEnd w:id="3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في الذكرى</w:t>
      </w:r>
      <w:r>
        <w:rPr>
          <w:rStyle w:val="FootnoteAnchor"/>
          <w:rtl w:val="true"/>
        </w:rPr>
        <w:footnoteReference w:id="1082"/>
      </w:r>
      <w:r>
        <w:rPr>
          <w:rFonts w:ascii="Amiri" w:hAnsi="Amiri" w:eastAsia="Amiri" w:cs="Amiri"/>
          <w:color w:val="111111"/>
          <w:sz w:val="28"/>
          <w:sz w:val="28"/>
          <w:szCs w:val="28"/>
          <w:rtl w:val="true"/>
          <w:lang w:bidi="ar-SA"/>
        </w:rPr>
        <w:t>، من اشتراطه عدم زيادة وزن الماء على ما قبل الاستنجاء، فلو زاد وزنه بعد الاستنجاء كان نجسا، و لو لم يزد كان طاهرا، و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اعتبره العلاّمة في النهاية</w:t>
      </w:r>
      <w:r>
        <w:rPr>
          <w:rStyle w:val="FootnoteAnchor"/>
          <w:rtl w:val="true"/>
        </w:rPr>
        <w:footnoteReference w:id="1083"/>
      </w:r>
      <w:r>
        <w:rPr>
          <w:rFonts w:ascii="Amiri" w:hAnsi="Amiri" w:eastAsia="Amiri" w:cs="Amiri"/>
          <w:color w:val="111111"/>
          <w:sz w:val="28"/>
          <w:sz w:val="28"/>
          <w:szCs w:val="28"/>
          <w:rtl w:val="true"/>
          <w:lang w:bidi="ar-SA"/>
        </w:rPr>
        <w:t>في مطلق الغسالة</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 xml:space="preserve">، و عن </w:t>
      </w:r>
      <w:bookmarkStart w:id="369" w:name="pg16144_233225"/>
    </w:p>
    <w:p>
      <w:pPr>
        <w:pStyle w:val="BookText"/>
        <w:rPr/>
      </w:pPr>
      <w:bookmarkEnd w:id="369"/>
      <w:r>
        <w:rPr>
          <w:rFonts w:ascii="Amiri" w:hAnsi="Amiri" w:eastAsia="Amiri" w:cs="Amiri"/>
          <w:color w:val="111111"/>
          <w:sz w:val="28"/>
          <w:sz w:val="28"/>
          <w:szCs w:val="28"/>
          <w:rtl w:val="true"/>
          <w:lang w:bidi="ar-SA"/>
        </w:rPr>
        <w:t>الآخرين عدم اشتراطه صريحا أو ظهورا، و هو صريح المدارك</w:t>
      </w:r>
      <w:r>
        <w:rPr>
          <w:rStyle w:val="FootnoteAnchor"/>
          <w:rtl w:val="true"/>
        </w:rPr>
        <w:footnoteReference w:id="1085"/>
      </w:r>
      <w:r>
        <w:rPr>
          <w:rFonts w:ascii="IRNazanin" w:hAnsi="IRNazanin" w:eastAsia="IRNazanin"/>
          <w:color w:val="111111"/>
          <w:sz w:val="28"/>
          <w:sz w:val="28"/>
          <w:szCs w:val="28"/>
          <w:rtl w:val="true"/>
          <w:lang w:bidi="fa-IR"/>
        </w:rPr>
        <w:t>، و شرح الدروس</w:t>
      </w:r>
      <w:r>
        <w:rPr>
          <w:rStyle w:val="FootnoteAnchor"/>
          <w:rtl w:val="true"/>
        </w:rPr>
        <w:footnoteReference w:id="1086"/>
      </w:r>
      <w:r>
        <w:rPr>
          <w:rFonts w:ascii="Amiri" w:hAnsi="Amiri" w:eastAsia="Amiri" w:cs="Amiri"/>
          <w:color w:val="111111"/>
          <w:sz w:val="28"/>
          <w:sz w:val="28"/>
          <w:szCs w:val="28"/>
          <w:rtl w:val="true"/>
          <w:lang w:bidi="ar-SA"/>
        </w:rPr>
        <w:t>، و غيرهما و هو الأقرب، لإطلاق النصّ و الفتوى، مضافا إلى أنّه لو استفيد ذلك من نصوص الباب فواضح المنع جدّا، و لو استفيد من أخبار التغيّر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المفروض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الشرط الأوّل يغني عن إفراده بالذكر، ما تقدّم تحقيقه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حصل في غير الأوصاف الثلاث المعهودة لم يوجب نجاسته للنصوص و إجماع الأصحاب، و لو اريد استفادته من خبر العلل</w:t>
      </w:r>
      <w:r>
        <w:rPr>
          <w:rStyle w:val="FootnoteAnchor"/>
          <w:rtl w:val="true"/>
        </w:rPr>
        <w:footnoteReference w:id="1087"/>
      </w:r>
      <w:r>
        <w:rPr>
          <w:rFonts w:ascii="Amiri" w:hAnsi="Amiri" w:eastAsia="Amiri" w:cs="Amiri"/>
          <w:color w:val="111111"/>
          <w:sz w:val="28"/>
          <w:sz w:val="28"/>
          <w:szCs w:val="28"/>
          <w:rtl w:val="true"/>
          <w:lang w:bidi="ar-SA"/>
        </w:rPr>
        <w:t>المذيّل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بعضهم، مستندا له من حيث إنّه يعطي أنّ نفي البأس عنه إنّما هو لأكثريّة الماء و اضمحلال النجاسة فيه، و حينئذ فلو زاد لدلّ على وجود شيء من النجاسة فيه و عدم اضمحلالها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الاشتراط إن كان ذلك فقد علم اعتباره في الشرط الرابع؛ ضرورة 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الملازمة بين زيادة الوزن و زيادة شيء من أجزاء النجاسة غير مضمحلّ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أفراده فلا يكون شرطا آخر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أدلّ على خلاف مدّعاهم؛ لقضائه بأنّ الماء فيه شيء من القذر و لكنّه أكثر منه، و لا ريب أنّ ذلك يقضي بزيادة وزنه لا محالة على ما كان عليه قبل الاستنجاء؛ ضرورة إنّه كان قبله ماء خالصا خاليا عن القذر الّذي فيه بعده، و اضمحلاله فيه لا يوجب عدم زيادته؛ لأنّه ليس عبارة عن الانعدام الصرف، بل هو عبارة عن انتشار أجزائه فيه بحيث لا يدركه الحسّ، على نحو كان المجموع في نظر الحسّ ماء، فهو سواء اضمحلّ أو لم يضمحلّ موجود فيه جزما، و هو لا ينفكّ عن زيادة الوزن به جزما</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804628_1280447820"/>
      <w:bookmarkStart w:id="371" w:name="_Toc145"/>
      <w:bookmarkEnd w:id="370"/>
      <w:r>
        <w:rPr>
          <w:rtl w:val="true"/>
        </w:rPr>
        <w:t>تنبيه</w:t>
      </w:r>
      <w:r>
        <w:rPr>
          <w:rtl w:val="true"/>
        </w:rPr>
        <w:t>:</w:t>
      </w:r>
      <w:bookmarkEnd w:id="37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الشرائط المذكورة عدم العلم بوجود نقيضها، كما سبق عن المحقّق البهبهاني</w:t>
      </w:r>
      <w:r>
        <w:rPr>
          <w:rStyle w:val="FootnoteAnchor"/>
          <w:rtl w:val="true"/>
        </w:rPr>
        <w:footnoteReference w:id="1088"/>
      </w:r>
      <w:r>
        <w:rPr>
          <w:rFonts w:ascii="Amiri" w:hAnsi="Amiri" w:eastAsia="Amiri" w:cs="Amiri"/>
          <w:color w:val="111111"/>
          <w:sz w:val="28"/>
          <w:sz w:val="28"/>
          <w:szCs w:val="28"/>
          <w:rtl w:val="true"/>
          <w:lang w:bidi="ar-SA"/>
        </w:rPr>
        <w:t xml:space="preserve">التنبيه على ذلك، فلو شكّ أو ظنّ بوجود شيء من نقيض تلك </w:t>
      </w:r>
      <w:bookmarkStart w:id="372" w:name="pg16144_233226"/>
    </w:p>
    <w:p>
      <w:pPr>
        <w:pStyle w:val="BookText"/>
        <w:rPr/>
      </w:pPr>
      <w:bookmarkEnd w:id="372"/>
      <w:r>
        <w:rPr>
          <w:rFonts w:ascii="Amiri" w:hAnsi="Amiri" w:eastAsia="Amiri" w:cs="Amiri"/>
          <w:color w:val="111111"/>
          <w:sz w:val="28"/>
          <w:sz w:val="28"/>
          <w:szCs w:val="28"/>
          <w:rtl w:val="true"/>
          <w:lang w:bidi="ar-SA"/>
        </w:rPr>
        <w:t xml:space="preserve">الشرائط لم يخرجه عن حكم الطهارة، و الأصل في ذلك الخبر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بناء على ما قررناه من أنّه وارد لبيان الحكم لصورة الاشتباه، مضافا إلى الأصل المتقدّم تأسيسه في غير موضع، غير أنّ الاحتياط ممّا لا ينبغي تركه، و ممّن صرّح بما ذكرناه السيّد في المناهل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إذا شكّ في تحقّق الشرط فالأصل طهارة الماء مطلقا، و إن حصل الظنّ بفقده، و لكن مراعاة الاحتياط أولى</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3" w:name="__RefHeading___Toc1804630_1280447820"/>
      <w:bookmarkStart w:id="374" w:name="_Toc146"/>
      <w:bookmarkEnd w:id="373"/>
      <w:r>
        <w:rPr>
          <w:rtl w:val="true"/>
        </w:rPr>
        <w:t>و امّا الجهة الثانية</w:t>
      </w:r>
      <w:r>
        <w:rPr>
          <w:rtl w:val="true"/>
        </w:rPr>
        <w:t xml:space="preserve">: </w:t>
      </w:r>
      <w:r>
        <w:rPr>
          <w:rtl w:val="true"/>
        </w:rPr>
        <w:t>ففيها مسائل ثلاث</w:t>
      </w:r>
      <w:r>
        <w:rPr>
          <w:rtl w:val="true"/>
        </w:rPr>
        <w:t>.</w:t>
      </w:r>
      <w:bookmarkEnd w:id="374"/>
    </w:p>
    <w:p>
      <w:pPr>
        <w:pStyle w:val="Heading6"/>
        <w:numPr>
          <w:ilvl w:val="5"/>
          <w:numId w:val="1"/>
        </w:numPr>
        <w:rPr/>
      </w:pPr>
      <w:bookmarkStart w:id="375" w:name="__RefHeading___Toc1804632_1280447820"/>
      <w:bookmarkStart w:id="376" w:name="_Toc147"/>
      <w:bookmarkEnd w:id="375"/>
      <w:r>
        <w:rPr>
          <w:rtl w:val="true"/>
        </w:rPr>
        <w:t>الاولى و الثانية</w:t>
      </w:r>
      <w:r>
        <w:rPr>
          <w:rtl w:val="true"/>
        </w:rPr>
        <w:t xml:space="preserve">: </w:t>
      </w:r>
      <w:r>
        <w:rPr>
          <w:rtl w:val="true"/>
        </w:rPr>
        <w:t>في أنّ ماء الاستنجاء بعد ما ثبت كونه طاهرا و جامع الشرائط المتقدّمة، فهل يكون طهورا</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بالمعنى الأعمّ من إزالة الخبث به، و لو استنجاء آخر، و رفع الحدث به صغيرا كان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كذلك قبل الاستنجاء أو لا؟ فيه خلاف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بطهور مطلقا، و هو لظاهر الشرائع</w:t>
      </w:r>
      <w:r>
        <w:rPr>
          <w:rStyle w:val="FootnoteAnchor"/>
          <w:rtl w:val="true"/>
        </w:rPr>
        <w:footnoteReference w:id="1091"/>
      </w:r>
      <w:r>
        <w:rPr>
          <w:rFonts w:ascii="IRNazanin" w:hAnsi="IRNazanin" w:eastAsia="IRNazanin"/>
          <w:color w:val="111111"/>
          <w:sz w:val="28"/>
          <w:sz w:val="28"/>
          <w:szCs w:val="28"/>
          <w:rtl w:val="true"/>
          <w:lang w:bidi="fa-IR"/>
        </w:rPr>
        <w:t>، و الدروس</w:t>
      </w:r>
      <w:r>
        <w:rPr>
          <w:rStyle w:val="FootnoteAnchor"/>
          <w:rtl w:val="true"/>
        </w:rPr>
        <w:footnoteReference w:id="1092"/>
      </w:r>
      <w:r>
        <w:rPr>
          <w:rFonts w:ascii="IRNazanin" w:hAnsi="IRNazanin" w:eastAsia="IRNazanin"/>
          <w:color w:val="111111"/>
          <w:sz w:val="28"/>
          <w:sz w:val="28"/>
          <w:szCs w:val="28"/>
          <w:rtl w:val="true"/>
          <w:lang w:bidi="fa-IR"/>
        </w:rPr>
        <w:t>، و المنتهى</w:t>
      </w:r>
      <w:r>
        <w:rPr>
          <w:rStyle w:val="FootnoteAnchor"/>
          <w:rtl w:val="true"/>
        </w:rPr>
        <w:footnoteReference w:id="1093"/>
      </w:r>
      <w:r>
        <w:rPr>
          <w:rFonts w:ascii="Amiri" w:hAnsi="Amiri" w:eastAsia="Amiri" w:cs="Amiri"/>
          <w:color w:val="111111"/>
          <w:sz w:val="28"/>
          <w:sz w:val="28"/>
          <w:szCs w:val="28"/>
          <w:rtl w:val="true"/>
          <w:lang w:bidi="ar-SA"/>
        </w:rPr>
        <w:t>، و صريح الذكرى</w:t>
      </w:r>
      <w:r>
        <w:rPr>
          <w:rStyle w:val="FootnoteAnchor"/>
          <w:rtl w:val="true"/>
        </w:rPr>
        <w:footnoteReference w:id="1094"/>
      </w:r>
      <w:r>
        <w:rPr>
          <w:rFonts w:ascii="Amiri" w:hAnsi="Amiri" w:eastAsia="Amiri" w:cs="Amiri"/>
          <w:color w:val="111111"/>
          <w:sz w:val="28"/>
          <w:sz w:val="28"/>
          <w:szCs w:val="28"/>
          <w:rtl w:val="true"/>
          <w:lang w:bidi="ar-SA"/>
        </w:rPr>
        <w:t>، حيث إنّ الأوّل فرّق بين ماء الاستنجاء و المستعمل في الوضوء و المستعمل في الحدث الأكبر، فحكم على الأوّل بكونه طاهرا فقط من غير تعرّض لطهوريّته، و على الثاني بكونه طاهرا مطهّرا، و على الثالث بكونه طاهرا و تردّد في 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 نظيره الثاني، غير أنّه قدّم المستعمل في الوضوء فحكم بكونه طهورا، ثمّ أورد المستعمل في الحدث الأكبر فحكم بطهارته، ناقلا في طهوريّته قولين مع جعله الكراهية أقربهما، ثمّ تعرّض لذكر الاستنجاء فحكم عليه بالطهارة فقط</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حكم على ماء الاستنجاء بكونه معفوّا عنه بمعنى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استظهرناه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تعرّض لحكم طهوريّته، مع أنّه في المستعمل في رفع الحدث الأصغر حكم عليه قبل ذلك بكونه طاهرا مطهّرا مدّعيا عليه الإجماع، و في رفع الحدث الأكبر نقل الخلاف في طهوريّته، و اختار هو كونه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الرابع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الاستنجاء تصريح بالطهارة إنّما هو </w:t>
      </w:r>
    </w:p>
    <w:p>
      <w:pPr>
        <w:pStyle w:val="BookText"/>
        <w:rPr/>
      </w:pPr>
      <w:r>
        <w:rPr>
          <w:rFonts w:ascii="Amiri" w:hAnsi="Amiri" w:eastAsia="Amiri" w:cs="Amiri"/>
          <w:color w:val="111111"/>
          <w:sz w:val="28"/>
          <w:sz w:val="28"/>
          <w:szCs w:val="28"/>
          <w:rtl w:val="true"/>
          <w:lang w:bidi="ar-SA"/>
        </w:rPr>
        <w:t>بالعفو، و تظهر الفائدة في استعماله و لعلّه أقرب لتيقّن الطهارة بغيره</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فإنّ تعليله عامّ يجري في كلّ من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طهور مطلقا، و هو الّذي اختاره في المناهل</w:t>
      </w:r>
      <w:r>
        <w:rPr>
          <w:rStyle w:val="FootnoteAnchor"/>
          <w:rtl w:val="true"/>
        </w:rPr>
        <w:footnoteReference w:id="1096"/>
      </w:r>
      <w:r>
        <w:rPr>
          <w:rFonts w:ascii="Amiri" w:hAnsi="Amiri" w:eastAsia="Amiri" w:cs="Amiri"/>
          <w:color w:val="111111"/>
          <w:sz w:val="28"/>
          <w:sz w:val="28"/>
          <w:szCs w:val="28"/>
          <w:rtl w:val="true"/>
          <w:lang w:bidi="ar-SA"/>
        </w:rPr>
        <w:t>، ناسبا في مسألة رفع الحدث الجواز إلى صريح الكشف</w:t>
      </w:r>
      <w:r>
        <w:rPr>
          <w:rStyle w:val="FootnoteAnchor"/>
          <w:rtl w:val="true"/>
        </w:rPr>
        <w:footnoteReference w:id="1097"/>
      </w:r>
      <w:r>
        <w:rPr>
          <w:rFonts w:ascii="Amiri" w:hAnsi="Amiri" w:eastAsia="Amiri" w:cs="Amiri"/>
          <w:color w:val="111111"/>
          <w:sz w:val="28"/>
          <w:sz w:val="28"/>
          <w:szCs w:val="28"/>
          <w:rtl w:val="true"/>
          <w:lang w:bidi="ar-SA"/>
        </w:rPr>
        <w:t>، و ظاهر مجمع الفائدة</w:t>
      </w:r>
      <w:r>
        <w:rPr>
          <w:rStyle w:val="FootnoteAnchor"/>
          <w:rtl w:val="true"/>
        </w:rPr>
        <w:footnoteReference w:id="1098"/>
      </w:r>
      <w:r>
        <w:rPr>
          <w:rFonts w:ascii="Amiri" w:hAnsi="Amiri" w:eastAsia="Amiri" w:cs="Amiri"/>
          <w:color w:val="111111"/>
          <w:sz w:val="28"/>
          <w:sz w:val="28"/>
          <w:szCs w:val="28"/>
          <w:rtl w:val="true"/>
          <w:lang w:bidi="ar-SA"/>
        </w:rPr>
        <w:t>، و هذا يقتضي أنّهما يقولان بالجواز في مسألة الخبث أيضا بل بطريق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المسألتين، فالجواز في إزالة الخبث و عدمه في رفع الحدث، و يستفاد ذلك من المدارك</w:t>
      </w:r>
      <w:r>
        <w:rPr>
          <w:rStyle w:val="FootnoteAnchor"/>
          <w:rtl w:val="true"/>
        </w:rPr>
        <w:footnoteReference w:id="1099"/>
      </w:r>
      <w:r>
        <w:rPr>
          <w:rFonts w:ascii="IRNazanin" w:hAnsi="IRNazanin" w:eastAsia="IRNazanin"/>
          <w:color w:val="111111"/>
          <w:sz w:val="28"/>
          <w:sz w:val="28"/>
          <w:szCs w:val="28"/>
          <w:rtl w:val="true"/>
          <w:lang w:bidi="fa-IR"/>
        </w:rPr>
        <w:t>و الحدائق</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عنهما من عبارتهما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أيضا من الرياض</w:t>
      </w:r>
      <w:r>
        <w:rPr>
          <w:rStyle w:val="FootnoteAnchor"/>
          <w:rtl w:val="true"/>
        </w:rPr>
        <w:footnoteReference w:id="1101"/>
      </w:r>
      <w:r>
        <w:rPr>
          <w:rFonts w:ascii="IRNazanin" w:hAnsi="IRNazanin" w:eastAsia="IRNazanin"/>
          <w:color w:val="111111"/>
          <w:sz w:val="28"/>
          <w:sz w:val="28"/>
          <w:szCs w:val="28"/>
          <w:rtl w:val="true"/>
          <w:lang w:bidi="fa-IR"/>
        </w:rPr>
        <w:t>و شرح الدروس</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عن السيّد في المناهل</w:t>
      </w:r>
      <w:r>
        <w:rPr>
          <w:rStyle w:val="FootnoteAnchor"/>
          <w:rtl w:val="true"/>
        </w:rPr>
        <w:footnoteReference w:id="1103"/>
      </w:r>
      <w:r>
        <w:rPr>
          <w:rFonts w:ascii="Amiri" w:hAnsi="Amiri" w:eastAsia="Amiri" w:cs="Amiri"/>
          <w:color w:val="111111"/>
          <w:sz w:val="28"/>
          <w:sz w:val="28"/>
          <w:szCs w:val="28"/>
          <w:rtl w:val="true"/>
          <w:lang w:bidi="ar-SA"/>
        </w:rPr>
        <w:t>حيث جعل المسألة ذات قولين، مدّعيا للاتّفاق على الجواز في إزالة الخبث، حاكيا للخلاف على قولين في رفع الحدث، و لم نقف للأوّلين على مستند سوى ما أشار إليه الشهيد في الذكرى</w:t>
      </w:r>
      <w:r>
        <w:rPr>
          <w:rStyle w:val="FootnoteAnchor"/>
          <w:rtl w:val="true"/>
        </w:rPr>
        <w:footnoteReference w:id="1104"/>
      </w:r>
      <w:r>
        <w:rPr>
          <w:rFonts w:ascii="Amiri" w:hAnsi="Amiri" w:eastAsia="Amiri" w:cs="Amiri"/>
          <w:color w:val="111111"/>
          <w:sz w:val="28"/>
          <w:sz w:val="28"/>
          <w:szCs w:val="28"/>
          <w:rtl w:val="true"/>
          <w:lang w:bidi="ar-SA"/>
        </w:rPr>
        <w:t>من تيقّن الطهارة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الآخرين الاستدلال بالأصل و العمومات و الاستصحاب، فإنّ الأصل بقاء الطهوريّة خرج عنه ما خرج و بقي الباقي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الباقين الاستدلال على الجواز في رفع الخبث بما تقدّم من الأصل و العمومات و استصحاب الطهوريّة، مضافا إلى ما في شرح الدروس</w:t>
      </w:r>
      <w:r>
        <w:rPr>
          <w:rStyle w:val="FootnoteAnchor"/>
          <w:rtl w:val="true"/>
        </w:rPr>
        <w:footnoteReference w:id="1105"/>
      </w:r>
      <w:r>
        <w:rPr>
          <w:rFonts w:ascii="Amiri" w:hAnsi="Amiri" w:eastAsia="Amiri" w:cs="Amiri"/>
          <w:color w:val="111111"/>
          <w:sz w:val="28"/>
          <w:sz w:val="28"/>
          <w:szCs w:val="28"/>
          <w:rtl w:val="true"/>
          <w:lang w:bidi="ar-SA"/>
        </w:rPr>
        <w:t xml:space="preserve">من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الأوامر إنّما وردت بالغسل بالماء، و هذا يصدق عليه الماء فيحصل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في المدارك</w:t>
      </w:r>
      <w:r>
        <w:rPr>
          <w:rStyle w:val="FootnoteAnchor"/>
          <w:rtl w:val="true"/>
        </w:rPr>
        <w:footnoteReference w:id="1106"/>
      </w:r>
      <w:r>
        <w:rPr>
          <w:rFonts w:ascii="IRNazanin" w:hAnsi="IRNazanin" w:eastAsia="IRNazanin"/>
          <w:color w:val="111111"/>
          <w:sz w:val="28"/>
          <w:sz w:val="28"/>
          <w:szCs w:val="28"/>
          <w:rtl w:val="true"/>
          <w:lang w:bidi="fa-IR"/>
        </w:rPr>
        <w:t xml:space="preserve">و الحدائق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الامتثال باستعماله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مثله ما عن </w:t>
      </w:r>
    </w:p>
    <w:p>
      <w:pPr>
        <w:pStyle w:val="BookText"/>
        <w:rPr/>
      </w:pPr>
      <w:r>
        <w:rPr>
          <w:rFonts w:ascii="Amiri" w:hAnsi="Amiri" w:eastAsia="Amiri" w:cs="Amiri"/>
          <w:color w:val="111111"/>
          <w:sz w:val="28"/>
          <w:sz w:val="28"/>
          <w:szCs w:val="28"/>
          <w:rtl w:val="true"/>
          <w:lang w:bidi="ar-SA"/>
        </w:rPr>
        <w:t>الذخيرة</w:t>
      </w:r>
      <w:r>
        <w:rPr>
          <w:rStyle w:val="FootnoteAnchor"/>
          <w:rtl w:val="true"/>
        </w:rPr>
        <w:footnoteReference w:id="1108"/>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لحصول الامتثال في رفع النجاسات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عدمه بما عزى</w:t>
      </w:r>
      <w:r>
        <w:rPr>
          <w:rStyle w:val="FootnoteAnchor"/>
          <w:rtl w:val="true"/>
        </w:rPr>
        <w:footnoteReference w:id="1109"/>
      </w:r>
      <w:r>
        <w:rPr>
          <w:rFonts w:ascii="IRNazanin" w:hAnsi="IRNazanin" w:eastAsia="IRNazanin"/>
          <w:color w:val="111111"/>
          <w:sz w:val="28"/>
          <w:sz w:val="28"/>
          <w:szCs w:val="28"/>
          <w:rtl w:val="true"/>
          <w:lang w:bidi="fa-IR"/>
        </w:rPr>
        <w:t>إلى المعتبر</w:t>
      </w:r>
      <w:r>
        <w:rPr>
          <w:rStyle w:val="FootnoteAnchor"/>
          <w:rtl w:val="true"/>
        </w:rPr>
        <w:footnoteReference w:id="1110"/>
      </w:r>
      <w:r>
        <w:rPr>
          <w:rFonts w:ascii="IRNazanin" w:hAnsi="IRNazanin" w:eastAsia="IRNazanin"/>
          <w:color w:val="111111"/>
          <w:sz w:val="28"/>
          <w:sz w:val="28"/>
          <w:szCs w:val="28"/>
          <w:rtl w:val="true"/>
          <w:lang w:bidi="fa-IR"/>
        </w:rPr>
        <w:t>و المنتهى</w:t>
      </w:r>
      <w:r>
        <w:rPr>
          <w:rStyle w:val="FootnoteAnchor"/>
          <w:rtl w:val="true"/>
        </w:rPr>
        <w:footnoteReference w:id="1111"/>
      </w:r>
      <w:r>
        <w:rPr>
          <w:rFonts w:ascii="Amiri" w:hAnsi="Amiri" w:eastAsia="Amiri" w:cs="Amiri"/>
          <w:color w:val="111111"/>
          <w:sz w:val="28"/>
          <w:sz w:val="28"/>
          <w:szCs w:val="28"/>
          <w:rtl w:val="true"/>
          <w:lang w:bidi="ar-SA"/>
        </w:rPr>
        <w:t>من دعوى الإجماع على عدم جواز رفع الحدث بما تزال به النجاسة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بجميع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بالمنع مطلقا أو في الجملة، لا حجّة عليه سوى قاعدة الشغل، و الاطلاق و الإجماع المنقول في المنتهى و المعتبر، و أنت إذا تأمّلت علمت أنّ شيئا منهما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التمسّك بتلك القاعدة مع وجود ما يرفع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فلتوجّه المنع إلى شمول هذا الإجماع لمثل المقام، 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إلى دعوى الاطلاق في إجماع المنتهى، فإنّه في كلام العلاّمة معلّل بما لا يجري في المقام أصلا، فإنّه بعد ما أورد الكلام في الماء المنفصل عن غسالة النجاسة بجميع صوره، حتّى ما لو انفصل غير متغيّر من الغسلة الّتي طهّرت المحلّ حاكما في الجميع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نقله في الأخير اختلاف القولين عن الشيخ في المبسوط</w:t>
      </w:r>
      <w:r>
        <w:rPr>
          <w:rStyle w:val="FootnoteAnchor"/>
          <w:rtl w:val="true"/>
        </w:rPr>
        <w:footnoteReference w:id="111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بنجاسته مطلقا، و الخلاف</w:t>
      </w:r>
      <w:r>
        <w:rPr>
          <w:rStyle w:val="FootnoteAnchor"/>
          <w:rtl w:val="true"/>
        </w:rPr>
        <w:footnoteReference w:id="11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الغسلة الاولى و طهارة الغسلة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الحدث بمثل هذا الماء أو بغيره ممّا يزيل النجاسة لا يجوز إجماعا، أمّا على قولنا فظاهر، و أمّا على قول الشيخ فلما رواه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أو يغتسل به من الجنابة لا يتوضّأ منه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عندنا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اختاره فيما تقدّم من نجاسة ما ينفصل من غسالة النجاسة، تمسّكا بأنّه ماء قليل لاقى نجاسة، فينجّس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مستند الإجماع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و الرواية، و المقام ليس مندرجا في شيء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المعتبر فلعلّه أيضا من هذا القبيل، و لم يحضرنا الكتاب حتّى نلاحظ في مفاد كلامه و سياقه، ثمّ لو سلّم الإطلاق في هذين الإجماعين أو في أحدهما فهو قابل للتقييد، فإنّه باعتبار العبارة الناقلة عامّ، و بعض ما ستعرف من أدلّة القول بالطهوريّة في ماء الاستنجاء خاصّ فيخصّص به العامّ، فالقول بسلب الطهوريّة على إطلاقه ضعيف جدّا، إذا كان مستنده ما ذكر و نظراءه، و أمّا القول بالطهوريّة مطلقا فالظاهر أنّ التمسّك عليه بالأصل و العمومات متّجه، إذا اريد بالأصل القاعدة الشرعيّة المستفادة من أدلّة طهوريّة الماء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العمومات قد انقطعا بأدلّة انفعال القليل بالملاقاة، إن اريد بالعمومات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116"/>
      </w:r>
      <w:r>
        <w:rPr>
          <w:rFonts w:ascii="Amiri" w:hAnsi="Amiri" w:eastAsia="Amiri" w:cs="Amiri"/>
          <w:color w:val="111111"/>
          <w:sz w:val="28"/>
          <w:sz w:val="28"/>
          <w:szCs w:val="28"/>
          <w:rtl w:val="true"/>
          <w:lang w:bidi="ar-SA"/>
        </w:rPr>
        <w:t>و ما أشبه ذلك كتابا و سنّة لتوجّه المنع إلى دعوى الانقطاع، فإنّ المفروض خروج ماء الاستنجاء عن تحت القليل الّذي ينفعل بملاقاة النجاسة، و معنى خروجه عنه انكشاف كونه مرادا من العمومات الأوّلية، أو انكشاف عدم تعرّض أدلّة الانفعال لإخراجه عنها، و هذا القدر كاف في صحّة التمسّك بها؛ لأنّ مبناها على الظهور النوعي و هو حاصل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هذه المناقشة بالقياس إلى تمسّكهم بالأصل، بمعنى استصحاب الطهوريّة الثابتة لهذا الماء قبل الاستنجاء، لارتفاع موضوعه بورود أدلّة الانفعال الشاملة له، و معه لا يعقل الاستصحاب، كيف و لو صحّ التمسّك به لإثبات الطهوريّة له مع ورود تلك الأدلّة المقتضية لخلافها لصحّ التمسّك به لإثبات الطهارة له أيضا؛ لكونها كالطهوريّة ثابتة له قبل الاستنجاء، و معه يرتفع الحاجة إلى التمسّك بالأخبار الواردة فيه، و اللازم باطل بالضرورة، و إبداء الفرق بين الحكمين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ذلك في أحدهما دون الآخر، تحكّم صرف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لإثبات الطهوريّة لهذا الماء إنّما هو بعد ملاحظة الأخبار الواردة المخرجة له عن تحت أدلّة الانفعال، و لا ضير فيه لكشف تلك الأخبار عن عدم </w:t>
      </w:r>
    </w:p>
    <w:p>
      <w:pPr>
        <w:pStyle w:val="BookText"/>
        <w:rPr/>
      </w:pPr>
      <w:r>
        <w:rPr>
          <w:rFonts w:ascii="Amiri" w:hAnsi="Amiri" w:eastAsia="Amiri" w:cs="Amiri"/>
          <w:color w:val="111111"/>
          <w:sz w:val="28"/>
          <w:sz w:val="28"/>
          <w:szCs w:val="28"/>
          <w:rtl w:val="true"/>
          <w:lang w:bidi="ar-SA"/>
        </w:rPr>
        <w:t>تعرّض الأدلّة المذكورة لرفع موضوع الأصل بالنسبة إليه، على قياس ما ذكرته في صحّة التمسّك بالعمومات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لو صلحت عندهم كاشفة عن هذا المعنى، لكانت بأنفسها رافعة لموضوع الأصل أيضا؛ إذ لا فرق في ارتفاع موضوع الأصل بين ورود الدليل على خلافه و وروده على طبقه؛ لأنّه كائنا ما كان في مقابلة الأصل علم، و من البيّن عدم اجتماع العلم مع الشكّ في قضيّة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فالتمسّك به ممّا لا وجه له على كلّ حال، إن كان المراد جعله دليلا للحكم على الإطلاق كما هو ظاهر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التمسّك بأخبار الاستنجاء لإثبات حكم الطهوريّة أيضا، كما أشار إلى التمسّك بها في المناهل</w:t>
      </w:r>
      <w:r>
        <w:rPr>
          <w:rStyle w:val="FootnoteAnchor"/>
          <w:rtl w:val="true"/>
        </w:rPr>
        <w:footnoteReference w:id="1117"/>
      </w:r>
      <w:r>
        <w:rPr>
          <w:rFonts w:ascii="Amiri" w:hAnsi="Amiri" w:eastAsia="Amiri" w:cs="Amiri"/>
          <w:color w:val="111111"/>
          <w:sz w:val="28"/>
          <w:sz w:val="28"/>
          <w:szCs w:val="28"/>
          <w:rtl w:val="true"/>
          <w:lang w:bidi="ar-SA"/>
        </w:rPr>
        <w:t>، و قد تقدّم منّا الإشارة إلى وجهه عند التمسّك بها على إثبات حكم الطهارة له في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هذا الحكم لماء الاستنجاء بالأخبار الواردة فيه ليس من جهة وروده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الصراحة، بل من جهة ما تضمّنته من نفي البأس،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المنفيّة لكونها مفيدة للعموم، فنفي البأس عن هذا الماء في موضع توهّم النجاسة ظاهر في نفي جميع لوازم النجاسة الّتي منها المنع عن استعماله في مقام إزالة الخبث، أو في مقام رفع الحدث، أو في مقام الشرب و نحوه من سائر أنحاء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كما أنّ المنع عن مباشرته حال الصلاة و غيرها بأس، فكذلك المنع عن شربه و التطهير به بأس، و كما أنّ النفي يتوجّه إلى الأوّل فكذلك يتوجّه إلى الباقي؛ لكون أفراد العامّ متساوية الأقدام بالنسبة إليه،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ما ذكر من أفراد البأس و مصاديقه، تحكّم فلا تسمع، كما أنّ منع العموم في النفي الوارد على النكرة مطلقا، أو في خصوص المقام غير مسموعة، و من هنا يتّضح الحكم في المسألة الثالثة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الحال بالقياس إلى مسألة التطهير من جهة اخرى، و هي أنّ أقصى ما يستفاد من نفي البأس بالقياس إليه إنّما هو نفي الحكم التكليفي، و هو المنع عن </w:t>
      </w:r>
    </w:p>
    <w:p>
      <w:pPr>
        <w:pStyle w:val="BookText"/>
        <w:rPr/>
      </w:pPr>
      <w:r>
        <w:rPr>
          <w:rFonts w:ascii="Amiri" w:hAnsi="Amiri" w:eastAsia="Amiri" w:cs="Amiri"/>
          <w:color w:val="111111"/>
          <w:sz w:val="28"/>
          <w:sz w:val="28"/>
          <w:szCs w:val="28"/>
          <w:rtl w:val="true"/>
          <w:lang w:bidi="ar-SA"/>
        </w:rPr>
        <w:t xml:space="preserve">استعمال هذا الماء في مقام التطهير و تحريمه، لأنّه بأس على المكلّف و شدّة في حقّه و موجب لتوجّه العذاب إليه، و هو ليس من مسألة أصل التطهير الّذي هو المبحوث عنه؛ إذ ليس المراد به مجرّد استعمال الماء معنونا بهذا العنوان ليكون نفي تحريمه مجديا في حال المكلّف، بل المراد به استعمال بهذا العنوان مستتبع لترتّب الأثر عليه، من زوال الخبث و ارتفاع الحدث، و هو ليس بلازم من نفي التحريم؛ لأنّه حكم وضعي لا ملازمة بينه هنا و بين نفي التحريم، و من هنا نبّهناك سابقا على أنّ أهل القول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للقول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كلامهم في الجهة الثانية الّتي فرضناها للعفو بالمعنى الثاني المتقدّم، ليس لهم التمسّك في إثبات الطهارة المقابلة للعفو بهذا المعنى بالأخبار الواردة في ماء الاستنجاء؛ إذ لا تعرّض فيها لبيان أنّ الثابت لهذا الماء هل هو جميع أحكام الطهارة و لوازمها أو بعضها؟ على أنّ مرادنا بتلك الأحكام ما يعمّ الوضعيّة و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كفاية هذا الماء في إفادة التطهير الشرعي، لكان على المكلّف تحمّل الكلفة في تحصيل ماء آخر مكانه لترتّب هذه الفائدة، و لو فرضناه متيسّرا مثله بل حاضرا في المجلس؛ ضرورة اقتضاء التعيين من الكلفة و الضيق المعنوي ما لا يقتضيه التخيير، و هو أيضا نحو من البأس، و المفروض أنّه منفيّ بجميع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يخدش في ذلك ما تقدّم في روايات القول بعدم انفعال القليل من رواية محمّد بن اسماعيل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من يسأله عن الغدير، تجتمع فيه ماء السماء، و يستقي فيه من بئر، فيستنجي فيه الإنسان من بول، أو يغتسل فيه الجنب، ما حدّه الّذي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لا تتوضّأ من مثل هذا إلاّ من ضرورة إليه</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فإنّ التوضّؤ إمّا أن يكون مرادا به معناه الظاهر أو الاستنجاء، نظرا إلى إطلاقه في الأخبار على هذا المعنى، فعلى الأوّل تدلّ الرواية على عدم جواز رفع الحدث بماء الاستنجاء، و على الثاني تدلّ على عدم جواز إزالة الخبث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الأمر في دفعه هيّن من حيث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مضمرة، قادحة في السند من وجهين، كما تقدّم إليهما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يظهر من الأصحاب عامل بها، مستند إليها في المقام بالخصوص و لا سيّما مع ما تقتضيه من التفصيل في المنع بين الضرورة و عدمها، </w:t>
      </w:r>
      <w:bookmarkStart w:id="377" w:name="pg16144_233232"/>
    </w:p>
    <w:p>
      <w:pPr>
        <w:pStyle w:val="BookText"/>
        <w:rPr/>
      </w:pPr>
      <w:bookmarkEnd w:id="377"/>
      <w:r>
        <w:rPr>
          <w:rFonts w:ascii="Amiri" w:hAnsi="Amiri" w:eastAsia="Amiri" w:cs="Amiri"/>
          <w:color w:val="111111"/>
          <w:sz w:val="28"/>
          <w:sz w:val="28"/>
          <w:szCs w:val="28"/>
          <w:rtl w:val="true"/>
          <w:lang w:bidi="ar-SA"/>
        </w:rPr>
        <w:t>فإنّه ممّا لم يقل به أحد ظاهرا، إلاّ أن يحمل النهي الوارد فيها على التنزيه الّذي مفاده الكراهة الّتي ترتفع في موضع الضرورة، فحينئذ تخرج عن معارضة ما ذكرناه بالمرّة؛ إذ الظاهر أنّ القائلين بجواز التطهير بماء الاستنجاء يعترفون بالكراهيّة، و لا يبعد القول بها حينئذ عملا بتلك الرواية من باب المسامحة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التطهير بماء الاستنجاء خبثا و حدثا على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المقرّر في الاصول بالقياس إلى الكراهة المضافة إلى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و العمومات، و القاعدة المستفادة من الأدلّة، و الأخبار الجزئيّة الواردة في أبواب الطهارات القاضية بأنّ الماء المطلق الطاهر ممّا يجوز التطهير به مطلقا ما لم ينهض مانع شرعي عنه، و المقام منه؛ إذ لم يثبت من الشرع كون الحيثيّة الاستنجائيّة من موجبات المنع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القاعدة المقرّرة في الاصول من كون الأمر مقتضيا للإجزاء، فإنّ المأمور به ليس إلاّ استعمال الماء الظاهر في الإطلاق، الخالي عن النجاسة من جهة الدليل الخارج، و هذا منه، فقد اوتي بالمأمور به على وجهه؛ إذ لم يثبت كون الخلوّ عن حيثيّة الاستنجاء وجها من وجوهه، فيجب الإجزاء</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804634_1280447820"/>
      <w:bookmarkStart w:id="379" w:name="_Toc148"/>
      <w:bookmarkEnd w:id="378"/>
      <w:r>
        <w:rPr>
          <w:rtl w:val="true"/>
        </w:rPr>
        <w:t>المسألة الثالثة</w:t>
      </w:r>
      <w:r>
        <w:rPr>
          <w:rtl w:val="true"/>
        </w:rPr>
        <w:t xml:space="preserve">: </w:t>
      </w:r>
      <w:r>
        <w:rPr>
          <w:rtl w:val="true"/>
        </w:rPr>
        <w:t>لا إشكال بملاحظة ما ظهر من تضاعيف كلماتنا السابقة في جواز شرب ماء الاستنجاء و مطلق استعماله،</w:t>
      </w:r>
      <w:bookmarkEnd w:id="379"/>
    </w:p>
    <w:p>
      <w:pPr>
        <w:pStyle w:val="BookText"/>
        <w:rPr/>
      </w:pPr>
      <w:r>
        <w:rPr>
          <w:rFonts w:ascii="Amiri" w:hAnsi="Amiri" w:eastAsia="Amiri" w:cs="Amiri"/>
          <w:color w:val="111111"/>
          <w:sz w:val="28"/>
          <w:sz w:val="28"/>
          <w:szCs w:val="28"/>
          <w:rtl w:val="true"/>
          <w:lang w:bidi="ar-SA"/>
        </w:rPr>
        <w:t xml:space="preserve">كاستعمال سائر المياه الطاهرة، ما لم يصادفه عنوان آخر مقتضي للمنع كالخباثة و نحوها، و معه يدخل في عموم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دائم المطابقة لهذا العنوان المقتضي لدوام المنع عنه، لو سلّمناه لا ينافي جواز استعماله من الحيثيّة المبحوث عنها، و إن لم يتحقّق للجواز بهذه الحيثيّة مصداق</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804636_1280447820"/>
      <w:bookmarkStart w:id="381" w:name="_Toc149"/>
      <w:bookmarkEnd w:id="380"/>
      <w:r>
        <w:rPr>
          <w:rtl w:val="true"/>
        </w:rPr>
        <w:t>و الثالث ممّا ادّعي استثناؤه عن قاعدة انفعال القليل</w:t>
      </w:r>
      <w:r>
        <w:rPr>
          <w:rtl w:val="true"/>
        </w:rPr>
        <w:t xml:space="preserve">: </w:t>
      </w:r>
      <w:r>
        <w:rPr>
          <w:rtl w:val="true"/>
        </w:rPr>
        <w:t>ماء الغسالة</w:t>
      </w:r>
      <w:r>
        <w:rPr>
          <w:rtl w:val="true"/>
        </w:rPr>
        <w:t>.</w:t>
      </w:r>
      <w:bookmarkEnd w:id="38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 هنا الماء المستعمل في إزالة الأخباث غير الاستنجاء، و لا إشكال بل لا خلاف في انفعاله مع التغيّر بما استعمل في إزالته من النجاسة، و استفاض نقل الإجماع عليه و نفي الخلاف عنه في كلامهم، و مع الغضّ عن ذلك فوجه المسألة واضح بملاحظة ما تقدّم في شرائط ماء الاستنجاء، و أمّا مع عدم التغيّر به فاختلف فيه </w:t>
      </w:r>
    </w:p>
    <w:p>
      <w:pPr>
        <w:pStyle w:val="BookText"/>
        <w:rPr/>
      </w:pPr>
      <w:r>
        <w:rPr>
          <w:rFonts w:ascii="IRNazanin" w:hAnsi="IRNazanin" w:eastAsia="IRNazanin"/>
          <w:color w:val="111111"/>
          <w:sz w:val="28"/>
          <w:sz w:val="28"/>
          <w:szCs w:val="28"/>
          <w:rtl w:val="true"/>
          <w:lang w:bidi="fa-IR"/>
        </w:rPr>
        <w:t>الأصحاب على أقوال</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نجس مطلقا، من غير فرق فيه بين كونه منفصلا عن الغسلة الّتي تستتبع طهر المحلّ، أو كونه منفصلا عمّا لا يستتبعه، و لا بين الثياب و الأواني، و لا بين كون نجاسة الآنية حاصلة من ولوغ الكلب و غيره، ذهب إليه العلاّمة في المنتهى</w:t>
      </w:r>
      <w:r>
        <w:rPr>
          <w:rStyle w:val="FootnoteAnchor"/>
          <w:rtl w:val="true"/>
        </w:rPr>
        <w:footnoteReference w:id="1120"/>
      </w:r>
      <w:r>
        <w:rPr>
          <w:rFonts w:ascii="Amiri" w:hAnsi="Amiri" w:eastAsia="Amiri" w:cs="Amiri"/>
          <w:color w:val="111111"/>
          <w:sz w:val="28"/>
          <w:sz w:val="28"/>
          <w:szCs w:val="28"/>
          <w:rtl w:val="true"/>
          <w:lang w:bidi="ar-SA"/>
        </w:rPr>
        <w:t>مصرّحا بالجهة الاولى من عدم الفروق، أمّا الجهات الاخر فتستفاد من إطلاق قوله بالنجاسة، و عزى إليه ذلك في القواعد</w:t>
      </w:r>
      <w:r>
        <w:rPr>
          <w:rStyle w:val="FootnoteAnchor"/>
          <w:rtl w:val="true"/>
        </w:rPr>
        <w:footnoteReference w:id="1121"/>
      </w:r>
      <w:r>
        <w:rPr>
          <w:rFonts w:ascii="Amiri" w:hAnsi="Amiri" w:eastAsia="Amiri" w:cs="Amiri"/>
          <w:color w:val="111111"/>
          <w:sz w:val="28"/>
          <w:sz w:val="28"/>
          <w:szCs w:val="28"/>
          <w:rtl w:val="true"/>
          <w:lang w:bidi="ar-SA"/>
        </w:rPr>
        <w:t>و التحرير</w:t>
      </w:r>
      <w:r>
        <w:rPr>
          <w:rStyle w:val="FootnoteAnchor"/>
          <w:rtl w:val="true"/>
        </w:rPr>
        <w:footnoteReference w:id="1122"/>
      </w:r>
      <w:r>
        <w:rPr>
          <w:rFonts w:ascii="IRNazanin" w:hAnsi="IRNazanin" w:eastAsia="IRNazanin"/>
          <w:color w:val="111111"/>
          <w:sz w:val="28"/>
          <w:sz w:val="28"/>
          <w:szCs w:val="28"/>
          <w:rtl w:val="true"/>
          <w:lang w:bidi="fa-IR"/>
        </w:rPr>
        <w:t>و المختلف</w:t>
      </w:r>
      <w:r>
        <w:rPr>
          <w:rStyle w:val="FootnoteAnchor"/>
          <w:rtl w:val="true"/>
        </w:rPr>
        <w:footnoteReference w:id="1123"/>
      </w:r>
      <w:r>
        <w:rPr>
          <w:rFonts w:ascii="Amiri" w:hAnsi="Amiri" w:eastAsia="Amiri" w:cs="Amiri"/>
          <w:color w:val="111111"/>
          <w:sz w:val="28"/>
          <w:sz w:val="28"/>
          <w:szCs w:val="28"/>
          <w:rtl w:val="true"/>
          <w:lang w:bidi="ar-SA"/>
        </w:rPr>
        <w:t>و التذكرة</w:t>
      </w:r>
      <w:r>
        <w:rPr>
          <w:rStyle w:val="FootnoteAnchor"/>
          <w:rtl w:val="true"/>
        </w:rPr>
        <w:footnoteReference w:id="1124"/>
      </w:r>
      <w:r>
        <w:rPr>
          <w:rFonts w:ascii="Amiri" w:hAnsi="Amiri" w:eastAsia="Amiri" w:cs="Amiri"/>
          <w:color w:val="111111"/>
          <w:sz w:val="28"/>
          <w:sz w:val="28"/>
          <w:szCs w:val="28"/>
          <w:rtl w:val="true"/>
          <w:lang w:bidi="ar-SA"/>
        </w:rPr>
        <w:t>و قد استفاض من حكاية هذا القول أيضا عن المحقّق في المعتبر</w:t>
      </w:r>
      <w:r>
        <w:rPr>
          <w:rStyle w:val="FootnoteAnchor"/>
          <w:rtl w:val="true"/>
        </w:rPr>
        <w:footnoteReference w:id="1125"/>
      </w:r>
      <w:r>
        <w:rPr>
          <w:rFonts w:ascii="Amiri" w:hAnsi="Amiri" w:eastAsia="Amiri" w:cs="Amiri"/>
          <w:color w:val="111111"/>
          <w:sz w:val="28"/>
          <w:sz w:val="28"/>
          <w:szCs w:val="28"/>
          <w:rtl w:val="true"/>
          <w:lang w:bidi="ar-SA"/>
        </w:rPr>
        <w:t>، و صرّح به في الشرائع</w:t>
      </w:r>
      <w:r>
        <w:rPr>
          <w:rStyle w:val="FootnoteAnchor"/>
          <w:rtl w:val="true"/>
        </w:rPr>
        <w:footnoteReference w:id="1126"/>
      </w:r>
      <w:r>
        <w:rPr>
          <w:rFonts w:ascii="IRNazanin" w:hAnsi="IRNazanin" w:eastAsia="IRNazanin"/>
          <w:color w:val="111111"/>
          <w:sz w:val="28"/>
          <w:sz w:val="28"/>
          <w:szCs w:val="28"/>
          <w:rtl w:val="true"/>
          <w:lang w:bidi="fa-IR"/>
        </w:rPr>
        <w:t>، و النافع</w:t>
      </w:r>
      <w:r>
        <w:rPr>
          <w:rStyle w:val="FootnoteAnchor"/>
          <w:rtl w:val="true"/>
        </w:rPr>
        <w:footnoteReference w:id="1127"/>
      </w:r>
      <w:r>
        <w:rPr>
          <w:rFonts w:ascii="Amiri" w:hAnsi="Amiri" w:eastAsia="Amiri" w:cs="Amiri"/>
          <w:color w:val="111111"/>
          <w:sz w:val="28"/>
          <w:sz w:val="28"/>
          <w:szCs w:val="28"/>
          <w:rtl w:val="true"/>
          <w:lang w:bidi="ar-SA"/>
        </w:rPr>
        <w:t>، جاعلا له في الثاني أشهر القولين و أظهرهما،</w:t>
      </w:r>
    </w:p>
    <w:p>
      <w:pPr>
        <w:pStyle w:val="BookText"/>
        <w:rPr/>
      </w:pPr>
      <w:r>
        <w:rPr>
          <w:rFonts w:ascii="Amiri" w:hAnsi="Amiri" w:eastAsia="Amiri" w:cs="Amiri"/>
          <w:color w:val="111111"/>
          <w:sz w:val="28"/>
          <w:sz w:val="28"/>
          <w:szCs w:val="28"/>
          <w:rtl w:val="true"/>
          <w:lang w:bidi="ar-SA"/>
        </w:rPr>
        <w:t>و في شرح الشرائع</w:t>
      </w:r>
      <w:r>
        <w:rPr>
          <w:rStyle w:val="FootnoteAnchor"/>
          <w:rtl w:val="true"/>
        </w:rPr>
        <w:footnoteReference w:id="1128"/>
      </w:r>
      <w:r>
        <w:rPr>
          <w:rFonts w:ascii="Amiri" w:hAnsi="Amiri" w:eastAsia="Amiri" w:cs="Amiri"/>
          <w:color w:val="111111"/>
          <w:sz w:val="28"/>
          <w:sz w:val="28"/>
          <w:szCs w:val="28"/>
          <w:rtl w:val="true"/>
          <w:lang w:bidi="ar-SA"/>
        </w:rPr>
        <w:t>للأستاذ نسبته إلى أكثر من تأخّر عن الفاضلين، بعد ما نسبه إليهما يعني العلاّمة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المشهور بين المتأخّرين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و في حاشية الشرائع للشيخ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أصحابنا</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الاستاذ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و ظاهر المقنع</w:t>
      </w:r>
      <w:r>
        <w:rPr>
          <w:rStyle w:val="FootnoteAnchor"/>
          <w:rtl w:val="true"/>
        </w:rPr>
        <w:footnoteReference w:id="1132"/>
      </w:r>
      <w:r>
        <w:rPr>
          <w:rFonts w:ascii="Amiri" w:hAnsi="Amiri" w:eastAsia="Amiri" w:cs="Amiri"/>
          <w:color w:val="111111"/>
          <w:sz w:val="28"/>
          <w:sz w:val="28"/>
          <w:szCs w:val="28"/>
          <w:rtl w:val="true"/>
          <w:lang w:bidi="ar-SA"/>
        </w:rPr>
        <w:t>، و في الذكرى</w:t>
      </w:r>
      <w:r>
        <w:rPr>
          <w:rStyle w:val="FootnoteAnchor"/>
          <w:rtl w:val="true"/>
        </w:rPr>
        <w:footnoteReference w:id="1133"/>
      </w:r>
      <w:r>
        <w:rPr>
          <w:rFonts w:ascii="Amiri" w:hAnsi="Amiri" w:eastAsia="Amiri" w:cs="Amiri"/>
          <w:color w:val="111111"/>
          <w:sz w:val="28"/>
          <w:sz w:val="28"/>
          <w:szCs w:val="28"/>
          <w:rtl w:val="true"/>
          <w:lang w:bidi="ar-SA"/>
        </w:rPr>
        <w:t>عن ابن بابويه، و كثير من الأصحاب عدم جواز استعمال الغسالة، و ظاهر إطلاقه النجاسة</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الماء الّذي يغسل به الثوب، أو يغتسل به من الجنابة، أو تزال به النجاسة، فلا تتوضّأ به</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 و يمكن استفادة هذا القول من عبارته </w:t>
      </w:r>
    </w:p>
    <w:p>
      <w:pPr>
        <w:pStyle w:val="BookText"/>
        <w:rPr/>
      </w:pPr>
      <w:r>
        <w:rPr>
          <w:rFonts w:ascii="Amiri" w:hAnsi="Amiri" w:eastAsia="Amiri" w:cs="Amiri"/>
          <w:color w:val="111111"/>
          <w:sz w:val="28"/>
          <w:sz w:val="28"/>
          <w:szCs w:val="28"/>
          <w:rtl w:val="true"/>
          <w:lang w:bidi="ar-SA"/>
        </w:rPr>
        <w:t>هذه أيضا، 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التسوية بينه و بين رافع الأكبر تشعر بطهارته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فإنّ الجمع بين شيئين في الفتوى لا يقتضي إلاّ اشتراكهما في الحكم، و أقصى ما يقتضيه التسوية المذكورة إنّما هو ذلك، دون الجهة الّتي ينشأ منها الحكم؛ لجواز اختلافها، فلعلّها في المزيل للنجاسة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رافع الحدث الأكبر فقد المقتضي و ارتفاعه بالاستعمال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المصرّح به في كلام جملة منهم على ما سيأتي في محلّه، و معه فأيّ إشعار فيها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الاستاذ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التحرير و المعتبر في باب غسل المسّ الإجماع على نجاسة المستعمل في الغسل، إذا كان على البدن نجاسة</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الشيخ في المبسوط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الماء الّذي يزال به النجاسة نجس؛ لأنّه ماء قليل خالط نجاسة، و 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بنجس إذا لم يغلب على أحد أوصافه، بدلالة أنّ ما يبقى في الثوب جزء منه و هو طاهر بالإجماع، فما انفصل عنه فهو مثله، و هذا أقوى و الأوّل أحوط</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فإنّ حكمه عليه أوّلا بالنجاسة يدلّ على أنّه اختياره، و لا ينافيه جعله القول الآخر أقوى، و لا جعله القول الأوّل أحوط، إذ ليس مراده بالأحوطيّة الاحتياط الاستحبابي، و لا بالأقوائيّة القوّة بالنظر إلى الواقع، بل مراده بالأوّل الأحوطيّة بالنظر إلى الواقع المقتضية لوجوب المصير إليه، و بالثاني الأقوائيّة من حيث الاعتبار فإنّ الوجه الّذي تمسّك به القائل بالطهارة ممّا يساعد عليه الاعتبار الّذي لا ينبغي التعويل عليه في الامور التعبّديّة، و ستعرف عن بعضهم الاعتراف بنظيره فيما يأتي من دليل القول بالتفصيل بين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نسبته القول المذكور إلى بعض الناس إشعار بأنّه ليس مختاره، بل ربّما يشعر بأنّه قول لا قائل به من الاماميّة، كما تنبّه عليه غير واحد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يفصح عن اختياره القول بالنجاسة مطلقا، كلامه الآخر المنقول عنه في المبسوط، حيث إنّه في الماء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عليه بأنّه طاهر مطهّر من الخبث لا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كان أبدانها خالية عن نجاسة، فإن كان عليها شيء من </w:t>
      </w:r>
    </w:p>
    <w:p>
      <w:pPr>
        <w:pStyle w:val="BookText"/>
        <w:rPr/>
      </w:pPr>
      <w:r>
        <w:rPr>
          <w:rFonts w:ascii="Amiri" w:hAnsi="Amiri" w:eastAsia="Amiri" w:cs="Amiri"/>
          <w:color w:val="111111"/>
          <w:sz w:val="28"/>
          <w:sz w:val="28"/>
          <w:szCs w:val="28"/>
          <w:rtl w:val="true"/>
          <w:lang w:bidi="ar-SA"/>
        </w:rPr>
        <w:t>نجاسة فإنّه ينجّس الماء و لا يجوز استعماله بحال</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الآخر أيضا في مسألة تطهير الثياب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ترك تحت الثوب النجس إجانة، و صبّ عليه الماء و جرى الماء في الإجانة، لا يجوز استعماله لأنّه نجس</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الحدائق</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لشرح الدروس</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الظاهر قوّى القول بالطهارة مطلقا،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عنه في الخلاف</w:t>
      </w:r>
      <w:r>
        <w:rPr>
          <w:rStyle w:val="FootnoteAnchor"/>
          <w:rtl w:val="true"/>
        </w:rPr>
        <w:footnoteReference w:id="1143"/>
      </w:r>
      <w:r>
        <w:rPr>
          <w:rFonts w:ascii="IRNazanin" w:hAnsi="IRNazanin" w:eastAsia="IRNazanin"/>
          <w:color w:val="111111"/>
          <w:sz w:val="28"/>
          <w:sz w:val="28"/>
          <w:szCs w:val="28"/>
          <w:rtl w:val="true"/>
          <w:lang w:bidi="fa-IR"/>
        </w:rPr>
        <w:t>، و أوّل المبسوط</w:t>
      </w:r>
      <w:r>
        <w:rPr>
          <w:rStyle w:val="FootnoteAnchor"/>
          <w:rtl w:val="true"/>
        </w:rPr>
        <w:footnoteReference w:id="1144"/>
      </w:r>
      <w:r>
        <w:rPr>
          <w:rFonts w:ascii="Amiri" w:hAnsi="Amiri" w:eastAsia="Amiri" w:cs="Amiri"/>
          <w:color w:val="111111"/>
          <w:sz w:val="28"/>
          <w:sz w:val="28"/>
          <w:szCs w:val="28"/>
          <w:rtl w:val="true"/>
          <w:lang w:bidi="ar-SA"/>
        </w:rPr>
        <w:t>، أنّه جزم بطهارة ماء الغسلتين من الولوغ، و لكن الأمر فيه سهل لجواز رجوعه عنه إلى ما ذكر كما جزم به الاستاذ في الشرح</w:t>
      </w:r>
      <w:r>
        <w:rPr>
          <w:rStyle w:val="FootnoteAnchor"/>
          <w:rtl w:val="true"/>
        </w:rPr>
        <w:footnoteReference w:id="1145"/>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الغسالة في كلام هؤلاء القائلين بالنجاسة محتملة لكون حكمها حكم المحلّ قبل الغسل، فيعتبر فيها العدد فيما يجب فيه التعدّد، و لكون حكمها حكم المحلّ بعد الغسلة، فيجب الغسل عنها في الغسلة الغير المستتبعة للطهر دون الغسلة المستتبعة له، و لكون حكمها حكم المحلّ قبل الغسلة المستتبعة للطهر مطلقا، فيجب الغسل عنها مرّة واحدة و لو من الغسلة الاولى، و لم يظهر من كلامهم ما يقضي بإرادة المعنى الأوّل دون أحد الأخيرين، فما في الحدائق</w:t>
      </w:r>
      <w:r>
        <w:rPr>
          <w:rStyle w:val="FootnoteAnchor"/>
          <w:rtl w:val="true"/>
        </w:rPr>
        <w:footnoteReference w:id="1146"/>
      </w:r>
      <w:r>
        <w:rPr>
          <w:rFonts w:ascii="Amiri" w:hAnsi="Amiri" w:eastAsia="Amiri" w:cs="Amiri"/>
          <w:color w:val="111111"/>
          <w:sz w:val="28"/>
          <w:sz w:val="28"/>
          <w:szCs w:val="28"/>
          <w:rtl w:val="true"/>
          <w:lang w:bidi="ar-SA"/>
        </w:rPr>
        <w:t>من تفسيره القول بالنجاسة مطلقا بأنّ حكمها حكم المحلّ قبل الغسل، لعلّه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كذلك ما حكاه في شرح الدروس </w:t>
      </w:r>
      <w:r>
        <w:rPr>
          <w:rStyle w:val="FootnoteAnchor"/>
          <w:rtl w:val="true"/>
        </w:rPr>
        <w:footnoteReference w:id="1147"/>
      </w:r>
      <w:r>
        <w:rPr>
          <w:rFonts w:ascii="Amiri" w:hAnsi="Amiri" w:eastAsia="Amiri" w:cs="Amiri"/>
          <w:color w:val="111111"/>
          <w:sz w:val="28"/>
          <w:sz w:val="28"/>
          <w:szCs w:val="28"/>
          <w:rtl w:val="true"/>
          <w:lang w:bidi="ar-SA"/>
        </w:rPr>
        <w:t>عن بعض الأصحاب من حصره القول المذكور في الاحتمال الثاني، و قد أصاب هو في جعله إيّاه محتملا للوجوه الثلاثة، و أمّا تحقيق الكلام في ذلك فسنورده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الراجح في النظر، و أقوى بالنظر إلى الواقع و أقرب إلى جادّة الاستنباط</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 فقد المانع، و كلّما كان كذلك يجب المصير إليه،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الأدلّة الواردة في انفعال القليل، مع ما ورد عليها ممّا خصّصها، الدالّة على أنّ ملاقاة النجاسة بشرط القلّة سبب للانفعال ما لم يصادفها مانع عن التأثير، من علوّ أو استعمال في الاستنجاء، أو جريان عن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 xml:space="preserve">على عدم انفعال القليل من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تحقّق السبب بهذا المعنى في محلّ البحث و عدم مصادفة مانع له، و ما احتمل كونه مانعا من حيثيّة كونه مستعملا في إزالة الخبث لم ينهض على مانعيّته من الشرع شيء، كما نهض على مانعيّة العلوّ و غيره ممّا ذكر، فمن يدّعي الطهارة لا بدّ له من إقامة ما يحرز به المانعيّة و أنّى له بذلك، و ستعرف ضعف ما احتجّ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قرّرناه ينظر ما احتجّ به العلاّمة في المنتهى، فعلى نجاسة ما انفصل قبل طهر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ماء يسير لاقى نجاسة لم يطهّرها، فكان نجسا كالمتغيّر، و كما لو وردت النجاسة عليه، و كالباقي في المحلّ فإنّه نجس، و هو جزء من الماء الّذي غسلت به النجاسة، و لأنّه قد كان نجسا في المحلّ، فلا يخرجه العصر إلى التطهير، لعدم صلاحيّته له</w:t>
      </w:r>
      <w:r>
        <w:rPr>
          <w:rFonts w:eastAsia="Amiri" w:cs="Amiri" w:ascii="Amiri" w:hAnsi="Amiri"/>
          <w:color w:val="111111"/>
          <w:sz w:val="28"/>
          <w:szCs w:val="28"/>
          <w:rtl w:val="true"/>
          <w:lang w:bidi="ar-SA"/>
        </w:rPr>
        <w:t>»</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نجاسة ما انفصل في الغسلة المطهّرة للمحلّ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ماء قليل لاقى نجاسة فينجّس بها، كما لو وردت عليه</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و إن كان في أكثر تنظيراته للشقّ الأوّل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في المدارك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في شرح الدروس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كلّيّة 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ما سبق منه في ذيل مسألة انفعال القليل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ليس في شيء من تلك الروايات دلالة على انفعال القليل بوروده على النجاسة، بل و لا على انفعاله بكلّما يرد عليه من النجاسات</w:t>
      </w:r>
      <w:r>
        <w:rPr>
          <w:rFonts w:eastAsia="Amiri" w:cs="Amiri" w:ascii="Amiri" w:hAnsi="Amiri"/>
          <w:color w:val="111111"/>
          <w:sz w:val="28"/>
          <w:szCs w:val="28"/>
          <w:rtl w:val="true"/>
          <w:lang w:bidi="ar-SA"/>
        </w:rPr>
        <w:t>»</w:t>
      </w:r>
      <w:r>
        <w:rPr>
          <w:rStyle w:val="FootnoteAnchor"/>
          <w:rtl w:val="true"/>
        </w:rPr>
        <w:footnoteReference w:id="115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أسلفناه في دفع القول بالفرق بين الورودين، و عن الثاني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أسلفناه أيضا في إثبات العموم بالقياس إلى كافّة النجاسات، مضافا إلى عدم ابتناء المطلب على ثبوت العموم بالقياس إلى أنواع النجاسة، و لا العموم بالقياس إلى أفراد الماء، بل يثبت ذلك في النوع الّذي يقول المعترض بكونه سببا للانفعال؛ لابتنائه على إحراز العموم بالنسبة إلى كيفيّات الملاقاة المستفادة سببا للتنجيس من الأخبار الواردة في المسألة، و هو محرز جزما بملاحظة ما في أكثر تلك الأخبار من الإطلاق الشامل لكون الملاقاة منبعثة عن إرادة التطهير حاصلة في الغسلة الاولى أو الثانية أو غيرها ممّا ثبت وجوبه شرعا أو لم تكن منبعثة عنه، استتبعت طهارة المحلّ أو لا، و يكفيك شاهدا </w:t>
      </w:r>
    </w:p>
    <w:p>
      <w:pPr>
        <w:pStyle w:val="BookText"/>
        <w:rPr/>
      </w:pPr>
      <w:r>
        <w:rPr>
          <w:rFonts w:ascii="Amiri" w:hAnsi="Amiri" w:eastAsia="Amiri" w:cs="Amiri"/>
          <w:color w:val="111111"/>
          <w:sz w:val="28"/>
          <w:sz w:val="28"/>
          <w:szCs w:val="28"/>
          <w:rtl w:val="true"/>
          <w:lang w:bidi="ar-SA"/>
        </w:rPr>
        <w:t>بذلك مفهوم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العموم في المفهوم لمكان 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ارتفاع السلب الكلّي في المنطوق أعمّ من الإيجاب الكلّي في المفهوم،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من اللّه فلا تخف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فلا تكرمه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فيها ممّا ذكرناه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ما في الملاقاة المستفادة من الرواية منطوقا و مفهوما من الإطلاق الشامل لمحلّ البحث؛ لعدم ورود ما ينافيه بالقياس إليه، و إنّما ورد عليها ما أخرجها عن هذا الإطلاق بالقياس إلى مواضع ليس المقام منها، فلا مجال إلى رفع اليد عنه بالنسبة إليه لمجرّد الاحتمال؛ إذ الاحتمال لا يعارض الحجّة، و الظاهر الناشئ من الإطلاق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ندّعي كون ملاقاة النجاسة علّة تامّة للانفعال؛ كيف و هو منتقض بالكرّ، و القليل من الجاري، و العالي من الراكد، و المستعمل في الاستنجاء، و غيره ممّا يعدّ من مستثنيات قاعدة انفعال القليل، بل غرضنا أنّ المستفاد من أدلّة انفعال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أدلّة الكرّ، و الأدلّة الواردة في الجاري و المستعلي، و المستعمل في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ملاقاة النجاسة سببا للانفعال، بالمعنى المصطلح عليه عند الاصولي الّذي يجامع فقد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شروط التأثير لا انعقاد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راجعا إلى التأثير أيضا دون أصل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تأثيره شرط أثبته الأدلّة و هو القلّة، بناء على ما مرّ تحقيقه في أوائل الكتاب من أنّ الكرّيّة إنّما اعتبرت لكونها ملزومة لانتفاء شرط الانفعال كاشفة عنه، لا لكونها سببا لعدم الانفعال؛ كيف و أنّ المسبّب لا يتخلّف عن سببه، و قد ترى تخلّفه في الماء المتغيّر بالنجاسة و إن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مثله علينا في دعوى الملازمة؛ لأنّ الانفعال له عندنا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بسيطة و هو التغيّر، بناء على ما قرّرناه لك عند الجمع بين أدلّة التغيّر، و الأدلّة المخرجة لماء الاستنجاء، و أخراهما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و هي الملاقاة مع القلّة و غيرها ممّا اعتبر عدمه من الموانع، فالكرّيّة إذا اجتمعت مع عدم التغيّر فقد جامعت فقد ما هو شرط للانفعال، و إذا اجتمعت مع التغيّر فقد صادفت ما هو علّة تامّة للانفعال، و لا حكم لها حينئذ، و معه </w:t>
      </w:r>
    </w:p>
    <w:p>
      <w:pPr>
        <w:pStyle w:val="BookText"/>
        <w:rPr/>
      </w:pPr>
      <w:r>
        <w:rPr>
          <w:rFonts w:ascii="Amiri" w:hAnsi="Amiri" w:eastAsia="Amiri" w:cs="Amiri"/>
          <w:color w:val="111111"/>
          <w:sz w:val="28"/>
          <w:sz w:val="28"/>
          <w:szCs w:val="28"/>
          <w:rtl w:val="true"/>
          <w:lang w:bidi="ar-SA"/>
        </w:rPr>
        <w:t xml:space="preserve">لا يمكن حمل التعليق على إفادة السببيّة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مناط القول بحجّيّة مفهوم الشرط عند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يحمل بعد ذلك على إفادة العلقة الشرطيّة فيما بين المقدّم و التالي، فتكون أحد شروط عدم الانفعال، أو على إفادة مطلق الملازمة فيما بينهما من غير علقة سبب و لا شرط، فتكون ملزومة لانتفاء شرط الانفعال كاشفة عنه، و لا سبيل إلى الأوّل؛ لأنّ ما يتوقّف عليه الشيء لا ينفكّ عنه ذلك الشيء، و إلاّ لم يكن شرطا، و قد رأينا انفكاكه في المستثنيات،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على سبيل البدليّة، و لكنّه خلاف ما يظهر من التعبير من الرواية، فلا بدّ من حمله على الثاني، فيكون القلّة على ذلك شرطا للانفعال، و لا ينافيه التخلّف في المستثنيات؛ لأنّ الشرط ما لا يلزم من وجوده الوجود لكثرة مقابلته لوجود موانع أو فقد شروط، و المفروض أنّ ما أثبته الأدلّة سببا للانفعال بشرط القلّة له موانع قد أثبتها الأدلّة المخصّصة لأدلّة الانفعال، كالجريان عن نبع، و علوّ الملاقي و نحوه ممّا سبق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الملاقاة سبب و شرطها القلّة و له موانع، فهو متحقّق في المقام بهذا الشرط مع فقد الموانع المذكورة، فيجب تأثيرها؛ ضرورة أنّ الأثر لا يتخلّف عن مقتضيه الموجود المصادف لفقد الموانع، و لو كان ذلك بحسب ظاهر اللفظ عن إطلاق أو عموم،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حيثيّة رفع الخبث، أو الاستعمال من جهته في غير جهة الاستنجاء من جملة الموانع تقتضي تقييد الملاقاة في حكم الشرع عليها بالسببيّة بلا دليل؛ إذ المفروض كون الأدلّة المقامة على تلك الدعوى على ما يأتي ذكرها مدخولة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المشايخ العظام</w:t>
      </w:r>
      <w:r>
        <w:rPr>
          <w:rStyle w:val="FootnoteAnchor"/>
          <w:rtl w:val="true"/>
        </w:rPr>
        <w:footnoteReference w:id="1154"/>
      </w:r>
      <w:r>
        <w:rPr>
          <w:rFonts w:ascii="Amiri" w:hAnsi="Amiri" w:eastAsia="Amiri" w:cs="Amiri"/>
          <w:color w:val="111111"/>
          <w:sz w:val="28"/>
          <w:sz w:val="28"/>
          <w:szCs w:val="28"/>
          <w:rtl w:val="true"/>
          <w:lang w:bidi="ar-SA"/>
        </w:rPr>
        <w:t>من أجاب عن المناقشة المذكورة بوجوه، ثالثها ما يرجع في حاصل المعنى إلى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محصّلة إلى ما هو التحقيق في دليل حجّيّة مفهوم الشرط، من إفادة التعليق على الشرط في متفاهم العرف كونه سببا تامّا للجزاء على جهة الانحصار، و معه لا يعقل إنكار العموم في مفهوم الرواية، إلاّ على القول بإنكار حجّيّة مفهوم الشرط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إذا فرضناه سببا تامّا للجزاء على جهة الانحصار،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لا بدّ من وجوده في جميع موارد وجود الشرط، و انتفائه في جميع موارد انتفائه، </w:t>
      </w:r>
    </w:p>
    <w:p>
      <w:pPr>
        <w:pStyle w:val="BookText"/>
        <w:rPr/>
      </w:pPr>
      <w:r>
        <w:rPr>
          <w:rFonts w:ascii="Amiri" w:hAnsi="Amiri" w:eastAsia="Amiri" w:cs="Amiri"/>
          <w:color w:val="111111"/>
          <w:sz w:val="28"/>
          <w:sz w:val="28"/>
          <w:szCs w:val="28"/>
          <w:rtl w:val="true"/>
          <w:lang w:bidi="ar-SA"/>
        </w:rPr>
        <w:t>و إلاّ فلو لم يوجد في بعض موارد وجوده، أو لم ينتف في بعض موارد انتفائه لم يكن الشرط على الأوّل سببا، و لا على الثاني سببا منحصرا فيه، كما إليه يرجع كلام السيّد المرتضى المنكر لحجّيّة مفهوم الشرط، تعويلا على مجرّد احتمال تعدّد الأسباب، و كلاهما خلاف الفرض ممّا يظهر من قضيّة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ضير في القول بوجود الجزاء مع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بتعدّد أسبابه من الخارج، كما علمناه في المثالين المتقدّم إليهما الإشارة، حيث نعلم أنّ لعدم الخوف من آحاد الناس أسبابا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و لعدم إكرام كثير من آحاد الناس أسبابا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زيد، غير أنّه خارج عن القول بحجّيّة المفهوم، وارد على خلاف ما يظهر من اللفظ عرفا، من جهة القرينة الخارجة، و مع انتفائها فالمتّبع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كون المفهوم من السلب الكلّي الإيجاب الكلّي، و من الإيجاب الكلّي السلب الكلّي، و معه لا مجال إلى إنكار عموم المفهوم في قضيّة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و كون مفهومه الإيجاب الكلّي القاضي بانفعال القليل بكلّ نجاسة</w:t>
      </w:r>
      <w:r>
        <w:rPr>
          <w:rFonts w:eastAsia="Amiri" w:cs="Amiri" w:ascii="Amiri" w:hAnsi="Amiri"/>
          <w:color w:val="111111"/>
          <w:sz w:val="28"/>
          <w:szCs w:val="28"/>
          <w:rtl w:val="true"/>
          <w:lang w:bidi="ar-SA"/>
        </w:rPr>
        <w:t>»</w:t>
      </w:r>
      <w:r>
        <w:rPr>
          <w:rStyle w:val="FootnoteAnchor"/>
          <w:rtl w:val="true"/>
        </w:rPr>
        <w:footnoteReference w:id="1156"/>
      </w:r>
      <w:r>
        <w:rPr>
          <w:rFonts w:ascii="IRNazanin" w:hAnsi="IRNazanin" w:eastAsia="IRNazanin"/>
          <w:color w:val="111111"/>
          <w:sz w:val="28"/>
          <w:sz w:val="28"/>
          <w:szCs w:val="28"/>
          <w:rtl w:val="true"/>
          <w:lang w:bidi="fa-IR"/>
        </w:rPr>
        <w:t>انتهى محصّلا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مدّ ظلّه إنّما أورد هذا الجواب في مقام الجدل، لما فيه من الكفاية في دفع كلام الخصم، لكونه دفعا لاعتراضه من الجهة الّتي سبقت إليه في توجيه هذا الاعتراض و ليس جوابا تحقيقيّا، و إلاّ فلا إشكال في أنّ إثبات العموم بالمعنى المذكور ممّا لا تحسم مادّة الإشكال بالقياس إلى ما هو من محلّ البحث؛ إذ بعد تسليم أنّ كلّ نجس ينجّس الماء القليل من غير استثناء شيء من أفراد النجس، و لا استثناء شيء من أفراد الماء، فالإشكال بالنسبة إلى أحوال الملاقاة على حاله، لجواز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من هذه القضيّة الكلّيّة أنّ ملاقاة كلّ نجس سبب للانفعال في جميع أحوالها؛ إذ لا ملازمة بين العمومين، كما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يدلّ على أنّه محبّه في جميع أحواله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الحاسم لمادّة الإشكال إنّما هو العموم من الجهة المذكورة أيضا لا مجرّدة من جهة الأفراد و لا يلزم من كون الشرط علّة منحصرة للجزاء إلاّ ثبوت العموم من جهة الأفراد و يبقى إثبات العموم الآخر محتاجا إلى دليل آخر، و لذا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في ثالث الأجوبة عن ذلك إلى 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ما أفاده مدّ ظلّه في الجواب،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سلّمنا عدم دلالة المفهوم بمقتضى نفس التركيب على العموم، لكن القرينة هنا عليه موجودة؛ لأنّ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المنطوق ليس كلّ شيء من أشياء العالم، بل المراد ما من شأنه تنجيس ملاقيه من النجاسات المقتضية للتنجيس فإذا فرض كلّ فرد منها مقتضيا للتنجيس، و كانت الكرّيّة مانعة، لزم عند انتفاء الكرّيّة المانعة ثبوت الحكم المنفيّ لكلّ فرد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باقتضائه السليم من منع المانع، و أوّل المثالين من هذا القبيل، فإنّ المنفيّ مع ثبوت الخوف من اللّه هو الخوف من كلّ من يوجد فيه مقتضى الخوف منه، فمع عدم الخوف من اللّه يثبت الخوف من كلّ واحد من هذه المخوفات باقتضاء نفسه، و من هذا القبيل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توكّلت على اللّه فلا يضرّك ضارّ</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ظنّي أنّ ذلك منه مدّ ظلّه وقع في غير محلّه،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فرض كلّ فرد منها مقتضيا للتنجيس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محلّ الكلام؛ إذ الخصم لا يسلّم أنّ كلّ فرد من النجاسات مقتض لتنجيس الماء، فلا بدّ في تتميم الدليل من تحقيق هذا الفرض و إثبات عنوان الشأنيّة لكلّ نجس، فلو اريد إثباته بالخارج كان خروجا عن الاستدلال بالرواية كما لا يخفى، و لو اريد إثباته بنفس الرواية اتّجه إليه المنع المتقدّم في تقرير الاعتراض، و لو أرسل ذلك بعدم إقامة دليل على إثباته كان إبقاء لشبهة المعترض على حالها، من أنّ ما يثبت في جانب المفهوم ليس إلاّ قضيّة مهملة هي في قوّة الجزئيّة، و أنّ رفع السلب الكلّي أعمّ من الإيجاب الكلّي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بناءه مدّ ظلّه في توجيه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مسوقة لبيان مانعيّة الكرّ عن الانفعال، و عليه فرّع أصالة الانفعال الّتي بنى عليها الأمر في كلّ ماء مشكوك حاله من حيث الانفعال و عدمه، و قد مرّ منعه بغير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أنّه لو بنى في توجيه الرواية على كونها لبيان المانعيّة أشكل إثبات نجاسة ماء الغسالة، بل أشكل الاستدلال بها على انفعال القليل على الإطلاق؛ لأنّ أقصى ما يستفاد منها حينئذ أنّ الكرّيّة حيثما وجدت كانت مستلزمة لعدم الانفعال؛ لأنّ المانع ما يلزم من وجوده العدم، و أمّا أنّ عدمها يستلزم الانفعال فلا؛ إذ المانع ما لا يلزم من عدمه الوجود، فالجمع بين هذا التوجيه و الاستدلال بها في كلا المقامين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قرّرنا في توجيه الاستدلال، و ما أثبتناه من نجاسة ماء الغسالة، ظهر وجه المنع الوارد في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أو يغتسل به من الجنابة، لا يتوضّأ منه</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فإنّ هذا المنع الجامع للنوعين معا إمّا من جهة وجود المانع في كليهما و هو النجاسة، أو من جهة فقد المقتضي عن كليهما و هو انسلاخ الطهوريّة عنهما بالاستعمال، أو من جهة وجود المانع في الأوّل و فقد المقتضي في الثاني،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مع الأخير منفيّان كلّ بالإجماع على طهارة ما يستعمل في الغسل، و بقي المتوسّطان محتملين معا، غير أنّ الأوّل منهما أيضا منفيّ بما دلّ على نجاسة ماء الغسالة، فإنّه بمنزلة البيان لتلك الرواية فتعيّن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أنّه لا يمكن الاستدلال بتلك الرواية على النجاسة بجعلها دليلا مستقلاّ عليها، فالاستدلال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w:t>
      </w:r>
      <w:r>
        <w:rPr>
          <w:rStyle w:val="FootnoteAnchor"/>
          <w:rtl w:val="true"/>
        </w:rPr>
        <w:footnoteReference w:id="1159"/>
      </w:r>
      <w:r>
        <w:rPr>
          <w:rFonts w:ascii="IRNazanin" w:hAnsi="IRNazanin" w:eastAsia="IRNazanin"/>
          <w:color w:val="111111"/>
          <w:sz w:val="28"/>
          <w:sz w:val="28"/>
          <w:szCs w:val="28"/>
          <w:rtl w:val="true"/>
          <w:lang w:bidi="fa-IR"/>
        </w:rPr>
        <w:t>عن المعتبر</w:t>
      </w:r>
      <w:r>
        <w:rPr>
          <w:rStyle w:val="FootnoteAnchor"/>
          <w:rtl w:val="true"/>
        </w:rPr>
        <w:footnoteReference w:id="1160"/>
      </w:r>
      <w:r>
        <w:rPr>
          <w:rFonts w:ascii="IRNazanin" w:hAnsi="IRNazanin" w:eastAsia="IRNazanin"/>
          <w:color w:val="111111"/>
          <w:sz w:val="28"/>
          <w:sz w:val="28"/>
          <w:szCs w:val="28"/>
          <w:rtl w:val="true"/>
          <w:lang w:bidi="fa-IR"/>
        </w:rPr>
        <w:t>، و المنتهى</w:t>
      </w:r>
      <w:r>
        <w:rPr>
          <w:rStyle w:val="FootnoteAnchor"/>
          <w:rtl w:val="true"/>
        </w:rPr>
        <w:footnoteReference w:id="1161"/>
      </w:r>
      <w:r>
        <w:rPr>
          <w:rFonts w:ascii="Amiri" w:hAnsi="Amiri" w:eastAsia="Amiri" w:cs="Amiri"/>
          <w:color w:val="111111"/>
          <w:sz w:val="28"/>
          <w:sz w:val="28"/>
          <w:szCs w:val="28"/>
          <w:rtl w:val="true"/>
          <w:lang w:bidi="ar-SA"/>
        </w:rPr>
        <w:t>، ضعيف جدّا، و نظيره في الضعف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تشعر بطهارة ماء الغسالة، حيث جمع فيها بينه و بين المستعمل في الغسل الّذي هو طاهر إجماعا، فإنّ اتّحاد شيئين في الحكم لا يقضي باتّحاد الجهة و علّة ذلك الحكم، كما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يبقى في المقام شيء و هو أنّ في الشرح المشار إليه للأستاذ</w:t>
      </w:r>
      <w:r>
        <w:rPr>
          <w:rStyle w:val="FootnoteAnchor"/>
          <w:rtl w:val="true"/>
        </w:rPr>
        <w:footnoteReference w:id="1162"/>
      </w:r>
      <w:r>
        <w:rPr>
          <w:rFonts w:ascii="Amiri" w:hAnsi="Amiri" w:eastAsia="Amiri" w:cs="Amiri"/>
          <w:color w:val="111111"/>
          <w:sz w:val="28"/>
          <w:sz w:val="28"/>
          <w:szCs w:val="28"/>
          <w:rtl w:val="true"/>
          <w:lang w:bidi="ar-SA"/>
        </w:rPr>
        <w:t xml:space="preserve">نسبته الاستدلال بها إلى العلاّمة في المنتهى و لعلّه اشتباه؛ لأنّ العلاّمة في المنتهى لم يورد هذه الرواية في تلك المسألة، و لا أنّه تمسّك بها على مطلوبه، و إنّما أورده بعد الفراغ عن تلك المسألة </w:t>
      </w:r>
    </w:p>
    <w:p>
      <w:pPr>
        <w:pStyle w:val="BookText"/>
        <w:rPr/>
      </w:pPr>
      <w:r>
        <w:rPr>
          <w:rFonts w:ascii="Amiri" w:hAnsi="Amiri" w:eastAsia="Amiri" w:cs="Amiri"/>
          <w:color w:val="111111"/>
          <w:sz w:val="28"/>
          <w:sz w:val="28"/>
          <w:szCs w:val="28"/>
          <w:rtl w:val="true"/>
          <w:lang w:bidi="ar-SA"/>
        </w:rPr>
        <w:t>في مسألة عدم جواز استعمال ماء الغسالة في رفع الحدث، و أسند التمسّك بها إلى الشيخ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الحدث بمثل هذا الماء أو بغيره ممّا يزيل النجاسة لا يجوز إجماعا، أمّا على قولنا فظاهر، و أمّا على قول الشيخ فلما رواه عبد اللّه بن سنان عن أبي عبد اللّه عليه السّلام الحديث</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بتلك الرواية من أيّ أحد كان ليس في محلّه، و كان القدح فيها دلالة بعد القدح في سندها في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الاستدلال على هذا المطلب بما رواه 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الشيخ خاصّة في الخلاف</w:t>
      </w:r>
      <w:r>
        <w:rPr>
          <w:rStyle w:val="FootnoteAnchor"/>
          <w:rtl w:val="true"/>
        </w:rPr>
        <w:footnoteReference w:id="1164"/>
      </w:r>
      <w:r>
        <w:rPr>
          <w:rFonts w:ascii="Amiri" w:hAnsi="Amiri" w:eastAsia="Amiri" w:cs="Amiri"/>
          <w:color w:val="111111"/>
          <w:sz w:val="28"/>
          <w:sz w:val="28"/>
          <w:szCs w:val="28"/>
          <w:rtl w:val="true"/>
          <w:lang w:bidi="ar-SA"/>
        </w:rPr>
        <w:t>، و استند إليه العلاّمة من غير قدح فيها سندا و دلالة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طشت فيه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بول أو قذر فيغسل ما أصابه</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و دلالته على المطلب بملاحظة ما فيها من الإطلاق الشامل لما انفصل عن الغسلة مطلقا، بل ظهورها في هذا المعنى بناء على ما تقدّم منّا</w:t>
      </w:r>
      <w:r>
        <w:rPr>
          <w:rStyle w:val="FootnoteAnchor"/>
          <w:rtl w:val="true"/>
        </w:rPr>
        <w:footnoteReference w:id="1166"/>
      </w:r>
      <w:r>
        <w:rPr>
          <w:rFonts w:ascii="Amiri" w:hAnsi="Amiri" w:eastAsia="Amiri" w:cs="Amiri"/>
          <w:color w:val="111111"/>
          <w:sz w:val="28"/>
          <w:sz w:val="28"/>
          <w:szCs w:val="28"/>
          <w:rtl w:val="true"/>
          <w:lang w:bidi="ar-SA"/>
        </w:rPr>
        <w:t xml:space="preserve">في بحث الاستنجاء من توجيهها عند شرح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لا إشكال فيه، و ما عن الشهيد في الذكرى</w:t>
      </w:r>
      <w:r>
        <w:rPr>
          <w:rStyle w:val="FootnoteAnchor"/>
          <w:rtl w:val="true"/>
        </w:rPr>
        <w:footnoteReference w:id="1167"/>
      </w:r>
      <w:r>
        <w:rPr>
          <w:rFonts w:ascii="Amiri" w:hAnsi="Amiri" w:eastAsia="Amiri" w:cs="Amiri"/>
          <w:color w:val="111111"/>
          <w:sz w:val="28"/>
          <w:sz w:val="28"/>
          <w:szCs w:val="28"/>
          <w:rtl w:val="true"/>
          <w:lang w:bidi="ar-SA"/>
        </w:rPr>
        <w:t>من تكلّف حملها على صورة التغيّر ممّا لا يلتفت إليه، لكونه قطعا للظاهر بلا داع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شرح الدروس</w:t>
      </w:r>
      <w:r>
        <w:rPr>
          <w:rStyle w:val="FootnoteAnchor"/>
          <w:rtl w:val="true"/>
        </w:rPr>
        <w:footnoteReference w:id="1168"/>
      </w:r>
      <w:r>
        <w:rPr>
          <w:rFonts w:ascii="Amiri" w:hAnsi="Amiri" w:eastAsia="Amiri" w:cs="Amiri"/>
          <w:color w:val="111111"/>
          <w:sz w:val="28"/>
          <w:sz w:val="28"/>
          <w:szCs w:val="28"/>
          <w:rtl w:val="true"/>
          <w:lang w:bidi="ar-SA"/>
        </w:rPr>
        <w:t>، من منع دلالة الجملة الخبريّة على الوجوب، فإنّ المحقّق في محلّه الدلالة، مع عدم ابتناء ثبوت المطلب على ثبوت تلك الدلالة، بل يكفي فيه كونه إخبارا في مقام الإرشاد و بيان الواقع كما لا يخفى، و أضعف من الجميع ما عن الأمين الأسترآبادي</w:t>
      </w:r>
      <w:r>
        <w:rPr>
          <w:rStyle w:val="FootnoteAnchor"/>
          <w:rtl w:val="true"/>
        </w:rPr>
        <w:footnoteReference w:id="1169"/>
      </w:r>
      <w:r>
        <w:rPr>
          <w:rFonts w:ascii="Amiri" w:hAnsi="Amiri" w:eastAsia="Amiri" w:cs="Amiri"/>
          <w:color w:val="111111"/>
          <w:sz w:val="28"/>
          <w:sz w:val="28"/>
          <w:szCs w:val="28"/>
          <w:rtl w:val="true"/>
          <w:lang w:bidi="ar-SA"/>
        </w:rPr>
        <w:t>من حملها على كون الاستنجاء في الطشت إنّما وقع بعد التغوّط أو البول فيه، مدّعيا أنّ ذلك مقتضى العادة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الرواية ليست مسوقة لبيان حكم الاستنجاء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العادة بالاستنجاء على الطشت و إن وقع نادرا لضرورة، و أمّا رفع الأخباث عليه و لا سيّما في الفروش و غيرها من الثياب الغير المنقولة كاللحاف و نحوه شائع معتاد جزما، و على فرض صحّة ما ذكر فالعادة المدّعاة ممنوعة، كما أشار إليه في الحدائق</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ربّما يناقش في الرواية بما هو جيّد في ظاهر الحال، و هو القدح في سندها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أنّها غير موجودة في كتب الأخبار الموجودة الآن،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فيها من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الخطب في ذلك هيّن، لوضوح 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الشيخ لها في خلافه لا تقصر عن روايته في تهذيبه و استبصاره، بل الأوّل أولى بالتعويل عليه في نظر الاعتبار، لأنّه إنّما ذكرها مستندا إليها في الفتوى بخلاف الثاني، لكثرة ما فيه من ذكره لمجرّد الضبط من دون استناده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فيها من الإرسال لحذفه الوسائط فغير قادح أيضا، لظهور أنّه إنّما وجدها في كتاب العيص مع ملاحظة ما ذكره في الفهرست</w:t>
      </w:r>
      <w:r>
        <w:rPr>
          <w:rStyle w:val="FootnoteAnchor"/>
          <w:rtl w:val="true"/>
        </w:rPr>
        <w:footnoteReference w:id="1171"/>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بنفسه على ما صرّح به النجاشي</w:t>
      </w:r>
      <w:r>
        <w:rPr>
          <w:rStyle w:val="FootnoteAnchor"/>
          <w:rtl w:val="true"/>
        </w:rPr>
        <w:footnoteReference w:id="1172"/>
      </w:r>
      <w:r>
        <w:rPr>
          <w:rFonts w:ascii="Amiri" w:hAnsi="Amiri" w:eastAsia="Amiri" w:cs="Amiri"/>
          <w:color w:val="111111"/>
          <w:sz w:val="28"/>
          <w:sz w:val="28"/>
          <w:szCs w:val="28"/>
          <w:rtl w:val="true"/>
          <w:lang w:bidi="ar-SA"/>
        </w:rPr>
        <w:t>و العلاّمة في الخلاصة</w:t>
      </w:r>
      <w:r>
        <w:rPr>
          <w:rStyle w:val="FootnoteAnchor"/>
          <w:rtl w:val="true"/>
        </w:rPr>
        <w:footnoteReference w:id="1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يروي عن أبي عبد اللّه عليه السّلام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طريق الشيخ إليه على ما صرّح به غير واحد حسن و هو كذلك، لأنّه قال في الفهرست</w:t>
      </w:r>
      <w:r>
        <w:rPr>
          <w:rStyle w:val="FootnoteAnchor"/>
          <w:rtl w:val="true"/>
        </w:rPr>
        <w:footnoteReference w:id="1174"/>
      </w:r>
      <w:r>
        <w:rPr>
          <w:rFonts w:ascii="Amiri" w:hAnsi="Amiri" w:eastAsia="Amiri" w:cs="Amiri"/>
          <w:color w:val="111111"/>
          <w:sz w:val="28"/>
          <w:sz w:val="28"/>
          <w:szCs w:val="28"/>
          <w:rtl w:val="true"/>
          <w:lang w:bidi="ar-SA"/>
        </w:rPr>
        <w:t>على ما في منتهى المقال</w:t>
      </w:r>
      <w:r>
        <w:rPr>
          <w:rStyle w:val="FootnoteAnchor"/>
          <w:rtl w:val="true"/>
        </w:rPr>
        <w:footnoteReference w:id="1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ابن أبي جيد، عن ابن الوليد، عن محمّد بن الحسن الصفّار و الحسن بن متّيل، عن إبراهيم بن هاشم، عن ابن أبي عمير و صفوان، عن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إلاّ إبراهيم بن هاشم و ابن أبي جيد، و هو عليّ بن أحمد بن أبي جيد، و الأوّل حاله معلوم من حيث أنّ السند من جهته يعدّ عندهم حسنا، و ربّما يطلق عليه الحسن كالصحيح، و الثاني من ذكر الشيخ في ترجمته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إماميّا مستقيم الطريقة، و صنّف كتبا كثيرة سديدة</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الشيخ الرواية عنه في الرجال و كتابي </w:t>
      </w:r>
    </w:p>
    <w:p>
      <w:pPr>
        <w:pStyle w:val="BookText"/>
        <w:rPr/>
      </w:pPr>
      <w:r>
        <w:rPr>
          <w:rFonts w:ascii="Amiri" w:hAnsi="Amiri" w:eastAsia="Amiri" w:cs="Amiri"/>
          <w:color w:val="111111"/>
          <w:sz w:val="28"/>
          <w:sz w:val="28"/>
          <w:szCs w:val="28"/>
          <w:rtl w:val="true"/>
          <w:lang w:bidi="ar-SA"/>
        </w:rPr>
        <w:t>الحديث يدلّ على ثقته و عدالته و فضله، كما ذكره بعض المعاصرين يعني خالي</w:t>
      </w:r>
      <w:r>
        <w:rPr>
          <w:rStyle w:val="FootnoteAnchor"/>
          <w:rtl w:val="true"/>
        </w:rPr>
        <w:footnoteReference w:id="1177"/>
      </w:r>
      <w:r>
        <w:rPr>
          <w:rFonts w:ascii="IRNazanin" w:hAnsi="IRNazanin" w:eastAsia="IRNazanin"/>
          <w:color w:val="111111"/>
          <w:sz w:val="28"/>
          <w:sz w:val="28"/>
          <w:szCs w:val="28"/>
          <w:rtl w:val="true"/>
          <w:lang w:bidi="fa-IR"/>
        </w:rPr>
        <w:t>و المحقّق الداماد</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من هذه الجهة ممّا لا ينبغي الاسترابة فيه، و كأنّ إسقاطه الوسائط مبنيّ على قاعدته المعروفة في كتابي الحديث، من أنّه إذا ترك بعض أسناد الحديث فإنّما يبدأ في أوّل السند باسم الرجل الّذي أخذ الحديث من كتابه، و أمّا ما فيه من الإضمار، فهو و إن اشتهر في الألسن كونه ممّا يوجب القدح في الحديث، غير أنّ التأمّل يقضي بخلافه، كما صرّح به جماعة منهم صاحب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الإضمار في أخبارنا فقد حقّق غير واحد من أصحابنا رضي اللّه عنهم أنّه غير قادح في الاعتماد على الخبر، فإنّ الظاهر أنّ منشأ ذلك هو أنّ أصحاب الأصول لمّا كان من عادتهم أن 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الإمام الّذي روى عنه،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حتّى ينتهي الأخبار الّتي رواها، كما يشهد به ملاحظة بعض الاصول الموجودة الآن ككتاب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فضّال</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و كتاب قرب الأسناد و غيرهما، و كان ما رواه عن ذلك الإمام أحكاما كثيرة مختلفة بعضها يتعلّق بالطهارة، و بعض بالصلاة، و بعض بالنكاح و هكذا، و المشايخ الثلاثة رضي اللّه عنهم لمّا بوّبوا الأخبار و رتّبوها اقتطعوا كلّ حكم من تلك الأحكام، و وضعوه في بابه بصورة ما هو مذكور في الأصل المنتزع منه، فوقع الاشتباه على الناظر بظنّ كون المسئول عنه غير الإمام، و جعل هذا من جملة ما يطعن به في الاعتماد على الخبر</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في غاية الجودة كما نشاهد في الناس، فإنّ العادة مستقرّة بأنّ من لو وقع بينه و بين غيره وقائع أو مسائل، فأراد حكاية تلك الوقائع أو المسائل لغيره فيصرّح باسم صاحبه أوّلا، ثمّ يحكي عنه كلّ مسألة مسألة مضمرا اسمه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لاحظ المستفتي في حكاية فتاوي مجتهده الّتي سأله عنها في مجلس </w:t>
      </w:r>
    </w:p>
    <w:p>
      <w:pPr>
        <w:pStyle w:val="BookText"/>
        <w:rPr/>
      </w:pPr>
      <w:r>
        <w:rPr>
          <w:rFonts w:ascii="Amiri" w:hAnsi="Amiri" w:eastAsia="Amiri" w:cs="Amiri"/>
          <w:color w:val="111111"/>
          <w:sz w:val="28"/>
          <w:sz w:val="28"/>
          <w:szCs w:val="28"/>
          <w:rtl w:val="true"/>
          <w:lang w:bidi="ar-SA"/>
        </w:rPr>
        <w:t>واحد، و هي مسائل متفرّقة كلّ بعض منها متعلّقة بباب، و العادة أيضا جارية بأنّ الناقلين لتلك الوقائع أو المسائل عمّن يروون عنه، إذا أرادوا نقل كلّ واقعة أو مسألة في بابها اللائق بها، فلا يزالون يرتكبون التقطيع بين تلك الوقائع أو المسائل المسموعتين، و ينقلون كلّ واقعة و مسألة في بابهما اللائق بهما بصورة ما كانت مسموعة لهم من التصريح بالاسم، أو إضماره أو نحو ذلك، هذا فإنّه تحقيق عامّ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على المطلب الإجماع المنقول، اعتمد عليه شيخنا في الشرح المشار إليه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وصل إلينا منه ثلاث إجماعات، أحدها ما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على جسد الجنب أو المغتسل من حيض و شبهه نجاسة عينيّة، فالمستعمل إذا قلّ عن الكرّ نجس إجماعا، بل الحكم بالطهارة إنّما يكون مع الخلوّ عن النجاسة العينيّة</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 و ثانيها مع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الإشارة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التحرير</w:t>
      </w:r>
      <w:r>
        <w:rPr>
          <w:rStyle w:val="FootnoteAnchor"/>
          <w:rtl w:val="true"/>
        </w:rPr>
        <w:footnoteReference w:id="1183"/>
      </w:r>
      <w:r>
        <w:rPr>
          <w:rFonts w:ascii="IRNazanin" w:hAnsi="IRNazanin" w:eastAsia="IRNazanin"/>
          <w:color w:val="111111"/>
          <w:sz w:val="28"/>
          <w:sz w:val="28"/>
          <w:szCs w:val="28"/>
          <w:rtl w:val="true"/>
          <w:lang w:bidi="fa-IR"/>
        </w:rPr>
        <w:t>و المعتبر</w:t>
      </w:r>
      <w:r>
        <w:rPr>
          <w:rStyle w:val="FootnoteAnchor"/>
          <w:rtl w:val="true"/>
        </w:rPr>
        <w:footnoteReference w:id="1184"/>
      </w:r>
      <w:r>
        <w:rPr>
          <w:rFonts w:ascii="Amiri" w:hAnsi="Amiri" w:eastAsia="Amiri" w:cs="Amiri"/>
          <w:color w:val="111111"/>
          <w:sz w:val="28"/>
          <w:sz w:val="28"/>
          <w:szCs w:val="28"/>
          <w:rtl w:val="true"/>
          <w:lang w:bidi="ar-SA"/>
        </w:rPr>
        <w:t>، و عليهما اعتمد الاستاد</w:t>
      </w:r>
      <w:r>
        <w:rPr>
          <w:rStyle w:val="FootnoteAnchor"/>
          <w:rtl w:val="true"/>
        </w:rPr>
        <w:footnoteReference w:id="1185"/>
      </w:r>
      <w:r>
        <w:rPr>
          <w:rFonts w:ascii="Amiri" w:hAnsi="Amiri" w:eastAsia="Amiri" w:cs="Amiri"/>
          <w:color w:val="111111"/>
          <w:sz w:val="28"/>
          <w:sz w:val="28"/>
          <w:szCs w:val="28"/>
          <w:rtl w:val="true"/>
          <w:lang w:bidi="ar-SA"/>
        </w:rPr>
        <w:t>، حاكما عليهما بكونهما معتضدين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تعدّد الغسل و إهراق الغسلة الاولى بالكلّيّة من الظروف، و وجوب العصر فيما يجب فيه العصر، و عدم جواز تطهير ما لا يخرج عنه الماء بالماء القليل، بل بالماء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الكلّ واضح للمتأمّل، لجواز كون إيجاب التعدّد من جهة أنّ النجاسة لا تزول عن المحلّ بالمرّة إلاّ معه، و قد علم به الشارع الحكيم فأوجب التعدّد، و كون اعتبار الإهراق في الآنية و العصر في الثوب من جهة أنّ المطهّر حقيقة هو الصبّ مع الإهراق أو العصر، دون نفس الماء و إنّما هو شرط، و لا ينافيه إسناد المطهّرية إليه، لأنّه آلة فيتوسّع في الاستعمال، و لعلّه السرّ في اعتبار الكثرة فيما لا يخرج عنه الماء، فإنّ المطهّر لمّا كان مركّبا من الصبّ و العصر و هو غير ممكن في المفروض، فأقام الشارع مقامه الغسل بالكثير، لعلمه بأنّه أيضا نظير الأوّل في إفادة التطهير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يندفع ما نقض به الجواب عن اعتبار الإهراق في الأواني، بأنّ ذلك تعبّد من الشارع، أو أنّه من جهة توقّف تحقّق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إخراج الغسالة، من أنّه </w:t>
      </w:r>
    </w:p>
    <w:p>
      <w:pPr>
        <w:pStyle w:val="BookText"/>
        <w:rPr/>
      </w:pPr>
      <w:r>
        <w:rPr>
          <w:rFonts w:ascii="Amiri" w:hAnsi="Amiri" w:eastAsia="Amiri" w:cs="Amiri"/>
          <w:color w:val="111111"/>
          <w:sz w:val="28"/>
          <w:sz w:val="28"/>
          <w:szCs w:val="28"/>
          <w:rtl w:val="true"/>
          <w:lang w:bidi="ar-SA"/>
        </w:rPr>
        <w:t>فلم لا يجب إذا فرضنا الغسلة بإجراء ماء معتصم عليه كالكثير و الجاري و المطر؟ فعلم أنّ الإهراق ليس إلاّ لنجاسة الغسالة، فإذا غسل بالمعتصم لم ينفعل بملاقاة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بقى في المقام تفريعا على المختار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أن تكون البلّة الباقية على المحلّ بعد انفصال الغسالة عنه بالعصر أو الإفراغ نجسا، لأنّه جزء من النجس، بل قضيّة ذلك أن لا يطهّر المحلّ بالماء القليل أبدا، لكن ظاهر المنتهى</w:t>
      </w:r>
      <w:r>
        <w:rPr>
          <w:rStyle w:val="FootnoteAnchor"/>
          <w:rtl w:val="true"/>
        </w:rPr>
        <w:footnoteReference w:id="1186"/>
      </w:r>
      <w:r>
        <w:rPr>
          <w:rFonts w:ascii="Amiri" w:hAnsi="Amiri" w:eastAsia="Amiri" w:cs="Amiri"/>
          <w:color w:val="111111"/>
          <w:sz w:val="28"/>
          <w:sz w:val="28"/>
          <w:szCs w:val="28"/>
          <w:rtl w:val="true"/>
          <w:lang w:bidi="ar-SA"/>
        </w:rPr>
        <w:t>، و المحكي عن المعتبر</w:t>
      </w:r>
      <w:r>
        <w:rPr>
          <w:rStyle w:val="FootnoteAnchor"/>
          <w:rtl w:val="true"/>
        </w:rPr>
        <w:footnoteReference w:id="1187"/>
      </w:r>
      <w:r>
        <w:rPr>
          <w:rFonts w:ascii="Amiri" w:hAnsi="Amiri" w:eastAsia="Amiri" w:cs="Amiri"/>
          <w:color w:val="111111"/>
          <w:sz w:val="28"/>
          <w:sz w:val="28"/>
          <w:szCs w:val="28"/>
          <w:rtl w:val="true"/>
          <w:lang w:bidi="ar-SA"/>
        </w:rPr>
        <w:t xml:space="preserve">، المسند إلى ظاهر المشهور في الحدائق المدّعى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قطع به جمع من الأصحاب</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كونها طاهرة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الشافعي القائل بطهارة الغسالة، الاستدلال بأنّه جزء من المتّصل، و المتّصل طاهر، فكذا المنفصل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 هو لزوم المشقّة في تنجّس المتّصل دونه</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فإنّ الجواب بإبداء الفارق دون منع الحكم في المقيس عليه ينبئ عن اختياره الطهارة، كما يدلّ عليه أيضا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المشقّة في تنجّس المتّصل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منه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ما حكى عن الشيخ الاحتجاج على طهارة الغسالة في إناء الولوغ، بأنّه لو كان المنفصل نجسا لما طهّر الإناء، لأنّه كان يلزم نجاسة البلّة الباقية بعد المنفصل، ثمّ نجّس الماء الثاني بنجاسة البلّة، و كذا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أنّ ثبوت الطهارة بعد الثانية ثابت بالإجماع، فلا يقدح ما ذكره، و لأنّه معفوّ عنه رفعا للحرج</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و لا منافاة بين الحكم بالطهارة أوّلا، و الحكم بالعفو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إلى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كون العفو هنا مرادا به رفع النجاسة نفسها لا رفع حكمها فقط، و لو اريد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المعهود من معنى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قادحا أيضا، لجواز ابتنائه على التنزّل و المماشاة، و كيف كان فالعفو بهذا المعنى أحد الوجوه المحتملة في المقام، و لم ينقل اختياره صريحا عن أحد من أصحابنا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الأردبيلي</w:t>
      </w:r>
      <w:r>
        <w:rPr>
          <w:rStyle w:val="FootnoteAnchor"/>
          <w:rtl w:val="true"/>
        </w:rPr>
        <w:footnoteReference w:id="1191"/>
      </w:r>
      <w:r>
        <w:rPr>
          <w:rFonts w:ascii="Amiri" w:hAnsi="Amiri" w:eastAsia="Amiri" w:cs="Amiri"/>
          <w:color w:val="111111"/>
          <w:sz w:val="28"/>
          <w:sz w:val="28"/>
          <w:szCs w:val="28"/>
          <w:rtl w:val="true"/>
          <w:lang w:bidi="ar-SA"/>
        </w:rPr>
        <w:t>ذكره احتمالا، و هو محتمل القول الّذي حكاه الشهيد في حاشية الألفيّة</w:t>
      </w:r>
      <w:r>
        <w:rPr>
          <w:rStyle w:val="FootnoteAnchor"/>
          <w:rtl w:val="true"/>
        </w:rPr>
        <w:footnoteReference w:id="1192"/>
      </w:r>
      <w:r>
        <w:rPr>
          <w:rFonts w:ascii="Amiri" w:hAnsi="Amiri" w:eastAsia="Amiri" w:cs="Amiri"/>
          <w:color w:val="111111"/>
          <w:sz w:val="28"/>
          <w:sz w:val="28"/>
          <w:szCs w:val="28"/>
          <w:rtl w:val="true"/>
          <w:lang w:bidi="ar-SA"/>
        </w:rPr>
        <w:t xml:space="preserve">عن بعض الأصحاب، أعني القول بنجاسة الغسالة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w:t>
      </w:r>
    </w:p>
    <w:p>
      <w:pPr>
        <w:pStyle w:val="BookText"/>
        <w:rPr/>
      </w:pPr>
      <w:r>
        <w:rPr>
          <w:rFonts w:ascii="Amiri" w:hAnsi="Amiri" w:eastAsia="Amiri" w:cs="Amiri"/>
          <w:color w:val="111111"/>
          <w:sz w:val="28"/>
          <w:sz w:val="28"/>
          <w:szCs w:val="28"/>
          <w:rtl w:val="true"/>
          <w:lang w:bidi="ar-SA"/>
        </w:rPr>
        <w:t xml:space="preserve">طهارة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سنقرّر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من وجوه المقام النجاسة مطلقا، في مقابلة الطهارة مطلقا و العفو، و هذا ممّا لم يذهب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وجه رابع، و هو كونه طاهرا ما دام في المحلّ فإذا انفصل نجّس، و هو محكيّ في الحدائق و غيره عن صريح العلاّمة في القواعد،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مبنيّ على ما اختاره من عدم نجاسة القليل الّذي تزال به النجاسة إلاّ بعد الانفصال عن المحلّ، قال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المتخلّف في الثوب بعد عصره طاهر، فإن انفصل فهو نجس</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 أنّه إذا عصر الثوب من الغسل المعتبر في تطهيره حكم بطهارته قطعا، و المتخلّف عنه على حكم الطهارة، فلو بالغ أحد في عصره فانفصل منه شيء كان نجسا؛ لأنّ أثر ملاقاته للمحلّ النجس عنده إنّما يظهر بعد الانفصال</w:t>
      </w:r>
      <w:r>
        <w:rPr>
          <w:rFonts w:eastAsia="Amiri" w:cs="Amiri" w:ascii="Amiri" w:hAnsi="Amiri"/>
          <w:color w:val="111111"/>
          <w:sz w:val="28"/>
          <w:szCs w:val="28"/>
          <w:rtl w:val="true"/>
          <w:lang w:bidi="ar-SA"/>
        </w:rPr>
        <w:t>».</w:t>
      </w:r>
      <w:r>
        <w:rPr>
          <w:rStyle w:val="FootnoteAnchor"/>
          <w:rtl w:val="true"/>
        </w:rPr>
        <w:footnoteReference w:id="11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يترجّح في النظر القاصر، أنّها تتبع المحلّ فتكون طاهرة مطلقا، و ذلك لإجماع المسلمين المعلوم من عملهم في كافّة الأعصار و الأمصار، حيث إنّهم يغسلون أبدانهم و أثوابهم و أوانيهم، و يجرون عليها بعد ذلك و على ما فيها من البلل الباقية جميع أحكام الطهارة و لا يتأمّلون فيها، فيباشرون بها حال البلّة و حال عدمها في مآكلهم و مشاربهم و تطهيراتهم من الأخباث و الأحداث، فإذا غسلوا شيئا من الأبدان يدخلونه في المآكل و المشارب و مياه الوضوء و الغسل، أو شيئا من الثياب لا يتحرّزون عن ملاقاته لشيء من ذلك، أو شيئا من الأواني يجعلون عليه المأكل و المشرب و الوضوء و الغسول بلا تأمّل في شيء من ذلك، فلو لا المحلّ مع ما فيه من البلل طاهرين لما ساغ لهم شيء من ذلك، لإجماعهم الضروري على اشتراط الطهارة في جميع ما ذكر، و أخبارهم متواترة عليه معنى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ذلك مع ما ذكر من الإجماع الأوّل أنّ ما ليس بطاهر لا يجوز استعماله في المأكل و المشرب و الوضوء و الغسول، فينعكس ذلك بطريقة عكس النقيض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جاز استعماله في الامور المذكورة فهو طاهر، و العفو المدّعى في </w:t>
      </w:r>
    </w:p>
    <w:p>
      <w:pPr>
        <w:pStyle w:val="BookText"/>
        <w:rPr/>
      </w:pPr>
      <w:r>
        <w:rPr>
          <w:rFonts w:ascii="Amiri" w:hAnsi="Amiri" w:eastAsia="Amiri" w:cs="Amiri"/>
          <w:color w:val="111111"/>
          <w:sz w:val="28"/>
          <w:sz w:val="28"/>
          <w:szCs w:val="28"/>
          <w:rtl w:val="true"/>
          <w:lang w:bidi="ar-SA"/>
        </w:rPr>
        <w:t>هذا المقام إن اريد به سلب أحكام النجاسة في خصوص المباشرة حال الصلاة و نحوها، فكيف يجامعه المباشرة في الامور المذكورة، و لو اريد به سلب أحكام النجاسة مطلقة و لو في الموارد المذكورة فهو عين معنى الطهارة و معه ارتفع النزاع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نجاسة البلّة الباقية في المحلّ عرضيّة، حاصلة عن نجاسة المحلّ، فإذا أفاد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مجموع الصبّ مع العصر أو الإفراغ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المحلّ و زوال النجاسة الأصليّة عنه، فلأن يكون مفيدا لطهارة البلّة الباقية فيه و زوال نجاستها العرضيّة الحاصلة من النجاسة الأصليّة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يزيل النجاسة الأصليّة و لا يزيل النجاسة العرضيّة الحاصلة منها كما ترى، مع أنّه عند التحقيق ممّا لا يكاد يعقل، حيث إنّ العرضيّة معلولة من الأصليّة، و لا بقاء للمعلول بدون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الأصل علّة محدثة، فلا ضير في انعدامه، لجواز تخلّف العلّة المبقية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إنّما يستقيم إذا كان علّة الحدوث عين النجاسة الموجودة في المحلّ، لا الأثر الحاصل منها فيه، فإذا فرض زوال العين عن المحلّ لا يلزم منه زوال المعلول، لجواز استناده في البقاء إلى الأثر الحاصل منها في المحلّ، فنحن نفرض في محلّ الكلام كون علّة الحدوث و هو الأثر الحاصل في المحلّ بعد زوال العين، فحينئذ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هذه العلّة عن المحلّ بالغسل الشرعي،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زوالها، و الثاني باطل بالضرورة من الشرع القائم على أنّ الغسل الشرعي يوجب طهارة المحلّ، و الأوّل مستتبع للمحذور، و لا يعقل مع زوال كلّ من العين و الأثر عن المحلّ علّة اخرى يستند إليها بقاء نجاسة البلّة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المبقية هو كون ما بقى في المحلّ بلّة،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البلّة بطروّ اليبوسة على المحلّ، إمّا أن يكون شيء من أثر تلك النجاسة باقيا في المحلّ أو لا؟ و لا سبيل إلى شيء منهما،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المحذور،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فلقضائه بكون اليبوسة في غير ما حصل من الشمس في مواضع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ذكرها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المطهّرات، و هو ممّا لا أثر له في الشرع و لا دليل عليه أصلا، بل الأدلّة قائمة بخلافه، مع أنّ القول ببقاء النجاسة في البلّة ممّا يفضي إلى عدم قبول </w:t>
      </w:r>
    </w:p>
    <w:p>
      <w:pPr>
        <w:pStyle w:val="BookText"/>
        <w:rPr/>
      </w:pPr>
      <w:r>
        <w:rPr>
          <w:rFonts w:ascii="Amiri" w:hAnsi="Amiri" w:eastAsia="Amiri" w:cs="Amiri"/>
          <w:color w:val="111111"/>
          <w:sz w:val="28"/>
          <w:sz w:val="28"/>
          <w:szCs w:val="28"/>
          <w:rtl w:val="true"/>
          <w:lang w:bidi="ar-SA"/>
        </w:rPr>
        <w:t>المحلّ للطهارة أصلا؛ لأنّها ما دامت باقية لازمة للمحلّ و لا تنفكّ عنها، و هي على الفرض ملزومة للنجاسة، فكانت النجاسة لازمة للمحلّ، و هو كما ترى خلاف ما يظهر من الأدلّة، و القول بطهارة المحلّ مع نجاسة البلّة الباقية فيه كما ترى تناقض في المقالة، كما أنّ القول بعدم تأثّر المحلّ من تلك النجاسة مجازفة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الحكم بنجاسة البلّة ممّا يفضي إلى تجويز السفه على الشارع الحكيم في إيجابه الغسل و التطهير، إذ المفروض عدم انفكاك النجاسة العرضيّة عن المحلّ، فلأيّ فائدة أوجب على المكلّف تكلّف الغسل، و اعتبار العفو هنا مع أنّه ممّا لا محصّل له يشبه بكونه أكلا بالقفاء؛ لأنّ هذا العفو كما كان يمكن اعتباره بالنسبة إلى النجاسة العرضيّة، فكذلك كان يمكن بالنسبة إلى الأصل أيضا، فلم لم يعتبر فيه مع أنّه أسهل و أقرب إلى السمحة السهلة؟ مع أنّ القول بنجاسة البلّة مع العفو عنها ممّا يخالف مفاد الأدلّة من الأخبار المتواترة جدّا، الآمرة بالغسل في أنحاء النجاسات و تطهير أنواع المتنجّسات، و الواردة في تعليم كيفيّة ذلك و طريقه في المواضع الّتي يختلف باختلافها الكيفيّة؛ لأنّ مصبّ الجميع و المنساق منها عرفا و شرعا إنّما هو حصول الطهارة بذلك، و أنّ الغرض من اعتباره تحصيلها، و لا ريب أنّ الطهارة في المحلّ مع نجاسة البلّة الباقية فيه غير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أيضا خصوص موثّقة عمّار الساباطي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الكوز أو الإناء يكون قذرا، كيف يغسل؟ و كم مرّة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يصبّ فيه ماء فيحرّك فيه، ثمّ يفرغ ذلك الماء منه، ثمّ يصبّ ماء آخر فيحرّك فيه، ثمّ يفرغ ذلك الماء منه، ثمّ يصبّ فيه ماء آخر فيحرّك فيه ثمّ يفرغ منه، و قد طهر</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نجاسة البلّة الباقية ينفيها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 نجاسة البلّة تستلزم نجاسة المحلّ لا محالة، و احتمال كون المراد بالطهارة هنا العفو كما ترى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فرضنا البلّة طاهرة ما دامت في المحلّ، فأيّ شيء يوجب انقلاب حكمها إلى النجاسة لو فرض انفصالها بالمبالغة في العصر؟ و أيّ دليل من الشرع يقضي بذلك؟ مع أنّ الطهارة هو الأصل في الأشياء و لا سيّما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و أسّسناه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كون ذلك متفرّعا على القول بنجاسة ماء الغسالة بعد الانفصال خاصّة كما يأتي عن العلاّمة ممّا لا يصلح عذرا لفساد هذا القول من رأسه،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مقدار ما يبقى من البلّة في حكم الطهارة، فهو من فروع كيفيّة الغسل و يأتي التعرّض له في مباحث التطهير،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القول بنجاسة ماء الغسالة مطلقا في كلام أهل القول بها محتمل لأن يكون حكمه كالمحلّ قبل الغسل، و لأن يكون كالمحلّ قبل الغسلة المطهّرة كما صرّح به في شرح الدروس</w:t>
      </w:r>
      <w:r>
        <w:rPr>
          <w:rStyle w:val="FootnoteAnchor"/>
          <w:rtl w:val="true"/>
        </w:rPr>
        <w:footnoteReference w:id="1196"/>
      </w:r>
      <w:r>
        <w:rPr>
          <w:rFonts w:ascii="Amiri" w:hAnsi="Amiri" w:eastAsia="Amiri" w:cs="Amiri"/>
          <w:color w:val="111111"/>
          <w:sz w:val="28"/>
          <w:sz w:val="28"/>
          <w:szCs w:val="28"/>
          <w:rtl w:val="true"/>
          <w:lang w:bidi="ar-SA"/>
        </w:rPr>
        <w:t>، و الوجه في ذلك عدم تصريحهم باختيار شيء من ذلك، بل و لا إشعار في كلامهم باختيار أحد هذه الوجوه، لكون الحكم بالنجاسة واردا في كلامهم على الإطلاق كما صرّح به في الحدائق</w:t>
      </w:r>
      <w:r>
        <w:rPr>
          <w:rStyle w:val="FootnoteAnchor"/>
          <w:rtl w:val="true"/>
        </w:rPr>
        <w:footnoteReference w:id="1197"/>
      </w:r>
      <w:r>
        <w:rPr>
          <w:rFonts w:ascii="Amiri" w:hAnsi="Amiri" w:eastAsia="Amiri" w:cs="Amiri"/>
          <w:color w:val="111111"/>
          <w:sz w:val="28"/>
          <w:sz w:val="28"/>
          <w:szCs w:val="28"/>
          <w:rtl w:val="true"/>
          <w:lang w:bidi="ar-SA"/>
        </w:rPr>
        <w:t xml:space="preserve">، فما في هذا الكتاب عن جملة من المتأخّرين و متأخّريهم بالنسبة إلى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بالنجاسة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الغسالة كالمحلّ قبل الغسل</w:t>
      </w:r>
      <w:r>
        <w:rPr>
          <w:rStyle w:val="FootnoteAnchor"/>
          <w:rtl w:val="true"/>
        </w:rPr>
        <w:footnoteReference w:id="1198"/>
      </w:r>
      <w:r>
        <w:rPr>
          <w:rFonts w:ascii="Amiri" w:hAnsi="Amiri" w:eastAsia="Amiri" w:cs="Amiri"/>
          <w:color w:val="111111"/>
          <w:sz w:val="28"/>
          <w:sz w:val="28"/>
          <w:szCs w:val="28"/>
          <w:rtl w:val="true"/>
          <w:lang w:bidi="ar-SA"/>
        </w:rPr>
        <w:t xml:space="preserve">ليس على ما ينبغي، إن كان الغرض بيان كونه مذهب القائلين بهذا القول، و العجب عن صاحب هذا الكتاب أنّه حيثما عنون هذا القول عنونه بعبارة مصرّحة بكون حكمها كالمحلّ قبل الغسل، فيعتبر التعدّد فيما تلاقيه متى كان التعدّد معتبرا في المحلّ، ثمّ بالغ في إنكار هذا العنوان عند ذكر الفروع،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القول المشار إليه، المنقول عن جملة من المتأخّرين و متأخّريهم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بأنّي لم أجد له أثرا في كلام القائلين بهذا القول، كالمحقّق و العلاّمة، بل يحتمل أنّ مرادهم أنّها في حكم المحلّ قبل الغسلة، إذ غاية ما يدلّ عليه كلامهم هو النجاسة، و أمّا أنّه يجب فيما تلاقيه العدد المعتبر في المحلّ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ما في اقتصاره على الاحتمال المذكور، إذ قد عرفت جريان احتمال ثالث في كلامهم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المسألة مبنيّ على النظر في أنّ الأصل في تطهير النجاسات هل هو التعدّد، أو الاكتفاء بالمرّة؟ و له محلّ آخر يأتي إن شاء اللّه، و لكن الّذي يقوى في نظري القاصر إلى أن يقع التأمّل التامّ فيه في محلّه الآتي، هو الاكتفاء بالمرّة، وفاقا </w:t>
      </w:r>
    </w:p>
    <w:p>
      <w:pPr>
        <w:pStyle w:val="BookText"/>
        <w:rPr/>
      </w:pPr>
      <w:r>
        <w:rPr>
          <w:rFonts w:ascii="IRNazanin" w:hAnsi="IRNazanin" w:eastAsia="IRNazanin"/>
          <w:color w:val="111111"/>
          <w:sz w:val="28"/>
          <w:sz w:val="28"/>
          <w:szCs w:val="28"/>
          <w:rtl w:val="true"/>
          <w:lang w:bidi="fa-IR"/>
        </w:rPr>
        <w:t>للحدائق</w:t>
      </w:r>
      <w:r>
        <w:rPr>
          <w:rStyle w:val="FootnoteAnchor"/>
          <w:rtl w:val="true"/>
        </w:rPr>
        <w:footnoteReference w:id="1200"/>
      </w:r>
      <w:r>
        <w:rPr>
          <w:rFonts w:ascii="Amiri" w:hAnsi="Amiri" w:eastAsia="Amiri" w:cs="Amiri"/>
          <w:color w:val="111111"/>
          <w:sz w:val="28"/>
          <w:sz w:val="28"/>
          <w:szCs w:val="28"/>
          <w:rtl w:val="true"/>
          <w:lang w:bidi="ar-SA"/>
        </w:rPr>
        <w:t>، و محكيّ المعالم</w:t>
      </w:r>
      <w:r>
        <w:rPr>
          <w:rStyle w:val="FootnoteAnchor"/>
          <w:rtl w:val="true"/>
        </w:rPr>
        <w:footnoteReference w:id="1201"/>
      </w:r>
      <w:r>
        <w:rPr>
          <w:rFonts w:ascii="Amiri" w:hAnsi="Amiri" w:eastAsia="Amiri" w:cs="Amiri"/>
          <w:color w:val="111111"/>
          <w:sz w:val="28"/>
          <w:sz w:val="28"/>
          <w:szCs w:val="28"/>
          <w:rtl w:val="true"/>
          <w:lang w:bidi="ar-SA"/>
        </w:rPr>
        <w:t>، مع نقله فيه عن بعض مشايخه المعاصرين؛ لأنّ اعتبار التعدّد تكليف بأمر زائد، على ما ثبت من الشرع يقينا، و الأصل ينفيه، و لا يعارضه الاستصحاب و أصل الشغل هنا و إن كانا جاريين، لما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الغسالة بعد الانفصال و أمّا حكمها قبله فكذلك، فلو لاقاها شيء و هي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ملاقاة المحلّ قبل إخراج الغسالة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غسله متعدّدا، كما لو لاقاها بعد مفارقة المحلّ، هذا تمام الكلام في أوّل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بالنجاسة، لكن حكمه حكم المحلّ قبل الغسلة، فيجب غسل ما أصابه ماء الغسلة الاولى مرّتين، و الثانية مرّة فيما يجب فيه المرّتان و هكذا، ذهب إليه الشهيد في الدروس</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عنه في الذكرى</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محكيّ الخوانساري في شرحه</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إزالة النجاسة نجس في الاولى على قول، و مطلقا على قول، و كرافع الأكبر على قول، و طاهر إذا ورد على النجاسة على قول، و الأولى أنّ ماء الغسلة كمغسولها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الأردبيلي في شرح الإرشاد</w:t>
      </w:r>
      <w:r>
        <w:rPr>
          <w:rStyle w:val="FootnoteAnchor"/>
          <w:rtl w:val="true"/>
        </w:rPr>
        <w:footnoteReference w:id="1205"/>
      </w:r>
      <w:r>
        <w:rPr>
          <w:rFonts w:ascii="Amiri" w:hAnsi="Amiri" w:eastAsia="Amiri" w:cs="Amiri"/>
          <w:color w:val="111111"/>
          <w:sz w:val="28"/>
          <w:sz w:val="28"/>
          <w:szCs w:val="28"/>
          <w:rtl w:val="true"/>
          <w:lang w:bidi="ar-SA"/>
        </w:rPr>
        <w:t>الميل إليه، و اختلفت كلمتهم في اتّحاد هذا القول مع سابقه و مغايرته له، فعن الشهيد الثاني</w:t>
      </w:r>
      <w:r>
        <w:rPr>
          <w:rStyle w:val="FootnoteAnchor"/>
          <w:rtl w:val="true"/>
        </w:rPr>
        <w:footnoteReference w:id="1206"/>
      </w:r>
      <w:r>
        <w:rPr>
          <w:rFonts w:ascii="Amiri" w:hAnsi="Amiri" w:eastAsia="Amiri" w:cs="Amiri"/>
          <w:color w:val="111111"/>
          <w:sz w:val="28"/>
          <w:sz w:val="28"/>
          <w:szCs w:val="28"/>
          <w:rtl w:val="true"/>
          <w:lang w:bidi="ar-SA"/>
        </w:rPr>
        <w:t>و غيره التصريح بالمغايرة، و يستفاد من صاحب الحدائق اتّحادهما،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الشهيد في الذكرى أنّ القول المنسوب إليه هو بعينه القول الأوّل، و أنّ القول بالنجاسة مطلقا عبارة عن كون حكم الغسالة حكم المحلّ قبل الغسلة الخ</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العبارة المتقدّمة منه في الدروس تنادي بفهم المغايرة بين مذهبه و القول الأوّل، حيث جعل مختاره مقابلا للأقوال الاخر، الّتي منها القول بالنجاسة مطلقا، و لا ريب أنّه لا يعقل بينهما مغايرة مع اشتراكهما في أصل الحكم بالنجاسة، إلاّ أنّه فهم من الجماعة أنّهم يجعلون الغسالة كالمحلّ قبل الغسل، و إن كان فهمه بهذا المعنى موضع مناقشة قدّمناها، و كان مستند الشهيد الثاني في فهم المغايرة أيضا هو العبارة المذكورة، و استشهد </w:t>
      </w:r>
    </w:p>
    <w:p>
      <w:pPr>
        <w:pStyle w:val="BookText"/>
        <w:rPr/>
      </w:pPr>
      <w:r>
        <w:rPr>
          <w:rFonts w:ascii="Amiri" w:hAnsi="Amiri" w:eastAsia="Amiri" w:cs="Amiri"/>
          <w:color w:val="111111"/>
          <w:sz w:val="28"/>
          <w:sz w:val="28"/>
          <w:szCs w:val="28"/>
          <w:rtl w:val="true"/>
          <w:lang w:bidi="ar-SA"/>
        </w:rPr>
        <w:t>في الحدائق على ما فهمه من الاتّحاد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أوّلا القول بالطهارة عن المبسوط، ثمّ نقل مذهب الشيخ في الخلاف، ثمّ نقل مذهب المحقّق و العلاّمة و هو القول بالنجاسة مطلقا، و نقل أدلّته و طعن 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يبق سوى الاحتياط، و لا ريب فيها، فعلى هذا ماء الغسلة كمغسولها قبلها، و على الأوّل كمغسولها بعدها أو كمغسولها بعد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كلام الشيخ علي في شرح القواعد</w:t>
      </w:r>
      <w:r>
        <w:rPr>
          <w:rStyle w:val="FootnoteAnchor"/>
          <w:rtl w:val="true"/>
        </w:rPr>
        <w:footnoteReference w:id="12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التفريع في عبارة الذكرى إنّما جرى على مقتضى الأقوال المتقدّمة،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فعلى القول بالنجاسة، و هو المنقول عن المحقّق و العلاّمة،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مذهبي المبسوط و الخلاف، و إن كان على سبيل اللفّ و النشر المشوّش، و على تقدير ما ذكر من المغايرة يلزم عدم التفريع على مذهب المحقّق و العلاّمة</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العبارة ليست بصريحة و لا ظاهرة في كون ما اختاره عين ما اختاره المحقّق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فيها الدلالة على مشاركته في أصل القول بالنجاسة، و أمّا أنّه يوافقهما في حكم الغسالة من حيث ملاقيها فلا، و التفريع المذكور فيه لا يشعر بذلك، بل هو تفريع على أصل القول من حيث إنّه اختاره، و تحقيق للمسألة لنفسه لا عليه من حيث إنّه مختارهما، و لا ينافيه عدم التفريع عليه من هذه الحيثيّة، لجواز كون الحكم المذكور على مذهبهما مشتبها عنده، بمعنى أنّه لم يكن يدري أنّهما ما يقولان في أصل الغسالة و ملاقيها، بعد البناء فيها على النجاسة،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هذا الكتاب في وجه الفرق بين الغسلتين باعتبار التعدّد في الاولى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غسله مرّتين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المحلّ المغسول تضعف نجاسته بعد كلّ غسلة و إن لم يطهر، و لهذا يكفيه من العدد بعدها ما لا يكفي قبلها، فيكون حكم ماء الغسلة كذلك، لأنّ نجاسته مسبّبة عنه فلا يزيد حكمه عليه، لأنّ الفرع لا يزيد عن الأصل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والده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بالفرق </w:t>
      </w:r>
    </w:p>
    <w:p>
      <w:pPr>
        <w:pStyle w:val="BookText"/>
        <w:rPr/>
      </w:pPr>
      <w:r>
        <w:rPr>
          <w:rFonts w:ascii="Amiri" w:hAnsi="Amiri" w:eastAsia="Amiri" w:cs="Amiri"/>
          <w:color w:val="111111"/>
          <w:sz w:val="28"/>
          <w:sz w:val="28"/>
          <w:szCs w:val="28"/>
          <w:rtl w:val="true"/>
          <w:lang w:bidi="ar-SA"/>
        </w:rPr>
        <w:t>بين المنفصل من الغسلتين و إن كان لا يفهم من الأخبار، و لكنّه قريب من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إلاّ أنّه بمجرّده لا يمكن الاعتماد عليه في تأسيس حكم شرعي</w:t>
      </w:r>
      <w:r>
        <w:rPr>
          <w:rFonts w:eastAsia="Amiri" w:cs="Amiri" w:ascii="Amiri" w:hAnsi="Amiri"/>
          <w:color w:val="111111"/>
          <w:sz w:val="28"/>
          <w:szCs w:val="28"/>
          <w:rtl w:val="true"/>
          <w:lang w:bidi="ar-SA"/>
        </w:rPr>
        <w:t>»</w:t>
      </w:r>
      <w:r>
        <w:rPr>
          <w:rStyle w:val="FootnoteAnchor"/>
          <w:rtl w:val="true"/>
        </w:rPr>
        <w:footnoteReference w:id="12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لا مخالفة بيننا و بين الشهيد في أصل المذهب، و ما صار إليه من الفرق بين الغسلتين كلام له راجع إلى ما يتفرّع على هذا القول، و وجهه ضعيف جدّا، و بعد الغضّ عنه فالمتّبع هو ما يقتضيه الأدلّة الشرعيّة، و حيث إنّ من الظاهر البديهي أنّ دليل الأصل في دلالته على اعتبار التعدّد في الغسل عنه كالبول مثلا لا يتناول ما ينفصل من الغسلة عنه؛ لعدم دخوله في مسمّى البول و لا الدم و لا غيرهما من النجاسات، ليس في البين مناط يكون منقّحا من نصّ الشارع، أو تنبيهه عليه بضرب من الدلالة المعتبرة، فلا جرم يكون اعتبار التعدّد بالنسبة إلى الغسلة الاولى قولا بلا دليل في ظاهر الحال، كما أنّ الاقتصار على المرّة في الغسلة الثانية استنادا إلى ما ذكر أخذ بموجب الاستحسان الصرف و ليس من مذهبنا، فلا يبقى ما يصلح لأن يكون مرجعا إلاّ الأصل المشار إليه، و قد عرفت أنّ مقتضاه الاكتفاء بالمرّة حتّى يثبت اعتبار الزائد بالدليل، فلا بدّ من اتّباع الأصل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بالنجاسة إن كان من الغسلة الاولى و الطهارة إن كان من الغسلة الثانية، و حاصله يرجع إلى أنّ الغسالة كالمحلّ بعد الغسلة، و لازمه التفصيل المذكور فيما يعتبر فيه الغسل مرّتين، و إطلاق هذا القول بالقياس إلى أنواع المحلّ المتنجّس من الثوب و البدن و الإناء و لو في ولوغ الكلب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الشرح المتقدّم للأستاد</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الطباطبائي، و كلّ من قال بأنّ الغسالة كالمحلّ بعدها، و نسب ذلك أيضا إلى الشيخ في الخلاف</w:t>
      </w:r>
      <w:r>
        <w:rPr>
          <w:rStyle w:val="FootnoteAnchor"/>
          <w:rtl w:val="true"/>
        </w:rPr>
        <w:footnoteReference w:id="1212"/>
      </w:r>
      <w:r>
        <w:rPr>
          <w:rFonts w:ascii="Amiri" w:hAnsi="Amiri" w:eastAsia="Amiri" w:cs="Amiri"/>
          <w:color w:val="111111"/>
          <w:sz w:val="28"/>
          <w:sz w:val="28"/>
          <w:szCs w:val="28"/>
          <w:rtl w:val="true"/>
          <w:lang w:bidi="ar-SA"/>
        </w:rPr>
        <w:t>، و لكن المنقول منه أنّه خصّصه بالمستعمل في تطهير الثوب، و أمّا المستعمل في الآنية فلا ينجّس عنده مطلقا، سواء كان من الاولى أو غيرها، فله تفصيل حينئذ أوّلا بين الثوب و الآنية، ثمّ في الثوب بين الغسلة الاولى و غيرها، بل ظاهر عبارته المنقولة عنه في الآنية يقتضي اختصاص ذلك بالولوغ، حيث إنّه في موضع من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من الماء الّذي يغسل به الإناء من ولوغ الكلب ثوب الإنسان أو جسده </w:t>
      </w:r>
    </w:p>
    <w:p>
      <w:pPr>
        <w:pStyle w:val="BookText"/>
        <w:rPr/>
      </w:pPr>
      <w:r>
        <w:rPr>
          <w:rFonts w:ascii="Amiri" w:hAnsi="Amiri" w:eastAsia="Amiri" w:cs="Amiri"/>
          <w:color w:val="111111"/>
          <w:sz w:val="28"/>
          <w:sz w:val="28"/>
          <w:szCs w:val="28"/>
          <w:rtl w:val="true"/>
          <w:lang w:bidi="ar-SA"/>
        </w:rPr>
        <w:t>لا يجب غسله، سواء كان من الدفعة الاولى أو الثانية أو الثالثة</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 و لعلّ عموم هذا الحكم في الآنية بالقياس إلى جميع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دليله الآتي على هذا الحكم، فإنّه عامّ الجريان و إن كان مورده قاصرا عن إفادة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فعنه</w:t>
      </w:r>
      <w:r>
        <w:rPr>
          <w:rStyle w:val="FootnoteAnchor"/>
          <w:rtl w:val="true"/>
        </w:rPr>
        <w:footnoteReference w:id="1214"/>
      </w:r>
      <w:r>
        <w:rPr>
          <w:rFonts w:ascii="Amiri" w:hAnsi="Amiri" w:eastAsia="Amiri" w:cs="Amiri"/>
          <w:color w:val="111111"/>
          <w:sz w:val="28"/>
          <w:sz w:val="28"/>
          <w:szCs w:val="28"/>
          <w:rtl w:val="true"/>
          <w:lang w:bidi="ar-SA"/>
        </w:rPr>
        <w:t>الاحتجاج على نجاسة الغسلة الاولى في الثوب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قليل معلوم حصول النجاسة فيه، فيجب أن يحكم بنجاسته، و بما تقدّم من رواية العيص</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بما فيه من التحكّم، فإنّ قاعدة انفعال القليل بملاقاة النجاسة إن كانت عامّة في نظره بحيث كانت متناولة لماء الغسالة، لكانت جارية في كلّ من الغسلتين؛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 بعد الغسلة الاولى لم يطهر بعد، فالماء المستعمل في الغسلة الثانية أيضا ممّا يصدق عليه أنّه ماء معلوم حصول النجاسة فيه، و إن لم تكن عامّة على نحو تشمل ماء الغسالة فلا وجه للقول بالنجاسة في الغسلة الاولى أيضا، بل لازمه القول بالطهارة في كلتا الغسلتين، عملا بالأصل السليم عن المعارض،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للغسلة الاولى منه دون الثانية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تلك الغسلة عن القاعدة بالدليل،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تزييف ذلك، إذ ليس ذلك إلاّ أصل الطهارة، و هو عامّ لا يعارض الخاصّ، أو أصل عملي لا يعارض الدليل، أو الأخبار المتقدّمة في الاستنجاء الحاكمة بطهارة الماء المستنجى به، فهي لعمومها الشامل للغسلتين معا تقضي بتخصيص القاعدة في الغسلة الاولى أيضا، فما وجه الفرق بينهما؟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أنّها لا تشمل المقام بدلالة لفظيّة، لاختصاصها بماء الاستنجاء المخرج عن مطلق المستعمل في رفع الأخباث، و لا بدلالة شرعيّة؛ إذ ليس في المقام مناط منقّح، و كذا الكلام في احتجاجه بالرواية المشار إليها، فإنّها أيضا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سلمت عنده سندا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مقتضية للنجاسة مطلقا، و إلاّ فلا وجه للاستناد إليها أصلا، إلاّ أن يدّعي التخصيص فيها أيضا، فيبقى الكلام معه في المخصّص، و ليس له ما يصلح لذلك، نعم يبقى فيها شيء ستسمعه مع 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يجاب عن دليله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أدلّة نجاسة القليل لا عموم لها، و إنّما يكون مناط التعميم في بعض الصور بعدم القول بالفصل، و الشهرة بين الأصحاب و هما مفقودان فيما نحن فيه، 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يدلّ عليه أدلّة نجاسة القليل نجاسته بورود النجاسة عليه و أمّا العكس فلا، فحينئذ لو اشترطنا في التطهير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جريان تلك الأدلّة في الغسالة، و هو ظاهر</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انتهى،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1217"/>
      </w:r>
      <w:r>
        <w:rPr>
          <w:rFonts w:ascii="Amiri" w:hAnsi="Amiri" w:eastAsia="Amiri" w:cs="Amiri"/>
          <w:color w:val="111111"/>
          <w:sz w:val="28"/>
          <w:sz w:val="28"/>
          <w:szCs w:val="28"/>
          <w:rtl w:val="true"/>
          <w:lang w:bidi="ar-SA"/>
        </w:rPr>
        <w:t>الاحتجاج على طهارة الغسلة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الأصل، و أخبار الاستنجاء، و بأنّ المحلّ بعدها طاهر مع بقاء مائها فيه، و الماء الواحد لا يختلف أجزاؤه في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بما مرّ، و عن الأخير، بأنّه إنّما يتّجه في الأجزاء ما دامت عنوان الجزئيّة باقية، و لا ريب أنّ الانفصال الّذي يتحقّق فيما بين المنفصل عن المحلّ و المتخلّف فيه رافع لهذا العنوان، و معه لا مانع في اختلافهما في الحكم،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المستعمل في الغسل نجس بجميع أجزائه ما دام في المحلّ، و إذا انفصل بقي المنفصل على نجاسته و طهر الباقي تبعا للمحلّ، بحكم أنّ الغسل الّذي جعله الشارع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عبارة عن الصبّ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الطهر فيهما معا، و لا مانع منه إذا دلّ عليه الدليل، و لو سلّم عدم قيام الدلالة على ذلك فيكفينا الاحتمال في هدم ما ذكر من الاستدلال، لأنّه عقليّ فيبطل بمجرّد الاحتمال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على الطهارة في الغسلة الثانية المزيلة لنجاسة المحلّ، احتمالا عن قبل العلاّمة الطباطبائي كما في شرح المشار إليه للأستاد</w:t>
      </w:r>
      <w:r>
        <w:rPr>
          <w:rStyle w:val="FootnoteAnchor"/>
          <w:rtl w:val="true"/>
        </w:rPr>
        <w:footnoteReference w:id="1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ملاقاة الماء للمحلّ سبب في طهارته، و الظاهر من أدلّة انفعال القليل انفعاله بما يكون نجسا حين الملاقاة، لا ما يكون الملاقاة سببا لزوال نجاسته، لمكان أنّه لا يدخل في أذهان العرف صيرورة الماء الملاقي للمحلّ النجس بمنزلة نفس النجس مع طهارة المحلّ الملاقي له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قياسه على إزالة الأوساخ الحسّيّة الّتي يكتسب فيها كلّ جزء من الماء جزءا من الوسخ بالحسّ،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تنتقل من المحلّ إلى الماء، كالقذارة الخارجيّة الّتي تستهلك في الماء و يتوزّع على أجزائه، قياس مع الفارق لأنّ ذلك ممّا يساعد عليه أذهان العرف في القذارة الخارجيّة دون النجاسة، لأنّهم بعد اطّلاعهم على أنّ كلّ جزء من الماء يكتسب قذارة كقذارة المحلّ بعينها، مع ملاحظة أنّ الماء يوجب زوال النجاسة عن المحلّ الملاقي له، يتحاشون عن انفعال الماء بذلك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صيرورة كلّ قطرة منه كالرطوبة النجسة الّتي في المحلّ الحاصلة من البول أو الدم مثلا، مع كونها في موضع اريد إزالتها بذلك الماء و هو أيضا يفيد إزالتها؛ لأنّ ذلك لا يجامع طهارة المحلّ الّتي هي غير ممكن الاجتماع مع نجاسة الماء الّذي فيه، كما يفهم ذلك منهم لو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الماء المنصبّ على المحلّ لإزالة ما به من رطوبة الوسخ الفلاني يصير كلّ جزء صغير منه متّصفا بوسخ تلك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كيفيّة تنجيس الشيء أمر لم يدلّ عليه جامع شامل للمقام، و المستفاد من تتبّع المقامات الخاصّة لا يشمل الملاقاة المزيلة، و المفروض أنّه إذا عرض على العرف صيرورة كلّ جزء صغير من الماء بمنزلة عين الأثر الموجود في الثوب من الوسخ أنكروا طهارته به، و إذا عرض عليهم طهارته به أنكروا صيرورته كذلك، فإذا فرض قطعهم بالثاني لم يفهموا من أدلّة الانفعال شمولها لهذا النحو من الملاقاة المزيلة، فلم يبق إلاّ عموم معاقد الإجماعات في نجاسة الماء القليل الملاقي للنجس، أو مطلق الجسم الرطب الملاقي له لكن من المعلوم عدم إرادة القائلين بطهارة الغسالة هذا العموم من كلامهم في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بنجاستها فلو جاز الاكتفاء بهم كفى قولهم بنجاسة الغسالة في دعوى الإجماع عليها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العيص المتقدّمة فالاستدلال بها في المقام مبنيّ على كفاية الغسلة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القذارات، و إلاّ أمكن حمل الرواية على الغالب من اجتماع الغسالتين، بل يمكن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الاكتفاء في التطهير بالغسلة الواحدة كالإجماعات على ما هو الغالب من اجتماع الأجزاء المنفصلة عن المحلّ قبل زوال </w:t>
      </w:r>
    </w:p>
    <w:p>
      <w:pPr>
        <w:pStyle w:val="BookText"/>
        <w:rPr/>
      </w:pPr>
      <w:r>
        <w:rPr>
          <w:rFonts w:ascii="Amiri" w:hAnsi="Amiri" w:eastAsia="Amiri" w:cs="Amiri"/>
          <w:color w:val="111111"/>
          <w:sz w:val="28"/>
          <w:sz w:val="28"/>
          <w:szCs w:val="28"/>
          <w:rtl w:val="true"/>
          <w:lang w:bidi="ar-SA"/>
        </w:rPr>
        <w:t>العين، فإنّ المنفصل عن المحلّ كذلك ليس منفصلا عن الغسلة المطهّرة، فحكمه كالمنفصل من الغسلة الاولى، بل هو أشدّ منه، بل لا ينبغي أن يكون محلاّ للنزاع، لأنّ النزاع في المنفصل عن الغسل المؤثّر في التطهير الشرعي الواجب كونه بالماء المطلق الطاهر، و المنفصل قبل زوال العين إنّما انفصل عن غسلة غير معتبرة في نظر الشارع؛ لعدم إفادتها إلاّ زوال العين الّذي يحصل بالماء المضاف و النجس و المسح بجسم طاهر أو نجس، و لذا احتاج الثوب بعده إلى غسلتين، لكن يكفي في الاولى منهما استمرار الصبّ عن الأوّل آنا ما بعد زوال العين</w:t>
      </w:r>
      <w:r>
        <w:rPr>
          <w:rFonts w:eastAsia="Amiri" w:cs="Amiri" w:ascii="Amiri" w:hAnsi="Amiri"/>
          <w:color w:val="111111"/>
          <w:sz w:val="28"/>
          <w:szCs w:val="28"/>
          <w:rtl w:val="true"/>
          <w:lang w:bidi="ar-SA"/>
        </w:rPr>
        <w:t>»</w:t>
      </w:r>
      <w:r>
        <w:rPr>
          <w:rStyle w:val="FootnoteAnchor"/>
          <w:rtl w:val="true"/>
        </w:rPr>
        <w:footnoteReference w:id="122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 يرجع إلى منع العموم في أدلّة انفعال القليل بملاقاة النجاسة بحيث تشمل ماء الغسالة، حتّى ما انفصل منه عن الغسلة المستتبعة لطهارة المحلّ، و سند هذا المنع إمّا دعوى قصور تلك الأدلّة عن إفادة حكم الانفعال لنظائر المقام بأنفسها، فلا عموم في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لا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كلّ ماء، و لا من جهة الشيء النجس بحيث يشمل كلّ نجاسة، و لا من جهة الملاقاة المستفادة من الرواية منطوقا و مفهوما، و لا في الأخبار الخاصّة الواردة في موارد جزئيّة بالنسبة إلى الماء و إلى النجس، إذ ليس المستعمل في إزالة النجاسة بشيء منها، و لا في الإجماعات المنقولة و لا الرواية الخاصّة المذكورة، 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محلّ البحث عن عموم تلك الأدلّة بملاحظة الخارج، و لو نحو قرينة حال أو مقام يلتفت إليها العرف و يلاحظها، مثل ما ثبت لهم بضرورة من شرعهم أنّ الماء القليل إذا استعمل في الثوب النجس و نحوه لإزالة ما فيه من النجاسة يوجب زوالها، و يصيّره طاهرا، و 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القضيّة في جانب مفهوم الرواية يرجع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المتّصف بالقلّة كائنا ما كان من حكمه أن ينفعل بأيّ نجس لاقاه كيفما اتّفق</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مطلقة فيكون الحكم المعلّق عليها معلّقا على الطبيعة السارية في جميع مصاديقها، الّتي منها ما يعدّ لإزالة الأخباث به، فمن يدّعي </w:t>
      </w:r>
    </w:p>
    <w:p>
      <w:pPr>
        <w:pStyle w:val="BookText"/>
        <w:rPr/>
      </w:pPr>
      <w:r>
        <w:rPr>
          <w:rFonts w:ascii="Amiri" w:hAnsi="Amiri" w:eastAsia="Amiri" w:cs="Amiri"/>
          <w:color w:val="111111"/>
          <w:sz w:val="28"/>
          <w:sz w:val="28"/>
          <w:szCs w:val="28"/>
          <w:rtl w:val="true"/>
          <w:lang w:bidi="ar-SA"/>
        </w:rPr>
        <w:t>الاختصاص بغير هذا الماء مطلقا أو في الجملة يطالب بدليل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 السببيّة التامّة المستفادة من التعليق، المقتضية لوجود الجزاء في جميع موارد وجود الشرط، و انتفائه في كلّما انتفى فيه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قرّرناه سابقا من عدم إمكان الحمل على كون الكرّيّة سببا تامّا فإمّا أن يكون حينئذ شرطا لعدم الانفعال، أو ملازما له بكونه ملزوما لما هو شرط له فكذلك أيضا، لأنّ المشروط يعدم عند عدم شرطه، كما أنّ اللازم يعدم مع انعدام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احتمال الشرطيّة و لا احتمال الملازمة ثبوت المشروط أو ثبوت اللازم في بعض صور انتفاء الشرط أو انتفاء الملزوم، أو ثبوت نقيض اللازم في بعض صور وجود الملزوم، كما في المستعلي، و ماء الاستنجاء، و ماء الجاري في الأوّلين، و المتغيّر بالنجاسة في الأخير؛ لأنّ الشرطيّة و الملازمة ليستا بعقليّتين لئلاّ يمكن فيهما التقييد و لا التخصيص، بل هما شرعيّتان ثابتتان بالأدلّة اللفظيّة فتكونان قابلتين للتخصيص كدليلهما، فيقال على احتمال الشرطيّة أنّ الكرّيّة شرط لعدم الانفعال إلاّ في العالي و غيره ممّا ذكر، و على احتمال الملازمة وجودا و عدما أنّ الكرّيّة تلازم عدم الانفعال إلاّ في صورة التغيّر، و أنّ انتفاء الكرّيّة يلازم الانفعال إلاّ في صورة العلوّ و الاستنجاء و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فأقصى ما ثبت بالدليل إنّما هو تقييد كلّ من الشرطيّة و الملازمة بالقياس إلى الموارد المذكورة، و أمّا أنّه لا ينفعل أيضا في صورة إزالة النجاسة مع القلّة مطلقا، أو في الغسلة المطهّرة خاصّة فهو تقييد آخر في مفاد الشرطيّة و في الملازمة الثانية، و يحتاج إلى الدليل فمن يدّعيه مطالب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الملاقاة المفهومة من الرواية منطوقا و مفهوما لها أحوال، منها كونها مستتبعة لزوال النجاسة عن المحلّ، و هي مطلقة بالنسبة إلى أحوالها، فدعوى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لا تؤثّر في الانفعال حال استتباعها لطهارة المحلّ تقييد لها بما عدا تلك الحالة، فلا تسمع إلاّ بدليل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أقصى ما يتصوّر كونه مخرجا لمحلّ البحث عن عموم الأدلّة، إنّما هو شبهة عدم إمكان كون المزيل للنجاسة متأثّرا بتلك النجاسة و إلاّ لا يزيلها بل يؤكّدها و لا يفيد المحلّ إلاّ تنجّسا، و هو خلاف ما قطع بالشرع من صلاحيّة الماء القليل </w:t>
      </w:r>
    </w:p>
    <w:p>
      <w:pPr>
        <w:pStyle w:val="BookText"/>
        <w:rPr/>
      </w:pPr>
      <w:r>
        <w:rPr>
          <w:rFonts w:ascii="Amiri" w:hAnsi="Amiri" w:eastAsia="Amiri" w:cs="Amiri"/>
          <w:color w:val="111111"/>
          <w:sz w:val="28"/>
          <w:sz w:val="28"/>
          <w:szCs w:val="28"/>
          <w:rtl w:val="true"/>
          <w:lang w:bidi="ar-SA"/>
        </w:rPr>
        <w:t>لإزالة النجاسة، فلا جرم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ملاقاة النجاسة سبب للانفعال إلاّ فيما كان مزيلا للنجاسة عن محلّ، فإنّه لا ينفعل بتلك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أنّ هذه الشبهة إنّما تنشأ عن توهّم كون نفس الملاقاة في الغسلة المطهّرة سببا لزوال النجاسة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التصريح به في أوّل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أنّها سبب لزوال النجاسة فكيف يمكن فرض كونها سببا لانفعال الملاقي، إلاّ على تجويز التناقض أو الجمع بين النقيضين، و لذا نسب إلى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عرض عليهم صيرورة كلّ جزء صغير من الماء بمنزلة عين الأثر الموجود في الثوب من الوسخ أنكروا طهارته به، و إذا عرض عليهم طهارته به أنكروا صيرورته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توهّم فاسد، فإنّ نفس الملاقاة لا تصلح سببا للتطهير و إلاّ لما اعتبر فيه العصر و لا الإفراغ، بل السبب حقيقة هو الغسل، و هو شيء لا يتأتّى إلاّ مع الملاقاة، لا أنّه نفس الملاقاة، فلم لا يجوز صيرورة الماء بملاقاته المحلّ النجس نجسا، ثمّ إذا تحقّق معه الغسل المعتبر في نظر الشارع باستكمال آدابه و شرائطه و أجزائه أفاد المحلّ الطهارة و زوال النجاسة، مع بقاء الماء المنفصل على ما كان عليه من النجاسة، فإنّ النجاسة فيه قد حصلت بالملاقاة، و طهارة المحلّ قد حصلت بالغسل المتقوّم بتلك الملاقاة، لا بنفس الملاقاة، و لا تنافي بينهما أصلا من جهة العقل، و أمّا من جهة الشرع فهو تابع لدليل الحكمين و المفروض قيامه على كليهما،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انفعال القليل بملاقاة النجاسة،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الشرع بأنّ الغسل بالماء القليل ممّا يوجب زوال النجاسة عن الثوب و غيره ممّا هو 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بملاحظة هذا البيان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التخصيص في أدلّة 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عليه الدليل إنّما هو كون الغسل بالماء القليل الطاهر سببا لزوال النجاسة عن المحلّ لا مطلقا، فحينئذ يحصل عندنا بملاحظة أدلّة انفعال القليل قضيّتان كلّيّتان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بالماء القليل الطاهر سبب لزوال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ماء قليل ينفعل بملاقاة النجاسة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العمل بالقضيّة الاولى مع إبقاء الثانية على عمومها، لأنّ مقتضى هذا العموم صيرورة الماء الملاقي لمحلّ النجس نجسا، و مقتضى صيرورته نجسا عدم تأثيره في </w:t>
      </w:r>
    </w:p>
    <w:p>
      <w:pPr>
        <w:pStyle w:val="BookText"/>
        <w:rPr/>
      </w:pPr>
      <w:r>
        <w:rPr>
          <w:rFonts w:ascii="Amiri" w:hAnsi="Amiri" w:eastAsia="Amiri" w:cs="Amiri"/>
          <w:color w:val="111111"/>
          <w:sz w:val="28"/>
          <w:sz w:val="28"/>
          <w:szCs w:val="28"/>
          <w:rtl w:val="true"/>
          <w:lang w:bidi="ar-SA"/>
        </w:rPr>
        <w:t>زوال النجاسة عن المحلّ، لاختصاص دليل كونه مؤثّرا في ذلك بصورة كونه طاهرا، فلا محالة إمّا أن يرفع اليد عن تلك القضيّة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القليل ممّا لا يصلح كونه مؤثّرا في زوال النجاسة، أو عن عموم القضيّة الثانية بتخصيصها بما عدا هذا الماء، و لمّا كان القضيّة الاولى أخصّ منها في الثانية لاختصاصها بما يزيل النجاسة و شمول الثانية له و لغيره، فلا محيص من تخصيص الثانية بها؛ إذ لولاه لزم أن لا يكون لأدلّة هذه القضيّة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هذه الدعوى، بل بين القضيّتين عند التحقيق عموم و خصوص من وجه، فإنّ الاولى في اقتضاء الطهارة تشمل ما قبل الملاقاة و ما بعدها، و الثانية تشمل هذا الماء و غيره، فيتعارضان في هذا الماء بالقياس إلى حال الملاقاة؛ حيث إنّ الاولى تقتضي فيه الطهارة، و الثانية تقتضي نجاسته، فلا بدّ من الترجيح و مع فقد المرجّح يجب التوقّف و الرجوع إلى الاصول، فعلى فرض التوقّف و إن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الطهارة، غير أنّه لا داعي إلى التوقّف لوجود المرجّح في جانب القضيّة الاولى، فإنّ ما فيها من العموم عموم أحوالي و ما في الثانية عموم أفرادي، و من المعلوم بضرورة العرف و اللغة أنّ الدلالة على العموم في الأحوال أضعف منها على العموم في الأفراد، لاستناد الأوّل إلى أمر خارج من اللفظ بخلاف الثاني، و إن كان من جهة الإطلاق، فإذا أوجب رفع اليد عن أحدهما تعيّن الأوّل لضعفه، فيخصّص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الطاهر سبب لزوال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يكن نجسا بغير جهة نجاسة المحلّ،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طاهرا قبل ملاقاته المحلّ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التصرّف من باب التخصيص الراجح على تخصيص القضيّة الثانية ممنوع، بل هو عند التحقيق تجوّز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في القضيّة، فإنّ المشتقّ حقيقة في حال التلبّس، و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وجود المبدأ حين اعتبار المتكلّم للنسبة فيما بين المشتقّ و غيره من أطراف الكلام،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بالماء الطاهر سبب لزوال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طهارة الماء حال الغسل لأنّه معناه الحقيقي، و حمله على إرادة الطهارة قبل الملاقاة يستدعي كونه مرادا منه الماضي، لعود حاصل معنى العبارة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بما كان من الماء القليل طاهرا سبب لزوال النجاسة، فعاد الأمر إلى تعارض المجاز و التخصيص، و من المقرّر في محلّه أولويّة </w:t>
      </w:r>
    </w:p>
    <w:p>
      <w:pPr>
        <w:pStyle w:val="BookText"/>
        <w:rPr/>
      </w:pPr>
      <w:r>
        <w:rPr>
          <w:rFonts w:ascii="Amiri" w:hAnsi="Amiri" w:eastAsia="Amiri" w:cs="Amiri"/>
          <w:color w:val="111111"/>
          <w:sz w:val="28"/>
          <w:sz w:val="28"/>
          <w:szCs w:val="28"/>
          <w:rtl w:val="true"/>
          <w:lang w:bidi="ar-SA"/>
        </w:rPr>
        <w:t>التخصيص، كما أنّ من المقرّر في محلّه أيضا مجازيّة المشتقّ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ليست بواردة في الخطاب، و لا أنّ القضيّة المذكورة موجودة بتلك العبارة في كلام الشارع، و إنّما هي قاعدة تستفاد عن مجموع الروايات الواردة في الغسل عن النجاسات الآمرة به، مع ضميمة الإجماعات المتضمّنة لاشتراط ذلك بطهارة الماء و عدم حصوله بغير الطاهر، فإنّ الأخبار الآمرة بالغسل بالماء قد وردت مطلقة، إذ لا تصريح فيها باشتراط الطهارة، و لكنّ الإجماعات المنقولة قد أوجبت فيها التقييد، فحصل من ملاحظة المجموع القضيّة المقيّدة، و كذلك القضيّة الثانية أيضا مستفادة من الروايات الواردة في انفعال ماء القليل، فالمعارضة بينهما في الحقيقة حاصلة فيما بين أدلّة القيد المعتبر في القضيّة الاولى و أدلّة القضيّة الثانية، و النسبة بينهما كما ذكرنا، لعموم الأوّل في الأحوال و عموم الثاني في الأفراد، فيرجّح تخصيص الأوّل لما تقدّم، و قضيّة ذلك كون المشتقّ في القضيّة الاولى مرادا منه الماضي و لا ضير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أردنا استفادة الاشتراط بالطهارة من الإجماعات المنقولة الّتي هي نحو من الأدلّة اللفظيّة، و أمّا إذا أردنا استفادته من الإجماع المحصّل، أو من نفس الأخبار الواردة في الغسل بالماء،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 إن وردت مطلقة بالقياس إلى الطهارة و النجاسة في الماء، غير أنّ المنساق منها بالدلالة الالتزاميّة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أذهان المتشرّعة لا تساعد على حصول الغسل بالماء النجس، و إنّما تساعد عليه بالماء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بطهارة الماء، فلا حاجة إلى تكلّف الترجيح، بل و لا تتحقّق المعارضة في البين بالنسبة المذكورة، إذ أقصى ما يحصل عليه الإجماع بملاحظة اختلافهم في طهارة ماء الغسالة 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قول محقّق بالطهارة فيما بينهم مطلقا أو في الغسلة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ينساق من الأخبار إنّما هو اعتبار أن لا يكون الماء المعدّ للغسل نجسا قبل الغسل و بغير نجاسة المحلّ، و أمّا اعتبار طهارته حين الغسل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تطرّق التصرّف إلى الأخبار الآمرة بالغسل بالماء من باب التقييد، من دون أن يتحقّق هنا معارض بالقياس إلى أدلّة انفعال القليل بالملاقاة في دلالتها على انفعال هذا الماء حين استعماله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دفع المناقشة في أدلّة انفعال القليل إذا كان النظر فيها إلى الأخبار </w:t>
      </w:r>
    </w:p>
    <w:p>
      <w:pPr>
        <w:pStyle w:val="BookText"/>
        <w:rPr/>
      </w:pPr>
      <w:r>
        <w:rPr>
          <w:rFonts w:ascii="Amiri" w:hAnsi="Amiri" w:eastAsia="Amiri" w:cs="Amiri"/>
          <w:color w:val="111111"/>
          <w:sz w:val="28"/>
          <w:sz w:val="28"/>
          <w:szCs w:val="28"/>
          <w:rtl w:val="true"/>
          <w:lang w:bidi="ar-SA"/>
        </w:rPr>
        <w:t>الواردة فيه، و أمّا المناقشة فيها إذا كان النظر فيها إلى الإجماعات، فيدفعها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تتّجه لو اريد استفادة الحكم من الإجماع المحصّل الّذي يحصل من ملاحظة فتاوي الأصحاب،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القليل ينفعل بملاقاة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ملاحظة اختلافهم في نجاسة ماء الغسالة و نجاسته ممّا لا يعقل حصوله على إطلاق هذا العنوان، حتّى بالنسبة إلى ما يستعمل في إزالة النجاسة، فحينئذ لو اريد الاستناد إلى معقد هذا الإجماع على إثبات نجاسة ماء الغسالة، لكان مرجعه إلى الاستناد إلى فتوى من يرى ماء الغسالة نجسا، و هو كما ترى ليس من الاستناد إلى الإجماع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اريد استفادته من الإجماعات المنقولة المتضمّنة للعبارة المذكورة فلا، فإنّ الحجّة حينئذ على القول بحجّيّة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بمنزلة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تلك العبارة من حيث إنّها معقد للإجماع، لا من حيث إنّها صادرة من ناقل الإجماع، كما أنّ الاستناد إلى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وروده هنا بتلك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استناد إلى العبارة من حيث إنّها كلام الحجّة الثابت بنقل الواحد، لا من حيث إنّها صادرة من الراوي، فإنّها من هذه الحيثيّة ليست إلاّ حكاية، و الحجّة ليست هي الحكاية بل المحكيّ بتلك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المذكورة من حيث إنّها صادرة من ناقل الإجماع عليها مثلها من حيث إنّها صادرة من راوي السنّة، فكما أنّ العبرة هنا بالمرويّ من حيث إنّه كلام الحجّة، فكذلك العبرة في نقل الإجماع بالمنقول من حيث معقد للإجماع، بل من حيث إنّه كلام الحجّة أيضا، و المفروض أنّه عبارة عامّة تشمل بعمومها لنفسها محلّ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كون الناقل بنقله لا يريد منه العموم نظرا إلى اعتقاده بطهارة ماء الغسالة، إذ لا عبرة بإرادة الناقل كما أنّ في الروايات لا عبرة بإرادة الراوي، بل العبرة بإرادة الحجّة، فيفرض العبارة المذكورة كالمسموعة بنفسها عن الحجّة، و لم يثبت أنّه أراد منها ما ينافي العموم، فيؤخذ بما هو مفاد أصل العبارة و يلغى ما عداه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فهم الراوي في نقل الأخبار حيثما علم به متّبع، فلو أنّ هذه العبارة صدرت من الحجّة و فهم الراوي منها الخصوص كان متّبعا، كما أنّه كذلك لو علم أنّه فهم منها العموم، و كذلك ناقل الإجماع، فإنّ إرادته الخصوص إنّما هو من جهة فهمه إيّاه من العبارة المجمع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اتّباع فهم الراوي إنّما هو فيما لم يعلم باستناد فهمه إلى مذهبه الحاصل له بالاجتهاد من جهة الخارج، بل فيما إذا كان فهمه ناشئا عن مقتضى متفاهم العرف الكاشف عن مراد المتكلّم، و أمّا إذا نشأ هذا الفهم عن مذهبه الغير الحاصل عن هذا الكلام فلا عبرة به، فإنّ المتّبع حقيقة هو مدلول الكلام بحسب ما اقتضاه التفاهم العرفي، الكاشف عمّا اعتبره المتكلّم في ضميره و ما ينشأ من مذهبه الحاصل من الاجتهاد ليس منه و لا أنّه كاشف عمّا اعتبره المتكلّم، لجواز خطئه في الاجتهاد، و استناده في الاجتهاد إلى ما لا اعتداد به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الراوي لا يصلح مخصّصا للعامّ، و لا ريب أنّ فهم ناقل الإجماع و إرادته الخصوص من هذا الباب، فالمتّبع في مثل ذلك ما اقتضاه نفس العبارة المجمع عليها دون مذهب الناقل، على أنّ فهم ذلك للخصوص معارض بما فهم الناقل الآخر، فإنّ من الناقلين للإجماع من يقول بعموم العبارة، و يرى ماء الغسالة نجسا، و قضيّة ذلك إلغاء فهميهما و الأخذ بموجب نفس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المذكورة بالنسبة إلى رواية العيص، فيدفعها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الرواية من الجمع في الجواب بين البول و القذر، و إيجاب الغسل في كلّ منهما، إذ ليس كلّ قذر يعتبر فيه التعدّد، و لا أنّ البول فيه عين تحتاج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جفافه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وقع لدعوى إمكان حملها على الغالب من اجتماع الغسالتين، و لا لدعوى حملها على 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الاكتفاء بالغسلة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الأجزاء المنفصلة عن المحلّ قبل زوال العين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مناط عامّ من الرواية جار في جميع الغسلات الواردة على المحلّ قبل زوال النجاسة عنه، و هو أنّ إيجاب غسل ما أصابه الوضوء إنّما هو لمباشرته النجاسة، و يقوى ذلك الاحتمال على ما في نسخة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الوضوء من بول أو قذر فيغسل ما أصابه، و إن كان من وضوء الصلاة فلا يضرّه</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فإنّ التفصيل بين الوضوءين يشعر بأنّ مناط الفرق بينهما إنّما هو مباشرة النجاسة و عدم مباشرتها، هذا تمام الكلام في الاحتجاج عن الشيخ أو غيره ممّن </w:t>
      </w:r>
    </w:p>
    <w:p>
      <w:pPr>
        <w:pStyle w:val="BookText"/>
        <w:rPr/>
      </w:pPr>
      <w:r>
        <w:rPr>
          <w:rFonts w:ascii="Amiri" w:hAnsi="Amiri" w:eastAsia="Amiri" w:cs="Amiri"/>
          <w:color w:val="111111"/>
          <w:sz w:val="28"/>
          <w:sz w:val="28"/>
          <w:szCs w:val="28"/>
          <w:rtl w:val="true"/>
          <w:lang w:bidi="ar-SA"/>
        </w:rPr>
        <w:t>يوافقه على طهارة الغسالة من الغسلة المطهّرة في الثوب خاصّة، أو مطلق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الطهارة مطلقا في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بالنجاسة يحتاج إلى دليل و ليس في الشرع ما يدلّ عليه، و بأنّه لو حكم بالنجاسة لما طهّر الإناء أبدا، لأنّه كلّما غسل فما يبقى فيه من النداوة يكون نجسا، فإذا طرح فيه ماء آخر نجس أيضا، و ذلك يؤدّي إلى أن لا يطهر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الأوّل من التدافع بينه و بين ما أقامه دليلا على نجاسة الغسلة الاولى في الثوب، و مع الغضّ عن ذلك فيردّه ما لم نقصر في تقريبه و تتميمه من الدليل المقتضي للنجاسة، و لا حاجة إلى الإعادة و التكرار، كما تبيّن اندفاع وجهه الثاني أيضا بما عرفته بما لا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من عدم المنافاة بين حصول الطهر المسبّب عن الغسل و انفعال الماء الّذي يستعمل في ذلك بسبب الملاقاة، فإذا دلّ الدليل عليهما معا يجب القول بهما كذلك إلى أن يقوم الدليل بخلافه، و سيلحقك زيادة توضيح في ذلك عند دفع حجج القول بالطهارة مطلقا، مضافا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بالطهارة مطلقا، و يلزمه أن يكون حكمها حكم المحلّ بعد الغسل، من غير فرق في ذلك بين الغسلة الاولى و الثانية، و لا بين الثوب و الآنية، و لا بين الورودين، بل مقتضى مقابلة هذا القول في كلام الشهيد في الدروس</w:t>
      </w:r>
      <w:r>
        <w:rPr>
          <w:rStyle w:val="FootnoteAnchor"/>
          <w:rtl w:val="true"/>
        </w:rPr>
        <w:footnoteReference w:id="1224"/>
      </w:r>
      <w:r>
        <w:rPr>
          <w:rFonts w:ascii="Amiri" w:hAnsi="Amiri" w:eastAsia="Amiri" w:cs="Amiri"/>
          <w:color w:val="111111"/>
          <w:sz w:val="28"/>
          <w:sz w:val="28"/>
          <w:szCs w:val="28"/>
          <w:rtl w:val="true"/>
          <w:lang w:bidi="ar-SA"/>
        </w:rPr>
        <w:t>حسبما تقدّم ذكره للقول بالفرق بين الورودين، أن لا يفرّق بين ورود الماء على المتنجّس و عكسه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قائل به فيما بين أصحابنا، و قد تقدّم في عبارة الشيخ في المبسوط</w:t>
      </w:r>
      <w:r>
        <w:rPr>
          <w:rStyle w:val="FootnoteAnchor"/>
          <w:rtl w:val="true"/>
        </w:rPr>
        <w:footnoteReference w:id="1225"/>
      </w:r>
      <w:r>
        <w:rPr>
          <w:rFonts w:ascii="Amiri" w:hAnsi="Amiri" w:eastAsia="Amiri" w:cs="Amiri"/>
          <w:color w:val="111111"/>
          <w:sz w:val="28"/>
          <w:sz w:val="28"/>
          <w:szCs w:val="28"/>
          <w:rtl w:val="true"/>
          <w:lang w:bidi="ar-SA"/>
        </w:rPr>
        <w:t>إشعار بذلك، فما في المدارك</w:t>
      </w:r>
      <w:r>
        <w:rPr>
          <w:rStyle w:val="FootnoteAnchor"/>
          <w:rtl w:val="true"/>
        </w:rPr>
        <w:footnoteReference w:id="1226"/>
      </w:r>
      <w:r>
        <w:rPr>
          <w:rFonts w:ascii="Amiri" w:hAnsi="Amiri" w:eastAsia="Amiri" w:cs="Amiri"/>
          <w:color w:val="111111"/>
          <w:sz w:val="28"/>
          <w:sz w:val="28"/>
          <w:szCs w:val="28"/>
          <w:rtl w:val="true"/>
          <w:lang w:bidi="ar-SA"/>
        </w:rPr>
        <w:t xml:space="preserve">من اختصاص القول بالطهارة بصورة ورود الماء ممّا لم يعرف وجهه، كما أنّ ما في الحدائق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ما ادّعاه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ما فيه، لأنّ من جملة القائلين بطهارة الغسالة من قال بعدم نجاسة القليل مطلقا بالملاقاة، و من المعلوم أنّه لا يظهر للشرط وجه</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ممّا لا وجه له، فإنّ القول في المسألة إنّما يؤخذ من المتنازعين فيها، و العماني مع من وافقه خارج عن أصل هذا النزاع، لابتنائه على القول بنجاسة القليل بالملاقاة و لو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أضعف منه ما عن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عليه فتوى شيوخ المذهب، كالسيّد و الشيخ و ابني إدريس و حمزة و أبي عقيل</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السيّد له قول آخر في مقابلة هذا القول، و الشيخ غير خبير بإطلاق هذا القول، و إن حكم عليه بالقوّة فيما سبق من عبارة المبسوط</w:t>
      </w:r>
      <w:r>
        <w:rPr>
          <w:rStyle w:val="FootnoteAnchor"/>
          <w:rtl w:val="true"/>
        </w:rPr>
        <w:footnoteReference w:id="1229"/>
      </w:r>
      <w:r>
        <w:rPr>
          <w:rFonts w:ascii="Amiri" w:hAnsi="Amiri" w:eastAsia="Amiri" w:cs="Amiri"/>
          <w:color w:val="111111"/>
          <w:sz w:val="28"/>
          <w:sz w:val="28"/>
          <w:szCs w:val="28"/>
          <w:rtl w:val="true"/>
          <w:lang w:bidi="ar-SA"/>
        </w:rPr>
        <w:t>، بناء على التوجيه المتقدّم في منع توهّم اختياره، و ابن إدريس له كلام محكيّ عن السرائر يأبى عن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أصابه من الماء الّذي يغسل به الاناء، فإن كان من الغسلة الاولى يجب غسله، و إن كان من الغسلة الثانية أو الثالثة لا يجب غسله، 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غسله سواء كان من الغسلة الاولى و الثانية، و ما اخترناه هو المذهب الخ</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صريح في موافقته أهل القول بالفرق بين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كلامه هذا مذيّل بما ينافي ظاهره اختياره هذا المذهب، فإنّه بعد ما ذكر هذا الكلام أخذ بنقل عبارة السيّد المتقدّمة في مسألة الفرق بين الورودين في انفعال القليل،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قوّى في نفس السيّد صحيح، مستمرّ على أصل المذهب، و فتاوي الأصحاب به</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ذلك يقضي باختياره القول الآتي في الفرق بين الورودين، في مسألة الغسالة الّذي جعله الشهيد و غيره قولا آخر مقابلا للأقوال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يمكن دفع المنافاة بأنّه إنّما تصدّى بنقل عبارة السيّد في مسألة انفعال القليل تنبيها على موافقته للسيّد في تلك المسألة، ليكون نتيجته التنبيه على أنّه في مسألة الغسالة أيضا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الماء على المحلّ، فلازم الجمع بين صدر كلامه و ذيله أنّه يقول بنجاسة الغسالة في الغسلة الاولى، و طهارتها في الغسلة الثانية بشرط ورود الماء على المحلّ، و أمّا مع العكس فلازمه القول بالنجاسة مطلقا، و كيف كان فهو ليس قائلا في الغسالة بالطهارة مطلقا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حمزة، فالمنقول عنه في الذكرى</w:t>
      </w:r>
      <w:r>
        <w:rPr>
          <w:rStyle w:val="FootnoteAnchor"/>
          <w:rtl w:val="true"/>
        </w:rPr>
        <w:footnoteReference w:id="1232"/>
      </w:r>
      <w:r>
        <w:rPr>
          <w:rFonts w:ascii="Amiri" w:hAnsi="Amiri" w:eastAsia="Amiri" w:cs="Amiri"/>
          <w:color w:val="111111"/>
          <w:sz w:val="28"/>
          <w:sz w:val="28"/>
          <w:szCs w:val="28"/>
          <w:rtl w:val="true"/>
          <w:lang w:bidi="ar-SA"/>
        </w:rPr>
        <w:t xml:space="preserve">، من أنّه و البصروي سويّا بينه و بين </w:t>
      </w:r>
    </w:p>
    <w:p>
      <w:pPr>
        <w:pStyle w:val="BookText"/>
        <w:rPr/>
      </w:pPr>
      <w:r>
        <w:rPr>
          <w:rFonts w:ascii="Amiri" w:hAnsi="Amiri" w:eastAsia="Amiri" w:cs="Amiri"/>
          <w:color w:val="111111"/>
          <w:sz w:val="28"/>
          <w:sz w:val="28"/>
          <w:szCs w:val="28"/>
          <w:rtl w:val="true"/>
          <w:lang w:bidi="ar-SA"/>
        </w:rPr>
        <w:t xml:space="preserve">رافع الأكبر، لا يساعد على أنّه اختار الطهارة، لما تقدّم الإشارة إليه من أنّ التسوية بينهما لا تقتضي إلاّ المشاركة في أصل الحكم دون جهته، فلعلّه في الأوّل من جهة وجود المانع و في الثاني من جهة فقد المقتضي، و نظير هذا التعبير شائع في كلام الفقهاء و أخبار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ضعف ما في الحدائق</w:t>
      </w:r>
      <w:r>
        <w:rPr>
          <w:rStyle w:val="FootnoteAnchor"/>
          <w:rtl w:val="true"/>
        </w:rPr>
        <w:footnoteReference w:id="1233"/>
      </w:r>
      <w:r>
        <w:rPr>
          <w:rFonts w:ascii="Amiri" w:hAnsi="Amiri" w:eastAsia="Amiri" w:cs="Amiri"/>
          <w:color w:val="111111"/>
          <w:sz w:val="28"/>
          <w:sz w:val="28"/>
          <w:szCs w:val="28"/>
          <w:rtl w:val="true"/>
          <w:lang w:bidi="ar-SA"/>
        </w:rPr>
        <w:t>من استظهار اختياره عن ابن بابويه في الفقيه، حيث ساوى بينه و بين رافع الحدث الأكبر، و هو طاهر إجماعا، كما سبق الإشارة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ابن حمزة كلام آخر ربّما يومئ إلى اختياره،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المحكيّ عنه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الماء أوّلا عشرة أقسام، و عدّ منها المستعمل، و منها الماء النجس،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المستعمل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الوضوء، و المستعمل في غسل الجنابة و الحيض و نحوهما، و المستعمل في إزالة النجاسة،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يجوز استعماله ثانيا في رفع الحدث و إزالة الخبث، و الأخيران لا يجوز ذلك فيهما إلاّ أن يبلغا كرّا فصاعدا بالماء الطاهر</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في حكم الماء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استعماله بحال إلاّ حال الضرورة للشرب</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فإنّ قرينة المقابلة بين المستعمل و الماء النجس تقضي بأنّ المستعمل بأقسامه الثلاث ليس بنجس، و إلاّ لم يكن لذكره مع الماء النجس متقابلين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هذه الدلالة ربّما تتوهّن بما اعتبره في تجويز استعمال الأخيرين في رفع الحدث و إزالة الخبث من بلوغهما كرّا بالماء الطاهر، فإنّ ذلك يرجع إلى القول بطهارة القليل النجس بإتمامه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اختياره القول بالنجاسة، حتّى في المستعمل في رفع الحدث الأكبر، و إن ادّعى الإجماع على خلافه في كلام جماعة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أنّه يقول فيه أيضا بالنجاسة، ما نسب إليه من أنّه حكم في الماء القليل بنجاسته بارتماس الجنب فيه، بعد ما حكم بنجاسته بوقوع النجاسة فيه، و لا ينافيه دعوى الإجماع على خلافه، لأنّ ذلك ليس بعادم النظير في المسائل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هذا القبيل أنّه قال بعدم جواز إزالة الخبث بذلك الماء، مع دعوى العلاّمة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في تلك المسألة متشابه، و يناقض بعضه بعضا، فلا يظهر منه اختياره القول بالطهارة هنا، إن لم نقل بظهوره في اختيار النجاسة كما عرفت، و لا ينافيه ما ذكر من قرينة المقابلة، فلعلّ الداعي إلى جعلهما متقابلين كون النجاسة في الماء النجس جزءا للعنوان، إذ مع فرض ارتفاعها بعلاج كإتمامه كرّا مثلا يخرج عن كونه الماء النجس، بخلاف المستعمل في إزالة الخبث، فإنّ النجاسة فيه ليس جزءا للعنوان، فلذا فرض فيه ارتفاع الحكم المذكور من عدم جواز استعماله ثانيا ببلوغه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بذلك الفرض التنبيه على أنّ المانع عن الاستعمال فيه ليس هو حيثيّة كونه مستعملا في إزالة الخبث، و هو معنون في مقابلة الماء النجس من هذه الحيثيّة، بل المانع هو النجاسة، فإذا ارتفع بالعلاج جاز فيه الاستعمال مع بقائه على عنوان المقتضي لجعله مقابلا و عدّه قسما برأسه، بخلاف الماء النجس المقابل له، فإنّه إذا ارتفع عنه النجاسة بالعلاج خرج عن عنوانه بالمرّة، فإنّه بعد الطهارة لا يكون ماء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التشريك بينه و بين رافع الحدث الأكبر في المنع عن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 فيه أيضا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في اقتضاء اختياره الطهارة في رافع الخبث، و كذلك على فرض عدم بنائه فيه على النجاسة وفاقا للمعظم، لما سبق من أنّ التشريك في الحكم لا يقتضي التشريك في جهة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 يظهر ضعف ما عن اللوامع</w:t>
      </w:r>
      <w:r>
        <w:rPr>
          <w:rStyle w:val="FootnoteAnchor"/>
          <w:rtl w:val="true"/>
        </w:rPr>
        <w:footnoteReference w:id="1236"/>
      </w:r>
      <w:r>
        <w:rPr>
          <w:rFonts w:ascii="Amiri" w:hAnsi="Amiri" w:eastAsia="Amiri" w:cs="Amiri"/>
          <w:color w:val="111111"/>
          <w:sz w:val="28"/>
          <w:sz w:val="28"/>
          <w:szCs w:val="28"/>
          <w:rtl w:val="true"/>
          <w:lang w:bidi="ar-SA"/>
        </w:rPr>
        <w:t>أيضا من نسبة القول بالطهارة مطلقا إلى المرتضى و جلّ الطبقة الاولى، كما يظهر عدم دلالة ما عن جامع المقاصد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الأشهر بين المتقدّمين أنّه غير رافع كالمستعمل في الكبرى</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على دعواه الشهرة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الكلام أنّه لم يثبت في أصحابنا قول صريح و لا ظاهر فيه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يحكى عن الأمين الأسترآبادي كلام هو صريح في الميل إلى الطهارة </w:t>
      </w:r>
    </w:p>
    <w:p>
      <w:pPr>
        <w:pStyle w:val="BookText"/>
        <w:rPr/>
      </w:pPr>
      <w:r>
        <w:rPr>
          <w:rFonts w:ascii="IRNazanin" w:hAnsi="IRNazanin" w:eastAsia="IRNazanin"/>
          <w:color w:val="111111"/>
          <w:sz w:val="28"/>
          <w:sz w:val="28"/>
          <w:szCs w:val="28"/>
          <w:rtl w:val="true"/>
          <w:lang w:bidi="fa-IR"/>
        </w:rPr>
        <w:t>مطلقا</w:t>
      </w:r>
      <w:r>
        <w:rPr>
          <w:rStyle w:val="FootnoteAnchor"/>
          <w:rtl w:val="true"/>
        </w:rPr>
        <w:footnoteReference w:id="1238"/>
      </w:r>
      <w:r>
        <w:rPr>
          <w:rFonts w:ascii="Amiri" w:hAnsi="Amiri" w:eastAsia="Amiri" w:cs="Amiri"/>
          <w:color w:val="111111"/>
          <w:sz w:val="28"/>
          <w:sz w:val="28"/>
          <w:szCs w:val="28"/>
          <w:rtl w:val="true"/>
          <w:lang w:bidi="ar-SA"/>
        </w:rPr>
        <w:t xml:space="preserve">، و حكي عن ظاهر الشهيد في الذكرى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بعض مشايخنا قدّس سرّه</w:t>
      </w:r>
      <w:r>
        <w:rPr>
          <w:rStyle w:val="FootnoteAnchor"/>
          <w:rtl w:val="true"/>
        </w:rPr>
        <w:footnoteReference w:id="1240"/>
      </w:r>
      <w:r>
        <w:rPr>
          <w:rFonts w:ascii="Amiri" w:hAnsi="Amiri" w:eastAsia="Amiri" w:cs="Amiri"/>
          <w:color w:val="111111"/>
          <w:sz w:val="28"/>
          <w:sz w:val="28"/>
          <w:szCs w:val="28"/>
          <w:rtl w:val="true"/>
          <w:lang w:bidi="ar-SA"/>
        </w:rPr>
        <w:t>مع اشتراطه ورود الماء، فهو في الحقيقة اختار القول الآتي في المسألة و هو خامس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الرابع هو القول بالطهارة مطلقا من غير فرق حتّى بين الورودين، و أمّا أدلّة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المدارك</w:t>
      </w:r>
      <w:r>
        <w:rPr>
          <w:rStyle w:val="FootnoteAnchor"/>
          <w:rtl w:val="true"/>
        </w:rPr>
        <w:footnoteReference w:id="1241"/>
      </w:r>
      <w:r>
        <w:rPr>
          <w:rFonts w:ascii="Amiri" w:hAnsi="Amiri" w:eastAsia="Amiri" w:cs="Amiri"/>
          <w:color w:val="111111"/>
          <w:sz w:val="28"/>
          <w:sz w:val="28"/>
          <w:szCs w:val="28"/>
          <w:rtl w:val="true"/>
          <w:lang w:bidi="ar-SA"/>
        </w:rPr>
        <w:t>من الأصل السالم عمّا يصلح للمعارضة، نظرا إلى أنّ الروايات المتضمّنة لنجاسة القليل بالملاقاة لا تتناول ذلك صريحا و لا ظاهرا، و تخرج الروايات الدالّة على طهارة ماء الاستنجاء شاهدا، و بملاحظة جميع ما مرّ يظهر ضعف ذلك بل كونه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انفعل لم يطهّر المحلّ، و التالي باطل إجماعا فكذا المقدّم، و هذا الوجه و ان لم يصرّح بالاستدلال به في هذا المقام، و إنّما صرّح به في كلام السيّد في مسألة انفعال القليل بالقياس إلى الفرق بين الورودين، و لكن يمكن إجراؤه في المقام لعموم مفاده، بل جريانه ثمّة مبنيّ على نهوضه دليلا 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لم يكن قاضيا بالطهارة إلاّ في الغسلة الثانية المزيلة لنجاسة المحلّ، لمنع بطلان التالي إذا قرّر لإثبات الطهارة في الغسلة الاولى أيضا، فيكون أخصّ من المدّعى، و لذا عدل عنه الاستاذ مدّ ظلّه في شرح الشرائع</w:t>
      </w:r>
      <w:r>
        <w:rPr>
          <w:rStyle w:val="FootnoteAnchor"/>
          <w:rtl w:val="true"/>
        </w:rPr>
        <w:footnoteReference w:id="1242"/>
      </w:r>
      <w:r>
        <w:rPr>
          <w:rFonts w:ascii="Amiri" w:hAnsi="Amiri" w:eastAsia="Amiri" w:cs="Amiri"/>
          <w:color w:val="111111"/>
          <w:sz w:val="28"/>
          <w:sz w:val="28"/>
          <w:szCs w:val="28"/>
          <w:rtl w:val="true"/>
          <w:lang w:bidi="ar-SA"/>
        </w:rPr>
        <w:t>، فقرّره على وجه يعمّ الغسلتين، و هو أنّه لو كان نجسا لم يؤثّر في التطهير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بمطالبة دليل الملازمة، و هو لا يخلو إمّا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طهارة الماء في إزالة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أخصّ من الاولى، 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تنجّس ملاقي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سبيل إلى شيء منها، سواء استند فيها إلى الإجماعات المنقولة، أو إلى الإجماع المحصّل، أو إلى تتبّع الأخبار الجزئيّة الواردة في الموارد الخاصّة من أبواب الطهارات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الاوليين بجميع تقاديرهما الثلاث فلما مرّ فيهما من الكلام مستوفى في دفع حجج القول السابق بالفرق بين الغسلتين،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إلى منع انعقاد هاتين القاعدتين على تقدير، و منع منافاتهما للانفعال على آخر، إذ لو اريد بالطهارة المشترطة طهارة الماء قبل ملاقاته للمحلّ و حين ملاقاته له، و بالتنجّس المانع عن التطهير تنجّس الماء أعمّ ممّا حصل من نجاسة المحلّ و ما حصل من غيرها سابقا أو لاحقا، فانعقاد أصل القاعدة ممنوع، و سند المنع ما تقدّم، فيبقى عموم قاعدة الانفعال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عورض بمنع العموم في تلك القاعدة أيضا رجع البحث إلى الدليل السابق، و قد استوفينا فيه الكلام أيضا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بهما الطهارة و التنجّس في الجملة، و لو بالنسبة إلى ما قبل الملاقاة، أو حينها إذا حصل التنجّس من نجاسة خارجة عن نجاسة المحلّ، فأصل القاعدة مسلّم و لا إشكال فيها أصلا، و لكنّها لا تنافي عموم قاعدة الانفعال، و لو قيل بمنع عموم تلك القاعدة أيضا ليلزم منه صحّة المراجعة إلى الأصل و الأخذ بموجبه عاد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يتّضح أنّ ما في كلام بعض مشايخنا العظام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القاعدتين و إبداء المعارضة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قاعدة أنّ المتنجّس لا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لمثل المقام ليست بأولى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شمول 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قاعدة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أقعد القاعدة المذكورة رجما بالغيب، و أظهر من نفسه تسليم قاعدة الانفعال، لكن لا إذا استند فيها إلى عموم المفهوم لأنّه غير مسلّم في نظره، بل إذا استند فيها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المتتبّع لكثير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حكاية الإجماعات هناك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الماء القليل ينفعل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فتوهّم المعارضة بينهما ثمّ تحرّى في تحصيل المرجّحات للقاعدة الاولى، فلم يأت إلاّ بامور واهية لا يكاد يخفى وهنها على الخبير المنصف، و سنشير إليها مع ما يوهنها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تعضدنا و لا تنافينا كما لا يخفى، و مع ذلك نقول ما المراد </w:t>
      </w:r>
    </w:p>
    <w:p>
      <w:pPr>
        <w:pStyle w:val="BookText"/>
        <w:rPr/>
      </w:pPr>
      <w:r>
        <w:rPr>
          <w:rFonts w:ascii="Amiri" w:hAnsi="Amiri" w:eastAsia="Amiri" w:cs="Amiri"/>
          <w:color w:val="111111"/>
          <w:sz w:val="28"/>
          <w:sz w:val="28"/>
          <w:szCs w:val="28"/>
          <w:rtl w:val="true"/>
          <w:lang w:bidi="ar-SA"/>
        </w:rPr>
        <w:t>بتنجّس ملاقي النجس أو المتنجّس؟ فإن اريد أنّ الماء إذا فرض انفعاله بنجاسة المحلّ كان المحلّ ملاقيا للمتنجّس فيتنجّس به، لا أنّه يطهّر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طهره بعد تحقّق ما هو سبب له شرعا، و هو الغسل الّذي لا يتأتّى إلاّ بإخراج ذلك الماء المتنجّس عنه بالعصر العرفي أو الإفراغ، على ما يستفاد من الأدلّة من أنّه هو المطهّر حقيقة، و الماء شرط مقوّم له، كما أنّ طهارته بالمعنى المتقدّم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أنّ طهره به إنّما يكون بما إذا تطهّر حال الملاقاة، فإذا فرض أنّ الماء يتنجّس به فلا يتأتّى فيه ذلك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ذلك في التطهير ممّا لم يقل به أحد، و لا أنّه ممّا قام عليه دليل بل الدليل على خلافه، كيف و لو صحّ ذلك لقضى بعدم اعتبار التعدّد في التطهير عن بعض النجاسات، بل و بعدم اعتبار العصر في الثياب، و لا الإفراغ في الأواني، و كلّ ذا كما ترى، مع أنّ الفريقين من أهل القول بالطهارة و أصحاب القول بالنجاسة متسالمان على أنّه لا تطهّر ما لم يستكمل الغسل بآدابه و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نجاسة الملاقي للنجس ممّا لا ريب في شمولها لكلّ من الماء و المحلّ، إذ اللازم من نجاسة الماء بالمحلّ نجاسة المحلّ بالماء لحصول الملاقاة من الطرفين، فالتزام عدم 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لنجس المحلّ و لم يطهّره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التزام عدم نجاسة المحلّ به، بل الأوّل أبعد، لأنّ ما تأثّر من الشيء لا يؤثّر فيه ذلك الأثر، نعم لا يبعد أن يؤثّر فيه خلافه بنقل ما فيه إلى نفسه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المتأثّر عن الشيء لا يمكن كونه علّة محدثة لذلك الأثر في ذلك الشيء، فلم لا يجوز أن يكون علّة مبقية لذلك الأثر فيه؟ إذ ليس معنى تأثّره عنه أنّه ينتقل إليه ذلك الأثر عنه بالمرّة، بل الّذي ينبغي أن يحمل عليه هذه القاعدة في تتميم الاستدلال إنّما هو إرادة البقاء على التنجّس السابق، على فرض تنجّس الماء به، فإنّ ملاقي المتنجّس إمّا أن يحدث فيه التنجّس من جهته إذا كانت الملاقاة مسبوقة بالطهارة، أو أن يستمرّ فيه التنجّس من جهته إذا كانت الملاقاة مسبوقة بالنجاسة، فإنّ أصحاب القول بطهارة الغسالة و كذلك أهل القول بنجاستها لا يدّعون أنّ المحلّ يطهر قبل انفصالها عنه، بل الظاهر أنّه خلاف الإجماع، بل يشبه بأن لا يكون متعقّلا على </w:t>
      </w:r>
    </w:p>
    <w:p>
      <w:pPr>
        <w:pStyle w:val="BookText"/>
        <w:rPr/>
      </w:pPr>
      <w:r>
        <w:rPr>
          <w:rFonts w:ascii="Amiri" w:hAnsi="Amiri" w:eastAsia="Amiri" w:cs="Amiri"/>
          <w:color w:val="111111"/>
          <w:sz w:val="28"/>
          <w:sz w:val="28"/>
          <w:szCs w:val="28"/>
          <w:rtl w:val="true"/>
          <w:lang w:bidi="ar-SA"/>
        </w:rPr>
        <w:t>القول بالنجاسة، بعد فرض استيلاء الماء المتنجّس عليه و نفوذه في جميع أجزائه و أعماقه،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مركوزا في أذهان العرف حيث إنّه يفهمون من أدلّة غسل النجاسة بالماء انتقالها عن المحلّ إليه مع طهر المحلّ غير مسموعة، و على فرض صحّة هذه النسبة فلا عبرة بما عند العرف جزما إذا خالف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بأنّ النجاسة حينئذ و إن كانت تنتسب إلى المحلّ أيضا و لكنّه بالواسطة، فإنّها قبل ملاقاة الماء للمحلّ كانت قائمة به منتسبة إليه أوّلا و بالذات، و إذا لاقاه الماء انتقلت النجاسة إليه و صارت قائمة به منتسبة إليه أوّلا و بالذات و إلى المحلّ ثانيا و بالعرض، بواسطة استيلاء ذلك الماء عليه و نفوذه في جميع أجزائه و أعماقه، فمعنى طهره قبل الانفصال أنّ النجاسة لا تنتسب إليه أصالة، لا أنّه طاهر مطلقا، و لكنّه مبنيّ على ثبوت أنّها تنتقل عنه إلى الماء الملاقي له بالمرّة، و هو في حيّز المنع، و لا يكفي فيه مجرّد الاحتمال، و مع قيام احتمال الخلاف كان عروض النجاسة للماء و الانتقال إليه مشكوكا فيه مع تيقّن ثبوته للمحلّ قبل الملاقاة، فيخرج الأصل الجاري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بقاء النجاسة في المحلّ كما كانت و أصالة عدم عروضها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 لالتزام عدم نجاسة الماء، و إلاّ لنجّس المحلّ و لم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طهارة الماء حينئذ ليس من جهة أنّها لولاها لما طهر المحلّ، إذ لا منافاة بين نجاسته و طهارة الماء بتحقّق سببها الشرعي و هو الغسل، بل من جهة الأصل، و مع ذلك فيقع الكلام في صحّة الاستناد إلى هذا الأصل و جريانه، و لعلّه في محلّ المنع، إذ لا مجال له بعد تحكيم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الملاقي للنجس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لتنجّس الماء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تبيّن أنّ هذه القاعدة لنا لا علينا، فيبقى دعوى الملازمة في أصل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الاستناد فيها إلى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دليل، لأنّا معاشر القول بنجاسة هذا الماء لا ندّعي أنّ المحلّ لا بدّ و أن يطهّر حين ملاقاة الماء، و أنّ طهره بعد الانفصال منوط بطهره حين الاتّصال، بل و لا يقول به أحد، بل ندّعي عدم المنافاة بين 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نجاسة المحلّ ما دام الماء متّصلا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صيرورته طاهر بعد الانفصال، لأنّ لكلّ سببا، و سبب تنجّس الماء المستلزم لتنجّس المحلّ باتّصاله به 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 xml:space="preserve">على عموم قاعدة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طهارة المحلّ بعد الانفصال هو تحقّق الغسل و استكماله بالانفصال، فيجب إعمال السببين لإمكانه و عدم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بعض مشايخنا العظام قدّس سرّه</w:t>
      </w:r>
      <w:r>
        <w:rPr>
          <w:rStyle w:val="FootnoteAnchor"/>
          <w:rtl w:val="true"/>
        </w:rPr>
        <w:footnoteReference w:id="1244"/>
      </w:r>
      <w:r>
        <w:rPr>
          <w:rFonts w:ascii="Amiri" w:hAnsi="Amiri" w:eastAsia="Amiri" w:cs="Amiri"/>
          <w:color w:val="111111"/>
          <w:sz w:val="28"/>
          <w:sz w:val="28"/>
          <w:szCs w:val="28"/>
          <w:rtl w:val="true"/>
          <w:lang w:bidi="ar-SA"/>
        </w:rPr>
        <w:t>بعد ما توهّم المعارضة بين قاعدة انفعال القليل و قاعدة أنّ المتنجّس لا يطهّر، بالغ في ترجيح تلك القاعدة على قاعدة الانفعال، و ذكر في ذلك امورا كثيرة، ليس شيء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w:t>
      </w:r>
      <w:r>
        <w:rPr>
          <w:rStyle w:val="FootnoteAnchor"/>
          <w:rtl w:val="true"/>
        </w:rPr>
        <w:footnoteReference w:id="1245"/>
      </w:r>
      <w:r>
        <w:rPr>
          <w:rFonts w:ascii="Amiri" w:hAnsi="Amiri" w:eastAsia="Amiri" w:cs="Amiri"/>
          <w:color w:val="111111"/>
          <w:sz w:val="28"/>
          <w:sz w:val="28"/>
          <w:szCs w:val="28"/>
          <w:rtl w:val="true"/>
          <w:lang w:bidi="ar-SA"/>
        </w:rPr>
        <w:t>في صدر البحث، من أنّ الحكم بنجاسة الغسالة مطلقا فيه من العسر و الحرج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كلام لا يساعدنا الوجدان على تعقّله، فإنّا نجد المتشرّعة متحرّزين في جميع الأعصار و الأمصار عن الغسالة بجميع لوازمها العادية من دون أثر للعسر و الحرج فيه، و مع ذلك فهذا العسر إن كان بالنسبة إلى البلّة الباقية في المحلّ فالتزام الحكم بطهارتها لئلاّ يلزم العسر و الحرج ليس بأبعد من التزام طهارة الغسالة رأسا لئلاّ يلزم العسر و الحرج، مع أنّ في الأوّل جمعا بين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الانفعال و قاعدة طهارة المتنجّس بالغسل المستلزمة لطهارة البلّة الباقية، بخلاف الثاني لاستلزامه طرح القاعدة الاولى، و إن كان بالنسبة إلى اليد الغاسلة و غيرها من آلات الغسل فهي ممّا لا بدّ من تنجّسها على كلّ حال، لملاقاتها المتنجّس أو النجس برطوبة، و إلاّ لزم طرح قاعدة اخرى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ملاقي النجس أو المتنجّس برطوبة يتنجّس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أيّ عسر من جهته بعد جريان طريق التطهير و هو الغسل بالقياس إليها أيضا؟ مع قوّة احتمال جريان قاعدة التبعيّة هنا، بل يمكن عليه دعوى السيرة و عمل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احتمالات اخر لتقريب دعوى لزوم العسر و الحرج لا ينبغي الإطناب بذكرها، لخلوّه عن الجدوى، مع أنّ أقصى ما يترتّب على العسر و الحرج المنفيّين في الشريعة إنّما هو رفع التكليف، و هو وجوب التحرّز لا رفع النجاسة، فلا ملازمة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أثر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لنجاسة الغسالة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وصل إلينا من الأخبار بالخصوص مع عموم البلوى و الابتلاء بها، و اشتمالها على كثير من فروعها الدقيقة مثل القطرات و يد المباشر و نحوهما، و لذلك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العجب خلوّ كلام أكثر </w:t>
      </w:r>
    </w:p>
    <w:p>
      <w:pPr>
        <w:pStyle w:val="BookText"/>
        <w:rPr/>
      </w:pPr>
      <w:r>
        <w:rPr>
          <w:rFonts w:ascii="Amiri" w:hAnsi="Amiri" w:eastAsia="Amiri" w:cs="Amiri"/>
          <w:color w:val="111111"/>
          <w:sz w:val="28"/>
          <w:sz w:val="28"/>
          <w:szCs w:val="28"/>
          <w:rtl w:val="true"/>
          <w:lang w:bidi="ar-SA"/>
        </w:rPr>
        <w:t>القدماء عن الغسالة مع عموم البلوى بها</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مطالبة الأثر في نجاسة الغسالة مع قيام قاعدة انفعال القليل كما ترى، فإنّها على الفرض قاعدة كلّيّة تكفي في معرفة جزئيّاتها ما لم تخرج عنها، و قد قرّرها الشارع و معها لا معنى لمطالبة الدليل في خصوص كلّ مورد من مواردها، و من هنا اتّجه عليه إيراد آخر بالقلب، فإنّه لو كانت الغسالة طاهرة مع اقتضاء قاعدة الانفعال نجاستها لوجب ورود نصّ فيها، كما ورد في طهارة الاستنجاء و نحوه، فخلوّ ما وصل إلينا من الأخبار عن مثل هذا النصّ دليل محكّم على العدم، مع المنع عن خلوّه عن أثر النجاسة، فإنّ رواية العيص</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ذلك، و المناقشة فيها سندا أو دلالة مندفعة بما مرّ، ثمّ تخرج رواية عبد اللّه بن سنان</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هذه القاعدة بأصل البراءة، و أصل الإباحة، و أصل الطهارة 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الانفعال أيضا متأيّدة بالإجماعات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إليها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محقّقة و محكيّة، و عدم قائل بالطهارة صريحا من علمائنا السلف أو ندرة، و التأييد بهذه الامور لا يقصر عن التأييد بالاصول بل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ابن إدريس ما قاله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الاستمرار على أصل المذهب، و فتاوي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في بحث الورودين من المناقشة في تلك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موافق له فيها، بل التتبّع في كلمات الفقهاء و ملاحظة سيرة الناس يقضي ببطلانها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بدعوى الإجماعات المتقدّمة، و العجب أنّه يغمض عن هذه الإجماعات و يتشبّث بما فيه عندهم ألف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لم يعثر على تخلّفها بالنسبة إلى المياه أبدا، بخلاف الاخرى فإنّها قد تخلّفت في بعض و هو محلّ وفاق، كالاستنجاء و ماء المطر و الجاري، و آخر محلّ خلاف كالحمّام و نحوه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اكتفى في دعوى تخلّف قاعدة الانفعال بما هو محلّ خلاف فمثله </w:t>
      </w:r>
    </w:p>
    <w:p>
      <w:pPr>
        <w:pStyle w:val="BookText"/>
        <w:rPr/>
      </w:pPr>
      <w:r>
        <w:rPr>
          <w:rFonts w:ascii="Amiri" w:hAnsi="Amiri" w:eastAsia="Amiri" w:cs="Amiri"/>
          <w:color w:val="111111"/>
          <w:sz w:val="28"/>
          <w:sz w:val="28"/>
          <w:szCs w:val="28"/>
          <w:rtl w:val="true"/>
          <w:lang w:bidi="ar-SA"/>
        </w:rPr>
        <w:t>موجود في القاعدة الاخرى بالنسبة إلى المياه، كما في مسألة تتميم القليل النجس كرّا بنجس، على ما نسب إلى ظاهر جماعة يدّعون الطهارة، و استنادها إلى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القضيّة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جنس المتنجّس من دون تقييده بالماء، فتخلّفها بالنسبة إلى حجر الاستنجاء الّذي هو محلّ وفاق، و إلى الأرض الّتي تطهر باطن القدم و غيره الّذي هو محلّ خلاف، يكفي في إبداء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اعتبر مقيّدا بالماء، فمع أنّه لا داعي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قيد له في كلامهم فينبغي أن تلاحظ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بموجب القاعدة إن اريد بالتنجّس ما يحصل من غير نجاسة المحلّ، و إلاّ فأصل القاعدة غير مسلّمة، مع أنّ التخلّف الخلافي لو صلح موهنا للقاعدة لكان محلّ البحث منه، على أنّه لا يسلّم وجود التخلّف الوفاقي في الطرف المقابل، لأنّه في كلّ من الموارد المذكورة موضع خلاف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القاضية بتنجّس القليل به في المقام استنباطيّة، و لم يعلم شمولها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مع تخلّفها عندهم هنا، فإنّ الماء عندهم ينجّس و لا ينجّس الثوب مثلا به، فإن كان لم يعلم شمول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حتّى ينجّس الماء للثوب، فكذلك لم يعلم شمولها له حتّى ينجّس الثوب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بأنّ الماء بعد تنجّسه بالثوب ينجّس الثوب، و لا أنّ الثوب طاهر ما دام هو فيه،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على تنجّسه حتّى يستكمل المطهّر و السبب الشرعي للتطهّر و هو الغسل، فإنّا نقول بموجب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الملاقي له قابلا للتنجّس و تجدّده بعدم قيام المانع عنه، و إنّما لا نقول في الثوب بتنجّسه بالماء المشمّس لأنّه باق بعد على نجاسته، فهو ليس قابلا للتنجّس حتّى نقول فيه بموجب القاعدة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التحرّز في كثير من المقامات بالنسبة إلى جريانها إلى غير محلّ النجاسة، و بالنسبة إلى مقدار التقاطر و مقدار التخلّف و نحو ذلك، و القول بأنّ المدار في ذلك على العرف، لا أثر له في الأدلّة الشرعيّة، و لو تأمّل الناظر في عمل القائلين بالنجاسة و كيفيّة عدم تحرّزهم عنها، لقطع بأنّ عملهم يخالف ما يفتون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عمل القائلين بالنجاسة في الموارد المذكورة إنّما هو على المصاديق العرفيّة، و مع كونه ميزانا في المقام ارتفع الإشكال بحذافيره،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العرف ممّا لا أثر له، من أبعد الأشياء الّتي تذكر في المقام، كيف و أنّ مسمّيات الموضوعات ممّا لا يعرف إلاّ بمراجعة العرف، و نظيره في المسائل الفرعيّة فوق حدّ الإحصاء، أ لا ترى أنّه في مسألة الخليطين بالنسبة إلى غسل الميّت يقتصر فيهما على المسمّى العرفي، و في مسألة السجود على الأرض مثلا يعتبر ما يصدق عليه الاسم عرفا، و كذلك الكلام في الطهورين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المتتبّع في الشرعيّات يقطع بأنّ المناط في موضوعات الأحكام إذا كانت لغويّة إنّما هو الصدق العرفي، فكذا المقام و معه لا عسر و لا حرج، و على فرض تسليمهما بالقياس إلى بعض ما ذكر، فهما إنّما يسقطان التكليف دون الوضع، فلا يجب التحرّز لا أنّه لا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الجزئيّة الّتي أخذها بعضهم دليلا من جانب القائلين بالطهارة، و ستسمعها مع ما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أصل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المعارضة بمثلها،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الغسالة طاهرة لجاز التطهّر بها من الحدث، لأنّ التفكيك بينهما يوجب التقييد في إطلاق ما دلّ على جواز رفع الحدث بالماء الطاهر، خرج ماء الاستنجاء عنه كما خرج أحجار الاستنجاء عن الحجّة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الماء قد جمع بين ما هو لازم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تطهير، و ما هو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رفع الحدث به ثانيا، فأدلّة الملازمتين متعارضة، و أقصى ما يلزم من هذه المعارضة التوقّف، أو الحكم بالتساقط، فيبقى عمومات انفعال القليل سليمة عن المعارض</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عموم أدلّة الملازمة الاولى، أعني ما دلّ على الملازمة بين طهارة الماء و التطهير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معارضة بأدلّة الملازمة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الإطلاقات المذكورة القاضية بالملازمة فيما بين عدم جواز رفع الحدث بالماء 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معارضة بأدلّة انفعال القليل، و التعارض بين الكلّ إنّما هو بالعموم من وجه، فيجب </w:t>
      </w:r>
    </w:p>
    <w:p>
      <w:pPr>
        <w:pStyle w:val="BookText"/>
        <w:rPr/>
      </w:pPr>
      <w:r>
        <w:rPr>
          <w:rFonts w:ascii="Amiri" w:hAnsi="Amiri" w:eastAsia="Amiri" w:cs="Amiri"/>
          <w:color w:val="111111"/>
          <w:sz w:val="28"/>
          <w:sz w:val="28"/>
          <w:szCs w:val="28"/>
          <w:rtl w:val="true"/>
          <w:lang w:bidi="ar-SA"/>
        </w:rPr>
        <w:t>التوقّف و الرجوع إلى أصالة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ارتكاب التقييد في دليل واحد و هو دليل الملازمة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هذا الإطلاق الّذي لا نسلّمه إلاّ من باب التنزّل و المماشاة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ارتكابه في الأدلّة المتعدّدة، و هي أدلّة الملازمة الثانية مع أدلّة انفعال القليل، فلا داعي إلى التوقّف و الرجوع إلى الأصل، لأنّهما بعد العجز عن الترجيح على حسب مقتضى القواعد العرفيّة المعمولة في الأدلّة اللفظيّة، و لا عجز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 الّتي أوردها شيخنا الاستاذ دام ظلّه</w:t>
      </w:r>
      <w:r>
        <w:rPr>
          <w:rStyle w:val="FootnoteAnchor"/>
          <w:rtl w:val="true"/>
        </w:rPr>
        <w:footnoteReference w:id="1251"/>
      </w:r>
      <w:r>
        <w:rPr>
          <w:rFonts w:ascii="Amiri" w:hAnsi="Amiri" w:eastAsia="Amiri" w:cs="Amiri"/>
          <w:color w:val="111111"/>
          <w:sz w:val="28"/>
          <w:sz w:val="28"/>
          <w:szCs w:val="28"/>
          <w:rtl w:val="true"/>
          <w:lang w:bidi="ar-SA"/>
        </w:rPr>
        <w:t>بزعم إمكان الاستدلال بها على الطهارة، بل أخذها بعض آخر من مشايخنا في الجواهر</w:t>
      </w:r>
      <w:r>
        <w:rPr>
          <w:rStyle w:val="FootnoteAnchor"/>
          <w:rtl w:val="true"/>
        </w:rPr>
        <w:footnoteReference w:id="1252"/>
      </w:r>
      <w:r>
        <w:rPr>
          <w:rFonts w:ascii="Amiri" w:hAnsi="Amiri" w:eastAsia="Amiri" w:cs="Amiri"/>
          <w:color w:val="111111"/>
          <w:sz w:val="28"/>
          <w:sz w:val="28"/>
          <w:szCs w:val="28"/>
          <w:rtl w:val="true"/>
          <w:lang w:bidi="ar-SA"/>
        </w:rPr>
        <w:t xml:space="preserve">مؤيّدة لما اعتمد عليه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المتنجّس 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جعلها في الحدائق</w:t>
      </w:r>
      <w:r>
        <w:rPr>
          <w:rStyle w:val="FootnoteAnchor"/>
          <w:rtl w:val="true"/>
        </w:rPr>
        <w:footnoteReference w:id="1253"/>
      </w:r>
      <w:r>
        <w:rPr>
          <w:rFonts w:ascii="Amiri" w:hAnsi="Amiri" w:eastAsia="Amiri" w:cs="Amiri"/>
          <w:color w:val="111111"/>
          <w:sz w:val="28"/>
          <w:sz w:val="28"/>
          <w:szCs w:val="28"/>
          <w:rtl w:val="true"/>
          <w:lang w:bidi="ar-SA"/>
        </w:rPr>
        <w:t>دالّة على الطهارة، و لذا توقّف في المسألة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تلك الأخبار لروايات اخر دالّة على النجاسة، و هي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الأحول المتقدّمة في بحث الاستنجاء النافية للبأس عنه، المعلّلة بأكثريّة الماء في مقابلة القذر،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صار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أكثر من القذر</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فإنّ العلّة بعمومها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المراد بالأكثريّة مجرّد الكمّ، بل المراد استهلاك القذر في الماء الّذي يورده عليه، فدلّ على أنّ كلّ ماء ورد على قذر فاستهلكه بحيث لم يظهر فيه أوصافه كان طاهرا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الاستاذ</w:t>
      </w:r>
      <w:r>
        <w:rPr>
          <w:rStyle w:val="FootnoteAnchor"/>
          <w:rtl w:val="true"/>
        </w:rPr>
        <w:footnoteReference w:id="1255"/>
      </w:r>
      <w:r>
        <w:rPr>
          <w:rFonts w:ascii="Amiri" w:hAnsi="Amiri" w:eastAsia="Amiri" w:cs="Amiri"/>
          <w:color w:val="111111"/>
          <w:sz w:val="28"/>
          <w:sz w:val="28"/>
          <w:szCs w:val="28"/>
          <w:rtl w:val="true"/>
          <w:lang w:bidi="ar-SA"/>
        </w:rPr>
        <w:t>بما يرجع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تعرّض الإمام عليه السّلام بعد نفيه البأس عن الماء المفروض في السؤال للتعليل بالعلّة المذكورة، يدلّ على أنّ الحكم الوارد في الرواية إنّما ورد على خلاف القاعدة، لأنّه تعرّض لذلك بعد أن سكت، فكأنّه فهم من حال السائل في زمان سكوته أنّه استبعد ذلك الحكم، لما ركز في ذهنه من أنّ مقتضى </w:t>
      </w:r>
    </w:p>
    <w:p>
      <w:pPr>
        <w:pStyle w:val="BookText"/>
        <w:rPr/>
      </w:pPr>
      <w:r>
        <w:rPr>
          <w:rFonts w:ascii="Amiri" w:hAnsi="Amiri" w:eastAsia="Amiri" w:cs="Amiri"/>
          <w:color w:val="111111"/>
          <w:sz w:val="28"/>
          <w:sz w:val="28"/>
          <w:szCs w:val="28"/>
          <w:rtl w:val="true"/>
          <w:lang w:bidi="ar-SA"/>
        </w:rPr>
        <w:t>القاعدة خلاف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تدري لم صار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للاستبعاد، مريدا به أنّ هذا الحكم ما جعل على خلاف القاعدة المركوزة في ذهنك، و الّذي يشعر بذلك أنّه عبّر عن جعل هذا الحكم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الانتقال، و معناه أنّ هذا الحكم خارج عن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العلّة في خروجه أنّ الماء أكثر من القذر، و معه لا يمكن التمسّك بعموم تلك العلّة، لأنّ الحكم الخارج على خلاف القاعدة هنا طهارة ماء الاستنجاء، فحينئذ إمّا أن يريد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صار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طهارة ماء الاستنجاء من حيث كونه ماء قليلا ملاقيا للنجاسة خارجة عن مقتضى القاعدة، أو يريد به بيان أنّ طهارة ماء الاستنجاء من حيث كونه غسالة خارجة عن مقتضى القاعدة، أو يريد به بيان أنّ طهارة ماء الاستنجاء من حيث كونه ماء استنجاء خارجة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انفعال القليل بالملاقاة، كما توهّم مستدلاّ بتلك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طهارة الغسالة كائنة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طهارة ماء الاستنجاء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سبيل إلى الأوّل إذ لا قاعدة في مقابلة عدم انفعال القليل، ليكون ذلك على خلافها مخرجا عنها، بل هو على تقدير ثبوته حكم موافق للقاعدة، لأنّ القاعدة الأولويّة في الماء الطهارة بخلاف الأخيرين، إذ يمكن فرض قاعدة في مقابلتهما بكون الحكم فيهما مخالفا لها، إذ على أوّلها يكون الحكم المذكور مخالفا لقاعدة انفعال القليل بالملاقاة، و على ثانيهما يكون مخالفا لقاعدة نجاسة الغسالة، و الاستدلال بالرواية على طهارة مطلق الغسالة لا يتمّ إلاّ على تقدير تعيّن أوّل الاحتمالين في كونه مرادا، و لا معيّن له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التشبّث بالعموم ممّا لا معنى له، لأنّه لو كان لقضى بعدم انفعال القليل مطلقا، و قد فرضنا عدم إمكان إرادته، و المفروض أنّ المستدلّ أيضا لا يقول به، بل هو ممّن يقول بالانفعال، فصارت العلّة الواردة في الرواية مجملة، و معه سقط بها الاستدلال جدّا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 ظلّه و إن أجاد فيما أفاد، و أتى في منع الدلالة بما لم يأته إلاّ ذو القوّة القدسيّة، و صاحب الملكة القويّة المستقيمة، إلاّ أنّ فيه بعد إشكالا لم يتعرّض هو لدفعه، </w:t>
      </w:r>
    </w:p>
    <w:p>
      <w:pPr>
        <w:pStyle w:val="BookText"/>
        <w:rPr/>
      </w:pPr>
      <w:r>
        <w:rPr>
          <w:rFonts w:ascii="Amiri" w:hAnsi="Amiri" w:eastAsia="Amiri" w:cs="Amiri"/>
          <w:color w:val="111111"/>
          <w:sz w:val="28"/>
          <w:sz w:val="28"/>
          <w:szCs w:val="28"/>
          <w:rtl w:val="true"/>
          <w:lang w:bidi="ar-SA"/>
        </w:rPr>
        <w:t>مع إمكان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إذا كانت بنفسها عامّة، فغاية ما يلزم ممّا ذكر في نفي إرادة المعنى إنّما هو ورود تخصيص عليها، و من المقرّر أنّ العامّ المخصّص حجّة في الباقي بعد التخصيص، أي ظاهر في تمام الباقي لا أنّه مردّد بينه و بين البعض منه، فإنّه لو حملناها على إرادة المعنى الثاني لحملناها على تمام الباقي بعد التخصيص، و لو حملناها على إرادة المعنى الثالث لحملناها على البعض منه، و حيث إنّ البعض الآخر لا يعلم له مخرج فيجب الحمل على الجميع، و معه يتمّ الاستدلال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المشار إليه فهو أنّ اللازم من الحمل على أحد المعنيين الأخيرين دون الأوّل أن تكون الرواية فارقة بين أقسام القليل الملاقي للنجاسة، مفصّلة فيها بالحكم على البعض بالطهارة دون البعض الآخر، و العلّة المأخوذة لذلك الحكم هي أكثريّة الماء، و هذه العلّة كما أنّها تجري بالقياس إلى الاستنجاء، كذلك تجري بالقياس إلى مطلق الغسالة، و كما أنّها تجري في الغسالة كذلك تجري في مطلق القليل، و من القبيح عقلا المستقبح عرفا تعليل الفرق بين شيئين أو أشياء بعلّة مشتركة بين الجميع، فإنّ علّة الحكم المخصوص بشيء لا بدّ و أن يكون من خصائص ذلك الشيء و إلاّ لما اختصّ الحكم به، لئلاّ يلزم تخلّف المعلول عن العلّة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كون التعليل في معرض بيان كون الحكم المذكور على خلاف مقتضى القاعدة، حسبما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بأكثريّة الماء بالقياس إلى القذر ليس هو الأكثريّة الحسيّة، ليلزم أحد المحذورات ممّا ذكر في نفي احتمال المعنى الأوّل، و ما أشرنا إليه من الإشكال بالقياس إلى المعنى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فسّرت بما يوجب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بها الأكثريّة المعنويّة، الّتي يرادفها القوّة العاصمة، فيكون معنى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الماء فيه قوّة تعصمه عن الانفعال بذلك القذر، و ليس في القذر في مقابلته قوّة تزاحم ما في الماء و تترجّح عليه فتوجب انفعاله، و هذه القوّة ممّا لا يدري أنّها هل هي الحيثيّة الاستنجائيّة اللاحقة بالماء، أو الحيثيّة المطهّريّة عن الخبث العارضة له، أو مجرّد كونه ماء، فتكون العلّة مجملة و القدر المتيقّن منها الحيثيّة الاولى، لأنّها حاصلة على جميع التقادير في ماء الاستنجاء المسئول عنه، فلا يظهر من الرواية حكم الماء القليل مطلقا، و لا حكم مطلق الغسالة، فسقط الاستدلال </w:t>
      </w:r>
    </w:p>
    <w:p>
      <w:pPr>
        <w:pStyle w:val="BookText"/>
        <w:rPr/>
      </w:pPr>
      <w:r>
        <w:rPr>
          <w:rFonts w:ascii="Amiri" w:hAnsi="Amiri" w:eastAsia="Amiri" w:cs="Amiri"/>
          <w:color w:val="111111"/>
          <w:sz w:val="28"/>
          <w:sz w:val="28"/>
          <w:szCs w:val="28"/>
          <w:rtl w:val="true"/>
          <w:lang w:bidi="ar-SA"/>
        </w:rPr>
        <w:t xml:space="preserve">بها على عدم انفعال القليل بالملاقاة، و لا طهارة الغسالة على الإطلاق، و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إجمال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بحث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بول الصبيّ من الروايات الآمرة بصبّ الماء عليه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الاستاذ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لا تدلّ على طهارة غسالته المنفصلة، و نحن لا نقول أيضا بنجاسة ما لا يلزم انفصاله عن المحلّ</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و هو أيضا في غاية الجودة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غسالة الحمّام الّتي لا تنفكّ عادة عن الماء المستعمل في إزالة النجاسة، كمرسلة أبي يحيى الواسطي عن بعض أصحابنا،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مجتمع الماء في الحمّام من غسالة الناس تصيب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غسالة الحمّام بنفسها عنوان آخر، و لهم فيه كلام آخر يأتي إيراده، و لعلّ البناء فيها على الطهارة، فلا مدخل لها في محلّ البحث، على أنّ الكلام في غسالة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يعلم بملاقاة النجاسة و لا بعدم ملاقاته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فيها إزالة الخبث بها، فيحمل الرواية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بأنّ الغالب فيها أيضا ملاقاة نجس العين من أصناف الكفّار، من المجوسي و النصراني و اليهودي، و غيرها من أنواع النجاسات كالبول و المنيّ، الحاصل ملاقاتهما من غير جهة الإزالة ليكون من محلّ البحث، فلو بنى على حملها على الغالب لكان ذلك من جملة المحمول عليه، و لازمه عدم انفعال القليل رأسا، و لا يقول به المستدلّ، و مع قيام الأدلّة على الانفعال فلا بدّ من حمل الرواية على ما لا ينافيها، و هو مورد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النادر ما لم يلاق نجس العين ليست بأولى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النادر ما لم يستعمل في إزالة الخبث، أو ما لم يلاق نجس العين و لم يستعمل في إزالة الخبث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الذّنوب</w:t>
      </w:r>
      <w:r>
        <w:rPr>
          <w:rStyle w:val="FootnoteAnchor"/>
          <w:rtl w:val="true"/>
        </w:rPr>
        <w:footnoteReference w:id="1259"/>
      </w:r>
      <w:r>
        <w:rPr>
          <w:rFonts w:ascii="Amiri" w:hAnsi="Amiri" w:eastAsia="Amiri" w:cs="Amiri"/>
          <w:color w:val="111111"/>
          <w:sz w:val="28"/>
          <w:sz w:val="28"/>
          <w:szCs w:val="28"/>
          <w:rtl w:val="true"/>
          <w:lang w:bidi="ar-SA"/>
        </w:rPr>
        <w:t xml:space="preserve">الواردة في أمر النبيّ صلّى اللّه عليه و آله بتطهير المسجد من بول الأعرابي </w:t>
      </w:r>
    </w:p>
    <w:p>
      <w:pPr>
        <w:pStyle w:val="BookText"/>
        <w:rPr/>
      </w:pPr>
      <w:r>
        <w:rPr>
          <w:rFonts w:ascii="Amiri" w:hAnsi="Amiri" w:eastAsia="Amiri" w:cs="Amiri"/>
          <w:color w:val="111111"/>
          <w:sz w:val="28"/>
          <w:sz w:val="28"/>
          <w:szCs w:val="28"/>
          <w:rtl w:val="true"/>
          <w:lang w:bidi="ar-SA"/>
        </w:rPr>
        <w:t>بصبّ ذنوب من الماء عليه، و عن الخلاف في وجه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لا يأمر بطهارة المسجد بما يزيده تنجيسا</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فيلزم أن يكون الماء باقيا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المعتبر عن الخلاف من أنّه بعد حكايتها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عندنا ضعيفة الطريق، لأنّها رواية أبي هريرة، و منافية للأصول، لأنّا بيّنّا أنّ الماء المنفصل عن محلّ النجاسة نجس، تغيّر أم لم يتغيّر، لأنّه ماء قليل لاقى نجسا</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الإجانة الّتي تغسل فيها الثياب، الوسائل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717/250:1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المرويّة في المركن، الآمرة بغسل الثوب فيه مرّتين، و في الماء الجاري مرّة واحدة، و قيل في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الغسالة توجب نجاسة المركن فلا يطهّر الثوب بالغسلة الثانية، خصوصا مع عدم إحاطتها بجميع ما تنجّس منه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ملاقاة الثوب للمركن بوروده على الماء الّذي هو في المركن، أو بورود الماء عليه و هو في المركن، لجواز أن يكون المراد غسله بالقليل الّذي يصبّ عليه من الآنية و نحوها، على وجه ينفصل منه الغسالة إلى المركن و تدخل فيه، و قضيّة ذلك طهارة الثوب بالغسلتين، مع سكوت الرواية عمّا في المركن من الغسالة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دلالتها على ملاقاة الثوب للمركن و هو باق على نجاسته الحاصلة بالغسلة الاولى، بجواز لزوم غسله بعد الاولى ثمّ إيقاع الغسلة الثانية فيه أيضا، و لا ينافيه عدم تعرّض الرواية لبيان ذلك، لجواز أنّ الراوي كان عالما به، و إنّما وردت الرواية لبيان حكم اعتبار التعدّد في الغسل عن البول إذا كان بالقليل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منافاة نجاسة المركن بالغسلة الاولى لطهر الثوب بالغسلة الثانية، إذا وقعت عليه مستكملة بإخراج الغسالة عنه بعد رفعه عن المركن، و النجاسة الحاصلة فيه بالغسلة الاولى لا تزيد على نجاسة البلّة الباقية في الثوب عن الاولى، و لا على نجاسة اليد المباشرة له في الغسل، و كما أنّهما لا تؤثّران في تنجّس الثوب ثانيا، و لا تنافيان طهره باستعمال الغسل الشرعي، فكذلك نجاسة المركن، لأنّ الجميع من واد واحد، و دعوى، كون ما فيه قادحا دون ما في البلّة و اليد تحكّم، و من هنا ترى أنّ العلاّمة</w:t>
      </w:r>
      <w:r>
        <w:rPr>
          <w:rStyle w:val="FootnoteAnchor"/>
          <w:rtl w:val="true"/>
        </w:rPr>
        <w:footnoteReference w:id="1263"/>
      </w:r>
      <w:r>
        <w:rPr>
          <w:rFonts w:ascii="Amiri" w:hAnsi="Amiri" w:eastAsia="Amiri" w:cs="Amiri"/>
          <w:color w:val="111111"/>
          <w:sz w:val="28"/>
          <w:sz w:val="28"/>
          <w:szCs w:val="28"/>
          <w:rtl w:val="true"/>
          <w:lang w:bidi="ar-SA"/>
        </w:rPr>
        <w:t>أفتى بموجب تلك الرواية، و حكم بأنّ الثوب يخرج طاهرا و المركن و ما فيه يكون نجسا، مع احتمال طهر المركن بالتبعيّة إذا أفرغ منه الغسالة كاليد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الثوب يصيبه البول فينفذ إلى الجانب الآخر، و عن الفرو و ما فيه من الحشو؟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أصاب منه، و مسّ الجانب الآخر، فإن أصبت شيئا منه فاغسله، و إلاّ فانضحه</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أشار إليه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تنجّس الماء الوارد بالملاقاة لكان النضح سببا لزيادة المحذور، فكيف يؤمر به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 لقضى بعدم انفعال الماء في صورة وروده على النجاسة، و إن لم يكن في مقام الغسل و الإزالة ليدخل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النضح ليس بغسل، و المستدلّ ممّن لا يقول به أنّه خارج عن المتنازع فيه، إذ النضح إنّما يكلّف به في موضع عدم إصابة شيء من البول، فلم يعلم ملاقاته للنجاسة، و عدم العلم بالملاقاة كاف في الحكم بعدم النجاسة، فالنضح حينئذ إمّا تعبّد صرف يكلّف به في موضع الاحتمال، أو أنّ الأمر به في الرواية مبالغة في الحكم بعدم النجاسة مع عدم العلم بها بعد التحرّي و الفحص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أنّ احتمال النجاسة في عدم اقتضاء الغسل أو وجوب الاجتناب بحيث يجوز معه مباشرة المحلّ و ملاقاته بالرطوبة، و إن شئت فانضح موضع الاحتمال، </w:t>
      </w:r>
    </w:p>
    <w:p>
      <w:pPr>
        <w:pStyle w:val="BookText"/>
        <w:rPr/>
      </w:pPr>
      <w:r>
        <w:rPr>
          <w:rFonts w:ascii="Amiri" w:hAnsi="Amiri" w:eastAsia="Amiri" w:cs="Amiri"/>
          <w:color w:val="111111"/>
          <w:sz w:val="28"/>
          <w:sz w:val="28"/>
          <w:szCs w:val="28"/>
          <w:rtl w:val="true"/>
          <w:lang w:bidi="ar-SA"/>
        </w:rPr>
        <w:t>و على هذا المعنى يحمل صحيحة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نفي آثار معلومة عن شيء مفروض بنظائر هذه العبارة، كثير شائع في العرفيّات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بتلك الرواية أيضا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تنجّس الماء الوارد بالملاقاة لكان الرشّ سببا لزيادة المحذور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 أنّه استند إلى تلك الروايات بزعم دلالتها على الطهارة فارقا بينها و بين الطهوريّة، فحكم بعدمها عملا بالأصل الّذي لا يخرج عنه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توقّف في آخر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عندي محلّ توقّف و الاحتياط فيها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منه إلى جملة اخرى من الروايات الدالّة على النجاسة، كما تقدّم في مبحث نجاسة الماء القليل بالملاقاة من الأخبار الدالّة على إهراق ماء الركوة و التور و نحوهما، ممّا وضع فيها إصبع أو يد فيهما قذر، فإنّ إطلاق تلك الأخبار شامل لما لو كان بقصد الغسل أم 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بقصد الغسل، فإنّه يجب الحكم بالطهارة متى زالت العين و لم يتغيّر الماء</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بمجرّد ذلك الوضع، و نحوها في الدلالة ما ورد من إيجاب تعدّد الغسل فيما ورد فيه، و عدم تطهير ما لا يخرج عنه الماء إلاّ بالكثير، فإنّه لا وجه لهذه الأشياء على تقدير القول بطهارة الغسالة، و ما اجيب عن ذلك من كون ذلك تعبّدا بعيد جدّا</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ذلك كما ترى خروج عن طريق الاجتهاد، و عدول عن جادّة الاستنباط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ما استظهر من الأخبار المتقدّمة الدلالة على الطهارة، و ضمّ إليها الحكم بعدم الطهوريّة، أسند إلى الأمين الأسترآبادي الميل إلى هذا القول، ناقلا كلامه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ملاحظة الروايات الواردة في أبواب متفرّقة تفيد ظاهرا لطهارة غسالة الأخباث و سلب طهوريّتها بمعنى رفع الحدث، و لم أقف على دلالة سلب طهوريّتها بمعنى إزالة الخبث، و الأصل المستصحب بمعنى الحالة السابقة، </w:t>
      </w:r>
    </w:p>
    <w:p>
      <w:pPr>
        <w:pStyle w:val="BookText"/>
        <w:rPr/>
      </w:pPr>
      <w:r>
        <w:rPr>
          <w:rFonts w:ascii="Amiri" w:hAnsi="Amiri" w:eastAsia="Amiri" w:cs="Amiri"/>
          <w:color w:val="111111"/>
          <w:sz w:val="28"/>
          <w:sz w:val="28"/>
          <w:szCs w:val="28"/>
          <w:rtl w:val="true"/>
          <w:lang w:bidi="ar-SA"/>
        </w:rPr>
        <w:t>و أصالة الطهوريّة بمعنى القاعدة الكلّيّة، و البراءة الأصليّة بمعنى الحالة الراجحة، و العمومات تقتضي إجراء حكم الطهوريّة بهذا المعنى إلى ظهور مخرج، و اللّه أعلم</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بالطهارة إذا ورد الماء على المحلّ، و لازمه النجاسة إذا انعكس الأمر، و أمّا أنّ المحلّ هل يطهّر حينئذ أو لا يطهّر؟ فمبنيّ على مسألة كيفيّة التطهير المفروضة في اشتراط ورود الماء على المحلّ المغسول و عدمه، و من هنا يظهر أنّ هذا القول ينحلّ إلى قولين، و كيف كان فهذا ممّا عدّه الشهيد في عبارته المتقدّمة من الدروس</w:t>
      </w:r>
      <w:r>
        <w:rPr>
          <w:rStyle w:val="FootnoteAnchor"/>
          <w:rtl w:val="true"/>
        </w:rPr>
        <w:footnoteReference w:id="1270"/>
      </w:r>
      <w:r>
        <w:rPr>
          <w:rFonts w:ascii="Amiri" w:hAnsi="Amiri" w:eastAsia="Amiri" w:cs="Amiri"/>
          <w:color w:val="111111"/>
          <w:sz w:val="28"/>
          <w:sz w:val="28"/>
          <w:szCs w:val="28"/>
          <w:rtl w:val="true"/>
          <w:lang w:bidi="ar-SA"/>
        </w:rPr>
        <w:t>قولا برأسه، مقابلا للأقوال الاخر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لمناقش أن يناقش فيه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أقوال تلك المسألة مقابلا للقول بالطهارة، بل هو جمع بين القول بالطهارة هنا و القول باشتراط الورود في المسألة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عندهم نزاعان،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مسألة الغسالة، من أنّها هل هي طاهرة أو لا؟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مسألة الغسل عن الأخباث، من أنّه هل يشترط فيه ورود الماء على المغسول أو لا؟ فإذا اتّفق أحد قال بالطهارة في الاولى و اشتراط الورود في الثانية، كان قائلا بطهارة الغسالة إذا ورد الماء على المحلّ، و معه فلا ينبغي عدّ ذلك قولا برأسه مقابلا للقول بالطهارة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يدخل في أقوال تلك المسألة أصلا، بل هو جمع بين القول بعدم انفعال الماء القليل في صورة وروده على النجاسة مع القول باشتراط الورود في مسألة الغسل، و هذا هو الظاهر من كلام السيّد</w:t>
      </w:r>
      <w:r>
        <w:rPr>
          <w:rStyle w:val="FootnoteAnchor"/>
          <w:rtl w:val="true"/>
        </w:rPr>
        <w:footnoteReference w:id="1271"/>
      </w:r>
      <w:r>
        <w:rPr>
          <w:rFonts w:ascii="Amiri" w:hAnsi="Amiri" w:eastAsia="Amiri" w:cs="Amiri"/>
          <w:color w:val="111111"/>
          <w:sz w:val="28"/>
          <w:sz w:val="28"/>
          <w:szCs w:val="28"/>
          <w:rtl w:val="true"/>
          <w:lang w:bidi="ar-SA"/>
        </w:rPr>
        <w:t>فيما تقدّم، و قد عرفت آنفا موافقة الحلّي</w:t>
      </w:r>
      <w:r>
        <w:rPr>
          <w:rStyle w:val="FootnoteAnchor"/>
          <w:rtl w:val="true"/>
        </w:rPr>
        <w:footnoteReference w:id="1272"/>
      </w:r>
      <w:r>
        <w:rPr>
          <w:rFonts w:ascii="Amiri" w:hAnsi="Amiri" w:eastAsia="Amiri" w:cs="Amiri"/>
          <w:color w:val="111111"/>
          <w:sz w:val="28"/>
          <w:sz w:val="28"/>
          <w:szCs w:val="28"/>
          <w:rtl w:val="true"/>
          <w:lang w:bidi="ar-SA"/>
        </w:rPr>
        <w:t>له، و تبعهما صاحب المدارك</w:t>
      </w:r>
      <w:r>
        <w:rPr>
          <w:rStyle w:val="FootnoteAnchor"/>
          <w:rtl w:val="true"/>
        </w:rPr>
        <w:footnoteReference w:id="1273"/>
      </w:r>
      <w:r>
        <w:rPr>
          <w:rFonts w:ascii="Amiri" w:hAnsi="Amiri" w:eastAsia="Amiri" w:cs="Amiri"/>
          <w:color w:val="111111"/>
          <w:sz w:val="28"/>
          <w:sz w:val="28"/>
          <w:szCs w:val="28"/>
          <w:rtl w:val="true"/>
          <w:lang w:bidi="ar-SA"/>
        </w:rPr>
        <w:t>، و يستفاد اختياره من تضاعيف كلام بعض من عاصرناه من مشايخنا العظام</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في المدارك على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بالأصل السالم عمّا يصلح للمعارضة، فإنّ الروايات </w:t>
      </w:r>
    </w:p>
    <w:p>
      <w:pPr>
        <w:pStyle w:val="BookText"/>
        <w:rPr/>
      </w:pPr>
      <w:r>
        <w:rPr>
          <w:rFonts w:ascii="Amiri" w:hAnsi="Amiri" w:eastAsia="Amiri" w:cs="Amiri"/>
          <w:color w:val="111111"/>
          <w:sz w:val="28"/>
          <w:sz w:val="28"/>
          <w:szCs w:val="28"/>
          <w:rtl w:val="true"/>
          <w:lang w:bidi="ar-SA"/>
        </w:rPr>
        <w:t>المتضمّنة لنجاسة القليل بالملاقاة لا تتناول ذلك صريحا و لا ظاهرا، و تخرج الروايات الدالّة على طهارة ماء الاستنجاء شاهدا</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و على اعتبار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أقصى ما يستفاد من الروايات انفعال القليل بورود النجاسة عليه، فيكون غيره باقيا على حكم الأصل</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الوجهين يرجع إلى الاستدلال على النجاسة في صورة ورودها على الماء بروايات انفعال القليل بالملاقاة، و على الطهارة في صورة العكس، بالأصل بعد المنع عن تناول تلك الروايات لهذه الصورة، فالعمدة في ذلك الدليل حينئذ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تناول أدلّة انفعال القليل لصورة ورود الماء، و قد بيّنّا بطلان تلك الدعوى بما لا مزيد و في غير موضع، فلا حاجة إلى إعادة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لو حكمنا بنجاسة الماء القليل الوارد على النجاسة، لأدّى ذلك إلى أنّ الثوب لا يطهّر من النجاسة إلاّ بإيراد كرّ من الماء عليه، و التالي باطل بالمشقّة المنتفية بالأصل فالمقدّم مثله، و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الملاقي للثوب ماء قليل فلو نجس حال الملاقاة لم يطهر الثوب، لأنّ النجس لا يطهّر غيره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دعوى تلك الملازمة إنّما تستقيم إذا كان في مسألة تطهير الثوب قائلا باعتبار ورود الماء، و إلاّ لكان الدليل على فرض تماميّته قاضيا بعدم انفعال القليل مطلقا كما عليه العماني، و هو لا يقول به ظاهرا، و حيث إنّ هذه الملازمة مستندة إلى قاعدة أنّ النجس لا يطهّر، فمنعها عندنا سهل، بعد ما استوفينا الكلام في منع القاعدة المذكورة على إطلاقها، ففيما تقدّم مفصّلا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إطالة الكلام هنا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العلاّمة في المختلف بالمنع من الملازمة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نحكم بتطهير الثوب و النجاسة في الماء بعد انفصاله عن المحلّ</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و الفرق بينه و بين مقالتنا أنّا نحكم بالنجاسة حال الاتّصال و بعد الانفصال معا و لا منافاة، و هو لا يحكم بالنجاسة إلاّ بعد الانفصال و زوال الملاقاة الّتي هي السبب في انفعاله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اعترض عليه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يقتضي انفكاك المعلول عن علّته التامّة، و وجوده بدونها، و هو معلوم البطلان</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فإنّه متّجه قطعا، و لا يمكن التفصّي عنه، و مراده بالعلّة هي الملاقاة حسبما اقتضته الأدلّة و كلام الأعلام، فما في حاشية هذا الكلام للمحقّق البهبهاني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يخفى أنّه لم يظهر أنّ العلّة ما هي؟ حتّى يعترض عليه بذلك</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اعتبار الورود و عدمه، فهو ممّا لا يتعلّق بالمقام، و يأتي البحث عنه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بالنجاسة مطلقا و إن كان بعد طهارة المحلّ،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المنفصل عن كلّ غسلة نجس، و إن ترامت الغسلات إلى ما لا نهاية له، و عن الشهيد في حاشية الألفيّة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حكاه عن بعض الأصحاب</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الشيخ المفلح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كتاب موجز الشيخ 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عن مصنّفه أنّه نقل في كتاب المهذّب و المقتصر هذا القول عن المحقّق و العلاّمة، و ابنه فخر الدين، ثمّ نسبه في ذلك إلى الغلط الفاحش و السهو الواضح</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إلى ابن فهد يشير 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ربّما نسب إلى المصنّف و العلاّمة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خطأ، فإنّ المسألة في كلامهما مفروضة فيما يزال به النجاسة، و هو لا يصدق على الماء المنفصل بعد الحكم بالطهارة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نقل القول المذكور،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فهد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غريب مقطوع بفساده، لمخالفته الاصول المحكمة، و القواعد المتقنة و غيرها من الأدلّة الشرعيّة، فالمحكيّ من حجّته أيضا قاصر عن إفادته،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قليل لاقى نجاسة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طهارة المحلّ بالقليل على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من نجاسة القليل </w:t>
      </w:r>
    </w:p>
    <w:p>
      <w:pPr>
        <w:pStyle w:val="BookText"/>
        <w:rPr/>
      </w:pPr>
      <w:r>
        <w:rPr>
          <w:rFonts w:ascii="Amiri" w:hAnsi="Amiri" w:eastAsia="Amiri" w:cs="Amiri"/>
          <w:color w:val="111111"/>
          <w:sz w:val="28"/>
          <w:sz w:val="28"/>
          <w:szCs w:val="28"/>
          <w:rtl w:val="true"/>
          <w:lang w:bidi="ar-SA"/>
        </w:rPr>
        <w:t xml:space="preserve">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فيه على موضع الحاجة و هو المحلّ دون الماء، و لا خفاء ما فيه من الفساد، لو كان دليلا على النجاسة في جميع الغسلات حتّى بعد طهارة المحلّ، لوضوح امتناع صغراه بعد فرض الطهارة في المحلّ، فإنّ 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انفعال القليل بملاقاة النجاسة، و لا تتمّ هي دليلا إلاّ بعد انضمام الصغرى إليها،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المنفصل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طهره ملاق للنجس، و هو كما ترى بعد فرض الطهارة ممّا يبطله دليل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بعيدا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مبنيّا على نجاسة البلّة الباقية في المحلّ بعد طهارة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الاحتمالات المتقدّمة فيه، فإنّها باقية على النجاسة و إن طهر المحلّ، فحينئذ فكلّما غسل هذا المحلّ كان الماء الملاقي له ملاقيا لتلك البلّة فيكون ملاقيا للنجس، و هو صغرى الدليل فيضمّ إليها الكبرى الكلّيّة و يحصل المطلوب،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نجاسة البلّة الباقية بعد طهارة المحلّ ممّا لم يقل به أحد، و لا حكي القول به، و إنّما هو مجرّد احتمال يذكر في المقام، مع ما عرفت من فساده في نفسه، و عدم تعقّل مجامعة نجاستها لطهارة المحلّ، مضافا إلى الوجوه الاخر القاضية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بظاهره في غاية السخافة و نهاية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قد يوجّه كلام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الشرائع للأستاذ 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فرض تحقّق الغسلة المطهّرة، و لكن لم ينفصل الماء عن المحلّ، فالمحلّ طاهر و الماء الموجود فيه نجس، فإذا غسل مرّة اخرى لاقى ماؤه الماء الباقي من الغسل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أنّه نجس، و إن طهر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فينفعل به الماء الثاني</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فإذا فرض نجاسة غير المنفصل، فكلّما لاقاه الماء نجس به، و إن ترامى إلى غير النهاية</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قول حسن جدّا، بل هو الّذي ينبغي أن يقول به كلّ من يقول بنجاسة الغسالة، لأنّ النجاسة لا تختصّ بما بعد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العلاّمة في المختلف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تأخّر المعلول </w:t>
      </w:r>
      <w:bookmarkStart w:id="382" w:name="pg16144_233287"/>
    </w:p>
    <w:p>
      <w:pPr>
        <w:pStyle w:val="BookText"/>
        <w:rPr/>
      </w:pPr>
      <w:bookmarkEnd w:id="382"/>
      <w:r>
        <w:rPr>
          <w:rFonts w:ascii="Amiri" w:hAnsi="Amiri" w:eastAsia="Amiri" w:cs="Amiri"/>
          <w:color w:val="111111"/>
          <w:sz w:val="28"/>
          <w:sz w:val="28"/>
          <w:szCs w:val="28"/>
          <w:rtl w:val="true"/>
          <w:lang w:bidi="ar-SA"/>
        </w:rPr>
        <w:t>و هو النجاسة عن العلّة و هي الملاقاة</w:t>
      </w:r>
      <w:r>
        <w:rPr>
          <w:rFonts w:eastAsia="Amiri" w:cs="Amiri" w:ascii="Amiri" w:hAnsi="Amiri"/>
          <w:color w:val="111111"/>
          <w:sz w:val="28"/>
          <w:szCs w:val="28"/>
          <w:rtl w:val="true"/>
          <w:lang w:bidi="ar-SA"/>
        </w:rPr>
        <w:t>»</w:t>
      </w:r>
      <w:r>
        <w:rPr>
          <w:rStyle w:val="FootnoteAnchor"/>
          <w:rtl w:val="true"/>
        </w:rPr>
        <w:footnoteReference w:id="12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توجيه وجيه، و إن كان خلاف ظاهر الحكاية بل صريحها، و ما ذكرناه أوجه، و إن كان فاسدا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لنا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المحلّ مع نجاسة ما لم ينفصل عنه من الماء إشكالا، 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كيف يعقل الطهارة فيه مع نجاسة ما نفذ في جميع أعماقه، إلاّ أن يراد بالطهارة زوال نجاسته الأصليّة، و هذا الموجود نجاسة في الماء عرضيّة، تنسب إلى المحلّ تبعا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المطهّر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يتحقّق قبل انفصال الماء المنصبّ عنه، فكيف يحكم عليه بالطهارة قبل الانفصال، إن اريد به ما قبل العصر و الإفراغ، إلاّ أن يبنى على القول بعدم دخولهما في مفهوم الغسل، و لا كونهما معتبرين معه بالدليل الخارج</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804638_1280447820"/>
      <w:bookmarkStart w:id="384" w:name="_Toc150"/>
      <w:bookmarkEnd w:id="383"/>
      <w:r>
        <w:rPr>
          <w:rtl w:val="true"/>
        </w:rPr>
        <w:t>ثمّ بقى في المقام امور ينبغي التنبيه عليها</w:t>
      </w:r>
      <w:r>
        <w:rPr>
          <w:rtl w:val="true"/>
        </w:rPr>
        <w:t>:</w:t>
      </w:r>
      <w:bookmarkEnd w:id="384"/>
    </w:p>
    <w:p>
      <w:pPr>
        <w:pStyle w:val="Heading5"/>
        <w:numPr>
          <w:ilvl w:val="4"/>
          <w:numId w:val="1"/>
        </w:numPr>
        <w:rPr/>
      </w:pPr>
      <w:bookmarkStart w:id="385" w:name="__RefHeading___Toc1804640_1280447820"/>
      <w:bookmarkStart w:id="386" w:name="_Toc151"/>
      <w:bookmarkEnd w:id="385"/>
      <w:r>
        <w:rPr>
          <w:rtl w:val="true"/>
        </w:rPr>
        <w:t>الأوّل قال في المنتهى</w:t>
      </w:r>
      <w:r>
        <w:rPr>
          <w:rtl w:val="true"/>
        </w:rPr>
        <w:t>: «</w:t>
      </w:r>
      <w:r>
        <w:rPr>
          <w:rtl w:val="true"/>
        </w:rPr>
        <w:t>إذا غسل الثوب من البول في إجّانة، بأن يصبّ عليه الماء فسد الماء و خرج من الثانية طاهرا،</w:t>
      </w:r>
      <w:bookmarkEnd w:id="386"/>
    </w:p>
    <w:p>
      <w:pPr>
        <w:pStyle w:val="BookText"/>
        <w:rPr/>
      </w:pPr>
      <w:r>
        <w:rPr>
          <w:rFonts w:ascii="Amiri" w:hAnsi="Amiri" w:eastAsia="Amiri" w:cs="Amiri"/>
          <w:color w:val="111111"/>
          <w:sz w:val="28"/>
          <w:sz w:val="28"/>
          <w:szCs w:val="28"/>
          <w:rtl w:val="true"/>
          <w:lang w:bidi="ar-SA"/>
        </w:rPr>
        <w:t>اتّحدت الآنية أو تعدّدت، و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في ثلاث إجّانات خرج من الثالثة طاهرا، و ماء الإجّانة الرابعة فما فوقها طاهر</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الخ، ثمّ أخذ في الاحتجاج على طهارة الثوب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حصل الامتثال بغسله مرّتين، و إلاّ لم يدلّ الأمر على الإجزاء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الثوب في الإجّانة 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الثوب على اليد و الاجّانة تحتها، ليطرح فيها ما ينفصل عن الثوب من الغسالة و قطرات الماء الملاقي له حال الغسل، و هذا ممّا لا إشكال لأحد في أنّه يفيد الثوب طهارة، إذ لا فرق بينه و بين الغسل في غير الإجّانة، إلاّ أنّ المنفصل فيه يطرح في الإجّانة و في غيره في الأرض، و هو ممّا لا يعقل كونه فارقا بينهما في الحكم، بل هذه الصورة خارجة عن فرض المنتهى،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 الماء في الإجّانة، ثمّ وضع عليه الثوب ليغسل به فيها، و هو أيضا خارج عن فرض المنتهى، و يتبيّن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مفروض المنتهى من انعكاس الصورة الثانية، و حينئذ يشكل الحال في تنزيله الرواية عليها، مع أنّها بإطلاقها تشمل الصورتين معا، بل الصور الثلاث جميعا، و إن كان بعيدا بالقياس إلى الصورة الاولى، و كأنّه مبنيّ على الأخذ بالغالب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يستشكل حكمه بطهارة الثوب مع نجاسة الماء المجتمع تحته في الإجّانة، سيّما على مذهبه المتقدّم من عدم نجاسة الغسالة إلاّ بعد الانفصال عن المحلّ المغسول، و من المعلوم أنّ الماء بعد انفصاله عن الثوب المغسول يلاقيه في الاناء، و اللازم ممّا ذكر تنجّسه به</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 قد يتكلّف في دفع الإيراد المذكور بأنّ المراد من الانفصال خروج الغسالة عن الثوب أو الإناء المغسول فيه، تنزيلا للاتّصال الحاصل باعتبار الإناء منزلة ما يكون في نفس المغسول، للحديث</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عنه الاعتراض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يخفى بأنّ بناء هذا الخبر على طهارة الغسالة أولى من ارتكاب هذا التكلّف، فإنّ ذلك إنّما يصحّ إذا ثبت دليل واضح على نجاسة الغسالة، و قد عرفت انتفاؤه</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مع أنّ ظاهر الرواية يدلّ على الطهارة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استجوده شيخنا في الجواهر،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في غاية الجودة</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و دفعه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التكلّف إنّما ارتكب لدفع المنافاة بين كلامي العلاّمة رحمه اللّه من حكمه </w:t>
      </w:r>
    </w:p>
    <w:p>
      <w:pPr>
        <w:pStyle w:val="BookText"/>
        <w:rPr/>
      </w:pPr>
      <w:r>
        <w:rPr>
          <w:rFonts w:ascii="Amiri" w:hAnsi="Amiri" w:eastAsia="Amiri" w:cs="Amiri"/>
          <w:color w:val="111111"/>
          <w:sz w:val="28"/>
          <w:sz w:val="28"/>
          <w:szCs w:val="28"/>
          <w:rtl w:val="true"/>
          <w:lang w:bidi="ar-SA"/>
        </w:rPr>
        <w:t>بنجاسة الغسالة بعد الانفصال، و حكمه بطهارة الثوب في الصورة المفروضة، فنزّل الإناء في الصورة المفروضة منزلة الثوب لتندفع المنافاة بين كلاميه، و أمّا الكلام في نجاسة الغسالة و طهارتها فهو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دلالة الرواية على طهارة الغسالة مع تضمّنها وجوب التعدّد في الغسل محلّ إشكال، إلاّ أن يدّعي حمل التعدّد على محض التعبّد</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الرواية لا دلالة فيها على طهارة و لا على نجاسة، كما أنّ التعويل على الإشكال المتقدّم خلاف الإنصاف، فإنّ الرواية مع سكوتها عن حكم الغسالة طهارة و نجاسة قد تضمّنت طهارة الثوب بغسله على النحو المذكور، فلا بدّ من الالتزام بها لعدم معارض لها، مع ثبوت العمل بها في الجملة، و أمّا حكم الغسالة فلا بدّ فيه من مراجعة القاعدة، فمن انعقدت القاعدة عنده في الطهارة فيبنى عليها هنا أيضا، و من انعقدت عنده في النجاسة فيبنى عليها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أنّ المحقّق عندنا نجاسة الغسالة فنقول بها هنا أيضا، من غير أن ينشأ منه إشكال، و ما ذكر في تقرير الإشكال ليس إلاّ استبعادا محضا، و هو ممّا لا ينبغي التعويل عليه بعد ورود الشرع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المطهّر للثوب حقيقة بالماء، و هو إنّما يتحقّق بعد إخراج الماء المنصبّ عليه في الإجّانة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المعصر الّذي هو المخرج، و اتّصاله بما في الإجّانة قبل الرفع عنها ليس بأشدّ من اتّصاله بما فيه نفسه، و قد ثبت أنّه غير قادح و إن 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اتّصاله بالإجّانة مع ما فيه من الأجزاء المنفصلة عنه من الماء ليس إلاّ كاتّصاله باليد مع ما فيها من البلّة المتنجّسة، و قد تقرّر أنّ أمثال هذه الاتّصالات لا تقدح في طهارة الثوب بعروض المطهّر الشرعي له، من حيث إنّ ما معها من النجاسات لم تحصل من خارج، و القدر المحقّق من كونه قادحا إنّما هو ما لو حصل النجاسة فيه بالخارج</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نقدر على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القي الثوب من يد الغاسل في غير صورة غسله في الإجّانة على الأرض الّتي وقع عليها من قطراته المنفصلة قبل إخراج الغسالة لم يكن قادحا، بل برفعه عنها على هذه الحالة فيستكمل غسله بما بقي منه، لكن في هذا الفرع بعد شيء </w:t>
      </w:r>
    </w:p>
    <w:p>
      <w:pPr>
        <w:pStyle w:val="BookText"/>
        <w:rPr/>
      </w:pPr>
      <w:r>
        <w:rPr>
          <w:rFonts w:ascii="Amiri" w:hAnsi="Amiri" w:eastAsia="Amiri" w:cs="Amiri"/>
          <w:color w:val="111111"/>
          <w:sz w:val="28"/>
          <w:sz w:val="28"/>
          <w:szCs w:val="28"/>
          <w:rtl w:val="true"/>
          <w:lang w:bidi="ar-SA"/>
        </w:rPr>
        <w:t>في النفس، و طريق الاحتياط هنا ممّا لا ينبغي تركه، و هو إنّما يحصل باستكمال ما بقي من غسله عن أصل النجاسة، ثمّ غسله مرّة اخرى لما طرأه من ملاقاة ما لاقاه في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مع العلاّمة فيما اعتبره في مفروض المسألة من صبّ الماء على الثوب في الإجّانة الّذي يرجع محصّله إلى اعتبار ورود الماء على المغسول، فإن كان النظر في ذلك إلى ما يقتضيه القاعدة الشرعيّة فهو موكول إلى محلّه، و إن كان النظر في استفادته من الرواية المذكورة فهو موضع إشكال، لمنافاته ما فيها من الإطلاق، و لو ادّعى فيها الانصراف العرفي فهو أشكل، لعدم قيام ما يقتضيه من غلبة إطلاق و نحوها، و مجرّد غلبة الوجود لا يوجبه على التحقيق، مع توجّه المنع إلى أصل الغلبة، أو كونها معتدّا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الانصراف ممّا لا يلتفت إليها، إلاّ على فرض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فيما لو ورد المغسول على الماء، أو على فرض كون المنساق منه في نظر أهل المخاطبة بملاحظة غلبة إطلاق أو غلبة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الماهيّة بوصف وجودها في ضمن ما لو ورد الماء على المغسول، أو على فرض قصور اللفظ عن إفادته الماهيّة المطلقة، باعتبار كونه في موضع لا يجري فيه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لولاها مرادة لزم الإغراء بالجهل، الّتي هي العمدة في إحراز الإطلاق في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الأوّل يرجع إلى دعوى الظهور العرفي في صورة ورود الماء، و الثاني يرجع إلى دعوى عدم الظهور فيما يتناول صورة العكس، و منشأ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الغلبة، و السرّ في الفرق بينهما اختلاف الغلبة في الشدّة و الضعف، و لا ريب أنّ الوجوه باطل جزما، و ثانيها في غاية الضعف، كما أنّ ثالثها في محلّ من البعد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يتبيّن صحّة الاستدلال بالوجه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سمعته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الإجزاء، حتّى على عكس ما فرضه رحمه اللّه، فإنّ مبناها على إحراز المأمور به على وجهه و الإتيان به كذلك و قد حصل، إذ لا يفهم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عن البول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إيجاد ماهيّة الغسل على ما هو المتعارف مرّتين، و احتمال مدخليّة ورود الماء أو كون الغسل في غير الإجّانة و غيرها من الإناء منفيّ بالإطلاق، نعم لو كان هناك دليل من الخارج أوجب خروج ذلك من الإطلاق فهو كلام آخر، و له مقام آخر، و لذا أوكلنا تحقيقه إلى محلّه و مقامه، فانتظر له</w:t>
      </w:r>
      <w:r>
        <w:rPr>
          <w:rFonts w:eastAsia="Amiri" w:cs="Amiri" w:ascii="Amiri" w:hAnsi="Amiri"/>
          <w:color w:val="111111"/>
          <w:sz w:val="28"/>
          <w:szCs w:val="28"/>
          <w:rtl w:val="true"/>
          <w:lang w:bidi="ar-SA"/>
        </w:rPr>
        <w:t xml:space="preserve">. </w:t>
      </w:r>
      <w:bookmarkStart w:id="387" w:name="pg16144_233291"/>
    </w:p>
    <w:p>
      <w:pPr>
        <w:pStyle w:val="Heading5"/>
        <w:numPr>
          <w:ilvl w:val="4"/>
          <w:numId w:val="1"/>
        </w:numPr>
        <w:rPr/>
      </w:pPr>
      <w:bookmarkStart w:id="388" w:name="__RefHeading___Toc1804642_1280447820"/>
      <w:bookmarkStart w:id="389" w:name="_Toc152"/>
      <w:bookmarkEnd w:id="387"/>
      <w:bookmarkEnd w:id="388"/>
      <w:r>
        <w:rPr>
          <w:rtl w:val="true"/>
        </w:rPr>
        <w:t>الثاني حكم غسالة الحمّام،</w:t>
      </w:r>
      <w:bookmarkEnd w:id="389"/>
    </w:p>
    <w:p>
      <w:pPr>
        <w:pStyle w:val="BookText"/>
        <w:rPr/>
      </w:pPr>
      <w:r>
        <w:rPr>
          <w:rFonts w:ascii="Amiri" w:hAnsi="Amiri" w:eastAsia="Amiri" w:cs="Amiri"/>
          <w:color w:val="111111"/>
          <w:sz w:val="28"/>
          <w:sz w:val="28"/>
          <w:szCs w:val="28"/>
          <w:rtl w:val="true"/>
          <w:lang w:bidi="ar-SA"/>
        </w:rPr>
        <w:t xml:space="preserve">فإنّها ممّا انفرد ذكره في كلام الأصحاب، و التعرّض له بالخصوص في هذا الباب، و المراد بها على ما يستفاد من كلماتهم بل هو صريح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كالحدائق</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 البئر من ماء الحمّام المستعمل في غسلات الناس و صبّاتهم، و يظهر ممّا حكي عن الأردبيلي</w:t>
      </w:r>
      <w:r>
        <w:rPr>
          <w:rStyle w:val="FootnoteAnchor"/>
          <w:rtl w:val="true"/>
        </w:rPr>
        <w:footnoteReference w:id="1300"/>
      </w:r>
      <w:r>
        <w:rPr>
          <w:rFonts w:ascii="Amiri" w:hAnsi="Amiri" w:eastAsia="Amiri" w:cs="Amiri"/>
          <w:color w:val="111111"/>
          <w:sz w:val="28"/>
          <w:sz w:val="28"/>
          <w:szCs w:val="28"/>
          <w:rtl w:val="true"/>
          <w:lang w:bidi="ar-SA"/>
        </w:rPr>
        <w:t xml:space="preserve">من استدلاله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يأتي ذكره من صحيحة محمّد بن مسلم، و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أعمّ منه و ممّا هو في سطوح الحمّام من المياه الّتي ينحدر منها إلى البئر، و ليس ببعيد، إذ ليس المجتمع في البئر إلاّ المياه المنحدرة إليها، من السطح الجارية إليها من خطوطه المتّخذة في السطح لأجل تلك الفائدة، و معه يبعد الفرق في الحكم بين المجتمع و ما هو في السطح و خطوطه، و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بالعنوان هو الأوّل، و الثاني ملحق به في الحكم لاتّحادهما في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فلهم فيها عبارات مختلفة، بعضها مصرّحة بالطهارة، آخر بالنجاسة، و ثالث غير واضح المؤدّى من حيث الحكم بالطهارة أو النجاسة، و مع ذلك فلم يرد فيها بالمعنى الأوّل إلاّ عدّة روايات غير معتبرة الأسانيد متعارضة الدلالات، و الّتي وقفنا عليها أربع روايات، مضافا إلى ما سنذكرها من الروايات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الواردة في الكافي عن محمّد بن يحيى، عن أحمد بن محمّد، عن أبي يحيى الواسطي، عن بعض أصحابنا،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 المرسلة بعض أصحابنا، عن ابن جمهور، عن محمّد بن القاسم، عن ابن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تغتسل من البئر الّتي يجتمع فيها غسالة الحمّام، فإنّ فيها غسالة ولد الزنا، و لا يطهر إلى سبعة آباء، و فيها غسالة الناصب و هو شرّهما، أنّ اللّه لم يخلق خلقا شرّا من الكلب، و أنّ الناصب أهون على اللّه </w:t>
      </w:r>
    </w:p>
    <w:p>
      <w:pPr>
        <w:pStyle w:val="BookText"/>
        <w:rPr/>
      </w:pPr>
      <w:r>
        <w:rPr>
          <w:rFonts w:ascii="Amiri" w:hAnsi="Amiri" w:eastAsia="Amiri" w:cs="Amiri"/>
          <w:color w:val="111111"/>
          <w:sz w:val="28"/>
          <w:sz w:val="28"/>
          <w:szCs w:val="28"/>
          <w:rtl w:val="true"/>
          <w:lang w:bidi="ar-SA"/>
        </w:rPr>
        <w:t>من الكلب</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في التهذيب، محمّد بن علي بن محبوب، عن عدّة من أصحابنا، عن محمّد بن عبد الحميد، عن حمزة بن أحمد،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سأله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بمئزر، و غضّ بصرك، و لا تغتسل من البئر الّتي تجتمع فيها ماء الحمّام، فإنّه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في الحدائق</w:t>
      </w:r>
      <w:r>
        <w:rPr>
          <w:rStyle w:val="FootnoteAnchor"/>
          <w:rtl w:val="true"/>
        </w:rPr>
        <w:footnoteReference w:id="1304"/>
      </w:r>
      <w:r>
        <w:rPr>
          <w:rFonts w:ascii="Amiri" w:hAnsi="Amiri" w:eastAsia="Amiri" w:cs="Amiri"/>
          <w:color w:val="111111"/>
          <w:sz w:val="28"/>
          <w:sz w:val="28"/>
          <w:szCs w:val="28"/>
          <w:rtl w:val="true"/>
          <w:lang w:bidi="ar-SA"/>
        </w:rPr>
        <w:t xml:space="preserve">و غيره بالموثّقية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يعفور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تغتسل من غسالة الحمّام، و فيها تجتمع غسالة اليهودي و النصراني و المجوسي،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المرسلة الاولى تعارض البواقي، غير أنّ العلاج سهل، من حيث إنّ ما عداها أخصّ منها مطلقا من وجهين، و هي أعمّ لهذين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ما عداها لبيان ملاقاة النجاسة و هي غسالة الكافر،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المنع فيما عداها بالأغسال، و شمول الرخصة المستفادة منها بملاحظة نفي البأس للاغتسال و غيره من أنواع الاستعمال، نظرا إلى أنّ نفي البأس عمّا أصاب الثوب يقضي بطهارته، و يستلزم عدم البأس باستعمال الماء الملاقي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أنواعه الّتي منها التطهّر به مطلقا، فطريق الجمع بينهما يتأتّى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فيها بحملها على ما خلا عن النجاسة، و قضيّة ذلك نجاسة غسالة الحمّام مع اتّفاق ملاقاة النجاسة دون غيره، فيكون حكمها على قاعدة الغسالة المطلقة، حسبما تقدّم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فيها أيضا بحمل الرخصة فيها على ما عدا الاغتسال، من أنواع </w:t>
      </w:r>
    </w:p>
    <w:p>
      <w:pPr>
        <w:pStyle w:val="BookText"/>
        <w:rPr/>
      </w:pPr>
      <w:r>
        <w:rPr>
          <w:rFonts w:ascii="Amiri" w:hAnsi="Amiri" w:eastAsia="Amiri" w:cs="Amiri"/>
          <w:color w:val="111111"/>
          <w:sz w:val="28"/>
          <w:sz w:val="28"/>
          <w:szCs w:val="28"/>
          <w:rtl w:val="true"/>
          <w:lang w:bidi="ar-SA"/>
        </w:rPr>
        <w:t xml:space="preserve">الاستعمال بل مطلق التطهير، بناء على ما أفتى به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يشكل الحال في دلالة الروايات على النجاسة، لأنّ ثبوت الرخصة فيما عدا الاغتسال أو مطلق التطهير ممّا لا يجامع النجاسة، نظرا إلى أنّها ممّا يقتضي المنع مطلقا، و قضيّة ذلك خروج حكم غسالة الحمّام على خلاف قاعدة مطلق الغسالة، كما أفتى به بعض الأصحاب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تعرّض ما عدا المرسلة الاولى لبيان 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تعليل المنع بالوصف المناسب يقضي بأنّه علّة الحكم دون الذات، لأنّه لو كان ذات الغسالة كوصف ملاقاة النجاسة صالحة للتعليل بها، لما كان للعدول عنه إلى التعليل بالوصف العرضي وجه، ليقدّم الذاتي على العرضي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علّة المنع هي الملاقاة للنجاسة، تبيّن أنّه من جهة أنّها أثّرت في نجاسة أصل الغسالة؛ إذ لا ملازمة عقلا بين ملاقاة النجاسة و نجاسة الملاقي، بل الملازمة الثابتة بينهما بعد اللّتيّا و الّتي شرعيّة، و إجراؤها هنا استدلال بما هو خارج عن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إجراء حكم العامّ في الخاصّ و هو كما ترى، و إلاّ فأصل الروايات لو خلّيت و طبعها لا قضاء فيها بالملازمة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في تقريب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التعليل بالوصف المناسب للحكم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أقصى ما يسلّم من مناسبة الوصف كون الملاقاة للنجاسة مناسبة لأصل المنع، لا أنّها مناسبة لنجاسة الملاقي، و المنع مستند إليها لا إلى أصل الملاقاة، و إلاّ لقضت الروايات بأنّ علّة المنع هي النجاسة الحاصلة بالملاقاة لا نفس الملاقاة، و إنّما هي علّة للعلّة و هو كما ترى خلاف ما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أن يكون ذلك الماء النجس إذا دخل في نوع الغسالة الغير المتنجّسة و امتزج معها مقتضيا لهذا المنع في نظر الشارع، مع بقاء أصل الممتزج على أصل الطهارة، غاية الأمر أنّ طهارته توجب زوال النجاسة عمّا دخل فيه و امتزج معه بالاستهلاك أو مطلق الممازجة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فعلّة المنع في الحقيقة اشتمال غسالة الحمّام على غسالة الكافر، من حيث إنّها غسالة الكافر، لا من حيث نجاستها ليستبعد بقاء المعلول مع زوال العلّة بالامتزاج، إذ </w:t>
      </w:r>
    </w:p>
    <w:p>
      <w:pPr>
        <w:pStyle w:val="BookText"/>
        <w:rPr/>
      </w:pPr>
      <w:r>
        <w:rPr>
          <w:rFonts w:ascii="Amiri" w:hAnsi="Amiri" w:eastAsia="Amiri" w:cs="Amiri"/>
          <w:color w:val="111111"/>
          <w:sz w:val="28"/>
          <w:sz w:val="28"/>
          <w:szCs w:val="28"/>
          <w:rtl w:val="true"/>
          <w:lang w:bidi="ar-SA"/>
        </w:rPr>
        <w:t>المفروض أنّه لا تصريح في الروايات بالنجاسة، و لا بأنّها هي المقتضية للمنع، لجواز أن يكون في غسالة الكافر باعتبار المعنى صفة اخرى غير النجاسة هي المقتضية لذلك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يشعر بذلك ما في ذيل رواية ابن جمهور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الناصب أهون على اللّه 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يومئ إلى أنّ الحكمة الداعية إلى المنع المذكور إنّما هي الإهانة على الكافر لما فيه من خبث الباطن، و لا ينافي ذلك ما في تلك الرواية من الطعن على ولد الزنا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يطهّر إلى 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أيضا من جهة ما فيه من الخبث الباطني، لا أنّ الطهارة هنا مراد بها ما يقابل النجاسة بالمعنى الشرعي؛ فإنّ النجاسة بهذا المعنى ممّا لا سبيل إلى التزامه في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عليه بعض الأصحاب كصاحب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لم يقل بنجاسة ابن الزنا على هذا الوجه قائل من الأصحاب، و لا دليل عليه من سنّة أو كتاب</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بعض نسخ تلك الرواية الواصلة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ذكرها في جملة أخبار انفعال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 يخلق خلقا شرّا من الكلب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 يخلق خلقا أنجس من الكلب، و أنّ الناصب لنا أهل البيت أنجس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في ذيل رواية العلل على ما وجدناه في الوسائل، لكن بعد وقوع الاختلاف في النسخ لا يتعيّن علّيّة وصف النجاسة دون وصف آخر، و غرضنا منع الدلالة و يكفي فيه مجرّد إبداء الاحتمال، لابتناء الاستدلال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المنع و النجاسة، أو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المنافاة بينه و بين زوال النجاسة، و الاحتمال يرفعهما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دعوى الملازمة أو المنافاة العرفيّتين، و الاحتمال لا يقدح فيهما، لأنّ مبناهما حينئذ على الظهور العرفي و هو حاصل في المقام، لأنّ المنساق من الروايات عرفا كون العلّة الداعية إلى المنع هي النجاسة في غسالة الكافر، بل انفعال ما يمتزج هي معها من الغسالات الاخر بملاقاتها إيّاها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كلّ هذه اللّتيّا و الّتي، فالإنصاف يقتضي عدم جواز الاستناد إلى تلك الروايات في هذا المقام لإثبات الحكم الشرعي، من طهارة أو نجاسة، لعدم سلامة أسانيد أكثرها من الضعف و الإرسال معا، أو أحدهما، فإنّ المرسلة الاولى مع ضعفها بالإرسال، </w:t>
      </w:r>
    </w:p>
    <w:p>
      <w:pPr>
        <w:pStyle w:val="BookText"/>
        <w:rPr/>
      </w:pPr>
      <w:r>
        <w:rPr>
          <w:rFonts w:ascii="Amiri" w:hAnsi="Amiri" w:eastAsia="Amiri" w:cs="Amiri"/>
          <w:color w:val="111111"/>
          <w:sz w:val="28"/>
          <w:sz w:val="28"/>
          <w:szCs w:val="28"/>
          <w:rtl w:val="true"/>
          <w:lang w:bidi="ar-SA"/>
        </w:rPr>
        <w:t xml:space="preserve">مقدوحة بما في أبي يحيى الواسطي من الاشتباه،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إسماعيل بن زياد، و هو من أصحاب الكاظم عليه السّلام و لم نقف فيه على مدح و لا قدح، حيث لم نجده معنونا بخصوصه في كتب الرجال، و على زكريّا بن يحيى و هو من أصحاب الرضا عليه السّلام و حاله كالأوّل، نعم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يحيى الواسطي ثقة روى عن أبي عبد اللّه</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و الظاهر اتّحادهما، و لكن قد يبعّده النسبة إلى الإمامين عليهما السّلام،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بلقائه إيّاهما، إلاّ أنّ السند يأبى كونه هو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بدليل رواية محمّد بن يحيى الظاهر في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رواية الكليني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عيسى المعروف الثقة الجليل، و لم يعهد روايته عن زكريّا،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يروي عنه إبراهيم بن محمّد بن إسماعيل، نعم هو يروي عن سهل ابن زياد، و هو ثالث من يقع عليهم أبو يحيى الواسطي، و لكن السند يأبى أيضا عن كونه سهيلا،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من أصحاب العسكري عليه السّلام و المذكور في السند إنّما هو أبو الحسن الماضي عليه السّلام، و كونه ملاقيا له عليه السّلام أيضا يستلزم ملاقاته خمسة و هو بعيد في الغاية، مع أنّ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احتمال السند له ممّن لم يذكر بتوثيق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شيخنا المتكلّم</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و لكنّه لا يدلّ على وثاقته، مع ما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لم يكن بكلّ الثبت</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و ما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حديثه نعرفه تارة و ننكره اخرى و يجوز أن يخرج شاهدا</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أحمد عنه يعدّ عندهم من أمارات الوثاقة، و معه ليس علينا أن ننظر في أنّه أيّ رجل، و من أصحاب أيّ إمام، و كيف كان فالسند لا يخلو عن اضطراب صالح للقدح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المرسلة الثانية مع ما فيها من الإرسال أيضا ضعيفة جدّا بابن جمهور، ضعّفه العلاّمة في المنتهى</w:t>
      </w:r>
      <w:r>
        <w:rPr>
          <w:rStyle w:val="FootnoteAnchor"/>
          <w:rtl w:val="true"/>
        </w:rPr>
        <w:footnoteReference w:id="1311"/>
      </w:r>
      <w:r>
        <w:rPr>
          <w:rFonts w:ascii="Amiri" w:hAnsi="Amiri" w:eastAsia="Amiri" w:cs="Amiri"/>
          <w:color w:val="111111"/>
          <w:sz w:val="28"/>
          <w:sz w:val="28"/>
          <w:szCs w:val="28"/>
          <w:rtl w:val="true"/>
          <w:lang w:bidi="ar-SA"/>
        </w:rPr>
        <w:t>، و المحقّق في المعتبر</w:t>
      </w:r>
      <w:r>
        <w:rPr>
          <w:rStyle w:val="FootnoteAnchor"/>
          <w:rtl w:val="true"/>
        </w:rPr>
        <w:footnoteReference w:id="1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في الحدائق</w:t>
      </w:r>
      <w:r>
        <w:rPr>
          <w:rStyle w:val="FootnoteAnchor"/>
          <w:rtl w:val="true"/>
        </w:rPr>
        <w:footnoteReference w:id="1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الكلام في المرسلة الثالثة، فإنّها أيضا مضافا إلى الإرسال ضعيفة بجهالة حمزة بن أحمد، كما اعترف به العلاّمة في المنتهى</w:t>
      </w:r>
      <w:r>
        <w:rPr>
          <w:rStyle w:val="FootnoteAnchor"/>
          <w:rtl w:val="true"/>
        </w:rPr>
        <w:footnoteReference w:id="1314"/>
      </w:r>
      <w:r>
        <w:rPr>
          <w:rFonts w:ascii="Amiri" w:hAnsi="Amiri" w:eastAsia="Amiri" w:cs="Amiri"/>
          <w:color w:val="111111"/>
          <w:sz w:val="28"/>
          <w:sz w:val="28"/>
          <w:szCs w:val="28"/>
          <w:rtl w:val="true"/>
          <w:lang w:bidi="ar-SA"/>
        </w:rPr>
        <w:t xml:space="preserve">، و غيره في الرجال فلا يبقى في المقام إلاّ </w:t>
      </w:r>
    </w:p>
    <w:p>
      <w:pPr>
        <w:pStyle w:val="BookText"/>
        <w:rPr/>
      </w:pPr>
      <w:r>
        <w:rPr>
          <w:rFonts w:ascii="Amiri" w:hAnsi="Amiri" w:eastAsia="Amiri" w:cs="Amiri"/>
          <w:color w:val="111111"/>
          <w:sz w:val="28"/>
          <w:sz w:val="28"/>
          <w:szCs w:val="28"/>
          <w:rtl w:val="true"/>
          <w:lang w:bidi="ar-SA"/>
        </w:rPr>
        <w:t>موثّقة العلل، و الكلام في صحّة الاستناد إليها و عدمها يتبيّن بعد تبيّن عبارات الأعلام، و تعيّن ما هو محلّ كلامهم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عباراتهم في ذلك، فالعلاّمة في المنتهى حكم بالطهارة،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عندي أنّه على أصل الطهارة</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و إطلاق ذلك يقتضي عدم الفرق عنده بين صور العلم بملاقاة النجاسة، أو الشكّ فيها، أو العلم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إليه أنّه تمسّك على ذلك بمرسلة أبي يحيى الواسطي المتقدّمة</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بصحيحة حريز بن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الآجن يتوضّأ منه إلاّ أن تجد غيره</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و هما أيضا عامّان، و حينئذ فغسالة الحمّام عنده مخرجة عن قاعدة نجاسة الغسالة، بل قاعدة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بالنجاسة فيهما يقيّد كلامه هنا، فيخصّصه بصورة عدم العلم بملاقاة النجاسة، كما أنّ أدلّة القاعدتين تخصّص هذه الأخبار بالصورة المذكورة، و هو مشكل، لأنّ قوله بالنجاسة فيهما عامّ و كلامه هنا خاصّ، و كيف يقيّد الخاصّ بالعامّ، مع أنّ قاعدة الحمل ممّا لا يجري في فتاوي الفقهاء كما قرّر في محلّه، و النسبة بين أدلّة الانفعال و هذه الأخبار عموم من وجه، لاختصاص الاولى بصورة الملاقاة و عمومها بالقياس إلى غسالة الحمّام و غيرها، و اختصاص المرسلة من تلك الأخبار بغسالة الحمّام و عمومها بالقياس إلى صورة الملاقاة و غيرها، و كيف يخصّص أحد العامّين من وجه بالآخر بلا شاهد خارجي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يجري هذا الكلام بالقياس إلى الحسنة في الآجن، من حيث إنّها أعمّ من الغسالة و صورة الملاقاة أيضا، و لكن دليله غير منحصر فيها، و بالجملة كلامه رحمه اللّه هنا غير </w:t>
      </w:r>
    </w:p>
    <w:p>
      <w:pPr>
        <w:pStyle w:val="BookText"/>
        <w:rPr/>
      </w:pPr>
      <w:r>
        <w:rPr>
          <w:rFonts w:ascii="Amiri" w:hAnsi="Amiri" w:eastAsia="Amiri" w:cs="Amiri"/>
          <w:color w:val="111111"/>
          <w:sz w:val="28"/>
          <w:sz w:val="28"/>
          <w:szCs w:val="28"/>
          <w:rtl w:val="true"/>
          <w:lang w:bidi="ar-SA"/>
        </w:rPr>
        <w:t xml:space="preserve">خال عن الاضطراب، مع ما في استدلاله على ما اختاره بصحيحة حريز من الفساد الواضح، لأنّ هذه الرواية و إن كانت عامّة غير أنّها بملاحظة أدلّة انفعال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بموجبها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عنده على صورة الكرّ، و معه كيف يتمسّك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النزاع هنا أعمّ من القليل و الكثير، 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بالطهارة منسوب معه إلى جملة من المتأخّرين و متأخّريهم، و عدّ منهم الشيخ عليّ في جامع المقاصد</w:t>
      </w:r>
      <w:r>
        <w:rPr>
          <w:rStyle w:val="FootnoteAnchor"/>
          <w:rtl w:val="true"/>
        </w:rPr>
        <w:footnoteReference w:id="1319"/>
      </w:r>
      <w:r>
        <w:rPr>
          <w:rFonts w:ascii="Amiri" w:hAnsi="Amiri" w:eastAsia="Amiri" w:cs="Amiri"/>
          <w:color w:val="111111"/>
          <w:sz w:val="28"/>
          <w:sz w:val="28"/>
          <w:szCs w:val="28"/>
          <w:rtl w:val="true"/>
          <w:lang w:bidi="ar-SA"/>
        </w:rPr>
        <w:t xml:space="preserve">، غير أنّ صريح كلامه المنقول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اختصاصه بصورة الشكّ،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النظر أنّه مع الشكّ في النجاسة تكون على حكمها الثابت لها قبل الاستعمال، و إن كان اجتنابها أحوط</w:t>
      </w:r>
      <w:r>
        <w:rPr>
          <w:rFonts w:eastAsia="Amiri" w:cs="Amiri" w:ascii="Amiri" w:hAnsi="Amiri"/>
          <w:color w:val="111111"/>
          <w:sz w:val="28"/>
          <w:szCs w:val="28"/>
          <w:rtl w:val="true"/>
          <w:lang w:bidi="ar-SA"/>
        </w:rPr>
        <w:t>»</w:t>
      </w:r>
      <w:r>
        <w:rPr>
          <w:rStyle w:val="FootnoteAnchor"/>
          <w:rtl w:val="true"/>
        </w:rPr>
        <w:footnoteReference w:id="1320"/>
      </w:r>
      <w:r>
        <w:rPr>
          <w:rFonts w:ascii="IRNazanin" w:hAnsi="IRNazanin" w:eastAsia="IRNazanin"/>
          <w:color w:val="111111"/>
          <w:sz w:val="28"/>
          <w:sz w:val="28"/>
          <w:szCs w:val="28"/>
          <w:rtl w:val="true"/>
          <w:lang w:bidi="fa-IR"/>
        </w:rPr>
        <w:t>، و عن صاحب المعالم</w:t>
      </w:r>
      <w:r>
        <w:rPr>
          <w:rStyle w:val="FootnoteAnchor"/>
          <w:rtl w:val="true"/>
        </w:rPr>
        <w:footnoteReference w:id="1321"/>
      </w:r>
      <w:r>
        <w:rPr>
          <w:rFonts w:ascii="Amiri" w:hAnsi="Amiri" w:eastAsia="Amiri" w:cs="Amiri"/>
          <w:color w:val="111111"/>
          <w:sz w:val="28"/>
          <w:sz w:val="28"/>
          <w:szCs w:val="28"/>
          <w:rtl w:val="true"/>
          <w:lang w:bidi="ar-SA"/>
        </w:rPr>
        <w:t>و قبله والده في الروض</w:t>
      </w:r>
      <w:r>
        <w:rPr>
          <w:rStyle w:val="FootnoteAnchor"/>
          <w:rtl w:val="true"/>
        </w:rPr>
        <w:footnoteReference w:id="1322"/>
      </w:r>
      <w:r>
        <w:rPr>
          <w:rFonts w:ascii="Amiri" w:hAnsi="Amiri" w:eastAsia="Amiri" w:cs="Amiri"/>
          <w:color w:val="111111"/>
          <w:sz w:val="28"/>
          <w:sz w:val="28"/>
          <w:szCs w:val="28"/>
          <w:rtl w:val="true"/>
          <w:lang w:bidi="ar-SA"/>
        </w:rPr>
        <w:t>الميل إليه، و عن العلاّمة في الإرشاد</w:t>
      </w:r>
      <w:r>
        <w:rPr>
          <w:rStyle w:val="FootnoteAnchor"/>
          <w:rtl w:val="true"/>
        </w:rPr>
        <w:footnoteReference w:id="132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تبعه فيه بعض من تأخّر عنه</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التطهير بغسالة الحمّام، لأنّه يجتمع فيه غسالة اليهودي و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المبغض لآل محمّد و هو شرّهم</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و الظاهر أنّ ذلك فتوى بموجب موثّقة العلل، و عن أبيه قريب من هذا الكلام في رسالته إليه، و عن نهاية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غسالة الحمّام لا يجوز استعمالها على حال</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و عن ابن إدريس أنّه جرى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غسالة الحمّام لا يجوز استعمالها على حال و هذا إجماع، و قد وردت به عن الأئمة عليهم السّلام آثار معتمدة، قد اجتمع الأصحاب عليها، لا أجد من خالف فيها</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و عن المحقّق في المعتبر الاعتراض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خلاف الرواية و خلاف ما ذكره ابن بابويه، و لم نقف على رواية بهذا الحكم سوى تلك الرواية و رواية مرسلة ذكرها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و هذه مرسلة و ابن جمهور ضعيف جدّا، ذكر ذلك النجاشي في كتاب الرجال، فأين الإجماع و أين الأخبار المعتمدة؟ و نحن نطالبه بما ادّعاه، و أفرط في دعواه</w:t>
      </w:r>
      <w:r>
        <w:rPr>
          <w:rFonts w:eastAsia="Amiri" w:cs="Amiri" w:ascii="Amiri" w:hAnsi="Amiri"/>
          <w:color w:val="111111"/>
          <w:sz w:val="28"/>
          <w:szCs w:val="28"/>
          <w:rtl w:val="true"/>
          <w:lang w:bidi="ar-SA"/>
        </w:rPr>
        <w:t>»</w:t>
      </w:r>
      <w:r>
        <w:rPr>
          <w:rStyle w:val="FootnoteAnchor"/>
          <w:rtl w:val="true"/>
        </w:rPr>
        <w:footnoteReference w:id="13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مراده بالرواية المشار إليها الّتي حكم على كلام ابن إدريس بكونه على </w:t>
      </w:r>
    </w:p>
    <w:p>
      <w:pPr>
        <w:pStyle w:val="BookText"/>
        <w:rPr/>
      </w:pPr>
      <w:r>
        <w:rPr>
          <w:rFonts w:ascii="Amiri" w:hAnsi="Amiri" w:eastAsia="Amiri" w:cs="Amiri"/>
          <w:color w:val="111111"/>
          <w:sz w:val="28"/>
          <w:sz w:val="28"/>
          <w:szCs w:val="28"/>
          <w:rtl w:val="true"/>
          <w:lang w:bidi="ar-SA"/>
        </w:rPr>
        <w:t>خلافها مرسلة أبي يحيى الواسطي، و كيف كان فعنه في المعتبر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يغتسل بغسالة الحمّام، إلاّ أن يعلم خلوّها من النجاسة</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و به صرّح في النافع</w:t>
      </w:r>
      <w:r>
        <w:rPr>
          <w:rStyle w:val="FootnoteAnchor"/>
          <w:rtl w:val="true"/>
        </w:rPr>
        <w:footnoteReference w:id="1330"/>
      </w:r>
      <w:r>
        <w:rPr>
          <w:rFonts w:ascii="Amiri" w:hAnsi="Amiri" w:eastAsia="Amiri" w:cs="Amiri"/>
          <w:color w:val="111111"/>
          <w:sz w:val="28"/>
          <w:sz w:val="28"/>
          <w:szCs w:val="28"/>
          <w:rtl w:val="true"/>
          <w:lang w:bidi="ar-SA"/>
        </w:rPr>
        <w:t>بعين تلك العبارة و عن العلاّمة في القواعد</w:t>
      </w:r>
      <w:r>
        <w:rPr>
          <w:rStyle w:val="FootnoteAnchor"/>
          <w:rtl w:val="true"/>
        </w:rPr>
        <w:footnoteReference w:id="1331"/>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قضيّة الاستثناء في كلاميهما أنّهما يقولان بالنجاسة في غير صورة العلم بالخلوّ عنها، حتّى مع الشكّ في الخلوّ و عدمه، كما أنّ مقتضى ما عرفت عن الشيخ و الحلّي أنّهما يقولان بالنجاسة مطلقا حتّى مع العلم بالخلوّ و لكن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بالنجاسة بلا علّة داعية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يحوم حوله الجاهل، فضلا عن الفقيه الكامل، فلا بدّ من تنزيل إطلاق كلاميهما على غير صورة العلم بالخلوّ عن الملاقاة، فيرجع قولاهما إلى قولي المعتبر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عرفت عن المحقّق فلا يخلو عن إجمال، من حيث إنّه خصّ المنع بالتطهير، فلو أنّ الجهة هي النجاسة لم يتفاوت الحال بينه و بين سائر أنواع الاستعمال، إلاّ أن يحمل على إرادة المثال لنكتة تأدية المطلب بلفظ الرواية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تعليله، فلو أراد بما ذكره القضيّة الدائمة،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اتّفاق اجتماع غسالة اليهوديّ و غيره في غسالة الحمّام، فهو ممّا يكذّبه الضرورة، و لو أراد به القضيّة الغالبة،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ذلك فيها بحكم العادة، فهو أيضا بالنسبة إلى هذا الصنف غير مسلّم في غالب الحمّامات، و لا سيّما أعصارنا هذه، و بالنسبة إلى نوع النجاسة غير بعيد، غير أنّ الكلام حينئذ يبقى في مستند الحكم، و سيتّضح منع وجوده، كما يتّضح عدم دلالة رواية العلل عليه، و على أيّ تقدير فلو كان مراده القضيّة الاولى كان قوله مغايرا لقول الشيخ و الحلّي و المعتبر و القواعد، لاختصاصه بصورة العلم بالملاقاة، غاية الأمر يحصل بينه و بينهم خلاف في الصغرى، و لو كان مراده الثانية رجع قوله إلى قولهم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العلم بالخلوّ عن ملاقاة النجاسة خارجة عن معقد هذه المسألة، و أمّا الصورتان الباقيتان فكون إحداهما و هي صورة العلم بملاقاة النجاسة من معقد هذه المسألة محلّ شبهة، حيث قد عرفت أنّه لا مصرّح بالنسبة إليها بالطهارة عدا ما كان يوهمه ظاهر عبارة العلاّمة في المنتهى، و قد عرفت ما فيه من </w:t>
      </w:r>
    </w:p>
    <w:p>
      <w:pPr>
        <w:pStyle w:val="BookText"/>
        <w:rPr/>
      </w:pPr>
      <w:r>
        <w:rPr>
          <w:rFonts w:ascii="Amiri" w:hAnsi="Amiri" w:eastAsia="Amiri" w:cs="Amiri"/>
          <w:color w:val="111111"/>
          <w:sz w:val="28"/>
          <w:sz w:val="28"/>
          <w:szCs w:val="28"/>
          <w:rtl w:val="true"/>
          <w:lang w:bidi="ar-SA"/>
        </w:rPr>
        <w:t>الاضطراب و الاختلال و عدم استقامة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صورة الشكّ، و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هو للعلاّمة و غيره ممّن عرفتهم، و يظهر من الأردبيلي</w:t>
      </w:r>
      <w:r>
        <w:rPr>
          <w:rStyle w:val="FootnoteAnchor"/>
          <w:rtl w:val="true"/>
        </w:rPr>
        <w:footnoteReference w:id="133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للصدوق و الشيخ و الحلّي و المحقّق و العلاّمة أيضا، و لا ريب أنّ القول بالنجاسة هنا مخالف لقاعدتهم المشهورة المتسالم عليها، من أنّ مدار الحكم بالنجاسة على العلم بتحقّق السبب، و لا يكفي فيه مجرّد الشكّ و الاحتمال بل الظنّ أيضا، فمرجعه إلى التعويل على الظنّ المستند إلى الغلبة و لو نوعا، كما أنّ مرجع القول بالطهارة إلى عدم العبرة بذلك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النظر في هذا المطلب، و ليس فيه من الأدلّة الخاصّة إلاّ ما عرفت من الروايات، مضافة إلى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الحمّام يغتسل فيه الجنب و غيره، أغتسل من مائه؟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أن يغتسل منه الجنب، و لقد اغتسلت فيه، ثمّ جئت فغسلت رجلي، و ما غسلتهما إلاّ ممّا لزق بهما من التراب</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جائيا من الحمّام و بينه و بين داره قذر،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بيني و بين داري ما غسلت رجلي و لا تجنّبت ماء الحمّام</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الموصوفة بالموثّقة،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الباقر عليه السّلام يخرج من الحمّام فيمضي كما هو، لا يغسل رجليه حتّى يصلّي</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الاستدلال بها و بسابقتها عن الأردبيلي</w:t>
      </w:r>
      <w:r>
        <w:rPr>
          <w:rStyle w:val="FootnoteAnchor"/>
          <w:rtl w:val="true"/>
        </w:rPr>
        <w:footnoteReference w:id="1336"/>
      </w:r>
      <w:r>
        <w:rPr>
          <w:rFonts w:ascii="Amiri" w:hAnsi="Amiri" w:eastAsia="Amiri" w:cs="Amiri"/>
          <w:color w:val="111111"/>
          <w:sz w:val="28"/>
          <w:sz w:val="28"/>
          <w:szCs w:val="28"/>
          <w:rtl w:val="true"/>
          <w:lang w:bidi="ar-SA"/>
        </w:rPr>
        <w:t xml:space="preserve">و لا بأس به، بناء على ما أشرنا إليه آنفا من أنّ غسالة الحمّام ما يجتمع في البئر من سطوحه الجاري من خطوطها المياه إليها، و فعل المعصوم حجّة كقوله إذا كشف عن حكم بعينه، فلو لا سطح الحمّام مع ما فيه من المياه محكوما عليه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الشكّ في نجاسته بحكم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المعصوم التجنّب عنه جزما، و لا ضير في تركه الاحتياط الراجح، لمكان كونه بذلك الفعل في مقام التعليم و الارشاد، و يخرج رواية أبي يحيى الواسطي شاهدة، لعدم </w:t>
      </w:r>
    </w:p>
    <w:p>
      <w:pPr>
        <w:pStyle w:val="BookText"/>
        <w:rPr/>
      </w:pPr>
      <w:r>
        <w:rPr>
          <w:rFonts w:ascii="Amiri" w:hAnsi="Amiri" w:eastAsia="Amiri" w:cs="Amiri"/>
          <w:color w:val="111111"/>
          <w:sz w:val="28"/>
          <w:sz w:val="28"/>
          <w:szCs w:val="28"/>
          <w:rtl w:val="true"/>
          <w:lang w:bidi="ar-SA"/>
        </w:rPr>
        <w:t>صلوحها دليلا مستقلاّ بالإرسال الّذي لا جابر له، و إن عمل بها العلاّمة في المنتهى</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الروايات الباقية فليس فيها أيضا ما يصلح للاستناد إليه بحكم الضعف و الارسال إلاّ موثّقة العلل، و الظاهر أنّها مستند الصدوق</w:t>
      </w:r>
      <w:r>
        <w:rPr>
          <w:rStyle w:val="FootnoteAnchor"/>
          <w:rtl w:val="true"/>
        </w:rPr>
        <w:footnoteReference w:id="1338"/>
      </w:r>
      <w:r>
        <w:rPr>
          <w:rFonts w:ascii="Amiri" w:hAnsi="Amiri" w:eastAsia="Amiri" w:cs="Amiri"/>
          <w:color w:val="111111"/>
          <w:sz w:val="28"/>
          <w:sz w:val="28"/>
          <w:szCs w:val="28"/>
          <w:rtl w:val="true"/>
          <w:lang w:bidi="ar-SA"/>
        </w:rPr>
        <w:t>فيما عرفت عنه، و هي عند التحقيق لا تعارض ما ذكر أصلا، لعدم وضوح دلالتها على نجاسة و لا على طهارة،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يجتمع غسالة 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قيدا للموضوع، ليكون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غسالة الحمّام حال كونها يجتمع فيها غسالة هؤلاء، الموجبة لتنجّسها، و حاصله اعتبار العلم بملاقاة النجاسة، فلا تتناول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علّة للحكم، فيكون المنع على الإطلاق لتلك العلّة الموجبة للنجاسة في مطلق الغسالة، مع تعيّن حمل القضيّة على الغلبة دون الدوام، صونا لها عن الكذب، فتكون شاملة لصورة الشكّ أيضا، غير أنّه لا يتعيّن الحمل على هذا المعنى بعد قيام احتمال آخر مساو له، مع إمكان دعوى الظهور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قوّة احتمال كون المقصود على الاحتمال الثاني تعليل الحكم بما يكون من مقولة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العلّة الحقيقيّة، فيكون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غسالة الحمّام لكونها معرضا لأن يجتمع فيها غسالة هؤلاء و أهلا له، فمن حكمها أن لا يغتسل بها، و حينئذ كما ترى خرج عن الدلالة على النجاسة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النهي الوارد فيها لكونه تنزيهيّا احتمالا قويّا، بقرينة ما سنذكر من رواية عليّ بن جعفر، و إلى ما سبق آنفا من الكلام في دلالة هذه الرواية و نظائرها من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ثابتة معتبرة على نجاسة غسالة الحمّام في غير صورة العلم بملاقاة النجاسة، مع عدم سبق الكرّيّة، فمقتضى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الصحيحتين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عليها بالطهارة، و لو مع الظنّ بتحقّق السبب، ظنّا مستندا إلى العادة و الغلبة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صورة العلم بتحقّق السبب مع عدم سبق الكرّيّة، فعلى مقتضى القاعدة المتقدّمة في القليل الملاقي للنجس، كما أنّ صورة التغيّر بالنجاسة مع سبق الكرّيّة على قاعدة التغيّر الموجب للنجاسة، و لا مانع عن شيء من ذلك في المقام، إلاّ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90" w:name="pg16144_233301"/>
    </w:p>
    <w:p>
      <w:pPr>
        <w:pStyle w:val="BookText"/>
        <w:rPr/>
      </w:pPr>
      <w:bookmarkEnd w:id="390"/>
      <w:r>
        <w:rPr>
          <w:rFonts w:ascii="Amiri" w:hAnsi="Amiri" w:eastAsia="Amiri" w:cs="Amiri"/>
          <w:color w:val="111111"/>
          <w:sz w:val="28"/>
          <w:sz w:val="28"/>
          <w:szCs w:val="28"/>
          <w:rtl w:val="true"/>
          <w:lang w:bidi="ar-SA"/>
        </w:rPr>
        <w:t>معارضة قاعدة الانفعال للصحيحتين المتقدّمتين و غيرهما، ممّا يقضي بإطلاقه على عدم النجاسة حتّى مع الملاقاة و القلّة، و النسبة بينهما عموم من وجه، غير أنّ الخطب فيه سهل، لوجود المرجّح في جانب القاعدة، مع عدم ظهور مخالف فيه ظاهرا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حكمها بالقياس إلى الطهارة، و أمّا حكمها من حيث الطهوريّة فمحلّ إشكال، من حيث إنّ الموثّقة المذكورة تضمّنت المنع عن الاغتسال، و هو شامل لكلا تقديري الدلالة على الطهارة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ابتناء ثبوت المنع عن الطهوريّة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 ما سبق علّة للحكم لا قيدا لموضوعه، و إلاّ خرج عن دلالته عليه في صورة الشكّ، لكن الأحوط الاجتناب عنه في مقام الطهوريّة، كما أنّ الأحوط الجمع بين استعماله في رفع الحدث و بين التيمّم مع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كراهة التطهير بها في رفع الحدث مع الاختيار ممّا لا ينبغي إنكاره، لما في الوسائل عن الكافي، عن عليّ بن جعفر،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من الماء الّذي قد اغتسل فيه، فأصابه الجذام فلا يلومنّ إلاّ نفسه،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 الزاني، و الناصب الّذي هو شرّهما و كلّ من خلق اللّه، ثمّ يكون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فإنّها و إن كانت ظاهرة في غير محلّ البحث، غير أنّ الحكم يتعدّى إليه بالأولويّة، و لا يقدح ما في سندها من الضعف و الجهالة في صحّة الاستناد إليها هنا، تسامحا في أدلّة السنن، و هذه الرواية لو كانت جامعة لشرائط الحجّيّة من حيث السند، لكانت صالحة لصرف الروايات المتقدّمة المانعة عن الاغتسال بغسالة الحمّام عن ظواهرها، بحمل نواهيها على الكراهة و التنزيه، و لذا احتملناها سابقا فيها، و اللّه العالم بحقائق أحكامه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804644_1280447820"/>
      <w:bookmarkStart w:id="392" w:name="_Toc153"/>
      <w:bookmarkEnd w:id="391"/>
      <w:r>
        <w:rPr>
          <w:rtl w:val="true"/>
        </w:rPr>
        <w:t>الثالث في الماء المستعمل في رفع الحدث الأصغر،</w:t>
      </w:r>
      <w:bookmarkEnd w:id="3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أحد أقسام المستعمل، الّذي ينقسم عندهم إلى ما يكون مستعملا في إزالة حدث، أو خبث، أو مطلقا، و الأوّل إمّا في </w:t>
      </w:r>
    </w:p>
    <w:p>
      <w:pPr>
        <w:pStyle w:val="BookText"/>
        <w:rPr/>
      </w:pPr>
      <w:r>
        <w:rPr>
          <w:rFonts w:ascii="Amiri" w:hAnsi="Amiri" w:eastAsia="Amiri" w:cs="Amiri"/>
          <w:color w:val="111111"/>
          <w:sz w:val="28"/>
          <w:sz w:val="28"/>
          <w:szCs w:val="28"/>
          <w:rtl w:val="true"/>
          <w:lang w:bidi="ar-SA"/>
        </w:rPr>
        <w:t>حدث أصغر أو أكبر، و الثاني إمّا في الاستنجاء أو غيره، و الثالث هو غسالة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فالمستعمل في الحدث الأصغر ما حكي فيه عن العامّة في منتهى العلاّمة</w:t>
      </w:r>
      <w:r>
        <w:rPr>
          <w:rStyle w:val="FootnoteAnchor"/>
          <w:rtl w:val="true"/>
        </w:rPr>
        <w:footnoteReference w:id="1340"/>
      </w:r>
      <w:r>
        <w:rPr>
          <w:rFonts w:ascii="Amiri" w:hAnsi="Amiri" w:eastAsia="Amiri" w:cs="Amiri"/>
          <w:color w:val="111111"/>
          <w:sz w:val="28"/>
          <w:sz w:val="28"/>
          <w:szCs w:val="28"/>
          <w:rtl w:val="true"/>
          <w:lang w:bidi="ar-SA"/>
        </w:rPr>
        <w:t>اختلافا عظيما و أقوالا متشتّتة،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طاهر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لأكثرهم، و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غير مطهّر، و هو لمحمّد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و حكي عن الشافعي في الجديد، و عن المالك أيضا،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نجاسة مغلّظة، كالدم و البول و الخمر، حتّى إنّه إذا أصاب الثوب أكثر من درهم منع أداء الصلاة، و هو لأبي حنيفة، و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نجاسة ضعيفة، حتّى إنّه إذا أصاب الثوب أكثر من درهم لم يمنع الصلاة، و هي لأبي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المتوضّئ محدثا، فهو كما قال محمّد، و إن كان غير محدث فهو طاهر و طهور، و هو لزفر،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للشافعي، و عنه أيضا أنّه 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حنيفة الاحتجاج على ما اختاره، و مثله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الفعل يسمّى طهارة، و ذلك يستدعي نجاسة المحلّ، فشارك الّذي ازيلت به النجاسة</w:t>
      </w:r>
      <w:r>
        <w:rPr>
          <w:rFonts w:eastAsia="Amiri" w:cs="Amiri" w:ascii="Amiri" w:hAnsi="Amiri"/>
          <w:color w:val="111111"/>
          <w:sz w:val="28"/>
          <w:szCs w:val="28"/>
          <w:rtl w:val="true"/>
          <w:lang w:bidi="ar-SA"/>
        </w:rPr>
        <w:t>»</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اشتباه في القياس، و إلاّ فالحكم بالقياس إلى أنفسهم لعلّه في محلّه، فإنّ المستعمل في وضوئهم بملاحظة تلك النسبة لا يقصر بحسب الحقيقة عن المستعمل في إزالة البول، و هذا القياس هو اللائق بالمقام، لكمال المناسبة بين المقيس و المقيس عليه دون ما ذكر، لكمال وضوح الفرق بينهما على هذا البيان، إذ إطلاق الطهارة لا يقتضي مقابلة النجاسة على التعيين، بل مقابلة أحد الأمرين منها و من الحدث، و هما في الشريعة موضوعان متغايران لا يدخل أحدهما في مسمّى الآخر و لا في حكمه، و لذا لا يسمّى المحدث نجسا، و لا أنّ ملاقاة المحدث توجب نجاسة الملاقي، و التفكيك بين أنحاء الملاقاة غير معقول في النجاسات، فلو أنّ ملاقاة الماء له حال التوضّي تؤثّر نجاسة الماء فملاقاته له في سائر الأحوال أولى بذلك، و التسمية بالطهارة في الأوّل دون الثاني لا تصلح فارقة بينهما في الحكم بعد ما كان سبب الحكم هو الاستعمال و الملاقاة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طاهر في نفسه مطهّر عن الحدث و الخبث بلا خلاف يعرف بين أصحابنا، و عليه نقل الإجماعات في حدّ الاستفاضة،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المنتهى</w:t>
      </w:r>
      <w:r>
        <w:rPr>
          <w:rStyle w:val="FootnoteAnchor"/>
          <w:rtl w:val="true"/>
        </w:rPr>
        <w:footnoteReference w:id="1343"/>
      </w:r>
      <w:r>
        <w:rPr>
          <w:rFonts w:ascii="IRNazanin" w:hAnsi="IRNazanin" w:eastAsia="IRNazanin"/>
          <w:color w:val="111111"/>
          <w:sz w:val="28"/>
          <w:sz w:val="28"/>
          <w:szCs w:val="28"/>
          <w:rtl w:val="true"/>
          <w:lang w:bidi="fa-IR"/>
        </w:rPr>
        <w:t>، و ما عن المعتبر</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عروض النجاسة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عموما و خصوصا على أنّ الماء من حكمه بحسب خلقته الأصليّة الطهارة، و على انحصار سبب عروض النجاسة في التغيّر مطلقا، و الملاقاة للنجاسة مع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يعقل بلا تحقّق سببه، و المفروض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المطهّريّة من القواعد القاعدة المستفادة من الأدلّة الشرعيّة عموما و خصوصا، القاضية بأنّ ما جامع وصفي الإطلاق و الطهارة مطهّر عن الخبث و الحدث صغيرا و كبيرا ما لم يصادفه مانع كالمغصوبيّة و نحوها و هذا منه، لعدم قيام الدلالة الشرعيّة من كتاب و لا سنّة و لا غيرهما على مانعيّة عروض الاستعمال و رفع الحدث الأصغر له، من غير فرق في ذلك بين المستعمل في المرّة الاولى، و المستعمل في المرّة الثانية المستحبّة، أو في المضمضة، و الاستنشاق، أو التجديد، خلافا في الثاني و الثالث و الرابع للشافعيّة</w:t>
      </w:r>
      <w:r>
        <w:rPr>
          <w:rStyle w:val="FootnoteAnchor"/>
          <w:rtl w:val="true"/>
        </w:rPr>
        <w:footnoteReference w:id="1345"/>
      </w:r>
      <w:r>
        <w:rPr>
          <w:rFonts w:ascii="Amiri" w:hAnsi="Amiri" w:eastAsia="Amiri" w:cs="Amiri"/>
          <w:color w:val="111111"/>
          <w:sz w:val="28"/>
          <w:sz w:val="28"/>
          <w:szCs w:val="28"/>
          <w:rtl w:val="true"/>
          <w:lang w:bidi="ar-SA"/>
        </w:rPr>
        <w:t>، المنسوب إليهم أنّ لهم فيها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لم يؤدّه فرضا،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لأنّه مستعمل في الطهارة، فإنّ فساد المدرك يقضي بفساد المذهب، و تأديته فرضا أو ندبا ممّا لا حكم له في الشريعة، كما أنّ الماء لم يحدّد له في الشرع فعل فضلا عن انحصاره في 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إزالة الخبث بماء الوضوء من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ذلك، لأنّ للماء فعلين رفع الحدث و إزالة الخبث، فإذا رفع الحدث بقي تطهير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هو المشهور عندهم، لأنّه مائع لا يزيل الحدث فلا يرفع الخبث كسائر المائعات، و ليس للماء فعلان بل فعل واحد، و هو رفع أحدهما، إمّا الحدث أو الخبث لا بعينه، فأيّهما حصل زالت طهوريّته</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متّضح البطلان لابتناء كلّ ذلك على قياس أو استحسان، و لا نقول بشيء منهما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القول بأنّ الماء له فعلان، إن اريد به المرّة فهو دعوى يبطلها ظواهر النصوص كتابا و سنّة، القاضية بأنّ له وصف الطهوريّة بحسب الماهيّة، فإنّ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347"/>
      </w:r>
      <w:r>
        <w:rPr>
          <w:rFonts w:ascii="Amiri" w:hAnsi="Amiri" w:eastAsia="Amiri" w:cs="Amiri"/>
          <w:color w:val="111111"/>
          <w:sz w:val="28"/>
          <w:sz w:val="28"/>
          <w:szCs w:val="28"/>
          <w:rtl w:val="true"/>
          <w:lang w:bidi="ar-SA"/>
        </w:rPr>
        <w:t xml:space="preserve">يقضي بأنّ الثابت له إنّما هو ماهيّة وصف الطهوريّة، و صرف ذلك إلى إثبات فرد من هذا الوصف له يحتاج إلى دلالة معتبرة من </w:t>
      </w:r>
    </w:p>
    <w:p>
      <w:pPr>
        <w:pStyle w:val="BookText"/>
        <w:rPr/>
      </w:pPr>
      <w:r>
        <w:rPr>
          <w:rFonts w:ascii="Amiri" w:hAnsi="Amiri" w:eastAsia="Amiri" w:cs="Amiri"/>
          <w:color w:val="111111"/>
          <w:sz w:val="28"/>
          <w:sz w:val="28"/>
          <w:szCs w:val="28"/>
          <w:rtl w:val="true"/>
          <w:lang w:bidi="ar-SA"/>
        </w:rPr>
        <w:t>الخارج ترفع هذا الإطلاق و ليست بموجودة، و إن اريد به الماهيّة بمعنى أنّه ما قام به هذا الوصف بحسب الماهيّة فهي لا ترتفع بالمرّة، لأنّ الثابت بالأدلّة حينئذ أنّ ماهيّة هذا الوصف في ثبوتها له تتبع الماهيّة المائيّة، و هي لا تزول بعروض الاستعمال جزما، فكذلك ما يتبعها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الأوامر الواردة في دفع الحدث و إزالة الخبث لم ترد إلاّ مطلقة، و الأمر ممّا يفيد الإجزاء، فلو استعمل المستعمل ثانيا في رفع حدث أو إزالة خبث كان إتيانا بالمأمور به على وجهه فيجب إجزاؤه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من حيث الطهارة و المطهّرية المستعمل في تعبّد غير حدثي و لا خبثي، كغسل اليد من نوم الليل أو للتغذّي متقدّما و متأخّرا، فإنّه أيضا طاهر و مطهّر للقاعدة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الثاني من الروايتين،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مستعمل في طهارة تعبّد أشبه المستعمل في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لبطلان الأصل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 الصغرى أيضا، لعدم دخول المفروض في مسمّى الطهارة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شاع الاحتجاج على الحكمين معا، بما في التهذيب عن عبد اللّه 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يتوضّأ بالماء المستعمل،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و يغتسل به الرجل من الجنابة لا يجوز أن يتوضّأ به، و أشباهه، و أمّا الماء الّذي يتوضّأ به الرجل، فيغسل به يده و وجهه في شيء نظيف، فلا بأس أن يأخذه غيره، و يتوضّأ به</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 أيضا عن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إذا توضّأ اخذ ما يسقط من وضوئه، فيتوضّئون به</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 هو في محلّه لو لا قصور سندها بأحمد بن هلال العبرتائي، المحكوم عليه بالضعف تارة، و بالغلوّ اخرى، إلى غير ذلك ممّا قيل فيه و ورد في ذمّه، و يمكن التعويل على روايته الثانية لما عن الغضائري</w:t>
      </w:r>
      <w:r>
        <w:rPr>
          <w:rStyle w:val="FootnoteAnchor"/>
          <w:rtl w:val="true"/>
        </w:rPr>
        <w:footnoteReference w:id="1351"/>
      </w:r>
      <w:r>
        <w:rPr>
          <w:rFonts w:ascii="Amiri" w:hAnsi="Amiri" w:eastAsia="Amiri" w:cs="Amiri"/>
          <w:color w:val="111111"/>
          <w:sz w:val="28"/>
          <w:sz w:val="28"/>
          <w:szCs w:val="28"/>
          <w:rtl w:val="true"/>
          <w:lang w:bidi="ar-SA"/>
        </w:rPr>
        <w:t xml:space="preserve">من أنّه توقّف في </w:t>
      </w:r>
    </w:p>
    <w:p>
      <w:pPr>
        <w:pStyle w:val="BookText"/>
        <w:rPr/>
      </w:pPr>
      <w:r>
        <w:rPr>
          <w:rFonts w:ascii="Amiri" w:hAnsi="Amiri" w:eastAsia="Amiri" w:cs="Amiri"/>
          <w:color w:val="111111"/>
          <w:sz w:val="28"/>
          <w:sz w:val="28"/>
          <w:szCs w:val="28"/>
          <w:rtl w:val="true"/>
          <w:lang w:bidi="ar-SA"/>
        </w:rPr>
        <w:t>حديثه، إلاّ فيما يرويه عن الحسن بن محبوب من كتاب المشيخة، و محمّد بن أبي عمير من نوادره،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هذين الكتابين جلّ أصحاب الحديث، و اعتمدوه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قبول الغضائري و الجماعة لما يرويه من الكتابين لتواترهما عندهم و شهرتهما، و حينئذ فلا يضرّ ضعف الطريق إليهما، و يحتمل أن يكون قد صنّفهما في حال استقامته، و هذه الرواية قد رواها عن الحسن بن محبوب، و لو ثبت عمل الأصحاب كلاّ أو جلاّ بهما على نحو الاستناد ارتفع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إليهما في المنتهى</w:t>
      </w:r>
      <w:r>
        <w:rPr>
          <w:rStyle w:val="FootnoteAnchor"/>
          <w:rtl w:val="true"/>
        </w:rPr>
        <w:footnoteReference w:id="1352"/>
      </w:r>
      <w:r>
        <w:rPr>
          <w:rFonts w:ascii="Amiri" w:hAnsi="Amiri" w:eastAsia="Amiri" w:cs="Amiri"/>
          <w:color w:val="111111"/>
          <w:sz w:val="28"/>
          <w:sz w:val="28"/>
          <w:szCs w:val="28"/>
          <w:rtl w:val="true"/>
          <w:lang w:bidi="ar-SA"/>
        </w:rPr>
        <w:t>صحيحة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و ذكر أنّ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جواز الاستعمال، سواء استعمل في الوضوء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لاقى النجاسة العينيّة كان حكمه جواز الاستعمال ما دام وصف الماء باقيا، فالأولى إنّه إذا رفع به الحدث مع عدم ملاقاة النجاسة جاز استعماله، و ليس في محلّه لضعف ما ذكره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ما ادّعاه من العموم، إذ ليست الرواية إلاّ في معرض بيان أنّ غلبة الماء على ريح الجيفة توجب عصمته عن الانفعال بها، فجاز التوضّي به لأجل ذلك، فكانت ساكتة عن الجهات الاخر الّتي منها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يقول أحد بجواز استعماله ثانيا بعد ما استعمل في إزالة الخبث، استنادا إلى تلك الرواية، مع جريان ما قرّره من العموم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الأولويّة بعد البناء على حمل الرواية على الكرّ، دفعا للمنافاة بينها و بين روايات الانفعال بالملاقاة، فإنّ الكرّيّة إذا كانت عاصمة له عن ظهور أثر النجاسة فيه فالأولى كونها عاصمة له عن ظهور أثر الحدث فيه، و أمّا مع القلّة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عاصم له عن الانفعال، و معه كيف يقاس عليه غيره في نقيض هذا الحكم و يدّعي عليه الأولويّة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الاستناد إلى الأولويّة بالقياس إلى رافع الحدث الأكبر لو قيل فيه </w:t>
      </w:r>
    </w:p>
    <w:p>
      <w:pPr>
        <w:pStyle w:val="BookText"/>
        <w:rPr/>
      </w:pP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من فحول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يكون ذلك دليلا آخر مضافا إلى ما قرّرناه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في المقنعة</w:t>
      </w:r>
      <w:r>
        <w:rPr>
          <w:rStyle w:val="FootnoteAnchor"/>
          <w:rtl w:val="true"/>
        </w:rPr>
        <w:footnoteReference w:id="1354"/>
      </w:r>
      <w:r>
        <w:rPr>
          <w:rFonts w:ascii="IRNazanin" w:hAnsi="IRNazanin" w:eastAsia="IRNazanin"/>
          <w:color w:val="111111"/>
          <w:sz w:val="28"/>
          <w:sz w:val="28"/>
          <w:szCs w:val="28"/>
          <w:rtl w:val="true"/>
          <w:lang w:bidi="fa-IR"/>
        </w:rPr>
        <w:t>القول باستحباب التنزّه منه، بل عنه</w:t>
      </w:r>
      <w:r>
        <w:rPr>
          <w:rStyle w:val="FootnoteAnchor"/>
          <w:rtl w:val="true"/>
        </w:rPr>
        <w:footnoteReference w:id="1355"/>
      </w:r>
      <w:r>
        <w:rPr>
          <w:rFonts w:ascii="Amiri" w:hAnsi="Amiri" w:eastAsia="Amiri" w:cs="Amiri"/>
          <w:color w:val="111111"/>
          <w:sz w:val="28"/>
          <w:sz w:val="28"/>
          <w:szCs w:val="28"/>
          <w:rtl w:val="true"/>
          <w:lang w:bidi="ar-SA"/>
        </w:rPr>
        <w:t>ذلك أيضا في ماء الاغسال المستحبّة، بل الغسل المستحبّ كغسل اليد للأكل، و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يعزى إلى شيخنا البهائي في الحبل المتين الاستدلال بما في الكافي عن محمّد بن عليّ بن جعفر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فيه فأصابه الجذام، فلا يلومنّ إلاّ نفسه</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الغسل في هذا يشمل الغسل الواجب و المندوب و في كلام المفيد في المقنعة تصريح بأفضليّة اجتناب الغسل و الوضوء بما استعمل في طهارة مندوبة، و لعلّ مستنده هذا الحديث، و أكثرهم لم يتنبّهوا له</w:t>
      </w:r>
      <w:r>
        <w:rPr>
          <w:rFonts w:eastAsia="Amiri" w:cs="Amiri" w:ascii="Amiri" w:hAnsi="Amiri"/>
          <w:color w:val="111111"/>
          <w:sz w:val="28"/>
          <w:szCs w:val="28"/>
          <w:rtl w:val="true"/>
          <w:lang w:bidi="ar-SA"/>
        </w:rPr>
        <w:t>»</w:t>
      </w:r>
      <w:r>
        <w:rPr>
          <w:rStyle w:val="FootnoteAnchor"/>
          <w:rtl w:val="true"/>
        </w:rPr>
        <w:footnoteReference w:id="13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نقله رحمه اللّه خبر آخر عثر عليه مخصوص بما استعمل في الوضوء، و إلاّ فلو كان إشارة إلى الخبر المتقدّم في ذيل مسألة غسالة الحمّام فالاستناد إليه في هذا المقام ليس من شأن العامي فضلا عنه و من هو دونه، لاختصاص هذا الخبر على ما هو صريح صدره و ذيله بالماء الّذي يغتسل فيه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أورد عليه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عجز الرواية المذكورة يدلّ على أنّ مورد الخبر المشار إليه إنّما هو ماء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أحد العيوب المترتّبة على تقطيع الحديث، و فصل بعضها عن بعض، فإنّ بذلك ربّما تخفى القرائن المفيدة للحكم كما هنا</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انتهى، كما أنّه كذلك لو كان إشارة إلى ما عن الكافي، عن محمّد بن عليّ بن جعفر،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الحمّام خرقة فحكّ بها جسده فأصابه البرص، فلا يلومنّ إلاّ نفسه، و من اغتسل من الماء الّذي قد اغتسل فيه، فأصابه الجذام فلا يلومنّ إلاّ نفسه</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نعم لو قيل بجريان قاعدة التسامح و أدلّة السنن في مثل فتوى فقيه واحد كان استحباب الاجتناب متّجها من غير إشكال، كما لا يخفى</w:t>
      </w:r>
      <w:r>
        <w:rPr>
          <w:rFonts w:eastAsia="Amiri" w:cs="Amiri" w:ascii="Amiri" w:hAnsi="Amiri"/>
          <w:color w:val="111111"/>
          <w:sz w:val="28"/>
          <w:szCs w:val="28"/>
          <w:rtl w:val="true"/>
          <w:lang w:bidi="ar-SA"/>
        </w:rPr>
        <w:t xml:space="preserve">. </w:t>
      </w:r>
      <w:bookmarkStart w:id="393" w:name="pg16144_233307"/>
    </w:p>
    <w:p>
      <w:pPr>
        <w:pStyle w:val="Heading5"/>
        <w:numPr>
          <w:ilvl w:val="4"/>
          <w:numId w:val="1"/>
        </w:numPr>
        <w:rPr/>
      </w:pPr>
      <w:bookmarkStart w:id="394" w:name="__RefHeading___Toc1804646_1280447820"/>
      <w:bookmarkStart w:id="395" w:name="_Toc154"/>
      <w:bookmarkEnd w:id="393"/>
      <w:bookmarkEnd w:id="394"/>
      <w:r>
        <w:rPr>
          <w:rtl w:val="true"/>
        </w:rPr>
        <w:t>و الرابع في الماء المستعمل في رفع الحدث الأكبر،</w:t>
      </w:r>
      <w:bookmarkEnd w:id="395"/>
    </w:p>
    <w:p>
      <w:pPr>
        <w:pStyle w:val="Heading6"/>
        <w:numPr>
          <w:ilvl w:val="5"/>
          <w:numId w:val="1"/>
        </w:numPr>
        <w:rPr/>
      </w:pPr>
      <w:bookmarkStart w:id="396" w:name="__RefHeading___Toc1804648_1280447820"/>
      <w:bookmarkStart w:id="397" w:name="_Toc15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 قد اختلفت كلمة جماعة من المتأخّرين في تفسيره على ما هو محلّ نزاعهم الآتي، 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المنفصل عن أعضاء الطهارة</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و إنّما عبّر بالطهارة ليشمل المستعمل في الوضوء أيضا، و اعتبار القلّة لأنّ الكثير إذا حصلت الطهارة به لا يدخل في مسمّى المستعمل عندهم، و ليس من محلّ كلامهم على ما يظهر من تتبّع تضاعيف عباراتهم، و اعتبار الانفصال يقضي بأنّه ما لم ينفصل عن العضو لا يسمّى مستعملا، و ستعرف أنّ ذلك ليس بمحلّ وفاق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الّذي جمع من المتقاطر من الأعضاء</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و ذلك تقضي بأنّ النزاع فيما يحصل به الغسل الترتيبي دون الارتماسي، و ستعرف إن شاء اللّه أنّه غير 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يفهم من كلامه أنّ النزاع في الماء المنفصل عن جميع البدن أو أكثره</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القدر المعتدّ به الّذي يكون زائدا على القطرة و الرشحة، إمّا بأن ينفصل مرّة عن البدن أو لا، بل اجتمع ممّا انفصل عنه مرارا</w:t>
      </w:r>
      <w:r>
        <w:rPr>
          <w:rFonts w:eastAsia="Amiri" w:cs="Amiri" w:ascii="Amiri" w:hAnsi="Amiri"/>
          <w:color w:val="111111"/>
          <w:sz w:val="28"/>
          <w:szCs w:val="28"/>
          <w:rtl w:val="true"/>
          <w:lang w:bidi="ar-SA"/>
        </w:rPr>
        <w:t>»</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 القدر المعتدّ به ليعمّ ما ينفصل عن جميع البدن أو أكثره، أو ما دون الأكثر ممّا زاد على القطرة و الرشحة، و قد نبّه بذلك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القطرة و نحوها عن موضع النزاع، كما صرّح به أيضا فيما تقدّم على 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كلام صاحب المعالم فيما عرفت منه، الظاهر في الاقتصار على القسمين الأوّلين، القاضي بخروج القسم الثالث عن النزاع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على الأمر الأوّل بكلام الصدوق المشعر بذلك،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منعه التطهير بغسالة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اغتسل الجنب فنزا الماء من الأرض فوقع في الإناء، أو سال </w:t>
      </w:r>
    </w:p>
    <w:p>
      <w:pPr>
        <w:pStyle w:val="BookText"/>
        <w:rPr/>
      </w:pPr>
      <w:r>
        <w:rPr>
          <w:rFonts w:ascii="Amiri" w:hAnsi="Amiri" w:eastAsia="Amiri" w:cs="Amiri"/>
          <w:color w:val="111111"/>
          <w:sz w:val="28"/>
          <w:sz w:val="28"/>
          <w:szCs w:val="28"/>
          <w:rtl w:val="true"/>
          <w:lang w:bidi="ar-SA"/>
        </w:rPr>
        <w:t>من بدنه في الماء، فلا بأس</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هذا يشعر بما ذكرنا، و لا يخفى أنّه لو كان النزاع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مثل القطرة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الروايات المتقدّمة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أقامه من الأخبار دليلا على طهارة هذا الماء، و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روايتي الفضل، و رواية شهاب، و رواية سماعة، و رواية عمر بن يزيد، دالّة على ما اخترناه من جواز رفع الحدث</w:t>
      </w:r>
      <w:r>
        <w:rPr>
          <w:rStyle w:val="FootnoteAnchor"/>
          <w:rtl w:val="true"/>
        </w:rPr>
        <w:footnoteReference w:id="136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فيه من اعتماده في تشخيص محلّ النزاع على مجرّد الإشعار، إن أراد به ما دون الدلالة المعتبرة، و إلاّ فأصل الإشعار ممنوع، إذ لا منافاة بين اعتقاد الصدوق بكون مثل القطرة من محلّ النزاع و بين ما ذكره في الفرع المتقدّم، لجواز ابتناء ذلك الفرع على حصول الاستهلاك، و خروج القطرة الواقعة في الإناء عن عنوان المستعمل بذلك الاستهلاك، مع كونها في حدّ ذاتها من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يظهر الفائدة فيما لو كانت القطرة ممتازة غير مستهلكة في شيء، فحينئذ لو أخذت من محلّها و جعلت جزءا من ماء الغسل، بأن يغسل بها جزء من أعضاء الطهارة، كان منع المانعين عن التطهير بغسالة الجنب مثلا شاملا له، على تقدير 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ضعف ما ذكره بالنسبة إلى الروايات من دلالتها على مختاره، فإنّ الدلالة على جواز التطهير فرع المنافاة بين القول بعدم جوازه و مفاد تلك الروايات، و قد بيّنّا انتفاء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أيضا يظهر وهن ما احتجّ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زعمه من خروج مثل القطرة عن محلّ 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الشيخ رحمه اللّه مع كونه من المانعين روى أكثر هذه الروايات في التهذيب، و لم يتعرّض لردّ أو تأويل و إيراد معارض، فهذا أيضا يشعر بعدم الخلاف فيه</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فإنّ تجشّم هذه الامور إنّما هو بعد المنافاة، و هذه الروايات قد وردت في مورد خرج عن مسمّى المستعمل بالاستهلاك، و إنّما يقول الشيخ بالمنع في المستعمل ما دام هذا الوصف لا مطلقا، فالموضوع متعدّد و معه لا يعقل التنافي ليوجب تجشّم أحد الامور المذكورة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احتجّ على 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 دليل على ذلك، إذ عباراتهم مطلقة في </w:t>
      </w:r>
    </w:p>
    <w:p>
      <w:pPr>
        <w:pStyle w:val="BookText"/>
        <w:rPr/>
      </w:pPr>
      <w:r>
        <w:rPr>
          <w:rFonts w:ascii="Amiri" w:hAnsi="Amiri" w:eastAsia="Amiri" w:cs="Amiri"/>
          <w:color w:val="111111"/>
          <w:sz w:val="28"/>
          <w:sz w:val="28"/>
          <w:szCs w:val="28"/>
          <w:rtl w:val="true"/>
          <w:lang w:bidi="ar-SA"/>
        </w:rPr>
        <w:t xml:space="preserve">المنع عن الماء الّذي اغتسل به، غايته أنّه يفهم من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المنع من القطرة و الرشحة، و هذا لا يستلزم كون النزاع فيما ذكره، بل الظاهر ما ذكرناه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ممّا مرّ، و من أنّه قائل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ذكر هذا الكلام،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ذكره العلاّمة في النهاية من التفسير المتقدّم يؤيّده ما ذكرناه</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و هو أيضا كما ترى فإنّ كلام العلاّمة ظاهر في اعتبار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الانفصال عن جميع البدن، لمكان تعبيره بالأعضاء الظاهر في العموم،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الجمع بين ما انفصل عن كلّ واحد من الأعضاء، و بذلك يفارق ما عرفت عن المدارك عنه، فإنّه ظاهر في اعتبار القطرة أيضا، لأنّ كلّ واحد من القطرات المنفصلة عن الأعضاء ماء قليل منفصل عن عضو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التفاسير الأربع المذكورة بينها شيء هو ما به اشتراكها، و شيء آخر هو ما به امتيازها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اعتبار الانفصال عن العضو، 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على خروج فضل الماء الّذي يتطهّر به عن المتنازع فيه، و هو كذلك و إن كان الأوّل منظورا فيه، لما أشرنا إليه و ستعرف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في المدارك ظاهر في كون القطرة بانفرادها أيضا من محلّ النزاع بخلاف الثلاث الباقية، غير أنّها أيضا تمتاز بأنّ ما في النهاية ظاهر في اعتبار الانفصال عن جميع البدن بخلاف الباقيين، فإنّ ما عن صاحب المعالم ظاهر في اعتبار أحد الأمرين من الانفصال عن جميع البدن و الانفصال من أكثره، و ما في شرح الدروس ظاهر بل صريح في اعتبار أحد الامور الثلاث من الانفصال عن جميع البدن أو أكثره أو ما دون الأكثر ممّا زاد على القطرة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المدارك أعمّ من الجميع لظهوره في اعتبار أحد الامور الأربع، الّتي منها القطرة المنفصلة، و هو الأظهر بملاحظة بعض أدلّة الطرفين، فإنّ المجوّزين للتطهير بذلك يستدلّون بأنّه ماء مطلق و لم يسلبه الاستعمال إطلاق الاسم، فيجب أن يكون مجزيا في التطهير المعلّق على الماء المطلق، و هو كما ترى متناول للقطرة أيضا، إذا </w:t>
      </w:r>
      <w:bookmarkStart w:id="398" w:name="pg16144_233310"/>
    </w:p>
    <w:p>
      <w:pPr>
        <w:pStyle w:val="BookText"/>
        <w:rPr/>
      </w:pPr>
      <w:bookmarkEnd w:id="398"/>
      <w:r>
        <w:rPr>
          <w:rFonts w:ascii="Amiri" w:hAnsi="Amiri" w:eastAsia="Amiri" w:cs="Amiri"/>
          <w:color w:val="111111"/>
          <w:sz w:val="28"/>
          <w:sz w:val="28"/>
          <w:szCs w:val="28"/>
          <w:rtl w:val="true"/>
          <w:lang w:bidi="ar-SA"/>
        </w:rPr>
        <w:t>حصل بها غسل جزء من العضو، و المانعون يستدلّون بأنّ استعمال هذا الماء في التطهير ممّا لا يحصل معه تيقّن البراءة، فيجب أن لا يكون مجزيا، و هو أيضا شامل للقطرة الّتي يحصل بها غسل الجزء من العضو</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804650_1280447820"/>
      <w:bookmarkStart w:id="400" w:name="_Toc156"/>
      <w:bookmarkEnd w:id="399"/>
      <w:r>
        <w:rPr>
          <w:rtl w:val="true"/>
        </w:rPr>
        <w:t>و كيف كان فالكلام في هذا الماء تارة في طهارته، و اخرى في طهوريّته</w:t>
      </w:r>
      <w:r>
        <w:rPr>
          <w:rtl w:val="true"/>
        </w:rPr>
        <w:t>.</w:t>
      </w:r>
      <w:bookmarkEnd w:id="400"/>
    </w:p>
    <w:p>
      <w:pPr>
        <w:pStyle w:val="Heading6"/>
        <w:numPr>
          <w:ilvl w:val="5"/>
          <w:numId w:val="1"/>
        </w:numPr>
        <w:rPr/>
      </w:pPr>
      <w:bookmarkStart w:id="401" w:name="__RefHeading___Toc1804652_1280447820"/>
      <w:bookmarkStart w:id="402" w:name="_Toc157"/>
      <w:bookmarkEnd w:id="401"/>
      <w:r>
        <w:rPr>
          <w:rtl w:val="true"/>
        </w:rPr>
        <w:t>أمّا الأوّل</w:t>
      </w:r>
      <w:r>
        <w:rPr>
          <w:rtl w:val="true"/>
        </w:rPr>
        <w:t>: [</w:t>
      </w:r>
      <w:r>
        <w:rPr>
          <w:rtl w:val="true"/>
        </w:rPr>
        <w:t>أي في طهارته</w:t>
      </w:r>
      <w:r>
        <w:rPr>
          <w:rtl w:val="true"/>
        </w:rPr>
        <w:t>]</w:t>
      </w:r>
      <w:bookmarkEnd w:id="402"/>
    </w:p>
    <w:p>
      <w:pPr>
        <w:pStyle w:val="BookText"/>
        <w:rPr/>
      </w:pPr>
      <w:r>
        <w:rPr>
          <w:rFonts w:ascii="Amiri" w:hAnsi="Amiri" w:eastAsia="Amiri" w:cs="Amiri"/>
          <w:color w:val="111111"/>
          <w:sz w:val="28"/>
          <w:sz w:val="28"/>
          <w:szCs w:val="28"/>
          <w:rtl w:val="true"/>
          <w:lang w:bidi="ar-SA"/>
        </w:rPr>
        <w:t>فهو مفروغ عنه بين أصحابنا، إذ لا خلاف لأحد في الطهارة، و نقل عليه الإجماع في حدّ الاستفاضة، نعم أسند الاختلاف فيه إلى العامّة في المنتهى</w:t>
      </w:r>
      <w:r>
        <w:rPr>
          <w:rStyle w:val="FootnoteAnchor"/>
          <w:rtl w:val="true"/>
        </w:rPr>
        <w:footnoteReference w:id="1369"/>
      </w:r>
      <w:r>
        <w:rPr>
          <w:rFonts w:ascii="Amiri" w:hAnsi="Amiri" w:eastAsia="Amiri" w:cs="Amiri"/>
          <w:color w:val="111111"/>
          <w:sz w:val="28"/>
          <w:sz w:val="28"/>
          <w:szCs w:val="28"/>
          <w:rtl w:val="true"/>
          <w:lang w:bidi="ar-SA"/>
        </w:rPr>
        <w:t xml:space="preserve">على حذو اختلافهم في ماء الوضوء، و يكفينا في إثبات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القاعدة، فإنّ سبب الانفعال هو الملاقاة للنجاسة و هو غير متحقّق هنا، و كون مجرّد الاستعمال رافعا للطهارة الأصليّة ممّا لم يقم عليه دلالة معتبرة، و إلى ذلك أشار العلاّمة في المنتهى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التنجيس حكم شرعي، فيتوقّف ثبوته على الشرع، و ليس في الشرع دلالة عليه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و أضاف إليه وجها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بالتنجيس مع القول بطهارة المستعمل في الوضوء ممّا لا يجتمعان إجماعا، و الثاني ثابت إجماعا، فينتفي الأوّل، و إلاّ لزم خرق الإجماع</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روايات مستفيضة قريبة من التواتر، بل متواترة هي بين صحاح و موثّقات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الجنب يغتسل فينتضح الماء من الأرض 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هذا ممّا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اختلاط ماء المطر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الجنب يغتسل فيقطر الماء عن جسده في الإناء، و ينتضح الماء من الأرض، فيصير في الإناء، أنّه لا بأس بهذا كلّه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الساباطي، قال</w:t>
      </w:r>
      <w:r>
        <w:rPr>
          <w:rFonts w:eastAsia="Amiri" w:cs="Amiri" w:ascii="Amiri" w:hAnsi="Amiri"/>
          <w:color w:val="111111"/>
          <w:sz w:val="28"/>
          <w:szCs w:val="28"/>
          <w:rtl w:val="true"/>
          <w:lang w:bidi="ar-SA"/>
        </w:rPr>
        <w:t xml:space="preserve">: </w:t>
      </w:r>
      <w:bookmarkStart w:id="403" w:name="pg16144_233311"/>
    </w:p>
    <w:p>
      <w:pPr>
        <w:pStyle w:val="BookText"/>
        <w:rPr/>
      </w:pPr>
      <w:bookmarkEnd w:id="403"/>
      <w:r>
        <w:rPr>
          <w:rFonts w:ascii="Amiri" w:hAnsi="Amiri" w:eastAsia="Amiri" w:cs="Amiri"/>
          <w:color w:val="111111"/>
          <w:sz w:val="28"/>
          <w:sz w:val="28"/>
          <w:szCs w:val="28"/>
          <w:rtl w:val="true"/>
          <w:lang w:bidi="ar-SA"/>
        </w:rPr>
        <w:t>سألت أبا عبد اللّه عليه السّلام عن الرجل يغتسل من الجنابة، و ثوبه قريب منه، فيصيب الثوب من الماء الّذي يغتسل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في الباب المذكور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من الجنابة، فيقع الماء على الصفاء، فينزو، فيقع على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غسالة الحمّام، من مرسلة أبي يحيى الواسطي، عن بعض أصحابنا،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ذكره في بحث القليل، في جملة الأخبار المستدلّ بها على عدم الانفعال، من رواية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أغتسل في مغتسل يبال فيه، و يغتسل من الجنابة، فيقع في الإناء ماء ينزو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في باب حكم الجنابة، عن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أصاب الرجل جنابة، فأراد الغسل فليفرغ على كفّيه، فليغسلهما دون المرفق، ثمّ يدخل يده في إنائه، ثمّ يغسل فرجه،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انتضح من مائه في إنائه بعد ما صنع ما وصفت فلا بأس</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هي الّتي توهّم منها المحقّق الخوانساري الدلالة على عدم المنع عن التطهير بماء الغسل، على فرض كون القطرة أيضا من محلّ النزاع، و قد عرفت منع هذه الدلالة، فإنّها غير دالّة على حكم التطهير إثباتا و نفيا كما لا يخفى</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804654_1280447820"/>
      <w:bookmarkStart w:id="405" w:name="_Toc158"/>
      <w:bookmarkEnd w:id="404"/>
      <w:r>
        <w:rPr>
          <w:rtl w:val="true"/>
        </w:rPr>
        <w:t>و أمّا الثاني</w:t>
      </w:r>
      <w:r>
        <w:rPr>
          <w:rtl w:val="true"/>
        </w:rPr>
        <w:t>: [</w:t>
      </w:r>
      <w:r>
        <w:rPr>
          <w:rtl w:val="true"/>
        </w:rPr>
        <w:t>أي في طهوريته</w:t>
      </w:r>
      <w:r>
        <w:rPr>
          <w:rtl w:val="true"/>
        </w:rPr>
        <w:t>]</w:t>
      </w:r>
      <w:bookmarkEnd w:id="405"/>
    </w:p>
    <w:p>
      <w:pPr>
        <w:pStyle w:val="Heading6"/>
        <w:numPr>
          <w:ilvl w:val="5"/>
          <w:numId w:val="1"/>
        </w:numPr>
        <w:rPr/>
      </w:pPr>
      <w:bookmarkStart w:id="406" w:name="__RefHeading___Toc1804656_1280447820"/>
      <w:bookmarkStart w:id="407" w:name="_Toc159"/>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ففيه خلاف بين أصحابنا على قولين، بل أقوال إن صحّ عدّ التوقّف قولا في المسألة</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804658_1280447820"/>
      <w:bookmarkStart w:id="409" w:name="_Toc160"/>
      <w:bookmarkEnd w:id="408"/>
      <w:r>
        <w:rPr>
          <w:rtl w:val="true"/>
        </w:rPr>
        <w:t>أحدهما</w:t>
      </w:r>
      <w:r>
        <w:rPr>
          <w:rtl w:val="true"/>
        </w:rPr>
        <w:t xml:space="preserve">: </w:t>
      </w:r>
      <w:r>
        <w:rPr>
          <w:rtl w:val="true"/>
        </w:rPr>
        <w:t>جواز التطهير به و هو الأقوى،</w:t>
      </w:r>
      <w:bookmarkEnd w:id="40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للمنتهى</w:t>
      </w:r>
      <w:r>
        <w:rPr>
          <w:rStyle w:val="FootnoteAnchor"/>
          <w:rtl w:val="true"/>
        </w:rPr>
        <w:footnoteReference w:id="1380"/>
      </w:r>
      <w:r>
        <w:rPr>
          <w:rFonts w:ascii="IRNazanin" w:hAnsi="IRNazanin" w:eastAsia="IRNazanin"/>
          <w:color w:val="111111"/>
          <w:sz w:val="28"/>
          <w:sz w:val="28"/>
          <w:szCs w:val="28"/>
          <w:rtl w:val="true"/>
          <w:lang w:bidi="fa-IR"/>
        </w:rPr>
        <w:t>و المختلف</w:t>
      </w:r>
      <w:r>
        <w:rPr>
          <w:rStyle w:val="FootnoteAnchor"/>
          <w:rtl w:val="true"/>
        </w:rPr>
        <w:footnoteReference w:id="1381"/>
      </w:r>
      <w:r>
        <w:rPr>
          <w:rFonts w:ascii="IRNazanin" w:hAnsi="IRNazanin" w:eastAsia="IRNazanin"/>
          <w:color w:val="111111"/>
          <w:sz w:val="28"/>
          <w:sz w:val="28"/>
          <w:szCs w:val="28"/>
          <w:rtl w:val="true"/>
          <w:lang w:bidi="fa-IR"/>
        </w:rPr>
        <w:t>، و الدروس</w:t>
      </w:r>
      <w:r>
        <w:rPr>
          <w:rStyle w:val="FootnoteAnchor"/>
          <w:rtl w:val="true"/>
        </w:rPr>
        <w:footnoteReference w:id="1382"/>
      </w:r>
      <w:r>
        <w:rPr>
          <w:rFonts w:ascii="Amiri" w:hAnsi="Amiri" w:eastAsia="Amiri" w:cs="Amiri"/>
          <w:color w:val="111111"/>
          <w:sz w:val="28"/>
          <w:sz w:val="28"/>
          <w:szCs w:val="28"/>
          <w:rtl w:val="true"/>
          <w:lang w:bidi="ar-SA"/>
        </w:rPr>
        <w:t>، و المدارك</w:t>
      </w:r>
      <w:r>
        <w:rPr>
          <w:rStyle w:val="FootnoteAnchor"/>
          <w:rtl w:val="true"/>
        </w:rPr>
        <w:footnoteReference w:id="1383"/>
      </w:r>
      <w:r>
        <w:rPr>
          <w:rFonts w:ascii="IRNazanin" w:hAnsi="IRNazanin" w:eastAsia="IRNazanin"/>
          <w:color w:val="111111"/>
          <w:sz w:val="28"/>
          <w:sz w:val="28"/>
          <w:szCs w:val="28"/>
          <w:rtl w:val="true"/>
          <w:lang w:bidi="fa-IR"/>
        </w:rPr>
        <w:t>و الحدائق</w:t>
      </w:r>
      <w:r>
        <w:rPr>
          <w:rStyle w:val="FootnoteAnchor"/>
          <w:rtl w:val="true"/>
        </w:rPr>
        <w:footnoteReference w:id="1384"/>
      </w:r>
      <w:r>
        <w:rPr>
          <w:rFonts w:ascii="Amiri" w:hAnsi="Amiri" w:eastAsia="Amiri" w:cs="Amiri"/>
          <w:color w:val="111111"/>
          <w:sz w:val="28"/>
          <w:sz w:val="28"/>
          <w:szCs w:val="28"/>
          <w:rtl w:val="true"/>
          <w:lang w:bidi="ar-SA"/>
        </w:rPr>
        <w:t>، و الرياض</w:t>
      </w:r>
      <w:r>
        <w:rPr>
          <w:rStyle w:val="FootnoteAnchor"/>
          <w:rtl w:val="true"/>
        </w:rPr>
        <w:footnoteReference w:id="1385"/>
      </w:r>
      <w:r>
        <w:rPr>
          <w:rFonts w:ascii="Amiri" w:hAnsi="Amiri" w:eastAsia="Amiri" w:cs="Amiri"/>
          <w:color w:val="111111"/>
          <w:sz w:val="28"/>
          <w:sz w:val="28"/>
          <w:szCs w:val="28"/>
          <w:rtl w:val="true"/>
          <w:lang w:bidi="ar-SA"/>
        </w:rPr>
        <w:t xml:space="preserve">، و المحكيّ عن </w:t>
      </w:r>
      <w:bookmarkStart w:id="410" w:name="pg16144_233312"/>
    </w:p>
    <w:p>
      <w:pPr>
        <w:pStyle w:val="BookText"/>
        <w:rPr/>
      </w:pPr>
      <w:bookmarkEnd w:id="410"/>
      <w:r>
        <w:rPr>
          <w:rFonts w:ascii="Amiri" w:hAnsi="Amiri" w:eastAsia="Amiri" w:cs="Amiri"/>
          <w:color w:val="111111"/>
          <w:sz w:val="28"/>
          <w:sz w:val="28"/>
          <w:szCs w:val="28"/>
          <w:rtl w:val="true"/>
          <w:lang w:bidi="ar-SA"/>
        </w:rPr>
        <w:t>الغنية</w:t>
      </w:r>
      <w:r>
        <w:rPr>
          <w:rStyle w:val="FootnoteAnchor"/>
          <w:rtl w:val="true"/>
        </w:rPr>
        <w:footnoteReference w:id="1386"/>
      </w:r>
      <w:r>
        <w:rPr>
          <w:rFonts w:ascii="IRNazanin" w:hAnsi="IRNazanin" w:eastAsia="IRNazanin"/>
          <w:color w:val="111111"/>
          <w:sz w:val="28"/>
          <w:sz w:val="28"/>
          <w:szCs w:val="28"/>
          <w:rtl w:val="true"/>
          <w:lang w:bidi="fa-IR"/>
        </w:rPr>
        <w:t>، و القواعد</w:t>
      </w:r>
      <w:r>
        <w:rPr>
          <w:rStyle w:val="FootnoteAnchor"/>
          <w:rtl w:val="true"/>
        </w:rPr>
        <w:footnoteReference w:id="1387"/>
      </w:r>
      <w:r>
        <w:rPr>
          <w:rFonts w:ascii="IRNazanin" w:hAnsi="IRNazanin" w:eastAsia="IRNazanin"/>
          <w:color w:val="111111"/>
          <w:sz w:val="28"/>
          <w:sz w:val="28"/>
          <w:szCs w:val="28"/>
          <w:rtl w:val="true"/>
          <w:lang w:bidi="fa-IR"/>
        </w:rPr>
        <w:t>، و الإرشاد</w:t>
      </w:r>
      <w:r>
        <w:rPr>
          <w:rStyle w:val="FootnoteAnchor"/>
          <w:rtl w:val="true"/>
        </w:rPr>
        <w:footnoteReference w:id="1388"/>
      </w:r>
      <w:r>
        <w:rPr>
          <w:rFonts w:ascii="Amiri" w:hAnsi="Amiri" w:eastAsia="Amiri" w:cs="Amiri"/>
          <w:color w:val="111111"/>
          <w:sz w:val="28"/>
          <w:sz w:val="28"/>
          <w:szCs w:val="28"/>
          <w:rtl w:val="true"/>
          <w:lang w:bidi="ar-SA"/>
        </w:rPr>
        <w:t>، و الذكرى</w:t>
      </w:r>
      <w:r>
        <w:rPr>
          <w:rStyle w:val="FootnoteAnchor"/>
          <w:rtl w:val="true"/>
        </w:rPr>
        <w:footnoteReference w:id="1389"/>
      </w:r>
      <w:r>
        <w:rPr>
          <w:rFonts w:ascii="Amiri" w:hAnsi="Amiri" w:eastAsia="Amiri" w:cs="Amiri"/>
          <w:color w:val="111111"/>
          <w:sz w:val="28"/>
          <w:sz w:val="28"/>
          <w:szCs w:val="28"/>
          <w:rtl w:val="true"/>
          <w:lang w:bidi="ar-SA"/>
        </w:rPr>
        <w:t>، و التنقيح</w:t>
      </w:r>
      <w:r>
        <w:rPr>
          <w:rStyle w:val="FootnoteAnchor"/>
          <w:rtl w:val="true"/>
        </w:rPr>
        <w:footnoteReference w:id="1390"/>
      </w:r>
      <w:r>
        <w:rPr>
          <w:rFonts w:ascii="IRNazanin" w:hAnsi="IRNazanin" w:eastAsia="IRNazanin"/>
          <w:color w:val="111111"/>
          <w:sz w:val="28"/>
          <w:sz w:val="28"/>
          <w:szCs w:val="28"/>
          <w:rtl w:val="true"/>
          <w:lang w:bidi="fa-IR"/>
        </w:rPr>
        <w:t>و الروض</w:t>
      </w:r>
      <w:r>
        <w:rPr>
          <w:rStyle w:val="FootnoteAnchor"/>
          <w:rtl w:val="true"/>
        </w:rPr>
        <w:footnoteReference w:id="1391"/>
      </w:r>
      <w:r>
        <w:rPr>
          <w:rFonts w:ascii="Amiri" w:hAnsi="Amiri" w:eastAsia="Amiri" w:cs="Amiri"/>
          <w:color w:val="111111"/>
          <w:sz w:val="28"/>
          <w:sz w:val="28"/>
          <w:szCs w:val="28"/>
          <w:rtl w:val="true"/>
          <w:lang w:bidi="ar-SA"/>
        </w:rPr>
        <w:t>، و الجعفريّة</w:t>
      </w:r>
      <w:r>
        <w:rPr>
          <w:rStyle w:val="FootnoteAnchor"/>
          <w:rtl w:val="true"/>
        </w:rPr>
        <w:footnoteReference w:id="1392"/>
      </w:r>
      <w:r>
        <w:rPr>
          <w:rFonts w:ascii="IRNazanin" w:hAnsi="IRNazanin" w:eastAsia="IRNazanin"/>
          <w:color w:val="111111"/>
          <w:sz w:val="28"/>
          <w:sz w:val="28"/>
          <w:szCs w:val="28"/>
          <w:rtl w:val="true"/>
          <w:lang w:bidi="fa-IR"/>
        </w:rPr>
        <w:t>، و جامع المقاصد</w:t>
      </w:r>
      <w:r>
        <w:rPr>
          <w:rStyle w:val="FootnoteAnchor"/>
          <w:rtl w:val="true"/>
        </w:rPr>
        <w:footnoteReference w:id="1393"/>
      </w:r>
      <w:r>
        <w:rPr>
          <w:rFonts w:ascii="Amiri" w:hAnsi="Amiri" w:eastAsia="Amiri" w:cs="Amiri"/>
          <w:color w:val="111111"/>
          <w:sz w:val="28"/>
          <w:sz w:val="28"/>
          <w:szCs w:val="28"/>
          <w:rtl w:val="true"/>
          <w:lang w:bidi="ar-SA"/>
        </w:rPr>
        <w:t>، و مجمع الفائدة</w:t>
      </w:r>
      <w:r>
        <w:rPr>
          <w:rStyle w:val="FootnoteAnchor"/>
          <w:rtl w:val="true"/>
        </w:rPr>
        <w:footnoteReference w:id="1394"/>
      </w:r>
      <w:r>
        <w:rPr>
          <w:rFonts w:ascii="Amiri" w:hAnsi="Amiri" w:eastAsia="Amiri" w:cs="Amiri"/>
          <w:color w:val="111111"/>
          <w:sz w:val="28"/>
          <w:sz w:val="28"/>
          <w:szCs w:val="28"/>
          <w:rtl w:val="true"/>
          <w:lang w:bidi="ar-SA"/>
        </w:rPr>
        <w:t>، و نسب إلى محكيّ جمل العلم</w:t>
      </w:r>
      <w:r>
        <w:rPr>
          <w:rStyle w:val="FootnoteAnchor"/>
          <w:rtl w:val="true"/>
        </w:rPr>
        <w:footnoteReference w:id="1395"/>
      </w:r>
      <w:r>
        <w:rPr>
          <w:rFonts w:ascii="Amiri" w:hAnsi="Amiri" w:eastAsia="Amiri" w:cs="Amiri"/>
          <w:color w:val="111111"/>
          <w:sz w:val="28"/>
          <w:sz w:val="28"/>
          <w:szCs w:val="28"/>
          <w:rtl w:val="true"/>
          <w:lang w:bidi="ar-SA"/>
        </w:rPr>
        <w:t>، و الناصريّات</w:t>
      </w:r>
      <w:r>
        <w:rPr>
          <w:rStyle w:val="FootnoteAnchor"/>
          <w:rtl w:val="true"/>
        </w:rPr>
        <w:footnoteReference w:id="1396"/>
      </w:r>
      <w:r>
        <w:rPr>
          <w:rFonts w:ascii="IRNazanin" w:hAnsi="IRNazanin" w:eastAsia="IRNazanin"/>
          <w:color w:val="111111"/>
          <w:sz w:val="28"/>
          <w:sz w:val="28"/>
          <w:szCs w:val="28"/>
          <w:rtl w:val="true"/>
          <w:lang w:bidi="fa-IR"/>
        </w:rPr>
        <w:t>، و المراسم</w:t>
      </w:r>
      <w:r>
        <w:rPr>
          <w:rStyle w:val="FootnoteAnchor"/>
          <w:rtl w:val="true"/>
        </w:rPr>
        <w:footnoteReference w:id="1397"/>
      </w:r>
      <w:r>
        <w:rPr>
          <w:rFonts w:ascii="IRNazanin" w:hAnsi="IRNazanin" w:eastAsia="IRNazanin"/>
          <w:color w:val="111111"/>
          <w:sz w:val="28"/>
          <w:sz w:val="28"/>
          <w:szCs w:val="28"/>
          <w:rtl w:val="true"/>
          <w:lang w:bidi="fa-IR"/>
        </w:rPr>
        <w:t>، و السرائر</w:t>
      </w:r>
      <w:r>
        <w:rPr>
          <w:rStyle w:val="FootnoteAnchor"/>
          <w:rtl w:val="true"/>
        </w:rPr>
        <w:footnoteReference w:id="1398"/>
      </w:r>
      <w:r>
        <w:rPr>
          <w:rFonts w:ascii="Amiri" w:hAnsi="Amiri" w:eastAsia="Amiri" w:cs="Amiri"/>
          <w:color w:val="111111"/>
          <w:sz w:val="28"/>
          <w:sz w:val="28"/>
          <w:szCs w:val="28"/>
          <w:rtl w:val="true"/>
          <w:lang w:bidi="ar-SA"/>
        </w:rPr>
        <w:t>، و بعض مصنّفات المحقّق</w:t>
      </w:r>
      <w:r>
        <w:rPr>
          <w:rStyle w:val="FootnoteAnchor"/>
          <w:rtl w:val="true"/>
        </w:rPr>
        <w:footnoteReference w:id="1399"/>
      </w:r>
      <w:r>
        <w:rPr>
          <w:rFonts w:ascii="Amiri" w:hAnsi="Amiri" w:eastAsia="Amiri" w:cs="Amiri"/>
          <w:color w:val="111111"/>
          <w:sz w:val="28"/>
          <w:sz w:val="28"/>
          <w:szCs w:val="28"/>
          <w:rtl w:val="true"/>
          <w:lang w:bidi="ar-SA"/>
        </w:rPr>
        <w:t>و التذكرة</w:t>
      </w:r>
      <w:r>
        <w:rPr>
          <w:rStyle w:val="FootnoteAnchor"/>
          <w:rtl w:val="true"/>
        </w:rPr>
        <w:footnoteReference w:id="1400"/>
      </w:r>
      <w:r>
        <w:rPr>
          <w:rFonts w:ascii="Amiri" w:hAnsi="Amiri" w:eastAsia="Amiri" w:cs="Amiri"/>
          <w:color w:val="111111"/>
          <w:sz w:val="28"/>
          <w:sz w:val="28"/>
          <w:szCs w:val="28"/>
          <w:rtl w:val="true"/>
          <w:lang w:bidi="ar-SA"/>
        </w:rPr>
        <w:t>، و نهاية الإحكام</w:t>
      </w:r>
      <w:r>
        <w:rPr>
          <w:rStyle w:val="FootnoteAnchor"/>
          <w:rtl w:val="true"/>
        </w:rPr>
        <w:footnoteReference w:id="1401"/>
      </w:r>
      <w:r>
        <w:rPr>
          <w:rFonts w:ascii="Amiri" w:hAnsi="Amiri" w:eastAsia="Amiri" w:cs="Amiri"/>
          <w:color w:val="111111"/>
          <w:sz w:val="28"/>
          <w:sz w:val="28"/>
          <w:szCs w:val="28"/>
          <w:rtl w:val="true"/>
          <w:lang w:bidi="ar-SA"/>
        </w:rPr>
        <w:t>، و البيان</w:t>
      </w:r>
      <w:r>
        <w:rPr>
          <w:rStyle w:val="FootnoteAnchor"/>
          <w:rtl w:val="true"/>
        </w:rPr>
        <w:footnoteReference w:id="1402"/>
      </w:r>
      <w:r>
        <w:rPr>
          <w:rFonts w:ascii="Amiri" w:hAnsi="Amiri" w:eastAsia="Amiri" w:cs="Amiri"/>
          <w:color w:val="111111"/>
          <w:sz w:val="28"/>
          <w:sz w:val="28"/>
          <w:szCs w:val="28"/>
          <w:rtl w:val="true"/>
          <w:lang w:bidi="ar-SA"/>
        </w:rPr>
        <w:t>و شرح القواعد للسيّد عميد الدين</w:t>
      </w:r>
      <w:r>
        <w:rPr>
          <w:rStyle w:val="FootnoteAnchor"/>
          <w:rtl w:val="true"/>
        </w:rPr>
        <w:footnoteReference w:id="1403"/>
      </w:r>
      <w:r>
        <w:rPr>
          <w:rFonts w:ascii="IRNazanin" w:hAnsi="IRNazanin" w:eastAsia="IRNazanin"/>
          <w:color w:val="111111"/>
          <w:sz w:val="28"/>
          <w:sz w:val="28"/>
          <w:szCs w:val="28"/>
          <w:rtl w:val="true"/>
          <w:lang w:bidi="fa-IR"/>
        </w:rPr>
        <w:t>و المعالم</w:t>
      </w:r>
      <w:r>
        <w:rPr>
          <w:rStyle w:val="FootnoteAnchor"/>
          <w:rtl w:val="true"/>
        </w:rPr>
        <w:footnoteReference w:id="1404"/>
      </w:r>
      <w:r>
        <w:rPr>
          <w:rFonts w:ascii="Amiri" w:hAnsi="Amiri" w:eastAsia="Amiri" w:cs="Amiri"/>
          <w:color w:val="111111"/>
          <w:sz w:val="28"/>
          <w:sz w:val="28"/>
          <w:szCs w:val="28"/>
          <w:rtl w:val="true"/>
          <w:lang w:bidi="ar-SA"/>
        </w:rPr>
        <w:t>و الذخيرة</w:t>
      </w:r>
      <w:r>
        <w:rPr>
          <w:rStyle w:val="FootnoteAnchor"/>
          <w:rtl w:val="true"/>
        </w:rPr>
        <w:footnoteReference w:id="1405"/>
      </w:r>
      <w:r>
        <w:rPr>
          <w:rFonts w:ascii="Amiri" w:hAnsi="Amiri" w:eastAsia="Amiri" w:cs="Amiri"/>
          <w:color w:val="111111"/>
          <w:sz w:val="28"/>
          <w:sz w:val="28"/>
          <w:szCs w:val="28"/>
          <w:rtl w:val="true"/>
          <w:lang w:bidi="ar-SA"/>
        </w:rPr>
        <w:t>، و الحبل المتين</w:t>
      </w:r>
      <w:r>
        <w:rPr>
          <w:rStyle w:val="FootnoteAnchor"/>
          <w:rtl w:val="true"/>
        </w:rPr>
        <w:footnoteReference w:id="1406"/>
      </w:r>
      <w:r>
        <w:rPr>
          <w:rFonts w:ascii="Amiri" w:hAnsi="Amiri" w:eastAsia="Amiri" w:cs="Amiri"/>
          <w:color w:val="111111"/>
          <w:sz w:val="28"/>
          <w:sz w:val="28"/>
          <w:szCs w:val="28"/>
          <w:rtl w:val="true"/>
          <w:lang w:bidi="ar-SA"/>
        </w:rPr>
        <w:t>،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المرتضى، و ابن إدريس و أكثر المتأخّرين</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1804660_1280447820"/>
      <w:bookmarkStart w:id="412" w:name="_Toc161"/>
      <w:bookmarkEnd w:id="411"/>
      <w:r>
        <w:rPr>
          <w:rtl w:val="true"/>
        </w:rPr>
        <w:t>و ثانيهما</w:t>
      </w:r>
      <w:r>
        <w:rPr>
          <w:rtl w:val="true"/>
        </w:rPr>
        <w:t xml:space="preserve">: </w:t>
      </w:r>
      <w:r>
        <w:rPr>
          <w:rtl w:val="true"/>
        </w:rPr>
        <w:t>المنع عن التطهير به،</w:t>
      </w:r>
      <w:bookmarkEnd w:id="412"/>
    </w:p>
    <w:p>
      <w:pPr>
        <w:pStyle w:val="BookText"/>
        <w:rPr/>
      </w:pPr>
      <w:r>
        <w:rPr>
          <w:rFonts w:ascii="Amiri" w:hAnsi="Amiri" w:eastAsia="Amiri" w:cs="Amiri"/>
          <w:color w:val="111111"/>
          <w:sz w:val="28"/>
          <w:sz w:val="28"/>
          <w:szCs w:val="28"/>
          <w:rtl w:val="true"/>
          <w:lang w:bidi="ar-SA"/>
        </w:rPr>
        <w:t>و هو المحكيّ عن الصدوقين</w:t>
      </w:r>
      <w:r>
        <w:rPr>
          <w:rStyle w:val="FootnoteAnchor"/>
          <w:rtl w:val="true"/>
        </w:rPr>
        <w:footnoteReference w:id="1409"/>
      </w:r>
      <w:r>
        <w:rPr>
          <w:rFonts w:ascii="Amiri" w:hAnsi="Amiri" w:eastAsia="Amiri" w:cs="Amiri"/>
          <w:color w:val="111111"/>
          <w:sz w:val="28"/>
          <w:sz w:val="28"/>
          <w:szCs w:val="28"/>
          <w:rtl w:val="true"/>
          <w:lang w:bidi="ar-SA"/>
        </w:rPr>
        <w:t>، و الشيخين</w:t>
      </w:r>
      <w:r>
        <w:rPr>
          <w:rStyle w:val="FootnoteAnchor"/>
          <w:rtl w:val="true"/>
        </w:rPr>
        <w:footnoteReference w:id="1410"/>
      </w:r>
      <w:r>
        <w:rPr>
          <w:rFonts w:ascii="Amiri" w:hAnsi="Amiri" w:eastAsia="Amiri" w:cs="Amiri"/>
          <w:color w:val="111111"/>
          <w:sz w:val="28"/>
          <w:sz w:val="28"/>
          <w:szCs w:val="28"/>
          <w:rtl w:val="true"/>
          <w:lang w:bidi="ar-SA"/>
        </w:rPr>
        <w:t>، و ابني حمزة</w:t>
      </w:r>
      <w:r>
        <w:rPr>
          <w:rStyle w:val="FootnoteAnchor"/>
          <w:rtl w:val="true"/>
        </w:rPr>
        <w:footnoteReference w:id="1411"/>
      </w:r>
      <w:r>
        <w:rPr>
          <w:rFonts w:ascii="Amiri" w:hAnsi="Amiri" w:eastAsia="Amiri" w:cs="Amiri"/>
          <w:color w:val="111111"/>
          <w:sz w:val="28"/>
          <w:sz w:val="28"/>
          <w:szCs w:val="28"/>
          <w:rtl w:val="true"/>
          <w:lang w:bidi="ar-SA"/>
        </w:rPr>
        <w:t>و البرّاج</w:t>
      </w:r>
      <w:r>
        <w:rPr>
          <w:rStyle w:val="FootnoteAnchor"/>
          <w:rtl w:val="true"/>
        </w:rPr>
        <w:footnoteReference w:id="1412"/>
      </w:r>
      <w:r>
        <w:rPr>
          <w:rFonts w:ascii="Amiri" w:hAnsi="Amiri" w:eastAsia="Amiri" w:cs="Amiri"/>
          <w:color w:val="111111"/>
          <w:sz w:val="28"/>
          <w:sz w:val="28"/>
          <w:szCs w:val="28"/>
          <w:rtl w:val="true"/>
          <w:lang w:bidi="ar-SA"/>
        </w:rPr>
        <w:t>، و عن الشيخ في الخلاف</w:t>
      </w:r>
      <w:r>
        <w:rPr>
          <w:rStyle w:val="FootnoteAnchor"/>
          <w:rtl w:val="true"/>
        </w:rPr>
        <w:footnoteReference w:id="1413"/>
      </w:r>
      <w:r>
        <w:rPr>
          <w:rFonts w:ascii="Amiri" w:hAnsi="Amiri" w:eastAsia="Amiri" w:cs="Amiri"/>
          <w:color w:val="111111"/>
          <w:sz w:val="28"/>
          <w:sz w:val="28"/>
          <w:szCs w:val="28"/>
          <w:rtl w:val="true"/>
          <w:lang w:bidi="ar-SA"/>
        </w:rPr>
        <w:t>نسبته إلى أكثر الأصحاب، و يظهر من المحقّق في كتبه الثلاث المعتبر</w:t>
      </w:r>
      <w:r>
        <w:rPr>
          <w:rStyle w:val="FootnoteAnchor"/>
          <w:rtl w:val="true"/>
        </w:rPr>
        <w:footnoteReference w:id="1414"/>
      </w:r>
      <w:r>
        <w:rPr>
          <w:rFonts w:ascii="IRNazanin" w:hAnsi="IRNazanin" w:eastAsia="IRNazanin"/>
          <w:color w:val="111111"/>
          <w:sz w:val="28"/>
          <w:sz w:val="28"/>
          <w:szCs w:val="28"/>
          <w:rtl w:val="true"/>
          <w:lang w:bidi="fa-IR"/>
        </w:rPr>
        <w:t>و الشرائع</w:t>
      </w:r>
      <w:r>
        <w:rPr>
          <w:rStyle w:val="FootnoteAnchor"/>
          <w:rtl w:val="true"/>
        </w:rPr>
        <w:footnoteReference w:id="1415"/>
      </w:r>
      <w:r>
        <w:rPr>
          <w:rFonts w:ascii="IRNazanin" w:hAnsi="IRNazanin" w:eastAsia="IRNazanin"/>
          <w:color w:val="111111"/>
          <w:sz w:val="28"/>
          <w:sz w:val="28"/>
          <w:szCs w:val="28"/>
          <w:rtl w:val="true"/>
          <w:lang w:bidi="fa-IR"/>
        </w:rPr>
        <w:t>و النافع</w:t>
      </w:r>
      <w:r>
        <w:rPr>
          <w:rStyle w:val="FootnoteAnchor"/>
          <w:rtl w:val="true"/>
        </w:rPr>
        <w:footnoteReference w:id="1416"/>
      </w:r>
      <w:r>
        <w:rPr>
          <w:rFonts w:ascii="Amiri" w:hAnsi="Amiri" w:eastAsia="Amiri" w:cs="Amiri"/>
          <w:color w:val="111111"/>
          <w:sz w:val="28"/>
          <w:sz w:val="28"/>
          <w:szCs w:val="28"/>
          <w:rtl w:val="true"/>
          <w:lang w:bidi="ar-SA"/>
        </w:rPr>
        <w:t>التوقّف، بل صرّح بالتردّد في الشرائع</w:t>
      </w:r>
      <w:r>
        <w:rPr>
          <w:rStyle w:val="FootnoteAnchor"/>
          <w:rtl w:val="true"/>
        </w:rPr>
        <w:footnoteReference w:id="1417"/>
      </w:r>
      <w:r>
        <w:rPr>
          <w:rFonts w:ascii="IRNazanin" w:hAnsi="IRNazanin" w:eastAsia="IRNazanin"/>
          <w:color w:val="111111"/>
          <w:sz w:val="28"/>
          <w:sz w:val="28"/>
          <w:szCs w:val="28"/>
          <w:rtl w:val="true"/>
          <w:lang w:bidi="fa-IR"/>
        </w:rPr>
        <w:t>، و إن جعل المنع أحوط</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يستشمّ من الشيخ أنّه قائل بجواز الاستعمال في حال الضرورة، حيث إنّه </w:t>
      </w:r>
      <w:bookmarkStart w:id="413" w:name="pg16144_233313"/>
    </w:p>
    <w:p>
      <w:pPr>
        <w:pStyle w:val="BookText"/>
        <w:rPr/>
      </w:pPr>
      <w:bookmarkEnd w:id="413"/>
      <w:r>
        <w:rPr>
          <w:rFonts w:ascii="Amiri" w:hAnsi="Amiri" w:eastAsia="Amiri" w:cs="Amiri"/>
          <w:color w:val="111111"/>
          <w:sz w:val="28"/>
          <w:sz w:val="28"/>
          <w:szCs w:val="28"/>
          <w:rtl w:val="true"/>
          <w:lang w:bidi="ar-SA"/>
        </w:rPr>
        <w:t>في كتابيه التهذيب</w:t>
      </w:r>
      <w:r>
        <w:rPr>
          <w:rStyle w:val="FootnoteAnchor"/>
          <w:rtl w:val="true"/>
        </w:rPr>
        <w:footnoteReference w:id="1418"/>
      </w:r>
      <w:r>
        <w:rPr>
          <w:rFonts w:ascii="IRNazanin" w:hAnsi="IRNazanin" w:eastAsia="IRNazanin"/>
          <w:color w:val="111111"/>
          <w:sz w:val="28"/>
          <w:sz w:val="28"/>
          <w:szCs w:val="28"/>
          <w:rtl w:val="true"/>
          <w:lang w:bidi="fa-IR"/>
        </w:rPr>
        <w:t>و الاستبصار</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فيهما الرواية الآتية عن عليّ بن جعفر المؤذنة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بحملها على الضرورة المستفادة من سياقها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كون ذلك مذهبا له محلّ إشكال، حيث إنّ التأويل لدفع التنافي لا يستلزم اختياره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تنبّه عليه في الحدائق</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كثير الوقوع في كلامه في الكتابين كما لا يخفى على المتتبّع</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804662_1280447820"/>
      <w:bookmarkStart w:id="415" w:name="_Toc162"/>
      <w:bookmarkEnd w:id="414"/>
      <w:r>
        <w:rPr>
          <w:rtl w:val="true"/>
        </w:rPr>
        <w:t>و بالجملة</w:t>
      </w:r>
      <w:r>
        <w:rPr>
          <w:rtl w:val="true"/>
        </w:rPr>
        <w:t xml:space="preserve">: </w:t>
      </w:r>
      <w:r>
        <w:rPr>
          <w:rtl w:val="true"/>
        </w:rPr>
        <w:t xml:space="preserve">فحجّة القول الأوّل </w:t>
      </w:r>
      <w:r>
        <w:rPr>
          <w:rtl w:val="true"/>
        </w:rPr>
        <w:t xml:space="preserve">- </w:t>
      </w:r>
      <w:r>
        <w:rPr>
          <w:rtl w:val="true"/>
        </w:rPr>
        <w:t xml:space="preserve">من المحصّل، و المحكيّ، و المزيّف، و الصحيح </w:t>
      </w:r>
      <w:r>
        <w:rPr>
          <w:rtl w:val="true"/>
        </w:rPr>
        <w:t xml:space="preserve">- </w:t>
      </w:r>
      <w:r>
        <w:rPr>
          <w:rtl w:val="true"/>
        </w:rPr>
        <w:t>وجوه</w:t>
      </w:r>
      <w:r>
        <w:rPr>
          <w:rtl w:val="true"/>
        </w:rPr>
        <w:t>:</w:t>
      </w:r>
      <w:bookmarkEnd w:id="415"/>
    </w:p>
    <w:p>
      <w:pPr>
        <w:pStyle w:val="Heading6"/>
        <w:numPr>
          <w:ilvl w:val="5"/>
          <w:numId w:val="1"/>
        </w:numPr>
        <w:rPr/>
      </w:pPr>
      <w:bookmarkStart w:id="416" w:name="__RefHeading___Toc1804664_1280447820"/>
      <w:bookmarkStart w:id="417" w:name="_Toc163"/>
      <w:bookmarkEnd w:id="416"/>
      <w:r>
        <w:rPr>
          <w:rtl w:val="true"/>
        </w:rPr>
        <w:t>أوّلها</w:t>
      </w:r>
      <w:r>
        <w:rPr>
          <w:rtl w:val="true"/>
        </w:rPr>
        <w:t xml:space="preserve">: </w:t>
      </w:r>
      <w:r>
        <w:rPr>
          <w:rtl w:val="true"/>
        </w:rPr>
        <w:t>الإجماع المحكيّ عن الناصريّات ، المعتضدة بالشهرة المتأخّرة،</w:t>
      </w:r>
      <w:bookmarkEnd w:id="417"/>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الناصريّات</w:t>
      </w:r>
      <w:r>
        <w:rPr>
          <w:rStyle w:val="FootnoteAnchor"/>
          <w:rtl w:val="true"/>
        </w:rPr>
        <w:footnoteReference w:id="1421"/>
      </w:r>
      <w:r>
        <w:rPr>
          <w:rFonts w:ascii="Amiri" w:hAnsi="Amiri" w:eastAsia="Amiri" w:cs="Amiri"/>
          <w:color w:val="111111"/>
          <w:sz w:val="28"/>
          <w:sz w:val="28"/>
          <w:szCs w:val="28"/>
          <w:rtl w:val="true"/>
          <w:lang w:bidi="ar-SA"/>
        </w:rPr>
        <w:t>، المعتضدة بالشهرة المتأخّرة، المحكيّة في كلام جماعة، و هو لمن يراه حجّة بالخصوص في محلّه، إن لم يكن موهونا بمصير جماعة من أعاظم القدماء إلى خلافه</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804666_1280447820"/>
      <w:bookmarkStart w:id="419" w:name="_Toc164"/>
      <w:bookmarkEnd w:id="418"/>
      <w:r>
        <w:rPr>
          <w:rtl w:val="true"/>
        </w:rPr>
        <w:t>و ثانيها</w:t>
      </w:r>
      <w:r>
        <w:rPr>
          <w:rtl w:val="true"/>
        </w:rPr>
        <w:t xml:space="preserve">: </w:t>
      </w:r>
      <w:r>
        <w:rPr>
          <w:rtl w:val="true"/>
        </w:rPr>
        <w:t>أصالة بقاء المطهّريّة الثابتة قبل الاستعمال،</w:t>
      </w:r>
      <w:bookmarkEnd w:id="419"/>
    </w:p>
    <w:p>
      <w:pPr>
        <w:pStyle w:val="BookText"/>
        <w:rPr/>
      </w:pPr>
      <w:r>
        <w:rPr>
          <w:rFonts w:ascii="Amiri" w:hAnsi="Amiri" w:eastAsia="Amiri" w:cs="Amiri"/>
          <w:color w:val="111111"/>
          <w:sz w:val="28"/>
          <w:sz w:val="28"/>
          <w:szCs w:val="28"/>
          <w:rtl w:val="true"/>
          <w:lang w:bidi="ar-SA"/>
        </w:rPr>
        <w:t>و لا يعارضها أصالة بقاء الحدث الثاني على ما قرّر في محلّه، كما أنّه بالاستعمال لا يخرج عن موضوعه الأوّل، و هو أيضا في محلّه إن لم يكن في مقابله ما يرفع موضوعه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804668_1280447820"/>
      <w:bookmarkStart w:id="421" w:name="_Toc165"/>
      <w:bookmarkEnd w:id="420"/>
      <w:r>
        <w:rPr>
          <w:rtl w:val="true"/>
        </w:rPr>
        <w:t>و ثالثها</w:t>
      </w:r>
      <w:r>
        <w:rPr>
          <w:rtl w:val="true"/>
        </w:rPr>
        <w:t xml:space="preserve">: </w:t>
      </w:r>
      <w:r>
        <w:rPr>
          <w:rtl w:val="true"/>
        </w:rPr>
        <w:t>أصالة بقاء الأمر بالغسل الثابت قبل انحصار الماء في المفروض،</w:t>
      </w:r>
      <w:bookmarkEnd w:id="421"/>
    </w:p>
    <w:p>
      <w:pPr>
        <w:pStyle w:val="BookText"/>
        <w:rPr/>
      </w:pPr>
      <w:r>
        <w:rPr>
          <w:rFonts w:ascii="Amiri" w:hAnsi="Amiri" w:eastAsia="Amiri" w:cs="Amiri"/>
          <w:color w:val="111111"/>
          <w:sz w:val="28"/>
          <w:sz w:val="28"/>
          <w:szCs w:val="28"/>
          <w:rtl w:val="true"/>
          <w:lang w:bidi="ar-SA"/>
        </w:rPr>
        <w:t>و هو فاسد لرجوعه بالقياس إلى إثبات المطهّريّة لهذا الماء إلى الأصل المثبت، ضرورة أنّ المطهّريّة له ليست من الأحكام الثابتة للمستصحب في الحالة السابقة حتّى يحكم ببقائها في الحالة اللاحقة، لكونها مشكوكا فيها في كلتا الحالتين كما لا يخفى، و بذلك يستغني عن تجشّم معارضة ذلك بأصالة بقاء الحدث</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804670_1280447820"/>
      <w:bookmarkStart w:id="423" w:name="_Toc166"/>
      <w:bookmarkEnd w:id="422"/>
      <w:r>
        <w:rPr>
          <w:rtl w:val="true"/>
        </w:rPr>
        <w:t>و رابعها</w:t>
      </w:r>
      <w:r>
        <w:rPr>
          <w:rtl w:val="true"/>
        </w:rPr>
        <w:t xml:space="preserve">: </w:t>
      </w:r>
      <w:r>
        <w:rPr>
          <w:rtl w:val="true"/>
        </w:rPr>
        <w:t>إطلاق الأمر بالغسل،</w:t>
      </w:r>
      <w:bookmarkEnd w:id="423"/>
    </w:p>
    <w:p>
      <w:pPr>
        <w:pStyle w:val="BookText"/>
        <w:rPr/>
      </w:pPr>
      <w:r>
        <w:rPr>
          <w:rFonts w:ascii="IRNazanin" w:hAnsi="IRNazanin" w:eastAsia="IRNazanin"/>
          <w:color w:val="111111"/>
          <w:sz w:val="28"/>
          <w:sz w:val="28"/>
          <w:szCs w:val="28"/>
          <w:rtl w:val="true"/>
          <w:lang w:bidi="fa-IR"/>
        </w:rPr>
        <w:t>لصدق امتثاله باستعمال الماء المفروض، و حاصله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استعمال هذا الماء في رفع الحدث و نحوه غسل، و كلّ غسل موجب لامتثال الأمر به و مقتض للإجزاء،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الأوامر الواردة بالغسل كتابا و سنّة، 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الماء المفروض بسبب الاستعمال عن كونه مطهّرا، مصادرة لا يعبأ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يناقش بمنع اعتبار هذا الإطلاق، لانصرافه إلى الغالب، و هو الاغتسال بالماء الّذي لم يستعمل في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الانصراف المدّعى إن اريد به ما هو بالقياس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حيّز المنع، لأنّ الغلبة و الندرة إنّما تلاحظان فيما بين الأفراد الأوّلية للمطلق، الممتازة بعضها عن بعض بمشخّصاتها الّتي عليها مدار وجوداتها و بها ينوط فرديّتها له، و الماء المستعمل في الحدث الأكبر بوصف أنّه مستعمل فيه ليس منها، لعدم كون هذا الوصف من مشخّصاته بالمعنى المذكور، و إنّما هو من طوارئه العارضة له بعد وجوده و تشخّصه بمشخّصاته، فهو لا يدخل في عداد الأفراد الّتي يلاحظ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و ندرة، فيحمل المطلق على ما هو الغالب منها دون النادر،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يلاحظ بالنسبة إليه مطلقا، لكونه مجامعا لكل واحد من أفراده الحقيقيّة، المتمايزة بحسب المشخّصات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هذا البيان كون حيثيّة الاستعمال في الحدث الأكبر من الأحوال الطارئة للماء، فلا بدّ و أن يراد بالإطلاق المستدلّ به في الدليل المذكور ما يلاحظ بالقياس إلى الأحوال، حتّى يثبت جواز استعمال الماء حال كونه مستعملا في الحدث الأكبر أوّلا، أو أنّها من الصفات الطارئة له الزائدة على مشخّصاته، فلا بدّ من إحراز الإطلاق بالنسبة إلى الصفات ليندرج فيه محلّ البحث، فحينئذ يتوجّه دعوى الانصراف إلى غير تلك الحالة، أو غير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الناشئ عن غلبة حصول غير تلك الحالة أو الصفة، إذ لا ندرة في عروض وصف الاستعمال في الحدث الأكبر للماء بحسب الخارج بالقياس إلى سائر الأحوال و الصفات العارضتين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منع الانصراف و دعوى الغلبة لو قرّر الإطلاق بالقياس إلى الأفراد و جعل هذا الماء من جملتها، ضرورة أنّه لا ندرة في هذا الفرد أصلا في الوجود الخارجي بالنسبة إلى كثير من الأفراد الاخر كما لا يخفى، بل الظاهر أنّ من يدّعي الانصراف هنا لا يدّعيه من هذه الجهة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به ما هو بالقياس إلى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p>
    <w:p>
      <w:pPr>
        <w:pStyle w:val="BookText"/>
        <w:rPr/>
      </w:pPr>
      <w:r>
        <w:rPr>
          <w:rFonts w:ascii="Amiri" w:hAnsi="Amiri" w:eastAsia="Amiri" w:cs="Amiri"/>
          <w:color w:val="111111"/>
          <w:sz w:val="28"/>
          <w:sz w:val="28"/>
          <w:szCs w:val="28"/>
          <w:rtl w:val="true"/>
          <w:lang w:bidi="ar-SA"/>
        </w:rPr>
        <w:t>جريان قاعدة الانصراف في المشتقّات، لما قرّر فيها من كونها مأخوذة من المبادئ المجرّدة عن اللام و التنوين، الموضوعة للماهيّات لا بشرط شيء، فيجب أن تعتبر المشتقّات أيضا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اشتقاقها باعتبار الوضع اللغوي من هذا الباب لا ينافي طروّ الانصراف لها في لحاظ العرف و الإطلاق، لما طرأ أفراد مباديها من الاختلاف في الغلبة و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من الجهة المذكورة ممّا لا مجال إلى إنكاره، إذ المتبادر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و اغتسلت، و 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إنّما هو ما يحصل بغير المستعمل في الحدث الأكبر، و هو الفرد الشائع المتعارف الغالب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في دفع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غاية الضعف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المفروض من جهة عدم صحّة السلب، و صحّة التقسيم، و التقييد به و بغيره، و حسن الاستفهام، و صدق الامتثال بالإتيان به إذا أمر بالإتيان بالماء، و تبادر القدر المشترك بينه و بين غيره من إطلاق الماء، و أنّ المخرج عن الإطلاق لا يكون إلاّ وصف الاستعمال، و هو غير صالح له و إلاّ كان كلّ ماء مستعمل في طهارة من الحدث أو الخبث أو في غير طهارة ماء مضافا، و البديهة تشهد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لابتنائه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الغفلة عن فهم المقصود بالانصراف هنا،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الاشتباه في فهم معنى مطلق الانصراف، فإنّه حيثما ادّعى ممّا لا ينبغي مقابلته بشيء من الوجوه المذكورة، كما لا يخفى و المفروض أنّه ثابت بالقياس إلى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اشتقّ منهما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التبادر العرفي عند الإطلاق و إن كان مسلّما، غير أنّ الّذي يظهر بملاحظة النظائر أنّ هذا التبادر نوعا ملغى في نظر الشارع، بمعنى أنّه لم يرتّب عليه حكما و لم يعتبره على وجه يكشف عن المراد، بل الّذي اعتبره في تعليق الأحكام على هذين اللفظين و ما يشتقّ منهما إنّما هو نفس الماهيّة الصادقة على الغالب و النادر، كما يفصح عنه الإجماع على جواز استعمال المستعمل في الوضوء في رفع الحدث ثانيا، و على جواز استعمال محلّ البحث في إزالة الخبث كما يأتي التنبيه عليه، و على جواز استعمال المياه الكبريتيّة و النفطيّة مطلقا و ما أشبه ذلك، مع أنّ الكلّ مشارك للمقام في الندرة و عدم الانصراف عند الإطلاق، و ستسمع نظير هذا التحقيق عن السيّد </w:t>
      </w:r>
      <w:bookmarkStart w:id="424" w:name="pg16144_233316"/>
    </w:p>
    <w:p>
      <w:pPr>
        <w:pStyle w:val="BookText"/>
        <w:rPr/>
      </w:pPr>
      <w:bookmarkEnd w:id="424"/>
      <w:r>
        <w:rPr>
          <w:rFonts w:ascii="Amiri" w:hAnsi="Amiri" w:eastAsia="Amiri" w:cs="Amiri"/>
          <w:color w:val="111111"/>
          <w:sz w:val="28"/>
          <w:sz w:val="28"/>
          <w:szCs w:val="28"/>
          <w:rtl w:val="true"/>
          <w:lang w:bidi="ar-SA"/>
        </w:rPr>
        <w:t>المرتضى في بحث المضاف، و إن كان ذلك منه في غير محلّه</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804672_1280447820"/>
      <w:bookmarkStart w:id="426" w:name="_Toc167"/>
      <w:bookmarkEnd w:id="425"/>
      <w:r>
        <w:rPr>
          <w:rtl w:val="true"/>
        </w:rPr>
        <w:t>و خامسها</w:t>
      </w:r>
      <w:r>
        <w:rPr>
          <w:rtl w:val="true"/>
        </w:rPr>
        <w:t xml:space="preserve">: </w:t>
      </w:r>
      <w:r>
        <w:rPr>
          <w:rtl w:val="true"/>
        </w:rPr>
        <w:t>عموم ما دلّ على أنّ الماء مطهّر،</w:t>
      </w:r>
      <w:bookmarkEnd w:id="426"/>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422"/>
      </w:r>
      <w:r>
        <w:rPr>
          <w:rFonts w:ascii="Amiri" w:hAnsi="Amiri" w:eastAsia="Amiri" w:cs="Amiri"/>
          <w:color w:val="111111"/>
          <w:sz w:val="28"/>
          <w:sz w:val="28"/>
          <w:szCs w:val="28"/>
          <w:rtl w:val="true"/>
          <w:lang w:bidi="ar-SA"/>
        </w:rPr>
        <w:t>و نحوه، و الأولى أن 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العمومات الواردة في طهوريّة الماء كتابا و سنّة، مضافة إلى الأدلّة الحاكمة عليها المخصّصة لها في موارد مخصوصة، قد قضت بأنّ الماهيّة المائيّة من حيث هي مقتضية للطهوريّة ما لم يصادفها ما يمنعها عن الاقتضاء، و يرفع الطهوريّة عنها من العوارض الخارجيّة، و كون عروض الاستعمال في الحدث الأكبر من جملة الروافع، ممّا لم يقم عليه من الشرع دلالة معتبرة، و ما اقيم فيه من الدلالة ليست بمعتبرة كما سنبيّنه، فالمقتضي للطهوريّة عند استعمال الماء المفروض موجود، و المانع مفقود، فيجب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يلزم من ذلك أنّ الماهيّة المائيّة متّصفة بالطهوريّة، و أمّا أنّها بمعنى رفع الحدث أو الخبث أو هما معا فلا، فتكون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أنّها بمعنى رفع الحدث أو مطلقا، و لكنّه أعمّ من دفعه مرّة أو مرارا، فلا دلالة فيها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حيث هي من الجهة الاولى و إن كانت مجملة، غير أنّ الأدلّة الخارجيّة قد بيّنها و كشفت عن كونها بالمعنيين معا، فالماهيّة المائيّة بموجب تلك الأدلّة رافعة للحدث في موارده، و مزيلة للخبث في محالّه، و أمّا كون ذلك حاصلا منه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بمقتضى ما بيّنّاه من كون الوصفين تابعين لأصل الماهيّة مع فرض بقاء الماهيّة في مفروض المسألة، إذ الكلام فيما لو بقي الإطلاق، فإذا كانت الماهيّة باقية فهي بنفسها مقتضية للتكرار، و لا حاجة معه إلى دلالة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يستغني عمّا قيل في الذبّ عن نظير تلك المناقشة، من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للتكرار،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يكثر منه الضرب، كما حكي الإشارة إليه أيضا عن الشهيدين في مقام الاحتجاج على الجواز،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 يتكرّر منه الطهارة، مع أنّه في أصله فاسد لابتنائه على كون طهور في الآية و غيرها للمبالغة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في مفتتح الكتاب منعه كما أنّ بما بيّنّا من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قرّرناه في دفع المناقشة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قيل في المناقشة في عموم الآية </w:t>
      </w:r>
      <w:bookmarkStart w:id="427" w:name="pg16144_233317"/>
    </w:p>
    <w:p>
      <w:pPr>
        <w:pStyle w:val="BookText"/>
        <w:rPr/>
      </w:pPr>
      <w:bookmarkEnd w:id="427"/>
      <w:r>
        <w:rPr>
          <w:rFonts w:ascii="Amiri" w:hAnsi="Amiri" w:eastAsia="Amiri" w:cs="Amiri"/>
          <w:color w:val="111111"/>
          <w:sz w:val="28"/>
          <w:sz w:val="28"/>
          <w:szCs w:val="28"/>
          <w:rtl w:val="true"/>
          <w:lang w:bidi="ar-SA"/>
        </w:rPr>
        <w:t xml:space="preserve">و نظائرها، من أنّ أقصى ما يستفاد من ذلك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و أمّا أنّه من الحدث أو الخبث فلا، لاشتراك الطهارة لفظا بين رفع الحدث و إزالة الخبث، كما صرّح به العلاّمة في المنتهى</w:t>
      </w:r>
      <w:r>
        <w:rPr>
          <w:rStyle w:val="FootnoteAnchor"/>
          <w:rtl w:val="true"/>
        </w:rPr>
        <w:footnoteReference w:id="1423"/>
      </w:r>
      <w:r>
        <w:rPr>
          <w:rFonts w:ascii="Amiri" w:hAnsi="Amiri" w:eastAsia="Amiri" w:cs="Amiri"/>
          <w:color w:val="111111"/>
          <w:sz w:val="28"/>
          <w:sz w:val="28"/>
          <w:szCs w:val="28"/>
          <w:rtl w:val="true"/>
          <w:lang w:bidi="ar-SA"/>
        </w:rPr>
        <w:t>، و لو سلّم الاشتراك المعنوي بينهما فهو لا يجدي نفعا في رفع الإشكال، لكون المشترك المعنوي إذا وقع خبرا أو ما هو بحكمه مجملا،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يدلّ عليه ذلك إنّما هو كون زيد فردا من الإنسان، و أمّا أنّه أسود أو أبيض أو أنّه عالم أو جاهل فلا دلالة له على شيء من ذلك، مع كون الإنسان مشتركا بين الكلّ معنى، و المقام أيضا من هذا الباب،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424"/>
      </w:r>
      <w:r>
        <w:rPr>
          <w:rFonts w:ascii="Amiri" w:hAnsi="Amiri" w:eastAsia="Amiri" w:cs="Amiri"/>
          <w:color w:val="111111"/>
          <w:sz w:val="28"/>
          <w:sz w:val="28"/>
          <w:szCs w:val="28"/>
          <w:rtl w:val="true"/>
          <w:lang w:bidi="ar-SA"/>
        </w:rPr>
        <w:t xml:space="preserve">إنّما يدلّ على أنّ الماء من أفراد الطهور، و هو و إن كان مشتركا بين رفع الحدث و إزالة الخبث، معنى على الفرض، و لكن توصيف الماء به لا يدلّ على أنّه موصوف بأحدهما معيّنا أو بكليهما، فيكون مجملا،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في أوائل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المطهّر المستلزم للطهارة، المأخوذ عنها بالمعنى اللغوي الّذي فصّله الشرع بالخلوص عن الحدث و الخبث، فالمطهّر على ما فصّله الشرع هو الرافع للحدث المزيل للخبث فلا اشتراك فيه لفظا كما لا إجمال على الاشتراك معنى</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804674_1280447820"/>
      <w:bookmarkStart w:id="429" w:name="_Toc168"/>
      <w:bookmarkEnd w:id="428"/>
      <w:r>
        <w:rPr>
          <w:rtl w:val="true"/>
        </w:rPr>
        <w:t>و سادسها</w:t>
      </w:r>
      <w:r>
        <w:rPr>
          <w:rtl w:val="true"/>
        </w:rPr>
        <w:t xml:space="preserve">: </w:t>
      </w:r>
      <w:r>
        <w:rPr>
          <w:rtl w:val="true"/>
        </w:rPr>
        <w:t>ما قدّمنا الإشارة إليه في بحث ماء الوضوء، من القاعدة المستفادة عن مجموع الأدلّة الجزئيّة الواردة في أبواب الطهارات و تطهير النجاسات،</w:t>
      </w:r>
      <w:bookmarkEnd w:id="429"/>
    </w:p>
    <w:p>
      <w:pPr>
        <w:pStyle w:val="BookText"/>
        <w:rPr/>
      </w:pPr>
      <w:r>
        <w:rPr>
          <w:rFonts w:ascii="Amiri" w:hAnsi="Amiri" w:eastAsia="Amiri" w:cs="Amiri"/>
          <w:color w:val="111111"/>
          <w:sz w:val="28"/>
          <w:sz w:val="28"/>
          <w:szCs w:val="28"/>
          <w:rtl w:val="true"/>
          <w:lang w:bidi="ar-SA"/>
        </w:rPr>
        <w:t>الحاكمة بأنّ الماء إذا جامع وصفي الإطلاق و الطهارة فهو مطهّر عن الحدث و مزيل للخبث و المفروض منه، فيجب كونه كذلك،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الطهوريّة قد حصلت منه بالفرض فلا يصلح لها ثانيا، تقييد في موضوع القاعدة فلا يصار إليه إلاّ بدليل، و أيّ دليل عليه في المقام</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804676_1280447820"/>
      <w:bookmarkStart w:id="431" w:name="_Toc169"/>
      <w:bookmarkEnd w:id="430"/>
      <w:r>
        <w:rPr>
          <w:rtl w:val="true"/>
        </w:rPr>
        <w:t>و سابعها</w:t>
      </w:r>
      <w:r>
        <w:rPr>
          <w:rtl w:val="true"/>
        </w:rPr>
        <w:t xml:space="preserve">: </w:t>
      </w:r>
      <w:r>
        <w:rPr>
          <w:rtl w:val="true"/>
        </w:rPr>
        <w:t>قوله تعالى</w:t>
      </w:r>
      <w:r>
        <w:rPr>
          <w:rtl w:val="true"/>
        </w:rPr>
        <w:t xml:space="preserve">: </w:t>
      </w:r>
      <w:r>
        <w:rPr>
          <w:rtl w:val="true"/>
        </w:rPr>
        <w:t>فَلَمْ تَجِدُوا مٰاءً فَتَيَمَّمُوا الآية،</w:t>
      </w:r>
      <w:bookmarkEnd w:id="431"/>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1425"/>
      </w:r>
      <w:r>
        <w:rPr>
          <w:rFonts w:ascii="Amiri" w:hAnsi="Amiri" w:eastAsia="Amiri" w:cs="Amiri"/>
          <w:color w:val="111111"/>
          <w:sz w:val="28"/>
          <w:sz w:val="28"/>
          <w:szCs w:val="28"/>
          <w:rtl w:val="true"/>
          <w:lang w:bidi="ar-SA"/>
        </w:rPr>
        <w:t>الآية، فإنّه يدلّ على المنع من التيمّم مع وجود الماء، فالماء المفروض مع وجوده يوجب أن لا يصدق هنا قضيّة عدم وجدان الماء فلم يجز التيمّم، و معه وجب استعماله للإجماع على عدم سقوط الطهارة حينئذ</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بمفهومها دلّت على عدم وجوب التيمّم مع وجدان الماء، و إذا انضمّ إليه الإجماع المذكور مع الإجماع على أنّ التيمّم حيثما لم يجب لم يجز، ثبت وجوب استعمال الماء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عساه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دلّت عليه الآية إنّما هو جواز التيمّم مع عدم وجدان الماء، و عدم جوازه مع وجدانه، و أمّا أنّ هذا الماء أيّ ماء، و أيّ نوع منه فليست الآية بصدد تفصيله، على معنى أنّها ساكتة عن بيان الموضوع و تعيينه بالتعميم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الإهمال ينافيه ما هو مفاد الشرطيّة من السببيّة الثانية، و مرجع الايراد إلى منع العموم في المفهوم، و قد سبق تفصيل إبطاله في غير موضع ممّا تعلّق بمفهوم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و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وجدان الماء كائنا ما كان مانعا عن التيمّم، من غير فرق في ذلك بين حمل عدم الوجدان على معناه الظاهر المرادف لعدم التمكّن العقلي، أو ما يعمّه و عدم التمكّن الشرعي الغير المنافي للتمكّن العقلي، ليشمل صور وجود الماء المغصوب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بعدم وجدان الماء عدم التمكّن من استعماله لا فقده بالمرّة، و عدم التمكّن كما يكون لعدم القدرة الذاتيّة، كذا يكون لنهي الشارع عن استعماله لا فقده بالمرّة، فهذا الماء يحتمل أن يكون منهيّا عن استعماله شرعا فيكون غير متمكّن من استعماله، كما يحتمل أن يكون مرخّصا فيه فيكون متمكّنا عن استعماله، فلم يعلم بتعلّق حكم المنطوق به و 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وقع له، فإنّ مجرّد احتمال المنع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منفيّا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التمكّن شرعا، و معه فالماء المفروض مندرج في المفهوم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باندراجه في المنطوق المعلّق على عدم التمكّن، لأنّ ما لم يقم من الشرع دليل على جواز استعماله في الطهارة فالأصل عدمه، فيكون الآية على هذا التقدير دليلا على المنع، واضح المنع، بأنّ جواز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مفهوم الآية المستند إلى انفهام السببيّة التامّة معلّق على القدرة الذاتيّة مع عدم منع الشارع عن الاستعمال و هما حاصلان في المقام،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قيام المنع المنفيّ احتماله بالأصل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ذلك بأنّ ذلك لا يقتضي إلاّ جواز استعماله حال الضرورة، و لعلّه ليس من محلّ النزاع بالنظر إلى ما يأتي ذكره، فلا يمكن تتميمه بعدم القول بالفصل بالنسبة إلى حالتي الاختيار و الضرورة، إلاّ أن يقال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ماء جاز استعماله في </w:t>
      </w:r>
      <w:bookmarkStart w:id="432" w:name="pg16144_233319"/>
    </w:p>
    <w:p>
      <w:pPr>
        <w:pStyle w:val="BookText"/>
        <w:rPr/>
      </w:pPr>
      <w:bookmarkEnd w:id="432"/>
      <w:r>
        <w:rPr>
          <w:rFonts w:ascii="Amiri" w:hAnsi="Amiri" w:eastAsia="Amiri" w:cs="Amiri"/>
          <w:color w:val="111111"/>
          <w:sz w:val="28"/>
          <w:sz w:val="28"/>
          <w:szCs w:val="28"/>
          <w:rtl w:val="true"/>
          <w:lang w:bidi="ar-SA"/>
        </w:rPr>
        <w:t>موضع مظنّة التيمّم، جاز استعماله في غير موضع مظنّته بالإجماع المركّب، و يبقى الكلام حينئذ في إثبات هذا الإجماع ليثبت به الملازمة المذكورة، و هو محلّ تأمّل</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804678_1280447820"/>
      <w:bookmarkStart w:id="434" w:name="_Toc170"/>
      <w:bookmarkEnd w:id="433"/>
      <w:r>
        <w:rPr>
          <w:rtl w:val="true"/>
        </w:rPr>
        <w:t>و ثامنها</w:t>
      </w:r>
      <w:r>
        <w:rPr>
          <w:rtl w:val="true"/>
        </w:rPr>
        <w:t xml:space="preserve">: </w:t>
      </w:r>
      <w:r>
        <w:rPr>
          <w:rtl w:val="true"/>
        </w:rPr>
        <w:t>ما احتجّ به العلاّمة في المختلف</w:t>
      </w:r>
      <w:r>
        <w:rPr>
          <w:rtl w:val="true"/>
        </w:rPr>
        <w:t>: «</w:t>
      </w:r>
      <w:r>
        <w:rPr>
          <w:rtl w:val="true"/>
        </w:rPr>
        <w:t>من أنّه لو لم يجز إزالة الحدث به لم يجز إزالة النجاسة به، و الثاني باطل،</w:t>
      </w:r>
      <w:bookmarkEnd w:id="434"/>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الخصم قد سلّم إزالة النجاسة به، 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ماء طاهر، فجاز إزالة النجاسة به للأمر بالغسل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النجاسة العينيّة نجاسة حقيقيّة، و الحدث نجاسة حكميّة، و رافع أقوى النجاستين يجب أن يكون رافعا لأضعفهما</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و هو واضح الضعف، لوضوح منع الملازمة، ببطلان دعوى الأقوائيّة في النجاسة العينيّة و الأضعفيّة في خلافها، بل القضيّة عند التحقّق منعكسة، و لذا يغتفر الأوّل في الصلاة في كثير من صورها بخلاف الثاني، إذ لا يغتفر أصلا إلاّ إذا قارن ارتفاع التكليف عن الصلاة بالمرّة، و كذلك يتسامح في الأوّل بما لا يتسامح في الثاني، و لذا ترى أنّ زوال الأوّل يحصل بالماء المغصوب، و بمباشرة الغير، و بإجبار الغير عليه بخلاف الثاني، مع أنّ اختلاف حكميهما كمّا و كيفا من أقوى الشواهد بانتفاء الملازمة فيما بينهما شرعا</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804680_1280447820"/>
      <w:bookmarkStart w:id="436" w:name="_Toc171"/>
      <w:bookmarkEnd w:id="435"/>
      <w:r>
        <w:rPr>
          <w:rtl w:val="true"/>
        </w:rPr>
        <w:t>و تاسعها</w:t>
      </w:r>
      <w:r>
        <w:rPr>
          <w:rtl w:val="true"/>
        </w:rPr>
        <w:t xml:space="preserve">: </w:t>
      </w:r>
      <w:r>
        <w:rPr>
          <w:rtl w:val="true"/>
        </w:rPr>
        <w:t xml:space="preserve">ما احتجّ به في المختلف أيضا، من </w:t>
      </w:r>
      <w:r>
        <w:rPr>
          <w:rtl w:val="true"/>
        </w:rPr>
        <w:t>«</w:t>
      </w:r>
      <w:r>
        <w:rPr>
          <w:rtl w:val="true"/>
        </w:rPr>
        <w:t>أنّ زوال الطهوريّة عن هذا الماء مع ثبوتها في المستعمل في الصغرى ممّا لا يجتمعان،</w:t>
      </w:r>
      <w:bookmarkEnd w:id="436"/>
    </w:p>
    <w:p>
      <w:pPr>
        <w:pStyle w:val="BookText"/>
        <w:rPr/>
      </w:pPr>
      <w:r>
        <w:rPr>
          <w:rFonts w:ascii="Amiri" w:hAnsi="Amiri" w:eastAsia="Amiri" w:cs="Amiri"/>
          <w:color w:val="111111"/>
          <w:sz w:val="28"/>
          <w:sz w:val="28"/>
          <w:szCs w:val="28"/>
          <w:rtl w:val="true"/>
          <w:lang w:bidi="ar-SA"/>
        </w:rPr>
        <w:t>و الثاني ثابت بالإجماع فينتفي الأوّل، و الدليل على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الحدث مع طهارة المحلّ إمّا أن يقتضي زوال الطهوريّة عن هذا الماء أو لا يقتضي، و أيّا ما كان يلزم عدم الاجتماع، 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فلاقتضائه زوال الطهوريّة عن المستعمل في الصغرى، و أمّا على التقدير الثاني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صلاحية علّيّته لإزالة الطهوريّة عن محلّ النزاع، و لا مقتضي للإزالة سواه، فيكون الإزالة منتفية عملا بأصالة طهوريّة الماء، السالمة عن معارضة العلّيّة</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و هذا كما ترى أضعف من سابقه، فإنّ دعوى عدم اجتماع الحكمين مع تعدّد موضوعيهما كما ترى، إذ ملاحظة رفع الحدث بعنوان كلّي في بيان عدم الاجتماع ممّا لا معنى له، بعد ملاحظة أنّه في الصغرى موضوع، و في الكبرى موضوع آخر مغاير للأوّل، و إنّما يختلف الموضوعان باختلاف الإضافة المختلفة بحسب اختلاف المضاف إليه، فإنّ الحدث </w:t>
      </w:r>
      <w:bookmarkStart w:id="437" w:name="pg16144_233320"/>
    </w:p>
    <w:p>
      <w:pPr>
        <w:pStyle w:val="BookText"/>
        <w:rPr/>
      </w:pPr>
      <w:bookmarkEnd w:id="437"/>
      <w:r>
        <w:rPr>
          <w:rFonts w:ascii="Amiri" w:hAnsi="Amiri" w:eastAsia="Amiri" w:cs="Amiri"/>
          <w:color w:val="111111"/>
          <w:sz w:val="28"/>
          <w:sz w:val="28"/>
          <w:szCs w:val="28"/>
          <w:rtl w:val="true"/>
          <w:lang w:bidi="ar-SA"/>
        </w:rPr>
        <w:t>الأصغر مع الحدث الأكبر أمران متغايران، دلّ على تغايرهما الشرع بما رتّب على كلّ أحكاما غير الأحكام المترتّبة على الآخر، كما يفصح عن ذلك حرمة دخول المسجدين، و اللبث في سائر المساجد، و قراءة سور العزائم، و كراهة الأكل و الشرب و النوم بلا وضوء و لا تيمّم مع الثاني، و انتفاء هذه الأحكام بأسرها مع الأوّل، و اعتبار الموالاة و الترتيب بين أجزاء العضو في الأوّل دون الثاني، و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اللوازم ممّا يكشف عن اختلاف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الحدث في بيان ما ادّعي من عدم إمكان الاجتماع إن اريد به رفع الأصغر، فهو لا يقتضي زوال الطهوريّة عمّا استعمل فيه، و لا يدخل فيه رفع الأكبر لما بيّنّاه من المغايرة بينهما، و إن اريد به رفع الأكبر، فلو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 زوال الطهوريّة، فهو ممّا لا رادع له إلاّ القياس الباطل، و تتميمه بأصالة عدم زوال الطهوريّة ممّا يرفع الحاجة إلى تحمّل المشقّة في نظم هذا الوجه العليل بطوله، و إن اريد به المعنى الأعمّ فمرجعه إلى الخلط بين المسألتين، فلا يصغى إليه جدّا</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804682_1280447820"/>
      <w:bookmarkStart w:id="439" w:name="_Toc172"/>
      <w:bookmarkEnd w:id="438"/>
      <w:r>
        <w:rPr>
          <w:rtl w:val="true"/>
        </w:rPr>
        <w:t>و عاشرها</w:t>
      </w:r>
      <w:r>
        <w:rPr>
          <w:rtl w:val="true"/>
        </w:rPr>
        <w:t xml:space="preserve">: </w:t>
      </w:r>
      <w:r>
        <w:rPr>
          <w:rtl w:val="true"/>
        </w:rPr>
        <w:t>عدّة من الروايات</w:t>
      </w:r>
      <w:bookmarkEnd w:id="439"/>
    </w:p>
    <w:p>
      <w:pPr>
        <w:pStyle w:val="BookText"/>
        <w:rPr/>
      </w:pP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أبي الحسن الأوّل عن الرجل يصيب الماء في ساقية، أو مستنقع، أ يغتسل منه للجنابة، أو يتوضّأ منه للصلاة إذا كان لا يجد غيره؟ و الماء لا يبلغ صاعا للجنابة، و لا مدّا للوضوء، و هو متفرّق فكيف يصنع؟ و هو يتخوّف أن تكون السباع قد شربت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يده نظيفة فليأخذ كفّا من الماء بيد واحدة، فلينضحه خلفه، و كفّا أمامه، و كفّا عن يمينه، و كفّا عن شماله، فإن خشي أن لا يكفيه، غسل رأسه ثلاث مرّات، ثمّ مسح جلده بيده، فإنّ ذلك يجزيه، و إن كان الوضوء غسل وجهه و مسح يده على ذراعيه و رأسه، و رجليه، و إن كان الماء متفرّقا فقدر أن يجمعه، و إلاّ اغتسل من هذا و هذا، و إن كان في مكان واحد، و هو قليل، لا يكفيه لغسله، فلا عليه أن يغتسل، و يرجع الماء فيه، فإنّ ذلك يجزيه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صحّة الاستدلال بتلك الرواية و سقمه يستدعي معرفتهما النظر في فهم </w:t>
      </w:r>
    </w:p>
    <w:p>
      <w:pPr>
        <w:pStyle w:val="BookText"/>
        <w:rPr/>
      </w:pPr>
      <w:r>
        <w:rPr>
          <w:rFonts w:ascii="Amiri" w:hAnsi="Amiri" w:eastAsia="Amiri" w:cs="Amiri"/>
          <w:color w:val="111111"/>
          <w:sz w:val="28"/>
          <w:sz w:val="28"/>
          <w:szCs w:val="28"/>
          <w:rtl w:val="true"/>
          <w:lang w:bidi="ar-SA"/>
        </w:rPr>
        <w:t>الفقرات الّتي تضمّنتها، فإنّها غير خالية عن وصمة الشبهة و الإجمال في بادي الرأي، و من جملة تلك الفقرات ما تضمّنته أوّلا من الأمر بنضح الجوانب الأربع بأربعة أكفّ من الماء، و به ورد روايات اخر مثل رواية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لي ثقة، أنّه سأل أبا عبد اللّه عليه السّلام عن الرجل ينتهي إلى الماء القليل في الطريق، فيريد أن يغتسل، و ليس معه إناء، و الماء في وهدة، فإن هو اغتسل رجع غسله في الماء،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 بكفّ بين يديه، و كفّا من خلفه، و كفّا عن يمينه، و كفّا عن شماله، ثمّ يغتسل</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أنّه رواه في المعتبر</w:t>
      </w:r>
      <w:r>
        <w:rPr>
          <w:rStyle w:val="FootnoteAnchor"/>
          <w:rtl w:val="true"/>
        </w:rPr>
        <w:footnoteReference w:id="1431"/>
      </w:r>
      <w:r>
        <w:rPr>
          <w:rFonts w:ascii="Amiri" w:hAnsi="Amiri" w:eastAsia="Amiri" w:cs="Amiri"/>
          <w:color w:val="111111"/>
          <w:sz w:val="28"/>
          <w:sz w:val="28"/>
          <w:szCs w:val="28"/>
          <w:rtl w:val="true"/>
          <w:lang w:bidi="ar-SA"/>
        </w:rPr>
        <w:t xml:space="preserve">نقلا من كتاب الجامع لأحمد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ميسّر،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w:t>
      </w:r>
      <w:r>
        <w:rPr>
          <w:rStyle w:val="FootnoteAnchor"/>
          <w:rtl w:val="true"/>
        </w:rPr>
        <w:footnoteReference w:id="1432"/>
      </w:r>
      <w:r>
        <w:rPr>
          <w:rFonts w:ascii="Amiri" w:hAnsi="Amiri" w:eastAsia="Amiri" w:cs="Amiri"/>
          <w:color w:val="111111"/>
          <w:sz w:val="28"/>
          <w:sz w:val="28"/>
          <w:szCs w:val="28"/>
          <w:rtl w:val="true"/>
          <w:lang w:bidi="ar-SA"/>
        </w:rPr>
        <w:t>أنّه نقله في آخر السرائر من كتاب نوادر البزنطي، عن عبد الكريم، عن محمّد بن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ماء و فيه قلّة، فانضح عن يمينك و عن يسارك و بين يديك و توضّأ</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محلّ النضح، و في الحكمة الداعية إليه، و في المسائل</w:t>
      </w:r>
      <w:r>
        <w:rPr>
          <w:rStyle w:val="FootnoteAnchor"/>
          <w:rtl w:val="true"/>
        </w:rPr>
        <w:footnoteReference w:id="1434"/>
      </w:r>
      <w:r>
        <w:rPr>
          <w:rFonts w:ascii="Amiri" w:hAnsi="Amiri" w:eastAsia="Amiri" w:cs="Amiri"/>
          <w:color w:val="111111"/>
          <w:sz w:val="28"/>
          <w:sz w:val="28"/>
          <w:szCs w:val="28"/>
          <w:rtl w:val="true"/>
          <w:lang w:bidi="ar-SA"/>
        </w:rPr>
        <w:t>عن المحقّق أنّه في المعتبر</w:t>
      </w:r>
      <w:r>
        <w:rPr>
          <w:rStyle w:val="FootnoteAnchor"/>
          <w:rtl w:val="true"/>
        </w:rPr>
        <w:footnoteReference w:id="1435"/>
      </w:r>
      <w:r>
        <w:rPr>
          <w:rFonts w:ascii="Amiri" w:hAnsi="Amiri" w:eastAsia="Amiri" w:cs="Amiri"/>
          <w:color w:val="111111"/>
          <w:sz w:val="28"/>
          <w:sz w:val="28"/>
          <w:szCs w:val="28"/>
          <w:rtl w:val="true"/>
          <w:lang w:bidi="ar-SA"/>
        </w:rPr>
        <w:t>حكى في تفسير نضح الأكفّ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رشّ الأرض، ليجتمع أجزاؤها، فيمتنع سرعة انحدار ما ينفصل من بدنه إلى الماء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بلّ جسده قبل الاغتسال، ليتعجّل قبل أن ينحدر ما ينفصل منه و يعود إلى الماء، و حكاهما العلاّمة أيضا في المنتهى</w:t>
      </w:r>
      <w:r>
        <w:rPr>
          <w:rStyle w:val="FootnoteAnchor"/>
          <w:rtl w:val="true"/>
        </w:rPr>
        <w:footnoteReference w:id="1436"/>
      </w:r>
      <w:r>
        <w:rPr>
          <w:rFonts w:ascii="Amiri" w:hAnsi="Amiri" w:eastAsia="Amiri" w:cs="Amiri"/>
          <w:color w:val="111111"/>
          <w:sz w:val="28"/>
          <w:sz w:val="28"/>
          <w:szCs w:val="28"/>
          <w:rtl w:val="true"/>
          <w:lang w:bidi="ar-SA"/>
        </w:rPr>
        <w:t>، و صاحب المدارك في حاشية الاستبصار</w:t>
      </w:r>
      <w:r>
        <w:rPr>
          <w:rStyle w:val="FootnoteAnchor"/>
          <w:rtl w:val="true"/>
        </w:rPr>
        <w:footnoteReference w:id="1437"/>
      </w:r>
      <w:r>
        <w:rPr>
          <w:rFonts w:ascii="Amiri" w:hAnsi="Amiri" w:eastAsia="Amiri" w:cs="Amiri"/>
          <w:color w:val="111111"/>
          <w:sz w:val="28"/>
          <w:sz w:val="28"/>
          <w:szCs w:val="28"/>
          <w:rtl w:val="true"/>
          <w:lang w:bidi="ar-SA"/>
        </w:rPr>
        <w:t>غير أنّه عدل عنهما باستظهار احتمال ثالث،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يظهر أنّ المراد به نضح الأرض، لكن لا لهذه الفائدة، بل لإلقاء الخبث المتوهّم الحاصل في وجه الماء، كما يدلّ عليه قوله عليه السّلام في رواية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أتيت ماء و فيه قلّة فانضح عن </w:t>
      </w:r>
    </w:p>
    <w:p>
      <w:pPr>
        <w:pStyle w:val="BookText"/>
        <w:rPr/>
      </w:pPr>
      <w:r>
        <w:rPr>
          <w:rFonts w:ascii="Amiri" w:hAnsi="Amiri" w:eastAsia="Amiri" w:cs="Amiri"/>
          <w:color w:val="111111"/>
          <w:sz w:val="28"/>
          <w:sz w:val="28"/>
          <w:szCs w:val="28"/>
          <w:rtl w:val="true"/>
          <w:lang w:bidi="ar-SA"/>
        </w:rPr>
        <w:t>يمينك، و عن يسارك، و بين يديك و توضّأ</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و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عرضك في قلبك شيء فافعل هكذا، يعني افرج الماء بيديك ثمّ توضّأ</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و تمام الحديث قد تقدّم في بحث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النضح هو الأرض، و الحكمة فيه عدم رجوع ماء الغسل، لكن لا من جهة كونه غسالة بل من جهة النجاسة الوهميّة الّتي في الأرض فالنضح إنّما هو لإزالة النجاسة الوهميّة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الآخر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الحكمة إنّما هي رفع ما يستقذر منه الطبع من الكثافات، بأن يؤخذ من وجه الماء أربع أكفّ و ينضح على الأرض، نسبه في الحدائق</w:t>
      </w:r>
      <w:r>
        <w:rPr>
          <w:rStyle w:val="FootnoteAnchor"/>
          <w:rtl w:val="true"/>
        </w:rPr>
        <w:footnoteReference w:id="1440"/>
      </w:r>
      <w:r>
        <w:rPr>
          <w:rFonts w:ascii="Amiri" w:hAnsi="Amiri" w:eastAsia="Amiri" w:cs="Amiri"/>
          <w:color w:val="111111"/>
          <w:sz w:val="28"/>
          <w:sz w:val="28"/>
          <w:szCs w:val="28"/>
          <w:rtl w:val="true"/>
          <w:lang w:bidi="ar-SA"/>
        </w:rPr>
        <w:t>إلى صاحب المدارك في حاشية الاستبصار، و لكن عبارته المتقدّمة يأباه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أيضا أنّ المراد بمحلّ النضح البدن، لكن الحكمة فيه ترطيب البدن قبل الغسل لئلاّ ينفصل عنه ماء الغسل كثيرا، فلا يفي بغسله لقلّة الماء، و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نضح البدن لحكمة إزالة توهّم ورود الغسالة، إمّا بحمل ما يرد على الماء على وروده ممّا نضح على البدن قبل الغسل الّذي ليس من الغسالة، و إمّا أنّه مع الاكتفاء بالمسح بعد النضح لا يرجع إلى الماء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عجز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صحيحة عليّ بن جعفر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نفي البأس، فحكم النضح للاستحباب</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 و غرضه بذلك أنّ النضح سواء اريد به نضح الأرض أو البدن، ليس لحكمة ما قيل من عدم انحدار ما ينفصل من البدن إلى الماء، و هذا مبنيّ على توهّم دلالة الرواية على عدم المنع عن استعمال المستعمل، كما أنّ القول المنقولين في المعتبر و غيره مبنيّان على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المراد نضح البدن بجميع محتملاته بالنسبة إلى الحكمة، فممّا ينبغي القطع ببطلانه، لدلالة صريح رواية الكاهلي، و ظاهر صحيحة عليّ بن جعفر بذلك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فلمكان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بالنضح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الجوانب </w:t>
      </w:r>
    </w:p>
    <w:p>
      <w:pPr>
        <w:pStyle w:val="BookText"/>
        <w:rPr/>
      </w:pPr>
      <w:r>
        <w:rPr>
          <w:rFonts w:ascii="Amiri" w:hAnsi="Amiri" w:eastAsia="Amiri" w:cs="Amiri"/>
          <w:color w:val="111111"/>
          <w:sz w:val="28"/>
          <w:sz w:val="28"/>
          <w:szCs w:val="28"/>
          <w:rtl w:val="true"/>
          <w:lang w:bidi="ar-SA"/>
        </w:rPr>
        <w:t>الأربع حينئذ ممّا لا يتصوّر بالنسبة إلى الوضوء، و احتمال كون التوضّي مرادا به هنا الاغتسال، كما ترى ممّا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خشي أن لا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بالقياس إلى ما قبله مجملا، من حيث احتمال كونه أمرا بالعدول عن نضح الأكفّ في موضع خشية عدم كفاية الباقي من الماء إلى الغسل و المسح اللذين أمر بهما، فيكون تنبيها على سقوط النضح حينئذ، و احتمال كونه أمرا بالكيفيّة المذكورة في موضوع الخشية بعد الفراغ عن نضح الأكفّ، و 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صنع النضح كما فصّل فصادف خشية عدم كفاية الباقي فليفعل في طهارته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الاحتمالين أنّ الخشية إذا قسناه إلى نضح الأكفّ قبلا و بعدا لا بدّ له من متعلّق مقدّر، فإمّا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 قبل أن ينضح أن لا يكفيه ليفعل هكذا، و إمّا أن يكون أنّه إن خشي بعد ما فرغ عن النضح أن لا يكفيه ليفعل هكذا، فعلى الأوّل يكون النضح المأمور به معلّقا، و على الثاني يكون مطلقا، و على التقديرين فهو بالقياس إلى ما بعده مفصّل، لتضمّنه تعليم كيفيّة الغسل و الوضوء في محلّ خشية عدم كفاية الباقي من النضح، مع حصول النضح أو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ما كان فالوضوء بقرينة التفصيل اللاحق مندرج في الحكم السابق، سواء اعتبرناه معلّقا أو مطلقا، و قد عرفت أنّ نضح البدن في جهاته الأربع بالنسبة إلى الوضوء و مريد التوضّي، ممّا لا معنى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بالنضح الوارد في الروايات إنّما هو نضح الأرض، بدلالة ما قرّرناه، لكن الكلام يبقى في الحكمة الباعثة عليه، و الّذي يترجّح في النظر القاصر أنّه لأجل إزالة أثر أقدام السباع الّتي منها الكلب و الخنزير، المتوهّم انطباعه على جوانب الساقية أو النقيع من الأرض، المحتمل بقاؤه بعد ذهابهنّ عن الماء، لئلاّ ينكشف فساد الماء بعد استعماله في الغسل أو الوضوء، لمكان كونه قليلا قابلا للانفعال بمباشرة نجس العين، فإنّ الإنسان ربّما يستعمل الماء فيهما، فيتبيّن له بعده من آثار أقدامهنّ في حوالي الماء و جوانبه الأربع ما تكون ملزوما للعلم العادي بمباشرتهنّ الماء، فيفسد عليه الطهارة، و يشقّ عليه الأمر في تطهير ثيابه و أعضاء طهارته مع قلّة الماء و إعوازه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يرشد إلى إرادة هذا المعنى قول السائل و هو يتخوّف أن تكون السباع قد شربت منه، فإنّ السؤال مفروض في موضع احتمال تردّد السباع المستلزم لمباشرة الماء الموجبة لانفعاله، و الجواب خارج على طبقه، و مراد به التنبيه على عدم الاعتناء بهذا الاحتمال، و عدم وجوب مراعاة المباشرة المحتملة بالنظر في تحصيل الأمارات الدالّة عليها، الّتي منها آثار أقدامهنّ، و يبقى بعد ذلك احتمال ظهور الفساد بعد الاستعمال بتبيّن المباشرة بحكم العادة المستندة إلى تبيّن أثر الأقدام، فيتخلّص من ذلك بالنضح على الجوانب الأربع الموجب لزوال الأثر لو كان موجودا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هذا المعنى ما في رواية ابن مسكان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اغتسل رجع غسله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 للجواب الآمر بالنضح على النهج المتقدّم، و إن أوهم في بادي الرأي كونه لحفظ الماء عن ورود الغسل عليه و رجوعه فيه، و منه نشأ توهّم الجماعة ظاهرا، لكون</w:t>
      </w:r>
      <w:r>
        <w:rPr>
          <w:rStyle w:val="FootnoteAnchor"/>
          <w:rtl w:val="true"/>
        </w:rPr>
        <w:footnoteReference w:id="1442"/>
      </w:r>
      <w:r>
        <w:rPr>
          <w:rFonts w:ascii="Amiri" w:hAnsi="Amiri" w:eastAsia="Amiri" w:cs="Amiri"/>
          <w:color w:val="111111"/>
          <w:sz w:val="28"/>
          <w:sz w:val="28"/>
          <w:szCs w:val="28"/>
          <w:rtl w:val="true"/>
          <w:lang w:bidi="ar-SA"/>
        </w:rPr>
        <w:t>المورد محتملا لتردّد السباع و إن لم يذكره السائل، و قد علم به الإمام عليه السّلام فأجاب بموجب ما اقتضاه هذا الاحتمال، لجواز اعتقاده بأنّ ما فرضه السائل غافلا عن هذا الاحتمال ممّا لا حكم له، و لا يترتّب عليه أثر، و لا ينشأ منه محذور بالقياس إلى عدم تعرّضه لبيان ما هو واقع الأمر فيما عرضه السائل على نحو الصراحة، لأنّ عدم التصريح ببيان حال ما لا حكم له شرعا ليس بمناف للحكمة، و إنّما المنافي لها عدم التعرّض لبيان حكم ما له حكم في الشرع، و المقام ليس منه، مع إفادته إرشاد السائل إلى خلوّ مورد السؤال عن جهة المنع بعد استعمال النضح، و إن لم تكن تلك الجهة المنبّه على ارتفاعها بذلك العمل ما توهّمه السائل، و القرينة على ذلك كلّه ما قرّرناه في توجيه صحيحة عليّ بن جعفر، فإنّ الظاهر أنّ هذه الروايات كلّها واردة في سياق واحد لحكمة واحدة، و قضيّة ذلك كلّه كون الأمر بالنضح الوارد إرشاديّا مرادفا للاستحباب، مرادا به إرشاد السائل إلى طريق الاحتياط، و الأخذ بالأوثق الّذي هو حسن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الاخر الّتي ذكروها في المقام فليس شيء منها بشيء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 رشّ الأرض ملزوما عقليّا و لا عاديّا لإمساك الغسالة </w:t>
      </w:r>
    </w:p>
    <w:p>
      <w:pPr>
        <w:pStyle w:val="BookText"/>
        <w:rPr/>
      </w:pPr>
      <w:r>
        <w:rPr>
          <w:rFonts w:ascii="Amiri" w:hAnsi="Amiri" w:eastAsia="Amiri" w:cs="Amiri"/>
          <w:color w:val="111111"/>
          <w:sz w:val="28"/>
          <w:sz w:val="28"/>
          <w:szCs w:val="28"/>
          <w:rtl w:val="true"/>
          <w:lang w:bidi="ar-SA"/>
        </w:rPr>
        <w:t>عن انحدارها و لا بطء انحدارها إلى الماء، بل له مزيد مدخل في استعداد الأرض، لإفادتها إيّاها سرعة الانحدار إليه، كما تنبّه عليه ابن إدريس</w:t>
      </w:r>
      <w:r>
        <w:rPr>
          <w:rStyle w:val="FootnoteAnchor"/>
          <w:rtl w:val="true"/>
        </w:rPr>
        <w:footnoteReference w:id="1443"/>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أفاده صاحب المدارك</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فيأباه اعتبار كون النضح على الجهات الأربع، ضرورة أنّ ذلك حكمة تتأتّى بأيّ نحو اتّفق النضح، مع أنّ النجاسة المتوهّمة إن كان لها حقيقة فلا ترتفع بذلك بالضرورة، و إن لم يكن لها حقيقة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شيء من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فائدة، و على التقديرين فلا مورد للاحتياط الّذي كان الأمر بالنضح إرشادا إليه، نظرا إلى الحكمة المذكورة، ضرورة أنّ طريق الاحتياط لا بدّ و أن يكون ملزوما للتحرّز عن المفسدة المحتملة، و لذا تراه موجبا لتيقّن البراءة في موارد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كلّه يتبيّن فساد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لأجل النجاسة الوهميّة الّتي في الأرض، فإنّ هذا الوهم إن كان له حقيقة فالرشّ لا يجدي نفعا في زوال المقتضي، بل ربّما يوجب تضاعفه كما لا يخفى، و إلاّ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أوضح فسادا من الجميع،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بيان طريق رفع هذا الاستقذار ليس من وظيفة الشارع لكونه من الامور البيّنة، 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يقتضي اعتبار الكيفيّة المذكورة في الروايات، بل يتأتّى بالنضح كيفما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في إبطال الوجه الثاني و الثالث ممّا يرد على ما استظهرته من الحكمة، لأنّ احتمال مباشرة السباع للماء إن كان له واقع، فإزالة أثر أقدامهنّ برشّ الأرض، ممّا لا يجدي حينئذ في ارتفاع هذه الجهة الّتي هي المانعة عن الاستعمال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في تأثيرها في المنع معلّقة على العلم بها أو بتحقّق سببها، و رشّ الأرض لإزالة أثر أقدام السباع حيلة اعتبرها الشارع طريقا إلى عدم اتّفاق حصول العلم بتحقّق سبب النجاسة، إذ بدونه ربّما يحصل العلم به و لو بملاحظة العادة، و أمّا معه فينعدم ما هو طريق العلم، و بذلك أمكن أخذ تلك الروايات من أدلّة اعتبار العلم في النجاسات، بخلاف الوجهين المذكورين، فإنّ هذا الكلام ممّا لا يجري فيهما جزما، لاشتراك صورتي الرّش و عدمه في عدم العلم بالنجاسة كما لا يخفى، فمناط سقوط أحكام النجاسة حاصل على كلا التقديرين، فإمّا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النضح معتبر بلا </w:t>
      </w:r>
    </w:p>
    <w:p>
      <w:pPr>
        <w:pStyle w:val="BookText"/>
        <w:rPr/>
      </w:pPr>
      <w:r>
        <w:rPr>
          <w:rFonts w:ascii="Amiri" w:hAnsi="Amiri" w:eastAsia="Amiri" w:cs="Amiri"/>
          <w:color w:val="111111"/>
          <w:sz w:val="28"/>
          <w:sz w:val="28"/>
          <w:szCs w:val="28"/>
          <w:rtl w:val="true"/>
          <w:lang w:bidi="ar-SA"/>
        </w:rPr>
        <w:t>فائدة،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في النجاسة بتحقّق أسبابها في متن الواقع لا العلم به، فالنضح معتبر لإزالة ذلك الأمر الواقعي لا لسدّ طريق العلم به، و أيّا ما كان فهو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وجه آخر لإبطال هذين الوجهين، من حيث ابتنائهما على كون النجاسة من الموانع الواقعيّة دون العلميّة و هو فاسد بالأدلّة القطعيّة، و قد أشرنا إليه في غير موضع ممّا سبق، و لعلّنا نتعرّض لتفصيل تحقيقه في موضع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فقرات الصحيحة المتقدّمة، أنّها دلّت على اعتبار غسل الرأس و مسح الجلد في الغسل، و غسل الوجه مع مسح الذراعين في الوضوء، و قد استشكل في ذلك بعض أصحابنا كصاحب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الخبر قد اشتمل على جملة من الأحكام المخالفة لما عليه علمائنا الأعلام</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ثمّ ذكر من جملة ذلك الحكمين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المسح هنا استعارة لأقلّ ما يقنع به من الماء و استعماله في صورة خشية عدم الكفاية،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الاكتفاء بأقلّ ما يحصل به الواجب من أفراد الغسل، لا المسح الحقيقي المقابل للغسل، و القرينة عليه ما ادّعاه من عمل علمائنا الأعلام إن رجع إلى الإجماع، لأنّه يصلح قرينة على التجوّز، كما يصلح قرينة على التخصيص و غيره، بل و لو رجع إلى نقل الكاشف لكان كافيا في ذلك، لأنّ عملهم يكشف عن وقوفهم على دليل معتبر هو من تلك الرواية بمنزلة قرينة التجوّز، و مخالفة الإجماع أو عمل العلماء إنّما تصير موجبة لوهن الخبر إذا لم يتطرّق إليه التأويل بشيء من وجوهه، الّتي منها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فقراتها ما هو محلّ الاستدلال بها على جواز استعمال غسالة الغسل في الطهارة،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في مكان واحد و هو قليل، لا يكفيه لغسله، فلا عليه أن يغتسل، و يرجع الماء فيه، فإنّ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نفي البأس عمّا رجع ممّا انفصل عن البدن في الماء، فلو لا استعمال ذلك جاز في الطهارة لما كان لذلك وجه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دلالتها على الجواز في حال الضرورة و المدّعى أعمّ منها، و لا يمكن تتميمه بالإجماع المركّب، إذ لم يعلم اتّفاقهم على عدم الفصل، بل ربّما يمكن تنزيل إطلاق المانعين إلى ما عدا الضرورة، كما يومئ إليه كلام الشيخ في كتابي </w:t>
      </w:r>
    </w:p>
    <w:p>
      <w:pPr>
        <w:pStyle w:val="BookText"/>
        <w:rPr/>
      </w:pPr>
      <w:r>
        <w:rPr>
          <w:rFonts w:ascii="Amiri" w:hAnsi="Amiri" w:eastAsia="Amiri" w:cs="Amiri"/>
          <w:color w:val="111111"/>
          <w:sz w:val="28"/>
          <w:sz w:val="28"/>
          <w:szCs w:val="28"/>
          <w:rtl w:val="true"/>
          <w:lang w:bidi="ar-SA"/>
        </w:rPr>
        <w:t>الحديث، حيث يحمل الرواية على صورة الضرورة كما سبق الإشارة إليه، بل ليس ذلك لمجرّد التأويل رفعا للتنافي بين الروايات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يستلزم الاختيار، إنّما هو أخذ بما هو ظاهر الرواية و مفادها، فيكون اختيارا للمذهب، لا أنّه مجرّد وجه جمع ذكره في المقام، فلا إجماع على عدم الفرق، إن لم نقل بأنّ النزاع إنّما هو في غير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النهي المستفاد منها بالقياس إلى حالة الاختيار إنّما اعتبر هنا تنزيها، كما صرّح به العلاّمة في المختلف</w:t>
      </w:r>
      <w:r>
        <w:rPr>
          <w:rStyle w:val="FootnoteAnchor"/>
          <w:rtl w:val="true"/>
        </w:rPr>
        <w:footnoteReference w:id="1446"/>
      </w:r>
      <w:r>
        <w:rPr>
          <w:rFonts w:ascii="Amiri" w:hAnsi="Amiri" w:eastAsia="Amiri" w:cs="Amiri"/>
          <w:color w:val="111111"/>
          <w:sz w:val="28"/>
          <w:sz w:val="28"/>
          <w:szCs w:val="28"/>
          <w:rtl w:val="true"/>
          <w:lang w:bidi="ar-SA"/>
        </w:rPr>
        <w:t>، ممّا لا يلتفت إليه، بعد ظهور الرواية في المنع التحريمي، و من هنا أمكن جعلها من أدلّة القول بالمنع، عملا بمفهوم الشرط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مكان واحد و هو قليل لا يكفيه لغسله، فلا عليه أن يغتسل، و يرجع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البأس في الصورة المفروضة لعلّه من جهة حصول الاستهلاك و صيرورة الماءين واحد، المستلزمة لعدم صدق عنوان التطهير بالمستعمل، فتكون الرواية دالّة على الجواز فيما هو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الاعتراضين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قصور الرواية عن الدلالة على الجواز بالنسبة إلى حال الاختيار، و لكن بملاحظة ما في كلام السائل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بملاحظة ما في الجواب من فرض وحدة المكان و قلّة الماء معها و عدم كفايته لغسله، فله وجه، نظرا إلى أنّ الجواب ينصرف إلى مفروض السؤال، و ليس فيه لفظ عامّ و لا مطلق صالح لأنّ يتناول مورد السؤال و غيره، فهو بالنسبة إلى حالة الاختيار ساكت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الدلالة على المنع في حالة الاختيار أيضا، و لكن بملاحظة ما في الجواب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في مكان واحد و هو قليل، لا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حيّز المنع، إذ لا مدرك لهذه الدلالة إلاّ قاعدة المفهوم، و هو إمّا يعتبر من الشرطيّة، أو من التقييد بوصف وحدة المكان، أو من التقييد بالقلّة مع عدم الكفاية، و لا سبيل إلى شيء من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مثل هذا الشرط إنّما يعتبر لبيان موضوع الحكم، لا للتعليق المنحلّ إلى إفادة لزوم الوجود للوجود و الانتفاء للانتفاء، فلا مفهوم له، إذ لا معنى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في مكان واحد و هو قليل لا يكفيه لغسله فعليه بأس أن يغتسل و يرجع الماء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 بل لو كان هناك مفهوم فهو مفهوم موافقة، لمكان أولويّة عدم البأس مع الفرض المذكور، و على كلّ تقدير فلا يدخل فيه حالة الاختيار إلاّ إذا اعتبر المفهوم بالنسبة إلى القيود المذكورة أيضا، و هو كما ترى خروج عن الاستناد إلى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عندنا من عدم حجّيّة مفهوم الوصف، و لا يلزم بذلك خروج القيود المذكورة لغوا لظهور كون النكتة في اعتبارها هنا سبق السؤال عمّا يستلزمها،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ثاني الاعتراضين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الاستهلاك مع فرض القلّة، على نحو لا يكون كافيا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الماءين بعد صيرورتهما واحدا لا يصدق عليه المستعمل و لا غير المستعمل، بل هو مركّب منهما، و المركّب خارج عن كلّ منهما فيكون خارجا عن المتنازع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تعرّض فيها لحالة الاختيار، و أمّا في حالة الضرورة فتدلّ على الجواز في المركّب من المستعمل و غيره، و أمّا المستعمل الصرف فيبقى حكمه غير مستفاد من الرواية نفيا و إثباتا، و من هنا يعلم أنّ ما في كلام غير واحد كصاحب الحدائق</w:t>
      </w:r>
      <w:r>
        <w:rPr>
          <w:rStyle w:val="FootnoteAnchor"/>
          <w:rtl w:val="true"/>
        </w:rPr>
        <w:footnoteReference w:id="1447"/>
      </w:r>
      <w:r>
        <w:rPr>
          <w:rFonts w:ascii="IRNazanin" w:hAnsi="IRNazanin" w:eastAsia="IRNazanin"/>
          <w:color w:val="111111"/>
          <w:sz w:val="28"/>
          <w:sz w:val="28"/>
          <w:szCs w:val="28"/>
          <w:rtl w:val="true"/>
          <w:lang w:bidi="fa-IR"/>
        </w:rPr>
        <w:t>، و صاحب المناهل</w:t>
      </w:r>
      <w:r>
        <w:rPr>
          <w:rStyle w:val="FootnoteAnchor"/>
          <w:rtl w:val="true"/>
        </w:rPr>
        <w:footnoteReference w:id="1448"/>
      </w:r>
      <w:r>
        <w:rPr>
          <w:rFonts w:ascii="Amiri" w:hAnsi="Amiri" w:eastAsia="Amiri" w:cs="Amiri"/>
          <w:color w:val="111111"/>
          <w:sz w:val="28"/>
          <w:sz w:val="28"/>
          <w:szCs w:val="28"/>
          <w:rtl w:val="true"/>
          <w:lang w:bidi="ar-SA"/>
        </w:rPr>
        <w:t>، كالعلاّمة في المختلف</w:t>
      </w:r>
      <w:r>
        <w:rPr>
          <w:rStyle w:val="FootnoteAnchor"/>
          <w:rtl w:val="true"/>
        </w:rPr>
        <w:footnoteReference w:id="1449"/>
      </w:r>
      <w:r>
        <w:rPr>
          <w:rFonts w:ascii="Amiri" w:hAnsi="Amiri" w:eastAsia="Amiri" w:cs="Amiri"/>
          <w:color w:val="111111"/>
          <w:sz w:val="28"/>
          <w:sz w:val="28"/>
          <w:szCs w:val="28"/>
          <w:rtl w:val="true"/>
          <w:lang w:bidi="ar-SA"/>
        </w:rPr>
        <w:t>، و الشيخ في كتابي الحديث</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1"/>
      </w:r>
      <w:r>
        <w:rPr>
          <w:rFonts w:ascii="Amiri" w:hAnsi="Amiri" w:eastAsia="Amiri" w:cs="Amiri"/>
          <w:color w:val="111111"/>
          <w:sz w:val="28"/>
          <w:sz w:val="28"/>
          <w:szCs w:val="28"/>
          <w:rtl w:val="true"/>
          <w:lang w:bidi="ar-SA"/>
        </w:rPr>
        <w:t>، و غيرهما من التزام دلالتها على الجواز مطلقا في حالة الضرورة ليس في محلّه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سلّمنا دلالتها على المنع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مطلوب المانعين على الإطلاق، بل غايته الدلالة على المنع عن استعمال المستعمل في طهارة في نفس تلك الطهارة لا في طهارة اخرى، كما لو غسل عضو من أعضاء الوضوء أو الغسل بما انفصل عن العضو الآخر، و هذه المسألة غير مذكورة في كلامهم، و لا أنّ عناوين المسألة المبحوث عنها شاملة لها، لكونها بين صريحة و ظاهرة في إرادة </w:t>
      </w:r>
    </w:p>
    <w:p>
      <w:pPr>
        <w:pStyle w:val="BookText"/>
        <w:rPr/>
      </w:pPr>
      <w:r>
        <w:rPr>
          <w:rFonts w:ascii="Amiri" w:hAnsi="Amiri" w:eastAsia="Amiri" w:cs="Amiri"/>
          <w:color w:val="111111"/>
          <w:sz w:val="28"/>
          <w:sz w:val="28"/>
          <w:szCs w:val="28"/>
          <w:rtl w:val="true"/>
          <w:lang w:bidi="ar-SA"/>
        </w:rPr>
        <w:t>التعدّد، بأن تستعمل ما انفصل عن غسل في طهارة اخرى وضوءا و غسلا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لو كانت متعرّضة لحالة الاختيار أيضا كانت وجها في التفصيل في استعمال المستعمل بين استعماله في الطهارة الّتي هو منفصل عنها و استعماله في طهارة اخرى، و إن لم نقف على قائل به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الأخبار الآمرة بالتيمّم في جنب ليس عنده من الماء إلاّ ما يكفيه من الوضوء شاهدة به أو مؤيّدة له، و على أيّ تقدير فالاستدلال بتلك الرواية على الجواز مطلقا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المستدلّ بها على هذا المطلب، صحيحة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الغدير، يجتمع فيه ماء السماء، و يستقى فيه من بئر، و يستنجي فيه الإنسان من بول، و يغتسل فيه الجنب ما حدّه الّذي لا يجوز؟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توضّأ من مثل هذا إلاّ من ضرورة</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الرواية حيث جمع فيه بين الاغتسال و الاستنجاء و الاستقاء من البئر و ماء السماء، و إن كان يقضي بالكراهة و الضرورة رافعة لها، غير أنّ الاستدلال بها على حكم محلّ البحث مشكل، لجواز كون الماء المسئول كرّا و ما زاد،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الجواب بملاحظة ترك الاستفصال يعمّ الكرّ و ما دونه، و لكن يشكل الحال أيضا بملاحظة ظهور السؤال في فرض الاجتماع بين الامور المذكورة فيه، فحينئذ يسقط الدلالة على الكراهة، ضرورة كون بعض هذه الامور مع دخوله في المجموع كافيا في توجّه المنع إذا لم يثبت فيه الرخصة من جهة الخارج كالاغتسال، و كون ما عدا ذلك موجبا للكراهة مثلا اذا انفرد لا ينافي كون ذلك موجبا للمنع إذا اجتمع مع موجب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الرواية شاملة لصورة الكرّ و ما زاد ممّا يرفع ظهور المنع، بل و احتماله بملاحظة الإجماع على أنّ الاغتسال في الكرّ لا يورث منع الاغتسال و لا مطلق الاستعمال ثانيا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الحياض الّتي بين مكّة إلى المدينة، تردها السباع و تلغ فيها الكلاب، و يشرب منها الخنزير، و يغتسل فيها الجنب </w:t>
      </w:r>
      <w:bookmarkStart w:id="440" w:name="pg16144_233330"/>
    </w:p>
    <w:p>
      <w:pPr>
        <w:pStyle w:val="BookText"/>
        <w:rPr/>
      </w:pPr>
      <w:bookmarkEnd w:id="440"/>
      <w:r>
        <w:rPr>
          <w:rFonts w:ascii="Amiri" w:hAnsi="Amiri" w:eastAsia="Amiri" w:cs="Amiri"/>
          <w:color w:val="111111"/>
          <w:sz w:val="28"/>
          <w:sz w:val="28"/>
          <w:szCs w:val="28"/>
          <w:rtl w:val="true"/>
          <w:lang w:bidi="ar-SA"/>
        </w:rPr>
        <w:t>و يتوضّأ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قلت إلى نصف الساق و إلى الركبة،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و الاستدلال بها كما ترى في غاية الوهن، و إلاّ لدلّت على عدم انفعال القليل بملاقاة النجاسة أيضا و هو كما ترى ممّا لا يرضى به المستدلّ لكونها محمولة عنده على بلوغ الكرّيّة و لذا تعدّ من أخبار الكرّ و تذكر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الجنب يغتسل فينتضح الماء من الأرض في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هذا ممّا قال اللّه تعالى مٰا جَعَلَ عَلَيْكُمْ فِي اَلدِّينِ مِنْ حَرَجٍ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5"/>
      </w:r>
      <w:r>
        <w:rPr>
          <w:rFonts w:ascii="Amiri" w:hAnsi="Amiri" w:eastAsia="Amiri" w:cs="Amiri"/>
          <w:color w:val="111111"/>
          <w:sz w:val="28"/>
          <w:sz w:val="28"/>
          <w:szCs w:val="28"/>
          <w:rtl w:val="true"/>
          <w:lang w:bidi="ar-SA"/>
        </w:rPr>
        <w:t>و قد تبيّن آنفا ضعف الاستدلال بها، و أضعف منه الاستدلال بصحيحة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و غيره اغتسل من مائه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يغتسل منه الجنب</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1804684_1280447820"/>
      <w:bookmarkStart w:id="442" w:name="_Toc173"/>
      <w:bookmarkEnd w:id="441"/>
      <w:r>
        <w:rPr>
          <w:rtl w:val="true"/>
        </w:rPr>
        <w:t>حجّة المانعين وجوه</w:t>
      </w:r>
      <w:r>
        <w:rPr>
          <w:rtl w:val="true"/>
        </w:rPr>
        <w:t>:</w:t>
      </w:r>
      <w:bookmarkEnd w:id="442"/>
    </w:p>
    <w:p>
      <w:pPr>
        <w:pStyle w:val="Heading6"/>
        <w:numPr>
          <w:ilvl w:val="5"/>
          <w:numId w:val="1"/>
        </w:numPr>
        <w:rPr/>
      </w:pPr>
      <w:bookmarkStart w:id="443" w:name="__RefHeading___Toc1804686_1280447820"/>
      <w:bookmarkStart w:id="444" w:name="_Toc174"/>
      <w:bookmarkEnd w:id="443"/>
      <w:r>
        <w:rPr>
          <w:rtl w:val="true"/>
        </w:rPr>
        <w:t>الأوّل</w:t>
      </w:r>
      <w:r>
        <w:rPr>
          <w:rtl w:val="true"/>
        </w:rPr>
        <w:t xml:space="preserve">: </w:t>
      </w:r>
      <w:r>
        <w:rPr>
          <w:rtl w:val="true"/>
        </w:rPr>
        <w:t>أنّ السلف قد استمرّت عادتهم بعدم جمع الماء المفروض،</w:t>
      </w:r>
      <w:bookmarkEnd w:id="444"/>
    </w:p>
    <w:p>
      <w:pPr>
        <w:pStyle w:val="BookText"/>
        <w:rPr/>
      </w:pPr>
      <w:r>
        <w:rPr>
          <w:rFonts w:ascii="Amiri" w:hAnsi="Amiri" w:eastAsia="Amiri" w:cs="Amiri"/>
          <w:color w:val="111111"/>
          <w:sz w:val="28"/>
          <w:sz w:val="28"/>
          <w:szCs w:val="28"/>
          <w:rtl w:val="true"/>
          <w:lang w:bidi="ar-SA"/>
        </w:rPr>
        <w:t xml:space="preserve">و ليس ذلك إلاّ لكونه غير رافع للحدث الأكبر، و هو كما ترى أوهن من بيوت العنكبوت، لما عن الذكرى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السرّ في ذلك ندور الحاجة إليه</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مع أنّ عادتهم كما استمرّت بعدم جمعه لرفع الحدث الأكبر، فكذلك استمرّت بعدم جمعه لإزالة الخبث به و لاستعمال آخر، مع جواز كلّ ذلك عندكم</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804688_1280447820"/>
      <w:bookmarkStart w:id="446" w:name="_Toc175"/>
      <w:bookmarkEnd w:id="445"/>
      <w:r>
        <w:rPr>
          <w:rtl w:val="true"/>
        </w:rPr>
        <w:t>و الثاني</w:t>
      </w:r>
      <w:r>
        <w:rPr>
          <w:rtl w:val="true"/>
        </w:rPr>
        <w:t xml:space="preserve">: </w:t>
      </w:r>
      <w:r>
        <w:rPr>
          <w:rtl w:val="true"/>
        </w:rPr>
        <w:t>ما عن الشيخ رحمه اللّه</w:t>
      </w:r>
      <w:r>
        <w:rPr>
          <w:rtl w:val="true"/>
        </w:rPr>
        <w:t xml:space="preserve">: </w:t>
      </w:r>
      <w:r>
        <w:rPr>
          <w:rtl w:val="true"/>
        </w:rPr>
        <w:t>من أنّ الإنسان مكلّف بالطهارة بالمتيقّن، طهارة المقطوع على استباحة الصلاة باستعماله،</w:t>
      </w:r>
      <w:bookmarkEnd w:id="446"/>
    </w:p>
    <w:p>
      <w:pPr>
        <w:pStyle w:val="BookText"/>
        <w:rPr/>
      </w:pPr>
      <w:r>
        <w:rPr>
          <w:rFonts w:ascii="Amiri" w:hAnsi="Amiri" w:eastAsia="Amiri" w:cs="Amiri"/>
          <w:color w:val="111111"/>
          <w:sz w:val="28"/>
          <w:sz w:val="28"/>
          <w:szCs w:val="28"/>
          <w:rtl w:val="true"/>
          <w:lang w:bidi="ar-SA"/>
        </w:rPr>
        <w:t>و المستعمل في غسل الجنابة ليس كذلك، لأنّه مشكوك فيه فلا يخرج عن العمل باستعماله، و لا معنى لعدم الإجزاء إلاّ ذلك</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الشكّ إمّا أن يقع في كونه طاهرا و هو باطل عند الشيخ، أو في كونه مطهّرا و هو أيضا باطل، فإنّه حكم تابع لطهارة الماء و إطلاقه و قد حصلا، فأيّ شكّ هاهنا</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و هو في غاية الجودة</w:t>
      </w:r>
      <w:r>
        <w:rPr>
          <w:rFonts w:eastAsia="Amiri" w:cs="Amiri" w:ascii="Amiri" w:hAnsi="Amiri"/>
          <w:color w:val="111111"/>
          <w:sz w:val="28"/>
          <w:szCs w:val="28"/>
          <w:rtl w:val="true"/>
          <w:lang w:bidi="ar-SA"/>
        </w:rPr>
        <w:t xml:space="preserve">. </w:t>
      </w:r>
      <w:bookmarkStart w:id="447" w:name="pg16144_233331"/>
    </w:p>
    <w:p>
      <w:pPr>
        <w:pStyle w:val="Heading6"/>
        <w:numPr>
          <w:ilvl w:val="5"/>
          <w:numId w:val="1"/>
        </w:numPr>
        <w:rPr/>
      </w:pPr>
      <w:bookmarkStart w:id="448" w:name="__RefHeading___Toc1804690_1280447820"/>
      <w:bookmarkStart w:id="449" w:name="_Toc176"/>
      <w:bookmarkEnd w:id="447"/>
      <w:bookmarkEnd w:id="448"/>
      <w:r>
        <w:rPr>
          <w:rtl w:val="true"/>
        </w:rPr>
        <w:t>و الثالث</w:t>
      </w:r>
      <w:r>
        <w:rPr>
          <w:rtl w:val="true"/>
        </w:rPr>
        <w:t xml:space="preserve">: </w:t>
      </w:r>
      <w:r>
        <w:rPr>
          <w:rtl w:val="true"/>
        </w:rPr>
        <w:t>عدّة أخبار</w:t>
      </w:r>
      <w:r>
        <w:rPr>
          <w:rtl w:val="true"/>
        </w:rPr>
        <w:t>:</w:t>
      </w:r>
      <w:bookmarkEnd w:id="44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العمدة منها من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 أشباهه، و أمّا الّذي يتوضّأ به الرجل، فيغسل به وجهه، و يده، في شيء نظيف، فلا بأس أن يأخذ غيره و يتوضّأ به</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 xml:space="preserve">و هذه ممّا لا ينبغي القدح في دلالتها، نعم القدح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أساطين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بحث غسالة الوضوء، فإنّه ضعيف بأحمد بن هلال إلاّ في وجه غير ثابت الاعتبار عند كثير منهم، متقدّم عن الغضائري</w:t>
      </w:r>
      <w:r>
        <w:rPr>
          <w:rStyle w:val="FootnoteAnchor"/>
          <w:rtl w:val="true"/>
        </w:rPr>
        <w:footnoteReference w:id="1461"/>
      </w:r>
      <w:r>
        <w:rPr>
          <w:rFonts w:ascii="Amiri" w:hAnsi="Amiri" w:eastAsia="Amiri" w:cs="Amiri"/>
          <w:color w:val="111111"/>
          <w:sz w:val="28"/>
          <w:sz w:val="28"/>
          <w:szCs w:val="28"/>
          <w:rtl w:val="true"/>
          <w:lang w:bidi="ar-SA"/>
        </w:rPr>
        <w:t>، و على ثبوت اعتباره ليس ممّا يجدي نفعا في صحّة التعويل عليها، لكونها موهونة بمصير المعظم إلى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 دلالتها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محمولة على الغالب، و هو مصاحبة الجنب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حملها على الحرمة، لاستلزامه التخصيص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آخر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 على الكراهة، ترجيحا للمجاز على تخصيصين، و رجحان التخصيص على المجاز إنّما يسلّم مع الاتّحاد لا غير، و أنت خبير بما في كلّ من الوجهين من الوهن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غلبة مصاحبة النجاسة للجنب بما هو هو و إن كانت مسلّمة، غير أنّ اللفظ المفرد لا بدّ و أن يعتبر ظهوره في التركيب الكلامي، فإنّ الهيئة التركيبيّة الكلاميّة ربّما توجب انسلاخ ظهور المفردات،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يغتسل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في الغسل الترتيبي، إذ لولاه لكان الأنسب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لا ريب أنّ الغالب في الاغتسال ترتيبا بل الدائم وقوعه إنّما هو خلوّ البدن عن النجاسة، و لو من جهة إزالتها قبل الغسل، فلا يبقى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وصفه المقدّر ظهور فيما ذكر من مصاحبة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التعارض بين الأمرين، فإنّ القرينة على تخصيص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الكلام، و هي التفصيل الّذي ذكره بعد ذلك، فإنّه من الأوّل بمنزلة البيان، فيكشف عن عدم كونه في لحاظ المتكلّم على إطلاقه، أي يكشف عن كونه مقيّدا بما كان من الوضوء، و مثله يقال في التخصيص الثاني، فإنّ كلمة الاستعانة قرينة مرشدة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المراد من الماء الّذي يغسل به الثوب ما يرد على المحلّ، و لا يكون إلاّ قليلا، و معه يبقى ظهور نفي الجواز في المنع المتأكّد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حمزة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بحث غسالة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تغتسل من البئر الّتي يجتمع منها ماء الحمّام، فإنّه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القدح فيها سندا و دلالة قد مضى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بإزار، و لا تغتسل من ماء آخر، إلاّ أن يكون فيه جنب، أو يكثر أهله فلا يدري فيه جنب أم لا</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الاستدلال بذلك، إمّا على جعل النهي للتحريم كما هو ظاهر الصيغة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متعذّر هنا، ضرورة أنّ الاغتسال بماء آخر مع وجود ماء الحمّام ليس بمحرّم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مجد في ثبوت المنع عن الاغتسال في ماء الحمّام، لأنّ الاستثناء من التحريم لا يقتضي إلاّ نفي التحريم، و هو أعمّ من الوجوب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Style w:val="FootnoteAnchor"/>
          <w:rtl w:val="true"/>
        </w:rPr>
        <w:footnoteReference w:id="1464"/>
      </w:r>
      <w:r>
        <w:rPr>
          <w:rFonts w:ascii="Amiri" w:hAnsi="Amiri" w:eastAsia="Amiri" w:cs="Amiri"/>
          <w:color w:val="111111"/>
          <w:sz w:val="28"/>
          <w:sz w:val="28"/>
          <w:szCs w:val="28"/>
          <w:rtl w:val="true"/>
          <w:lang w:bidi="ar-SA"/>
        </w:rPr>
        <w:t>على جعله من باب النهي الواقع عقيب ظنّ الوجوب أو توهّمه، ليكون الاستثناء منه مفيدا للوجوب، لضابطة أنّ الاستثناء من النفي إثبات</w:t>
      </w:r>
      <w:r>
        <w:rPr>
          <w:rFonts w:eastAsia="Amiri" w:cs="Amiri" w:ascii="Amiri" w:hAnsi="Amiri"/>
          <w:color w:val="111111"/>
          <w:sz w:val="28"/>
          <w:szCs w:val="28"/>
          <w:rtl w:val="true"/>
          <w:lang w:bidi="ar-SA"/>
        </w:rPr>
        <w:t xml:space="preserve">. </w:t>
      </w:r>
      <w:bookmarkStart w:id="450" w:name="pg16144_233333"/>
    </w:p>
    <w:p>
      <w:pPr>
        <w:pStyle w:val="BookText"/>
        <w:rPr/>
      </w:pPr>
      <w:bookmarkEnd w:id="450"/>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يلائمه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يكثر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ضرورة أنّ الشكّ في تحقّق جهة المنع، لا يوجب المنع بل و لا يقول به أهل القول بالمنع، و عليه دعوى الإجماع في كلام غير واحد، مضافا إلى ظهور ذلك في كون الماء كثيرا في حدّ الكرّ بل الأكرار، و لا يقول أحد بالمنع عن الاغتسال فيه، ليجب الاغتسال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باحتمال كون النهي هنا لمجرّد الإرشاد و بيان الواقع، و التنبيه على عدم الداعي إلى الاغتسال بغير ماء الحمّام مع وجوده، فيكون تقدير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تغتسل من ماء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إلى الاغتسال من ماء آخر، و مفاد الاستثناء منه يرجع إلى إثبات الداعي إليه، و هو أعمّ من إثبات المفسدة المقتضية لمنع الاغتسال بماء الحمّام، أو الجهة المقتضية لمرجوحيّته، و هذا كما ترى احتمال ظاهر، و المعنى المذكور معنى شائع في العرف، يجري في شيء 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مئونة من الآخر، و أزيد مسافة أو مشقّة منه، مثلا فأنت إذا أردت إرشاده إلى اختيار غيره، و تنبيه على أنّه ممّا لا داعي إلى اختياره،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و كذا، و لا تسلك من الطريق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داعي إلى سلوكه، و هو مع ظهوره في نفسه بعد تعذّر الحقيقة مؤيّد باستثناء صورة الشكّ أيضا، مع ظهورها في كثرة الماء كما عرفت، و لو سلّم عدم ظهوره فلا أقلّ من عدم ظهور خلافه، و على أيّ تقدير فلا دلالة للرواية على المنع أصلا</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804692_1280447820"/>
      <w:bookmarkStart w:id="452" w:name="_Toc177"/>
      <w:bookmarkEnd w:id="451"/>
      <w:r>
        <w:rPr>
          <w:rtl w:val="true"/>
        </w:rPr>
        <w:t>و لنختم المقام بذكر امور</w:t>
      </w:r>
      <w:r>
        <w:rPr>
          <w:rtl w:val="true"/>
        </w:rPr>
        <w:t>:</w:t>
      </w:r>
      <w:bookmarkEnd w:id="452"/>
    </w:p>
    <w:p>
      <w:pPr>
        <w:pStyle w:val="Heading6"/>
        <w:numPr>
          <w:ilvl w:val="5"/>
          <w:numId w:val="1"/>
        </w:numPr>
        <w:rPr/>
      </w:pPr>
      <w:bookmarkStart w:id="453" w:name="__RefHeading___Toc1804694_1280447820"/>
      <w:bookmarkStart w:id="454" w:name="_Toc178"/>
      <w:bookmarkEnd w:id="453"/>
      <w:r>
        <w:rPr>
          <w:rtl w:val="true"/>
        </w:rPr>
        <w:t>أحدها</w:t>
      </w:r>
      <w:r>
        <w:rPr>
          <w:rtl w:val="true"/>
        </w:rPr>
        <w:t xml:space="preserve">: </w:t>
      </w:r>
      <w:r>
        <w:rPr>
          <w:rtl w:val="true"/>
        </w:rPr>
        <w:t>أنّ معقد البحث في هذه المسألة الماء الّذي استعمله المحدث خاليا بدنه عن نجاسة عينيّة أو أثرها،</w:t>
      </w:r>
      <w:bookmarkEnd w:id="454"/>
    </w:p>
    <w:p>
      <w:pPr>
        <w:pStyle w:val="BookText"/>
        <w:rPr/>
      </w:pPr>
      <w:r>
        <w:rPr>
          <w:rFonts w:ascii="Amiri" w:hAnsi="Amiri" w:eastAsia="Amiri" w:cs="Amiri"/>
          <w:color w:val="111111"/>
          <w:sz w:val="28"/>
          <w:sz w:val="28"/>
          <w:szCs w:val="28"/>
          <w:rtl w:val="true"/>
          <w:lang w:bidi="ar-SA"/>
        </w:rPr>
        <w:t xml:space="preserve">فلو كان فيه شيء منهما كان الماء ملاقيا له، فخرج عن هذا العنوان و دخل في عنوان غسالة النجس، أو مطلق القليل الملاقي للنجاسة، و من حكمه أنّه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مطهّر أيضا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تنبّه عليه صاحب الحدائق</w:t>
      </w:r>
      <w:r>
        <w:rPr>
          <w:rStyle w:val="FootnoteAnchor"/>
          <w:rtl w:val="true"/>
        </w:rPr>
        <w:footnoteReference w:id="1465"/>
      </w:r>
      <w:r>
        <w:rPr>
          <w:rFonts w:ascii="Amiri" w:hAnsi="Amiri" w:eastAsia="Amiri" w:cs="Amiri"/>
          <w:color w:val="111111"/>
          <w:sz w:val="28"/>
          <w:sz w:val="28"/>
          <w:szCs w:val="28"/>
          <w:rtl w:val="true"/>
          <w:lang w:bidi="ar-SA"/>
        </w:rPr>
        <w:t>و نبّه عليه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على جسد المجنب أو المغتسل من حيض و شبهه نجاسة عينيّة، فالمستعمل إذا قلّ عن الكرّ نجس إجماعا، بل الحكم بالطهارة إنّما يكون مع الخلوّ من النجاسة العينيّة،</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55" w:name="pg16144_233334"/>
    </w:p>
    <w:p>
      <w:pPr>
        <w:pStyle w:val="BookText"/>
        <w:rPr/>
      </w:pPr>
      <w:bookmarkEnd w:id="455"/>
      <w:r>
        <w:rPr>
          <w:rFonts w:ascii="Amiri" w:hAnsi="Amiri" w:eastAsia="Amiri" w:cs="Amiri"/>
          <w:color w:val="111111"/>
          <w:sz w:val="28"/>
          <w:sz w:val="28"/>
          <w:szCs w:val="28"/>
          <w:rtl w:val="true"/>
          <w:lang w:bidi="ar-SA"/>
        </w:rPr>
        <w:t>و في تعرّض جماعة من الأصحاب لحمل الأخبار الّتي استند إليها المانعون عن التطهير بذلك الماء على صورة وجود النجاسة على الجسد إشارة إلى ذلك أيضا، إذ لولاه خارجا عن محلّ النزاع لما كان لذلك الحمل فائدة في منع الاستدلال بها، كما لا يخفى</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804696_1280447820"/>
      <w:bookmarkStart w:id="457" w:name="_Toc179"/>
      <w:bookmarkEnd w:id="456"/>
      <w:r>
        <w:rPr>
          <w:rtl w:val="true"/>
        </w:rPr>
        <w:t>و ثانيها</w:t>
      </w:r>
      <w:r>
        <w:rPr>
          <w:rtl w:val="true"/>
        </w:rPr>
        <w:t xml:space="preserve">: </w:t>
      </w:r>
      <w:r>
        <w:rPr>
          <w:rtl w:val="true"/>
        </w:rPr>
        <w:t>إطلاق عناوينهم المعبّرة عن موضوع المسألة بالمستعمل في رفع الحدث الأكبر،</w:t>
      </w:r>
      <w:bookmarkEnd w:id="457"/>
    </w:p>
    <w:p>
      <w:pPr>
        <w:pStyle w:val="BookText"/>
        <w:rPr/>
      </w:pPr>
      <w:r>
        <w:rPr>
          <w:rFonts w:ascii="Amiri" w:hAnsi="Amiri" w:eastAsia="Amiri" w:cs="Amiri"/>
          <w:color w:val="111111"/>
          <w:sz w:val="28"/>
          <w:sz w:val="28"/>
          <w:szCs w:val="28"/>
          <w:rtl w:val="true"/>
          <w:lang w:bidi="ar-SA"/>
        </w:rPr>
        <w:t>يقضي بأنّ النزاع فيما يعمّ الجنابة و الحيض و الاستحاضة و نحوها، بل هو صريح جملة عبائرهم، كما في المختلف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المستعمل في الطهارة الكبرى كغسل الجنابة، و الحيض، و الاستحاضة، و النفاس، مع خلوّ البدن من النجاسة طاهر إجماعا، و هل هو مطهّر أم لا؟ منع الشيخ، و المفيد، و ابنا بابويه عن ذلك، و قال السيّد المرتضى، و ابن إدريس أنّه مطهّر و هو الحقّ</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عرفت في صدر الأمر الأوّل من عبارة المنتهى</w:t>
      </w:r>
      <w:r>
        <w:rPr>
          <w:rStyle w:val="FootnoteAnchor"/>
          <w:rtl w:val="true"/>
        </w:rPr>
        <w:footnoteReference w:id="1468"/>
      </w:r>
      <w:r>
        <w:rPr>
          <w:rFonts w:ascii="Amiri" w:hAnsi="Amiri" w:eastAsia="Amiri" w:cs="Amiri"/>
          <w:color w:val="111111"/>
          <w:sz w:val="28"/>
          <w:sz w:val="28"/>
          <w:szCs w:val="28"/>
          <w:rtl w:val="true"/>
          <w:lang w:bidi="ar-SA"/>
        </w:rPr>
        <w:t xml:space="preserve">و من هنا صحّ لصاحب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عبارته الاخرى فيما بعد العبارة المشار إليها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المستعمل في غسل الجنابة يجوز إزالة النجاسة به إجماعا منّا</w:t>
      </w:r>
      <w:r>
        <w:rPr>
          <w:rFonts w:eastAsia="Amiri" w:cs="Amiri" w:ascii="Amiri" w:hAnsi="Amiri"/>
          <w:color w:val="111111"/>
          <w:sz w:val="28"/>
          <w:szCs w:val="28"/>
          <w:rtl w:val="true"/>
          <w:lang w:bidi="ar-SA"/>
        </w:rPr>
        <w:t>»</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التمثيل دون الحصر</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 اختصاص الأخبار من الطرفين بالجنابة، لجواز كون العموم مستفادا لهم من جهة تنقيح مناط، أو إجماع مركّب أو نحو ذلك، و لذا ترى أنّ سائر أدلّة الفريقين قد وردت على جهة العموم، حتّى ما عرفت عن الشيخ من الوجه الثاني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مكلّف بالطهارة بالمتيقّن طهارة، المقطوع على استباحة الصلاة باستعماله، و المستعمل في غسل الجنابة ليس كذلك</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لأنّ استباحة الصلاة باستعمال الماء أعمّ من أن يكون استعمال الماء علّة تامّة لها كما في غسل الجنابة، أو جزء علّة كما في سائر الأغسال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إفراده الجنابة بالذكر بعد احتمال إرادة التمثيل احتمالا ظاهرا، كما لا ينافي كلّ ذلك عبارة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اغتسل الرجل في وهدة و خشي أن يرجع ما ينصبّ عنه إلى الماء الّذي يغتسل منه، أخذ كفّا و صبّه أمامه، و كفّا عن يمينه، و كفّا عن يساره، و كفّا عن خلفه، و اغتسل منه</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و لا عبارة أبيه في رسالته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اغتسلت </w:t>
      </w:r>
      <w:bookmarkStart w:id="458" w:name="pg16144_233335"/>
    </w:p>
    <w:p>
      <w:pPr>
        <w:pStyle w:val="BookText"/>
        <w:rPr/>
      </w:pPr>
      <w:bookmarkEnd w:id="458"/>
      <w:r>
        <w:rPr>
          <w:rFonts w:ascii="Amiri" w:hAnsi="Amiri" w:eastAsia="Amiri" w:cs="Amiri"/>
          <w:color w:val="111111"/>
          <w:sz w:val="28"/>
          <w:sz w:val="28"/>
          <w:szCs w:val="28"/>
          <w:rtl w:val="true"/>
          <w:lang w:bidi="ar-SA"/>
        </w:rPr>
        <w:t>من ماء في وهدة و خشيت أن يرجع ما ينصبّ عنك إلى المكان الّذي تغتسل فيه، أخذت كفّا و صببته عن يمينك، و كفّا عن يسارك و كفّا خلفك و كفّا أمامك و اغتسلت</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و لا عبارة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حصل الانسان عند غدير أو قليب و لم يكن معه ما يغترف به الماء للوضوء، فليدخل يده فيه، و يأخذ منه ما يحتاج إليه، و ليس عليه شيء، و إن أراد الغسل للجنابة و خاف أن نزل إليها فساد الماء، فليرشّ عن يمينه و يساره و أمامه و خلفه، ثمّ ليأخذ كفّا من الماء فليغتسل به</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فإنّ كلّ ذلك تأدية بما يوافق متون الروايات في الجملة لما فيه من الأغراض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أمثال هذه الامور صريحة في التخصيص بالجنابة</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ليس ممّا ينبغي الالتفات إليه، بل التعبير عن عنوان المسألة بما يرفع الحدث تصريح بخروج المستعمل في الأغسال المندوبة عن المتنازع فيه، و عن الشيخ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و يظهر ذلك عن منتهى العلاّمة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المستعمل في الأغسال المندوبة، أو في غسل الثوب، أو الآنية الطاهرين ليس بمستعمل، لأنّ الاستعمال لم يسلبه الاطلاق، فيجب بقاؤه على التطهير للآية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مستعمل في غسل بني آدم على وجه القربة فهو مستعمل، و ما لا فلا، فلو غسل يده للطعام أو من الطعام صار مستعملا، بخلاف ما لو غسل لإزالة الوسخ و لإزالة العجين من يده</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الخ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الخلاف إليهم يقضي بنفيه عمّا بين أصحابنا</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804698_1280447820"/>
      <w:bookmarkStart w:id="460" w:name="_Toc180"/>
      <w:bookmarkEnd w:id="459"/>
      <w:r>
        <w:rPr>
          <w:rtl w:val="true"/>
        </w:rPr>
        <w:t>و ثالثها</w:t>
      </w:r>
      <w:r>
        <w:rPr>
          <w:rtl w:val="true"/>
        </w:rPr>
        <w:t xml:space="preserve">: </w:t>
      </w:r>
      <w:r>
        <w:rPr>
          <w:rtl w:val="true"/>
        </w:rPr>
        <w:t>قال العلاّمة في المنتهى</w:t>
      </w:r>
      <w:r>
        <w:rPr>
          <w:rtl w:val="true"/>
        </w:rPr>
        <w:t>: «</w:t>
      </w:r>
      <w:r>
        <w:rPr>
          <w:rtl w:val="true"/>
        </w:rPr>
        <w:t>المستعمل في غسل الجنابة يجوز إزالة النجاسة به إجماعا منّا، لإطلاقه،</w:t>
      </w:r>
      <w:bookmarkEnd w:id="460"/>
    </w:p>
    <w:p>
      <w:pPr>
        <w:pStyle w:val="BookText"/>
        <w:rPr/>
      </w:pPr>
      <w:r>
        <w:rPr>
          <w:rFonts w:ascii="Amiri" w:hAnsi="Amiri" w:eastAsia="Amiri" w:cs="Amiri"/>
          <w:color w:val="111111"/>
          <w:sz w:val="28"/>
          <w:sz w:val="28"/>
          <w:szCs w:val="28"/>
          <w:rtl w:val="true"/>
          <w:lang w:bidi="ar-SA"/>
        </w:rPr>
        <w:t>و المنع من رفع الحدث به عند بعض الأصحاب لا يوجب المنع من إزالة النجاسة، لأنّهم إنّما قالوه ثمّ لعلّة لم توجد في إزالة الخبث، فإن صحّت تلك العلّة ظهر الفرق و بطل الإلحاق، و إلاّ حكموا بالتساوي في البابين كما قلناه</w:t>
      </w:r>
      <w:r>
        <w:rPr>
          <w:rFonts w:eastAsia="Amiri" w:cs="Amiri" w:ascii="Amiri" w:hAnsi="Amiri"/>
          <w:color w:val="111111"/>
          <w:sz w:val="28"/>
          <w:szCs w:val="28"/>
          <w:rtl w:val="true"/>
          <w:lang w:bidi="ar-SA"/>
        </w:rPr>
        <w:t>»</w:t>
      </w:r>
      <w:r>
        <w:rPr>
          <w:rStyle w:val="FootnoteAnchor"/>
          <w:rtl w:val="true"/>
        </w:rPr>
        <w:footnoteReference w:id="14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نظره في العلّة الّتي لا توجد في إزالة الخبث إلى الأخبار المخصوصة في </w:t>
      </w:r>
      <w:bookmarkStart w:id="461" w:name="pg16144_233336"/>
    </w:p>
    <w:p>
      <w:pPr>
        <w:pStyle w:val="BookText"/>
        <w:rPr/>
      </w:pPr>
      <w:bookmarkEnd w:id="461"/>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سندا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الحدث، و إلاّ فبعض أدلّتهم يعمّ البابين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في إزالة الخبث بذلك الماء غير متحقّق بين أصحابنا، و لا حكاه عنهم صريحا أحد منّا، نعم في عبارة الشهيد المحكيّة عن الذكرى ما يوهم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 الشيخ و المحقّق إزالة النجاسة به، لطهارته، و بقاء قوّة إزالته الخبث، و إن ذهب قوّة رفعه الحدث،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قوّته استوفيت فالتحق بالمضاف</w:t>
      </w:r>
      <w:r>
        <w:rPr>
          <w:rFonts w:eastAsia="Amiri" w:cs="Amiri" w:ascii="Amiri" w:hAnsi="Amiri"/>
          <w:color w:val="111111"/>
          <w:sz w:val="28"/>
          <w:szCs w:val="28"/>
          <w:rtl w:val="true"/>
          <w:lang w:bidi="ar-SA"/>
        </w:rPr>
        <w:t>»</w:t>
      </w:r>
      <w:r>
        <w:rPr>
          <w:rStyle w:val="FootnoteAnchor"/>
          <w:rtl w:val="true"/>
        </w:rPr>
        <w:footnoteReference w:id="14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المعالم</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المنقول عنه بعض المخالفين، كما يشعر به التعليل الواهي، و كيف كان فما ادّعاه العلاّمة من الإجماع لا يخلو عن وصمة الشبهة، و إن كان يؤيّده ظهور العناوين، و لكن الحكم في حدّ ذاته كما ذكره، بلا إشكال فيه و لا شبهة تعتريه بالنظر إلى ما قدّمناه من الأدلّة، و لك أن تستند إلى الأولويّة بالقياس إلى رفع الحدث صغيرا و كبيرا كما لا يخفى</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804700_1280447820"/>
      <w:bookmarkStart w:id="463" w:name="_Toc181"/>
      <w:bookmarkEnd w:id="462"/>
      <w:r>
        <w:rPr>
          <w:rtl w:val="true"/>
        </w:rPr>
        <w:t>و رابعها</w:t>
      </w:r>
      <w:r>
        <w:rPr>
          <w:rtl w:val="true"/>
        </w:rPr>
        <w:t xml:space="preserve">: </w:t>
      </w:r>
      <w:r>
        <w:rPr>
          <w:rtl w:val="true"/>
        </w:rPr>
        <w:t>الأقرب على المختار من طهوريّة المستعمل في رفع الحدث، كراهية استعماله في رفع الحدث ثانيا،</w:t>
      </w:r>
      <w:bookmarkEnd w:id="463"/>
    </w:p>
    <w:p>
      <w:pPr>
        <w:pStyle w:val="BookText"/>
        <w:rPr/>
      </w:pPr>
      <w:r>
        <w:rPr>
          <w:rFonts w:ascii="Amiri" w:hAnsi="Amiri" w:eastAsia="Amiri" w:cs="Amiri"/>
          <w:color w:val="111111"/>
          <w:sz w:val="28"/>
          <w:sz w:val="28"/>
          <w:szCs w:val="28"/>
          <w:rtl w:val="true"/>
          <w:lang w:bidi="ar-SA"/>
        </w:rPr>
        <w:t>وفاقا للشهيد في الدروس</w:t>
      </w:r>
      <w:r>
        <w:rPr>
          <w:rStyle w:val="FootnoteAnchor"/>
          <w:rtl w:val="true"/>
        </w:rPr>
        <w:footnoteReference w:id="1482"/>
      </w:r>
      <w:r>
        <w:rPr>
          <w:rFonts w:ascii="Amiri" w:hAnsi="Amiri" w:eastAsia="Amiri" w:cs="Amiri"/>
          <w:color w:val="111111"/>
          <w:sz w:val="28"/>
          <w:sz w:val="28"/>
          <w:szCs w:val="28"/>
          <w:rtl w:val="true"/>
          <w:lang w:bidi="ar-SA"/>
        </w:rPr>
        <w:t>، و الخوانساري في شرحه</w:t>
      </w:r>
      <w:r>
        <w:rPr>
          <w:rStyle w:val="FootnoteAnchor"/>
          <w:rtl w:val="true"/>
        </w:rPr>
        <w:footnoteReference w:id="1483"/>
      </w:r>
      <w:r>
        <w:rPr>
          <w:rFonts w:ascii="Amiri" w:hAnsi="Amiri" w:eastAsia="Amiri" w:cs="Amiri"/>
          <w:color w:val="111111"/>
          <w:sz w:val="28"/>
          <w:sz w:val="28"/>
          <w:szCs w:val="28"/>
          <w:rtl w:val="true"/>
          <w:lang w:bidi="ar-SA"/>
        </w:rPr>
        <w:t>عملا بما تقدّم من رواية عبد اللّه بن سنان</w:t>
      </w:r>
      <w:r>
        <w:rPr>
          <w:rStyle w:val="FootnoteAnchor"/>
          <w:rtl w:val="true"/>
        </w:rPr>
        <w:footnoteReference w:id="1484"/>
      </w:r>
      <w:r>
        <w:rPr>
          <w:rFonts w:ascii="Amiri" w:hAnsi="Amiri" w:eastAsia="Amiri" w:cs="Amiri"/>
          <w:color w:val="111111"/>
          <w:sz w:val="28"/>
          <w:sz w:val="28"/>
          <w:szCs w:val="28"/>
          <w:rtl w:val="true"/>
          <w:lang w:bidi="ar-SA"/>
        </w:rPr>
        <w:t>، و إن ضعف سندها بناء على التسامح، و خصوص الرواية المرويّة عن الكافي</w:t>
      </w:r>
      <w:r>
        <w:rPr>
          <w:rStyle w:val="FootnoteAnchor"/>
          <w:rtl w:val="true"/>
        </w:rPr>
        <w:footnoteReference w:id="1485"/>
      </w:r>
      <w:r>
        <w:rPr>
          <w:rFonts w:ascii="Amiri" w:hAnsi="Amiri" w:eastAsia="Amiri" w:cs="Amiri"/>
          <w:color w:val="111111"/>
          <w:sz w:val="28"/>
          <w:sz w:val="28"/>
          <w:szCs w:val="28"/>
          <w:rtl w:val="true"/>
          <w:lang w:bidi="ar-SA"/>
        </w:rPr>
        <w:t>، الّتي قدّمنا ذكرها في ذيل غسالة الوضوء، و الظاهر أنّه لا يخالف فيه أحد</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804702_1280447820"/>
      <w:bookmarkStart w:id="465" w:name="_Toc182"/>
      <w:bookmarkEnd w:id="464"/>
      <w:r>
        <w:rPr>
          <w:rtl w:val="true"/>
        </w:rPr>
        <w:t>و خامسها</w:t>
      </w:r>
      <w:r>
        <w:rPr>
          <w:rtl w:val="true"/>
        </w:rPr>
        <w:t xml:space="preserve">: </w:t>
      </w:r>
      <w:r>
        <w:rPr>
          <w:rtl w:val="true"/>
        </w:rPr>
        <w:t>يظهر من العلاّمة في المنتهى عدم اشتراط الانفصال عند المانعين من أصحابنا في صدق الاستعمال،</w:t>
      </w:r>
      <w:bookmarkEnd w:id="46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عبارته في هذا المقام غير خالية عن التهافت،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اغتسل من الجنابة، و بقيت في العضو لمعة لم يصبها الماء، فصرف البلل الّذي على العضو إلى تلك اللمعة جائز، أمّا على ما اخترناه نحن فظاهر، و أمّا على قول الحنفيّة فكذلك، لأنّه إنّما يكون مستعملا بانفصاله عن البدن، و في اشتراط استقراره في </w:t>
      </w:r>
    </w:p>
    <w:p>
      <w:pPr>
        <w:pStyle w:val="BookText"/>
        <w:rPr/>
      </w:pPr>
      <w:r>
        <w:rPr>
          <w:rFonts w:ascii="Amiri" w:hAnsi="Amiri" w:eastAsia="Amiri" w:cs="Amiri"/>
          <w:color w:val="111111"/>
          <w:sz w:val="28"/>
          <w:sz w:val="28"/>
          <w:szCs w:val="28"/>
          <w:rtl w:val="true"/>
          <w:lang w:bidi="ar-SA"/>
        </w:rPr>
        <w:t>المكان خلاف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الوضوء،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 البلل الّذي في اليمنى إلى اللمعة الّتي في اليسرى، لأنّ البدن في الجنابة كالعضو الواحد فافترقا، و ليس للشيخ فيه نصّ، و الّذي ينبغي أن يقال على مذهبه عدم الجواز في الجنابة، فإنّه لم يشترط في المستعمل الانفصال</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أخذ بإطلاق كلامه في المنع،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فيه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فقضيّة عدم النصّ جريان احتمال الأمرين معا في كلامه لا تعيّن أحدهما، غير أنّه لا يخفى ما فيه، مع ما ذكره من التعليل بناء على قول الحنفيّة من التهافت، فإنّه لو صلح علّة لاشتراط الانفصال على مذهب الحنفيّة لجرى على مذهب الشيخ أيضا، إذ ليس في كلام الشيخ إلاّ الاستعمال، و المفروض أنّه عنوان متوقّف صدقه بمقتضى تلك العلّة على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جمع ممّن تأخّر إنكار النسبة المذكورة إلى الشيخ، لعدم تصريحه بها في كتبه المشهورة، مع استلزام ذلك عدم الاجتزاء بإجراء الماء في الغسل من محلّ إلى آخر بعد تحقّق مسمّاه، و هو بمحلّ من البعد بل البطلان، كما لا يخفى على من لاحظ الأخبار الواردة في كيفيّة الغسل من الجنابة، و قد يعلّل البطلان بلزوم تعذّر الغسل لو لا الاجتزاء، و هو في الجملة في محلّه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 طهارة، قد يكون مستعملا في عضو من الطهارة، أو جزء من العضو فاريد استعماله في عضو آخر منها، أو جزء آخر من العضو، و قد يكون مستعملا فيه أو في طهارة كاملة، فاريد استعماله في طهارة اخرى، و هذا هو القدر المتيقّن من مراد المانع عن الاستعمال الثاني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منفصلا عن العضو أو الجزء المغسولين، بأن يؤخذ بعد انفصاله و يغسل العضو أو الجزء الآخر، و قد لا يكون منفصلا عنه، و على الثاني فقد يكون مستقرّا على العضو أو الجزء اللذين هو فيهما، فاريد إمراره فيهما إلى العضو أو الجزء الباقي، و قد لا يكون مستقرّا بل هو سائل، فاريد إمراره حال السيلان إلى ما لا يسيل عليه عادة، و هذا هو القدر الّذي يمكن دعوى القطع بخروجه عن المتنازع </w:t>
      </w:r>
    </w:p>
    <w:p>
      <w:pPr>
        <w:pStyle w:val="BookText"/>
        <w:rPr/>
      </w:pPr>
      <w:r>
        <w:rPr>
          <w:rFonts w:ascii="Amiri" w:hAnsi="Amiri" w:eastAsia="Amiri" w:cs="Amiri"/>
          <w:color w:val="111111"/>
          <w:sz w:val="28"/>
          <w:sz w:val="28"/>
          <w:szCs w:val="28"/>
          <w:rtl w:val="true"/>
          <w:lang w:bidi="ar-SA"/>
        </w:rPr>
        <w:t>بملاحظة سيرة المتشرّعة، مع تعسّر الغسل ترتيبا بل تعذّره، لو لا جوازه و الاجتزاء به، و أمّا الصورتان الباقيتان فكونهما من محلّ النزاع موضع شبهة، و الظاهر أنّ الأخيرة منهما مفروضة في مسألة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فهل يجوز استعماله فيهما أو لا؟ و الظاهر أنّ الجواز في مسألة اللمعة ممّا لا إشكال فيه، و به روايات مخصوصة، تأتي في باب الغسل إن شاء اللّه، دالّة على جواز مسح اللمعة بالبلّة الباقية في الأعضاء، و ادّعى عليه ظهور الإجماع في شرح الدروس</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الإشكال في الصورة الاخرى، و يظهر الفائدة بالنسبة إليها فيما لو قصر الماء المعدّ للغسل عن تمام الغسل، بأن لا يكون كافيا إلاّ عن غسل بعض الأعضاء، فهل يجوز الاكتفاء به في تمام الغسل، بأن يغسل به العضو المذكور و يؤخذ بعد انفصاله عنه في إناء، ثمّ يغسل به العضو الآخر إلى أن يستكمل الغسل به، أو لا؟</w:t>
      </w:r>
    </w:p>
    <w:p>
      <w:pPr>
        <w:pStyle w:val="BookText"/>
        <w:rPr/>
      </w:pPr>
      <w:r>
        <w:rPr>
          <w:rFonts w:ascii="Amiri" w:hAnsi="Amiri" w:eastAsia="Amiri" w:cs="Amiri"/>
          <w:color w:val="111111"/>
          <w:sz w:val="28"/>
          <w:sz w:val="28"/>
          <w:szCs w:val="28"/>
          <w:rtl w:val="true"/>
          <w:lang w:bidi="ar-SA"/>
        </w:rPr>
        <w:t xml:space="preserve">و الحقّ أنّ الجواز هنا مشكل، من أنّ بعض القواعد المتقدّمة في الاستدلال على الجواز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المائيّة مقتضية للطهارة و الطهوريّة معا ما لم يزاحمها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الجواز، من حيث إنّ الماهيّة غير زالّة عن المفروض جدّا، و العارض ممّا لم يعلم كونه مزاحما رافعا لما اقتضته الماهيّة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أنّه ممّا لا ذاهب إليه من الأصحاب، بل ظاهرهم في غير هذا الموضع عدم الاكتفاء به، حيث إنّه في مسألة ما لو وجد المحدث من الماء ما لا يكفيه لطهارته حكموا بوجوب التيمّم عليه، مصرّحين بعدم الفرق فيه بين الجنب و المحدث بالأصغر، و عزاه في المنتهى</w:t>
      </w:r>
      <w:r>
        <w:rPr>
          <w:rStyle w:val="FootnoteAnchor"/>
          <w:rtl w:val="true"/>
        </w:rPr>
        <w:footnoteReference w:id="1488"/>
      </w:r>
      <w:r>
        <w:rPr>
          <w:rFonts w:ascii="Amiri" w:hAnsi="Amiri" w:eastAsia="Amiri" w:cs="Amiri"/>
          <w:color w:val="111111"/>
          <w:sz w:val="28"/>
          <w:sz w:val="28"/>
          <w:szCs w:val="28"/>
          <w:rtl w:val="true"/>
          <w:lang w:bidi="ar-SA"/>
        </w:rPr>
        <w:t>إلى مذهب علمائنا، مؤذنا بالإجماع عليه، فلم يذكروا فيه إلاّ احتمال الوضوء مع التيمّم إذا كان جنبا، أو استعماله في بعض الأعضاء ثمّ التيمّم للباقي، ناسبين لهما إلى العامّة، و لهم في هذا المقام روايات مصرّحة بالتيمّم دون الوضوء في الجنب خاصّة، من غير تعرّض لبيان ما ذكرناه في مفروض المسألة، فلو أنّه أمر مقرّر في الشريعة ثابت من الشارع لما كان للعدول عن الأمر به إلى الأمر بالتيمّم في الأخبار وجه، كما لا يخفى</w:t>
      </w:r>
      <w:r>
        <w:rPr>
          <w:rFonts w:eastAsia="Amiri" w:cs="Amiri" w:ascii="Amiri" w:hAnsi="Amiri"/>
          <w:color w:val="111111"/>
          <w:sz w:val="28"/>
          <w:szCs w:val="28"/>
          <w:rtl w:val="true"/>
          <w:lang w:bidi="ar-SA"/>
        </w:rPr>
        <w:t xml:space="preserve">. </w:t>
      </w:r>
      <w:bookmarkStart w:id="466" w:name="pg16144_233339"/>
    </w:p>
    <w:p>
      <w:pPr>
        <w:pStyle w:val="BookText"/>
        <w:rPr/>
      </w:pPr>
      <w:bookmarkEnd w:id="466"/>
      <w:r>
        <w:rPr>
          <w:rFonts w:ascii="Amiri" w:hAnsi="Amiri" w:eastAsia="Amiri" w:cs="Amiri"/>
          <w:color w:val="111111"/>
          <w:sz w:val="28"/>
          <w:sz w:val="28"/>
          <w:szCs w:val="28"/>
          <w:rtl w:val="true"/>
          <w:lang w:bidi="ar-SA"/>
        </w:rPr>
        <w:t>فتلخّص من ذلك أنّ الأقرب حينئذ هو عدم الاكتفاء بالماء المفروض في الصورة المفروضة، تحكيما لتلك الأخبار المؤيّدة بعمل الأخيار على القاعدة المشار إليها، و يؤيّده ما قرّرناه في ذيل الكلام على رواية عليّ بن جعفر، المتقدّمة في جملة الأخبار المستدلّ بها على طهوريّة المستعمل، و لكن على التقدير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محصّل مختارنا مع ضميمة ما قرّرناه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 الحدث الأكبر لا يزول عنه الطهوريّة، إلاّ ما لو استعمل في بعض أعضاء الطهارة فاريد استعماله في العضو الآخر من تلك الطهارة، فإنّه غير جائز لدليله الخاصّ الّذي لولاه لكان الجواز ظاهر الثبوت</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804704_1280447820"/>
      <w:bookmarkStart w:id="468" w:name="_Toc183"/>
      <w:bookmarkEnd w:id="467"/>
      <w:r>
        <w:rPr>
          <w:rtl w:val="true"/>
        </w:rPr>
        <w:t>و سادسها</w:t>
      </w:r>
      <w:r>
        <w:rPr>
          <w:rtl w:val="true"/>
        </w:rPr>
        <w:t xml:space="preserve">: </w:t>
      </w:r>
      <w:r>
        <w:rPr>
          <w:rtl w:val="true"/>
        </w:rPr>
        <w:t>إذا اجتمعت المياه المستعملة حتّى بلغت كرّا و ما زاد، لم يزل المنع على القول به،</w:t>
      </w:r>
      <w:bookmarkEnd w:id="468"/>
    </w:p>
    <w:p>
      <w:pPr>
        <w:pStyle w:val="BookText"/>
        <w:rPr/>
      </w:pPr>
      <w:r>
        <w:rPr>
          <w:rFonts w:ascii="Amiri" w:hAnsi="Amiri" w:eastAsia="Amiri" w:cs="Amiri"/>
          <w:color w:val="111111"/>
          <w:sz w:val="28"/>
          <w:sz w:val="28"/>
          <w:szCs w:val="28"/>
          <w:rtl w:val="true"/>
          <w:lang w:bidi="ar-SA"/>
        </w:rPr>
        <w:t>وفاقا لمحكيّ المعتبر</w:t>
      </w:r>
      <w:r>
        <w:rPr>
          <w:rStyle w:val="FootnoteAnchor"/>
          <w:rtl w:val="true"/>
        </w:rPr>
        <w:footnoteReference w:id="1489"/>
      </w:r>
      <w:r>
        <w:rPr>
          <w:rFonts w:ascii="IRNazanin" w:hAnsi="IRNazanin" w:eastAsia="IRNazanin"/>
          <w:color w:val="111111"/>
          <w:sz w:val="28"/>
          <w:sz w:val="28"/>
          <w:szCs w:val="28"/>
          <w:rtl w:val="true"/>
          <w:lang w:bidi="fa-IR"/>
        </w:rPr>
        <w:t>، و خلافا للمبسوط</w:t>
      </w:r>
      <w:r>
        <w:rPr>
          <w:rStyle w:val="FootnoteAnchor"/>
          <w:rtl w:val="true"/>
        </w:rPr>
        <w:footnoteReference w:id="1490"/>
      </w:r>
      <w:r>
        <w:rPr>
          <w:rFonts w:ascii="IRNazanin" w:hAnsi="IRNazanin" w:eastAsia="IRNazanin"/>
          <w:color w:val="111111"/>
          <w:sz w:val="28"/>
          <w:sz w:val="28"/>
          <w:szCs w:val="28"/>
          <w:rtl w:val="true"/>
          <w:lang w:bidi="fa-IR"/>
        </w:rPr>
        <w:t>، و المنتهى</w:t>
      </w:r>
      <w:r>
        <w:rPr>
          <w:rStyle w:val="FootnoteAnchor"/>
          <w:rtl w:val="true"/>
        </w:rPr>
        <w:footnoteReference w:id="1491"/>
      </w:r>
      <w:r>
        <w:rPr>
          <w:rFonts w:ascii="Amiri" w:hAnsi="Amiri" w:eastAsia="Amiri" w:cs="Amiri"/>
          <w:color w:val="111111"/>
          <w:sz w:val="28"/>
          <w:sz w:val="28"/>
          <w:szCs w:val="28"/>
          <w:rtl w:val="true"/>
          <w:lang w:bidi="ar-SA"/>
        </w:rPr>
        <w:t>، 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تردّد فيه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احتجّ به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ثبوت المنع معلوم شرعا، فيتوقّف ارتفاعه على وجود الدلالة، و هي مفقودة</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بلوغ الكرّيّة موجب لعدم انفعال الماء عن الملاقي، و ما ذلك إلاّ لقوّته، فكيف يبقى انفعاله عن ارتفاع الحدث الّذي لو كان نجاسة لكانت تقديريّة</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الكرّيّة إن اريد به سبق الكرّيّة على الملاقاة فالمقدّمة الاولى مسلّمة، و لكن المقام ليس منها، و إن اريد به لحوق الكرّيّة بها فالمقدّمة الاولى ممنوعة، فضلا عن المقدّمة الثانية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في الخلاف</w:t>
      </w:r>
      <w:r>
        <w:rPr>
          <w:rStyle w:val="FootnoteAnchor"/>
          <w:rtl w:val="true"/>
        </w:rPr>
        <w:footnoteReference w:id="1495"/>
      </w:r>
      <w:r>
        <w:rPr>
          <w:rFonts w:ascii="Amiri" w:hAnsi="Amiri" w:eastAsia="Amiri" w:cs="Amiri"/>
          <w:color w:val="111111"/>
          <w:sz w:val="28"/>
          <w:sz w:val="28"/>
          <w:szCs w:val="28"/>
          <w:rtl w:val="true"/>
          <w:lang w:bidi="ar-SA"/>
        </w:rPr>
        <w:t>في منشأ التردّد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ثبت فيه المنع قبل أن يبلغ كرّا، فيحتاج في جواز استعماله بعد البلوغ إلى دليل، و من دلالة الآيات و الأخبار على طهارة الماء، خرج عنه الناقص عن الكرّ بدليل، فيبقى ما عداه،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469" w:name="pg16144_233340"/>
    </w:p>
    <w:p>
      <w:pPr>
        <w:pStyle w:val="BookText"/>
        <w:rPr/>
      </w:pPr>
      <w:bookmarkEnd w:id="469"/>
      <w:r>
        <w:rPr>
          <w:rFonts w:ascii="Amiri" w:hAnsi="Amiri" w:eastAsia="Amiri" w:cs="Amiri"/>
          <w:color w:val="111111"/>
          <w:sz w:val="28"/>
          <w:sz w:val="28"/>
          <w:szCs w:val="28"/>
          <w:rtl w:val="true"/>
          <w:lang w:bidi="ar-SA"/>
        </w:rPr>
        <w:t>و يرد على أوّل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هو الناقص الّذي بلغ كرّا بالاجتماع، فإذا سلّم خروجه عن الآيات و الأخبار حال النقصان، فأيّ دليل قضى بدخوله فيهما بعد الاجتماع؟ هذا مع ما فيه من التعبير بالطهارة الّتي ليست من المتنازع فيه، إلاّ أن يراد بها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ثاني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فيه سندا و دلالة،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صرّح به غير واحد من أنّه غير معلوم الإسناد،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فلظهوره في أنّ بلوغ الكرّيّة مانع عن حدوث الخبثيّة فيه، أو ملزوم له، و هو ليس من كونه سببا أو ملزوما لزوالها عنه بعد الحدوث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أنّ الشيخ رحمه اللّه احتجّ في الخلاف</w:t>
      </w:r>
      <w:r>
        <w:rPr>
          <w:rStyle w:val="FootnoteAnchor"/>
          <w:rtl w:val="true"/>
        </w:rPr>
        <w:footnoteReference w:id="1497"/>
      </w:r>
      <w:r>
        <w:rPr>
          <w:rFonts w:ascii="Amiri" w:hAnsi="Amiri" w:eastAsia="Amiri" w:cs="Amiri"/>
          <w:color w:val="111111"/>
          <w:sz w:val="28"/>
          <w:sz w:val="28"/>
          <w:szCs w:val="28"/>
          <w:rtl w:val="true"/>
          <w:lang w:bidi="ar-SA"/>
        </w:rPr>
        <w:t>على عدم زوال النجاسة في المجتمع من الطاهر و النجس؛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محكوم بنجاسته، فمن ادّعى زوال حكم النجاسة عنه بالاجتماع فعليه الدليل، و ليس هناك دليل، فيبقى على الأصل، و لو صحّ الحديث الّذي جعله في موضع النزاع منشأ لاحتمال زوال المانع، لكان دليلا على زوال النجاسة هناك، و ليس بين الحكمين في الخلاف إلاّ أوراق يسيرة</w:t>
      </w:r>
      <w:r>
        <w:rPr>
          <w:rFonts w:eastAsia="Amiri" w:cs="Amiri" w:ascii="Amiri" w:hAnsi="Amiri"/>
          <w:color w:val="111111"/>
          <w:sz w:val="28"/>
          <w:szCs w:val="28"/>
          <w:rtl w:val="true"/>
          <w:lang w:bidi="ar-SA"/>
        </w:rPr>
        <w:t>.»</w:t>
      </w:r>
      <w:r>
        <w:rPr>
          <w:rStyle w:val="FootnoteAnchor"/>
          <w:rtl w:val="true"/>
        </w:rPr>
        <w:footnoteReference w:id="14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470" w:name="__RefHeading___Toc1804706_1280447820"/>
      <w:bookmarkStart w:id="471" w:name="_Toc184"/>
      <w:bookmarkEnd w:id="470"/>
      <w:r>
        <w:rPr>
          <w:rtl w:val="true"/>
        </w:rPr>
        <w:t>و سابعها</w:t>
      </w:r>
      <w:r>
        <w:rPr>
          <w:rtl w:val="true"/>
        </w:rPr>
        <w:t xml:space="preserve">: </w:t>
      </w:r>
      <w:r>
        <w:rPr>
          <w:rtl w:val="true"/>
        </w:rPr>
        <w:t>قال في المنتهى</w:t>
      </w:r>
      <w:r>
        <w:rPr>
          <w:rtl w:val="true"/>
        </w:rPr>
        <w:t>: «</w:t>
      </w:r>
      <w:r>
        <w:rPr>
          <w:rtl w:val="true"/>
        </w:rPr>
        <w:t>لو اغتسل وجوبا من جنابة مشكوك فيها،</w:t>
      </w:r>
      <w:bookmarkEnd w:id="471"/>
    </w:p>
    <w:p>
      <w:pPr>
        <w:pStyle w:val="BookText"/>
        <w:rPr/>
      </w:pPr>
      <w:r>
        <w:rPr>
          <w:rFonts w:ascii="Amiri" w:hAnsi="Amiri" w:eastAsia="Amiri" w:cs="Amiri"/>
          <w:color w:val="111111"/>
          <w:sz w:val="28"/>
          <w:sz w:val="28"/>
          <w:szCs w:val="28"/>
          <w:rtl w:val="true"/>
          <w:lang w:bidi="ar-SA"/>
        </w:rPr>
        <w:t>كالواجد في ثوبه المختصّ، أو المتيقّن لها و للغسل الشاكّ في السابق، أو من حيض مشكوك فيه كالناسية للوقت و العدد، هل يكون ماؤه مستعملا؟ فيه إشكال،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مستعمل، لأنّه ماء طاهر في الأصل لم يعلم إزالة الجنابة به، فلا يلحقه حكم المستعمل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مستعمل، لأنّه قد اغتسل به من الجنابة و إن لم تكن معلومة، إلاّ أنّ الاغتسال معلوم فيلحقه حكمه، و لأنّه ما أزال مانعا من الصلاة، فانتقل المنع إليه كالمتيقّن</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إناطة الأمر بأنّ الرافع للطهوريّة هل هو طروّ الاستعمال في الجنابة و لو شرعيّة، أو كونه رافعا للحدث الّذي هو أمر واقعي؟ فإن كان الأوّل فلا إشكال في </w:t>
      </w:r>
      <w:bookmarkStart w:id="472" w:name="pg16144_233341"/>
    </w:p>
    <w:p>
      <w:pPr>
        <w:pStyle w:val="BookText"/>
        <w:rPr/>
      </w:pPr>
      <w:bookmarkEnd w:id="472"/>
      <w:r>
        <w:rPr>
          <w:rFonts w:ascii="Amiri" w:hAnsi="Amiri" w:eastAsia="Amiri" w:cs="Amiri"/>
          <w:color w:val="111111"/>
          <w:sz w:val="28"/>
          <w:sz w:val="28"/>
          <w:szCs w:val="28"/>
          <w:rtl w:val="true"/>
          <w:lang w:bidi="ar-SA"/>
        </w:rPr>
        <w:t xml:space="preserve">صيرورته مستعملا، و إن كان الثاني فلا إشكال في الحكم عليه بعدم صيرورته مستعملا، للأصل الّذي ينشأ عن الشكّ في وجود الرافع، و الّذي يظهر من الأخبار المقامة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العلماء الأخيار هو الثاني،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804708_1280447820"/>
      <w:bookmarkStart w:id="474" w:name="_Toc185"/>
      <w:bookmarkEnd w:id="473"/>
      <w:r>
        <w:rPr>
          <w:rtl w:val="true"/>
        </w:rPr>
        <w:t>و ثامنها</w:t>
      </w:r>
      <w:r>
        <w:rPr>
          <w:rtl w:val="true"/>
        </w:rPr>
        <w:t xml:space="preserve">: </w:t>
      </w:r>
      <w:r>
        <w:rPr>
          <w:rtl w:val="true"/>
        </w:rPr>
        <w:t>قد أشرنا سابقا إلى أنّ الحكم في كلام أهل القول بالمنع مختصّ بالقليل، لخروج الكثير عن المتنازع فيه،</w:t>
      </w:r>
      <w:bookmarkEnd w:id="474"/>
    </w:p>
    <w:p>
      <w:pPr>
        <w:pStyle w:val="BookText"/>
        <w:rPr/>
      </w:pPr>
      <w:r>
        <w:rPr>
          <w:rFonts w:ascii="Amiri" w:hAnsi="Amiri" w:eastAsia="Amiri" w:cs="Amiri"/>
          <w:color w:val="111111"/>
          <w:sz w:val="28"/>
          <w:sz w:val="28"/>
          <w:szCs w:val="28"/>
          <w:rtl w:val="true"/>
          <w:lang w:bidi="ar-SA"/>
        </w:rPr>
        <w:t>و صرّح به غير واحد، نعم عن المفيد</w:t>
      </w:r>
      <w:r>
        <w:rPr>
          <w:rStyle w:val="FootnoteAnchor"/>
          <w:rtl w:val="true"/>
        </w:rPr>
        <w:footnoteReference w:id="1500"/>
      </w:r>
      <w:r>
        <w:rPr>
          <w:rFonts w:ascii="Amiri" w:hAnsi="Amiri" w:eastAsia="Amiri" w:cs="Amiri"/>
          <w:color w:val="111111"/>
          <w:sz w:val="28"/>
          <w:sz w:val="28"/>
          <w:szCs w:val="28"/>
          <w:rtl w:val="true"/>
          <w:lang w:bidi="ar-SA"/>
        </w:rPr>
        <w:t>القول بكراهة الارتماس في الماء الكثير الراكد، و وجّهه في شرح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وجهه صيرورته مستعملا يكره الطهارة به</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و يظهر من الحدائق</w:t>
      </w:r>
      <w:r>
        <w:rPr>
          <w:rStyle w:val="FootnoteAnchor"/>
          <w:rtl w:val="true"/>
        </w:rPr>
        <w:footnoteReference w:id="1502"/>
      </w:r>
      <w:r>
        <w:rPr>
          <w:rFonts w:ascii="Amiri" w:hAnsi="Amiri" w:eastAsia="Amiri" w:cs="Amiri"/>
          <w:color w:val="111111"/>
          <w:sz w:val="28"/>
          <w:sz w:val="28"/>
          <w:szCs w:val="28"/>
          <w:rtl w:val="true"/>
          <w:lang w:bidi="ar-SA"/>
        </w:rPr>
        <w:t xml:space="preserve">احتمال كون الكراهة مرادا بها المنع، لأنّها في كلام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 من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البهائي في حواشي الحبل المتين</w:t>
      </w:r>
      <w:r>
        <w:rPr>
          <w:rStyle w:val="FootnoteAnchor"/>
          <w:rtl w:val="true"/>
        </w:rPr>
        <w:footnoteReference w:id="1503"/>
      </w:r>
      <w:r>
        <w:rPr>
          <w:rFonts w:ascii="Amiri" w:hAnsi="Amiri" w:eastAsia="Amiri" w:cs="Amiri"/>
          <w:color w:val="111111"/>
          <w:sz w:val="28"/>
          <w:sz w:val="28"/>
          <w:szCs w:val="28"/>
          <w:rtl w:val="true"/>
          <w:lang w:bidi="ar-SA"/>
        </w:rPr>
        <w:t>ما يقضي بتوهّمه عموم النزاع، مستدلاّ بما في المختلف من الاستدلال على عدم المنع بصحيحة صفوان، الواردة في الحياض بين مكّة و المدينة، و صحيحة محمّد بن إسماعيل المتقدّمة في عداد أدلّة القول المختار، و هو كما ترى، فإنّ الاستدلال بالإطلاق في بعض الأفراد المتنازع في حكمه، لا يقضي بكون البعض الآخر من أفراده أيضا من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كراهة الاغتسال فلا يعرف له وجه، مع منافاتها مع احتمال المنع لسيرة المتشرّعة، و عمل الفرقة المحقّة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إسماعيل</w:t>
      </w:r>
      <w:r>
        <w:rPr>
          <w:rStyle w:val="FootnoteAnchor"/>
          <w:rtl w:val="true"/>
        </w:rPr>
        <w:footnoteReference w:id="1504"/>
      </w:r>
      <w:r>
        <w:rPr>
          <w:rFonts w:ascii="Amiri" w:hAnsi="Amiri" w:eastAsia="Amiri" w:cs="Amiri"/>
          <w:color w:val="111111"/>
          <w:sz w:val="28"/>
          <w:sz w:val="28"/>
          <w:szCs w:val="28"/>
          <w:rtl w:val="true"/>
          <w:lang w:bidi="ar-SA"/>
        </w:rPr>
        <w:t xml:space="preserve">المفصّلة في الرخصة و بين الضرورة، و غيرها الّتي قدّمنا فيها احتمال كون النهي للكراهة، بل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في إثبات الكراهة، لعدم تبيّن كون هذه الكراهة هل هي من جهة الاغتسال، أو من جهة الاستنجاء، أو غير ذلك؟ و المفروض أنّ السؤال وقع عن هذه الأشياء مجتمعة لا منفردة، و من الظاهر كفاية كون بعض من هذه الأشياء مقتضيا للكراهة في الحكم بها مطلقا حال الاجتماع، </w:t>
      </w:r>
    </w:p>
    <w:p>
      <w:pPr>
        <w:pStyle w:val="BookText"/>
        <w:rPr/>
      </w:pPr>
      <w:r>
        <w:rPr>
          <w:rFonts w:ascii="Amiri" w:hAnsi="Amiri" w:eastAsia="Amiri" w:cs="Amiri"/>
          <w:color w:val="111111"/>
          <w:sz w:val="28"/>
          <w:sz w:val="28"/>
          <w:szCs w:val="28"/>
          <w:rtl w:val="true"/>
          <w:lang w:bidi="ar-SA"/>
        </w:rPr>
        <w:t>و العمدة في هذا السؤال بيان الحكم لا تعيين محلّه، لأنّ السؤال ورد عن المجتمع فخرج الجواب على طبقه، فإنّ قيام الجهة المانعة بالجزء كاف في المنع عن الكلّ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بالقياس إلى مفردات المسئول عنه مجملة لا يصحّ الاستناد إليها في شيء منها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و في جميع أحواله، فكراهة الاغتسال من الكرّ المغتسل فيه مشكل، مع أنّه لم يظهر به قول من أصحابنا، و ما عرفت عن المفيد غير ثابت، و حكمه بكراهة الارتماس في الكثير الراكد غير دالّ عليه، فإنّ الارتماس في الراكد أعمّ من الاغتسال، كما أنّ الراكد أخصّ من الكثير؛ و لعلّه لخصوصيّة لا مدخليّة فيها للاغتسال، ثمّ إنّ كون ذلك لأجل حفظ الماء عن كونه مستعملا يكره الطهارة به من أيّ جهة و الاستظهار المتقدّم عن شرح الدروس ممنوع، و لعلّ الاغتسال بنفسه مكروه في الراكد، و اللّه العالم بحقائق أحكامه</w:t>
      </w:r>
      <w:r>
        <w:rPr>
          <w:rFonts w:eastAsia="Amiri" w:cs="Amiri" w:ascii="Amiri" w:hAnsi="Amiri"/>
          <w:color w:val="111111"/>
          <w:sz w:val="28"/>
          <w:szCs w:val="28"/>
          <w:rtl w:val="true"/>
          <w:lang w:bidi="ar-SA"/>
        </w:rPr>
        <w:t>.</w:t>
      </w:r>
      <w:bookmarkStart w:id="475" w:name="pg16144_233343"/>
    </w:p>
    <w:p>
      <w:pPr>
        <w:pStyle w:val="Heading3"/>
        <w:numPr>
          <w:ilvl w:val="2"/>
          <w:numId w:val="1"/>
        </w:numPr>
        <w:rPr/>
      </w:pPr>
      <w:bookmarkStart w:id="476" w:name="__RefHeading___Toc1804710_1280447820"/>
      <w:bookmarkStart w:id="477" w:name="_Toc186"/>
      <w:bookmarkEnd w:id="475"/>
      <w:bookmarkEnd w:id="476"/>
      <w:r>
        <w:rPr>
          <w:rtl w:val="true"/>
        </w:rPr>
        <w:t xml:space="preserve">ينبوع </w:t>
      </w:r>
      <w:r>
        <w:rPr>
          <w:rtl w:val="true"/>
        </w:rPr>
        <w:t>[</w:t>
      </w:r>
      <w:r>
        <w:rPr>
          <w:rtl w:val="true"/>
        </w:rPr>
        <w:t>في ماء الجاري</w:t>
      </w:r>
      <w:r>
        <w:rPr>
          <w:rtl w:val="true"/>
        </w:rPr>
        <w:t>]</w:t>
      </w:r>
      <w:bookmarkEnd w:id="477"/>
    </w:p>
    <w:p>
      <w:pPr>
        <w:pStyle w:val="Heading4"/>
        <w:numPr>
          <w:ilvl w:val="3"/>
          <w:numId w:val="1"/>
        </w:numPr>
        <w:rPr/>
      </w:pPr>
      <w:bookmarkStart w:id="478" w:name="__RefHeading___Toc1804712_1280447820"/>
      <w:bookmarkStart w:id="479" w:name="_Toc187"/>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الماء الجاري ممّا أفرده الأصحاب بعنوان مستقلّ، لما في قليله عند أهل القول بانفعال القليل بالملاقاة، من الخلاف في انفعاله، و إلاّ فهو على القول المشهور من عدم انفعاله كان ينبغي أن يذكر في عداد المستثنيات عن قاعدة انفعال القليل، و نحن أيضا أفردناه بالعنوان، و لكن عقيب الفراغ عن المستثنيات اقتفاء لأثرهم، مع مراعاة المناسبة المذكورة على قدر الإمكان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804714_1280447820"/>
      <w:bookmarkStart w:id="481" w:name="_Toc188"/>
      <w:bookmarkEnd w:id="480"/>
      <w:r>
        <w:rPr>
          <w:rtl w:val="true"/>
        </w:rPr>
        <w:t>و كيف كان</w:t>
      </w:r>
      <w:r>
        <w:rPr>
          <w:rtl w:val="true"/>
        </w:rPr>
        <w:t xml:space="preserve">: </w:t>
      </w:r>
      <w:r>
        <w:rPr>
          <w:rtl w:val="true"/>
        </w:rPr>
        <w:t>فاختلفت كلمتهم في تفسير الجاري هنا؛</w:t>
      </w:r>
      <w:bookmarkEnd w:id="481"/>
    </w:p>
    <w:p>
      <w:pPr>
        <w:pStyle w:val="BookText"/>
        <w:rPr/>
      </w:pPr>
      <w:r>
        <w:rPr>
          <w:rFonts w:ascii="Amiri" w:hAnsi="Amiri" w:eastAsia="Amiri" w:cs="Amiri"/>
          <w:color w:val="111111"/>
          <w:sz w:val="28"/>
          <w:sz w:val="28"/>
          <w:szCs w:val="28"/>
          <w:rtl w:val="true"/>
          <w:lang w:bidi="ar-SA"/>
        </w:rPr>
        <w:t xml:space="preserve">ففي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 هو المتدافع في انحدار و استواء</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 xml:space="preserve">و في مفتاح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منتخب من الصحاح و القاموس و غيرهما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الماء سال</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بعض متأخّري المتأخّرين الاكتفاء بمطلق السيلان و لو لا عن مادّة، استنادا إلى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المياه الجارية عن ذوبان الثلج، خصوصا إذا لم ينقطع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نابعا من الأرض</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حاشية الإرشاد و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النابع من الأرض دون ما اجري</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 فإنّه واقف و إن لم يتنجّس العالي منه بنجاسة السافل إذا اختلف السطوح و عنه في جامع المقاصد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النابع، لأنّ الجاري لا عن نبع من أقسام الراكد</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بالجاري النابع غير البئر سواء جرى أم لا، و إطلاق الجريان </w:t>
      </w:r>
    </w:p>
    <w:p>
      <w:pPr>
        <w:pStyle w:val="BookText"/>
        <w:rPr/>
      </w:pPr>
      <w:r>
        <w:rPr>
          <w:rFonts w:ascii="Amiri" w:hAnsi="Amiri" w:eastAsia="Amiri" w:cs="Amiri"/>
          <w:color w:val="111111"/>
          <w:sz w:val="28"/>
          <w:sz w:val="28"/>
          <w:szCs w:val="28"/>
          <w:rtl w:val="true"/>
          <w:lang w:bidi="ar-SA"/>
        </w:rPr>
        <w:t>عليه مطلقا تغليب أو حقيقة عرفيّة</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النابع من الأرض مطلقا غير البئر، على المشهور</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 النابع غير البئر، سواء جرى على وجه الأرض أو لا، و الجاري لا عن مادّة لا يسمّى جاريا عرفا</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بالجاري النابع، لأنّ الجاري لا عن مادّة من أقسام الراكد اتّفاقا</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بالجاري هو النابع، و إن لم يتعدّ محلّه</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النابع عن عين بقوّة أو مطلقا و لو بالرشح، على إشكال في الأخير</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النابع غير البئر، بقوّة أو مطلقا و لو بالرشح، على إشكال في الأخير</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 السائل على الأرض بالنبع من تحتها، و إلاّ فهو الواقف، لأنّ الجاري لا عن نبع من أقسام الراكد اتّفاقا أو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الاستاذ للشرائع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السائل عن مادّة لا النابع مطلقا، و لا السائل كذلك</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الماء به، ليس حاله إلاّ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وضع فيه لغة و عرفا لما يقابل المحقون و ماء البئر و غيرهما من الأقسام المتداولة في لسان الفقهاء، الممتازة بعضها عن بعض بحسب الأحكام المثبتة من الأدلّة الشرعيّة، بل هو لغة و عرفا بالمعنى الأعمّ من المتشرّعة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عامّ يلحق الماء باعتبار ما يعرضه من وصف السيلان، و لا ينافيه تبادر ما يقابل المحقون و غيره من الأقسام المشار إليها عند المتشرّعة بالخصوص، لأنّه تبادر إطلاقي ينشأ من انسهم بطريقة الفقهاء في إجراء الأحكام، و التفرقة بين ما ذكر من الأقسام، بناء على أنّ ما عرفت عن الفقهاء من التفاسير </w:t>
      </w:r>
    </w:p>
    <w:p>
      <w:pPr>
        <w:pStyle w:val="BookText"/>
        <w:rPr/>
      </w:pPr>
      <w:r>
        <w:rPr>
          <w:rFonts w:ascii="Amiri" w:hAnsi="Amiri" w:eastAsia="Amiri" w:cs="Amiri"/>
          <w:color w:val="111111"/>
          <w:sz w:val="28"/>
          <w:sz w:val="28"/>
          <w:szCs w:val="28"/>
          <w:rtl w:val="true"/>
          <w:lang w:bidi="ar-SA"/>
        </w:rPr>
        <w:t xml:space="preserve">المذكورة بيان 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متّفق عليه أو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استفادوه كلاّ أم جلاّ من الأدلّة الشرعيّة، لا أنّه تفسير لمفهوم اللفظ لغة و لا عرفا و لا شرعا حتّى يلزم منه ثبوت الحقيقة الشرعيّة فيه، و إلاّ فمفهوم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ليس إلاّ الماء السائل، و وصف الجاري صفة تقييديّة يحترز بها عمّا ليس بسائل فعلا، لا أنّه صفة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حيثما يؤخذ اللفظ المذكور موضوعا للحكم المشار إليه أو في المسألة المختلف فيها يكون صفة توضيحيّة، لكن من جهة الفرض و الاعتبار، لا من جهة دخولها مع الموصوف في مفهوم اللفظ لغة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اللفظ لغة أو عرفا شيء، و موضوع الحكم الشرعي شيء آخر، غاية الأمر أنّهما قد يتطابقان و قد يتفارقان، و غرضهم من التفاسير المذكورة الإشارة إلى الثاني فقط، و الأوّل يفارقه في غير النابع، فإنّه إذا سال ماء جار لغة و عرفا و إن لم يكن من موضوع الحكم الشرعي أو المسألة المذكورين في شيء، و الّذي يشهد بما ذكرناه من تغاير الأمرين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كلام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تفسيره بما هو موضوع للحكم الشرعي، و اشتمال جملة من كلامهم على تفسيره بما يعمّ هذا المعنى كما عرفت عن مفتاح المعاني، و لا ينافيه ما عرفته عن المصباح، لأنّ تفسيره بالمتدافع إمّا تفسير له بما يرادف السائل أو بما يلزمه، نظرا إلى أنّ السيلان يستلزم كون بعض الأجزاء دافعا للبعض الآخر، و موجبا لانتقاله عن مكان إلى آخر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التفاسير المذكورة من التعبير في أكثرها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كالتصريح بأنّ هذا التفسير بيان لما هو المراد من اللفظ في خصوص المقام، و يزيده بيانا ما في كلام بعضهم من إخراج الجاري لا عن نبع عمّا هو المراد هنا بطريق الاستدلال، و لا ينافيه ما في بعض تلك التفاسير من بيان المعنى بطريق الحمل دون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أيضا بقرينة ما في أكثرها ينزّل إلى بيان المراد بالخصوص، لا بيان مفهوم اللفظ بما هو هو، كما يفصح عن ذلك ما عرفت عن ثاني الشهيدين في كتابيه المسالك</w:t>
      </w:r>
      <w:r>
        <w:rPr>
          <w:rStyle w:val="FootnoteAnchor"/>
          <w:rtl w:val="true"/>
        </w:rPr>
        <w:footnoteReference w:id="1518"/>
      </w:r>
      <w:r>
        <w:rPr>
          <w:rFonts w:ascii="Amiri" w:hAnsi="Amiri" w:eastAsia="Amiri" w:cs="Amiri"/>
          <w:color w:val="111111"/>
          <w:sz w:val="28"/>
          <w:sz w:val="28"/>
          <w:szCs w:val="28"/>
          <w:rtl w:val="true"/>
          <w:lang w:bidi="ar-SA"/>
        </w:rPr>
        <w:t>و الروضة</w:t>
      </w:r>
      <w:r>
        <w:rPr>
          <w:rStyle w:val="FootnoteAnchor"/>
          <w:rtl w:val="true"/>
        </w:rPr>
        <w:footnoteReference w:id="1519"/>
      </w:r>
      <w:r>
        <w:rPr>
          <w:rFonts w:ascii="Amiri" w:hAnsi="Amiri" w:eastAsia="Amiri" w:cs="Amiri"/>
          <w:color w:val="111111"/>
          <w:sz w:val="28"/>
          <w:sz w:val="28"/>
          <w:szCs w:val="28"/>
          <w:rtl w:val="true"/>
          <w:lang w:bidi="ar-SA"/>
        </w:rPr>
        <w:t xml:space="preserve">، حيث إنّه في </w:t>
      </w:r>
    </w:p>
    <w:p>
      <w:pPr>
        <w:pStyle w:val="BookText"/>
        <w:rPr/>
      </w:pPr>
      <w:r>
        <w:rPr>
          <w:rFonts w:ascii="Amiri" w:hAnsi="Amiri" w:eastAsia="Amiri" w:cs="Amiri"/>
          <w:color w:val="111111"/>
          <w:sz w:val="28"/>
          <w:sz w:val="28"/>
          <w:szCs w:val="28"/>
          <w:rtl w:val="true"/>
          <w:lang w:bidi="ar-SA"/>
        </w:rPr>
        <w:t>الأوّل عبّر باللفظ المذكور، و في الثاني ذكر المعنى بطريق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ممّا ذكر ما في الدروس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نابعا</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بعد ما جعل أقسام الماء باعتبار مخالطة النجس له أربعة، و في شرح العبارة المذكورة للمحقّق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احترز به عمّا إذا كان جاريا من غير نبع، فإنّ حكمه حكم الواقف اتّفاقا نعم القليل منه إذا كان منحدرا لا ينجّس ما فوقه</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xml:space="preserve">، انتهى فإنّ ظاهر هذه العبارات كلّها أنّ وقوع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ليس بحسب الوضع اللغوي، و لا العرفي العامّ، و لا أنّه حصل فيه للفقهاء اصطلاح خاصّ، و إلاّ لم يكن لما فيها من التقييدات و التصريح بالاحترازات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الأردبيلي في مجمع الفائدة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حقيقة الجاري،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النابع غير البئر، فكأنّه اصطلاح، و يفهم ممّا نقل عن الدروس اشتراط دوام النبع، و كذا ابن فهد و ليس هنا حقيقة شرعيّة بل و لا عرفيّة، و معلوم عدم إرادة اللغويّة، و يمكن استخراج 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البئر فلانفرادها بالأحكام، و أمّا النابع مطلقا فلعدم القوّة في غير النابع، و للإجماع أيضا على اعتبار الكرّيّة في غير النابع بين القائلين بالتنجيس، و لوجود معنى الجري في النابع</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فما في عبارة المسالك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تفسيره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الجريان عليه مطلقا تغليب أو حقيقة عرفيّة</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لا بدّ و أن يحمل على إرادة التغليب في لسان الفقهاء، حيث يعتبرون المعنى المذكور موضوعا في المسألة المتنازع فيها، و إرادة الحقيقة العرفيّة الخاصّة كما فهمه الأردبيلي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ربّما يورد عليه من مخالفة ذلك للعرف و اللغة، و الاستدلال في ردّه بأنّ الجاري، لا يصدق إلاّ مع تحقّق الجريان ليس على ما ينبغي، فإنّ اعتبار الجريان فعلا في صدق الجاري لغة أو عرفا لا ينافي عدم كونه معتبرا فيما هو موضوع في المسألة الفقهيّة، بعد تبيّن أنّ العبرة فيه بالنبع فقط دون الجريان فعلا، غاية الأمر كون وقوع اللفظ عليه مجازا من باب التغليب لتحقّق الجريان في أكثر أفراد هذا الموضوع، أو </w:t>
      </w:r>
    </w:p>
    <w:p>
      <w:pPr>
        <w:pStyle w:val="BookText"/>
        <w:rPr/>
      </w:pPr>
      <w:r>
        <w:rPr>
          <w:rFonts w:ascii="Amiri" w:hAnsi="Amiri" w:eastAsia="Amiri" w:cs="Amiri"/>
          <w:color w:val="111111"/>
          <w:sz w:val="28"/>
          <w:sz w:val="28"/>
          <w:szCs w:val="28"/>
          <w:rtl w:val="true"/>
          <w:lang w:bidi="ar-SA"/>
        </w:rPr>
        <w:t>اصطلاحا خاصّا، و 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تطهير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يطهّر بكثرة الماء الجاري عليه متدافعا حتّى يزول التغيّر، و ما في بعض الأخبار عن الماء الجاري يمرّ بالجيف و العذرة و الدم أ يتوضّأ منه؟ يشير إلى كون الجاري ما تحقّق فيه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يدّعي كفاية النبع مطلقا في موضوع المسألة عند الفقهاء، و عدم اعتبار الجريان الفعلي فيه، ينبغي أن يطالب بدليل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مرجع التفاسير المتقدّمة إلى تحقيق موضوع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النظر في تحقيقه في كلماتهم، و أدلّتهم المقامة على امتياز الجاري عن سائر الأقسام بحسب الحكم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 لا خلاف ظاهرا في أنّ النابع السائل على وجه الأرض من موضوع المسألة، كما أنّه لا إشكال و لا خلاف في أنّ ما ليس بنابع و لا سائل ليس من موضوع المسألة في شيء، و إنّما الكلام في اعتبار هذين الوصفين معا في هذا الموضوع، على وجه لو لا أحدهما لم يكن المورد منه، و الظاهر أنّه لا إشكال و لا خلاف أيضا في اعتبار الوصف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 كلام أهل اللغة بخروج الماء من العين، و لذا ترى تفاسيرهم المتقدّمة متوافقة على اعتباره، مع استتباع بعضها بدعوى الاتّفاق على دخول غير النابع في أقسام الراكد، و إن حصل له وصف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يرشد إلى ذلك أيضا فرضهم مسألة اختلاف السطوح بالتسنيم أو الانحدار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يتأتّى إلاّ مع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 الّذي هو من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العمدة في المقام اعتبار الوصف الثاني و هو الجريان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الفائدة في العيون الصغار الغير السائلة، الّتي ينبع منها الماء إلى مرتبة فيقف عليها حتّى يؤخذ منه شيء، فإذا أخذ ينبع ثانيا إلى أن يصل المرتبة أيضا و هكذا، و قد اختلفت كلمة المتأخّرين في ذلك ففي صريح المسالك</w:t>
      </w:r>
      <w:r>
        <w:rPr>
          <w:rStyle w:val="FootnoteAnchor"/>
          <w:rtl w:val="true"/>
        </w:rPr>
        <w:footnoteReference w:id="1524"/>
      </w:r>
      <w:r>
        <w:rPr>
          <w:rFonts w:ascii="Amiri" w:hAnsi="Amiri" w:eastAsia="Amiri" w:cs="Amiri"/>
          <w:color w:val="111111"/>
          <w:sz w:val="28"/>
          <w:sz w:val="28"/>
          <w:szCs w:val="28"/>
          <w:rtl w:val="true"/>
          <w:lang w:bidi="ar-SA"/>
        </w:rPr>
        <w:t>و الذخيرة</w:t>
      </w:r>
      <w:r>
        <w:rPr>
          <w:rStyle w:val="FootnoteAnchor"/>
          <w:rtl w:val="true"/>
        </w:rPr>
        <w:footnoteReference w:id="1525"/>
      </w:r>
      <w:r>
        <w:rPr>
          <w:rFonts w:ascii="IRNazanin" w:hAnsi="IRNazanin" w:eastAsia="IRNazanin"/>
          <w:color w:val="111111"/>
          <w:sz w:val="28"/>
          <w:sz w:val="28"/>
          <w:szCs w:val="28"/>
          <w:rtl w:val="true"/>
          <w:lang w:bidi="fa-IR"/>
        </w:rPr>
        <w:t>و الحدائق</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و صرّح به الخوانساري في شرح الدروس أيضا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لا يشترط فيه الجريان، بل يكفي مجرّد النبع</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و يمكن استفادته أيضا عن جملة من التفاسير المتقدّم ذكرها لما فيها من إطلاق النبع، و عن ظاهر المحقّق اعتباره، حيث حكم بعدم تطهير القليل بالنبع من تحته،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النابع ينجّس بالملاقاة</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 و عن 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أوضح الاحتمالين</w:t>
      </w:r>
      <w:r>
        <w:rPr>
          <w:rStyle w:val="FootnoteAnchor"/>
          <w:rtl w:val="true"/>
        </w:rPr>
        <w:footnoteReference w:id="1529"/>
      </w:r>
      <w:r>
        <w:rPr>
          <w:rFonts w:ascii="Amiri" w:hAnsi="Amiri" w:eastAsia="Amiri" w:cs="Amiri"/>
          <w:color w:val="111111"/>
          <w:sz w:val="28"/>
          <w:sz w:val="28"/>
          <w:szCs w:val="28"/>
          <w:rtl w:val="true"/>
          <w:lang w:bidi="ar-SA"/>
        </w:rPr>
        <w:t>و هو المحكيّ عن المقنعة</w:t>
      </w:r>
      <w:r>
        <w:rPr>
          <w:rStyle w:val="FootnoteAnchor"/>
          <w:rtl w:val="true"/>
        </w:rPr>
        <w:footnoteReference w:id="1530"/>
      </w:r>
      <w:r>
        <w:rPr>
          <w:rFonts w:ascii="Amiri" w:hAnsi="Amiri" w:eastAsia="Amiri" w:cs="Amiri"/>
          <w:color w:val="111111"/>
          <w:sz w:val="28"/>
          <w:sz w:val="28"/>
          <w:szCs w:val="28"/>
          <w:rtl w:val="true"/>
          <w:lang w:bidi="ar-SA"/>
        </w:rPr>
        <w:t>، و التهذيب</w:t>
      </w:r>
      <w:r>
        <w:rPr>
          <w:rStyle w:val="FootnoteAnchor"/>
          <w:rtl w:val="true"/>
        </w:rPr>
        <w:footnoteReference w:id="1531"/>
      </w:r>
      <w:r>
        <w:rPr>
          <w:rFonts w:ascii="Amiri" w:hAnsi="Amiri" w:eastAsia="Amiri" w:cs="Amiri"/>
          <w:color w:val="111111"/>
          <w:sz w:val="28"/>
          <w:sz w:val="28"/>
          <w:szCs w:val="28"/>
          <w:rtl w:val="true"/>
          <w:lang w:bidi="ar-SA"/>
        </w:rPr>
        <w:t xml:space="preserve">، حيث حكما بانفعال القليل من الغدير النابع و تطهيره بالنزح، و هو صريح بعض من قاربناه عصرا،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يلحق بالبئر العيون الصغار الغير السائلة، و غير الصادق عليها اسم البئر، وفاقا للمقنعة و التهذيب و الفاضل الهندي في شرح القواعد، لعدم صدق الجريان في مائها شرعا و لغة و عرفا، فلا يشمله عبارات الأصحاب و لا ما ورد من الأخبار</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النابع الراكد عند الفقهاء في حكم البئر</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عن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محكيّة عن شرحه للمفاتيح اعتباره في صدق الاسم دون الحكم، بمعنى دخول العيون المشار إليها في حكم الجاري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خروجها عنه اسما،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 في الجاري و البئر هو 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الجريان اللغوي لا ينفع في الجاري، حتّى يكون الجريان عن مادّة سواء كانت نبعا أو نزأ حاصلين عن حفر الآبار و خرق أسافلها، و دخل الماء من بئر إلى بئر إلى أن جرى على الأرض و هذا هو المسمّى بالقناة، أو كان البئر واحدة و ثقب أسفلها حتّى يجري ماؤها على الأرض، أو امتلأت ماء إلى أن جرى على الأرض، ففي جميع هذه الصور يكون الماء جاريا، و إن أطلق عليه ماء البئر أيضا، إلاّ أنّه ليس إطلاقا حقيقيّا باصطلاح العرف العامّ، و من الجاري العيون الّتي يجري منها الماء، و أمّا الّتي لا يجري أصلا و إن كان عن مادّة نبعا أو نزأ فحكمها حكم الجاري في عدم الانفعال ما لم يتغيّر، للأصل، و العمومات، و قوله عليه السّلام في البئر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أنت بعد ما أحطت خبرا بما قرّرناه آنفا، من أنّ مبنى إطلاق الجاري على النابع السائل ليس على الوضع اللغوي جزما، و لا العرفي و الشرعي، حيث لا شاهد بهما أصلا، بل إنّما هو لأجل كونه أحد أفراد مفهومه اللغوي، تعرف أنّ بعض الكلمات المذكورة ليس في محلّه، فالاستناد في نفي دخول ما فرض من العيون في اسم الجاري إلى عدم صدق الجريان و نحوه عليها ليس ممّا ينبغي، و الاعتراف بكونها في حكمه ممّا يشهد بما تقدّم من أنّ غرضهم في المقام ضبط موضوع الحكم لا شرح مفهوم اللفظ، فلا بدّ و أن يكون الجاري مرادا به حينئذ معنى يشمل الغير السائل أيضا، و معه لا معنى لنفي دخوله في المسمّى هنا، استنادا إلى ما يرجع إلى إحراز المسمّى اللغوي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معرفة دخوله في موضوع الحكم ملاحظة الأدلّة المقامة على ذلك الحكم،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أكثر الأدلّة المقامة على عدم انفعاله على فرض سلامتها دلالة، خصوصا ما يأتي من رواية البئر المعلّلة بوجود المادّة، على تقدير رجوع التعليل إلى حكم عدم الإفساد لا الطهر بالنزح كما هو الأظهر، فإنّها على هذا التقدير تفيد قاعدة عامّة جارية في كلّ ذي مادّة و المقام منه، نظرا إلى أنّ عدم السيلان على وجه الأرض ينشأ عن تحتيّة المادّة لا عن فقدها أو ضعفها كما قد يتوهّم، و لو فرض شكّ في شمول ذلك الحكم له بملاحظة ما تقدّم من الخلاف الواقع فيه، و لم يظهر من الأدلّة شيء، كان المتعيّن إدخاله في عمومات انفعال القليل، المفيدة قاعدة عامّة تجري في المقام جزما لو خلّي و طبعها حسبما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ضابط كلّي في المسألة يجب الرجوع إليه في كلّ ما يشكّ دخوله في الجاري الّذي هو موضوع المسألة، لأجل خلاف، أو ضعف نبع، أو يشكّ في وجود النبع و نحوه حين الملاقاة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ذلك ما يتعدّى محلّه خارجا من الأرض بطريق الرشح، و هو العرق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رشح جبينه إذا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إخراج مثل ذلك ينظر ما اعتبره الشهيد في الدروس</w:t>
      </w:r>
      <w:r>
        <w:rPr>
          <w:rStyle w:val="FootnoteAnchor"/>
          <w:rtl w:val="true"/>
        </w:rPr>
        <w:footnoteReference w:id="1535"/>
      </w:r>
      <w:r>
        <w:rPr>
          <w:rFonts w:ascii="Amiri" w:hAnsi="Amiri" w:eastAsia="Amiri" w:cs="Amiri"/>
          <w:color w:val="111111"/>
          <w:sz w:val="28"/>
          <w:sz w:val="28"/>
          <w:szCs w:val="28"/>
          <w:rtl w:val="true"/>
          <w:lang w:bidi="ar-SA"/>
        </w:rPr>
        <w:t xml:space="preserve">من دوام النبع في الجاري، نظرا إلى أنّ الماء في صورة الرشح يخرج شيئا فشيئا، و المعتبر في عدم الانفعال اتّصال الملاقي للنجاسة بالمادّة حين تحقّق الملاقاة، </w:t>
      </w:r>
    </w:p>
    <w:p>
      <w:pPr>
        <w:pStyle w:val="BookText"/>
        <w:rPr/>
      </w:pPr>
      <w:r>
        <w:rPr>
          <w:rFonts w:ascii="Amiri" w:hAnsi="Amiri" w:eastAsia="Amiri" w:cs="Amiri"/>
          <w:color w:val="111111"/>
          <w:sz w:val="28"/>
          <w:sz w:val="28"/>
          <w:szCs w:val="28"/>
          <w:rtl w:val="true"/>
          <w:lang w:bidi="ar-SA"/>
        </w:rPr>
        <w:t>و لا ريب أنّ الاتّصال ممّا لا يعلم به مع الخروج رشحا، و إنّما اعتبرنا العلم هنا مع أنّ الحكم بالطهارة يكفي فيه عدم العلم بتحقّق سبب النجاسة، و المقام منه، لأنّ المقتضي للنجاسة هنا موجود و هو عموم القاعدة، فلا بدّ في الخروج عنها من مخرج علميّ و لو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الشهيد في اعتباره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يستقيم لو كان الحكم بعدم انفعال الجاري معلّقا عند الأصحاب بوجود المادّة، و هو غير ظاهر من أكثرهم، بل أكثر أدلّتهم خلو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في ذلك إلى الرواية المشار إليها، المعلّلة بوجود المادّة كان الاشتراط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الاستناد إليها غير معلوم من جميعهم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مستند الحكم عنده، فاعتبر الشرط المذكور جريا على مقتضى دليله، فلا إيراد عليه بعد تسليم هذا الدليل منه، و نقل اعتبار ذلك أيضا عن ابن فهد في موجزه</w:t>
      </w:r>
      <w:r>
        <w:rPr>
          <w:rStyle w:val="FootnoteAnchor"/>
          <w:rtl w:val="true"/>
        </w:rPr>
        <w:footnoteReference w:id="1536"/>
      </w:r>
      <w:r>
        <w:rPr>
          <w:rFonts w:ascii="Amiri" w:hAnsi="Amiri" w:eastAsia="Amiri" w:cs="Amiri"/>
          <w:color w:val="111111"/>
          <w:sz w:val="28"/>
          <w:sz w:val="28"/>
          <w:szCs w:val="28"/>
          <w:rtl w:val="true"/>
          <w:lang w:bidi="ar-SA"/>
        </w:rPr>
        <w:t>و عن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استحسن ذلك الشرط</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معناه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 هو أظهرها، وفاقا للمحكيّ عن بعض محشّي الروضة، و المحقّق الثاني</w:t>
      </w:r>
      <w:r>
        <w:rPr>
          <w:rStyle w:val="FootnoteAnchor"/>
          <w:rtl w:val="true"/>
        </w:rPr>
        <w:footnoteReference w:id="1538"/>
      </w:r>
      <w:r>
        <w:rPr>
          <w:rFonts w:ascii="IRNazanin" w:hAnsi="IRNazanin" w:eastAsia="IRNazanin"/>
          <w:color w:val="111111"/>
          <w:sz w:val="28"/>
          <w:sz w:val="28"/>
          <w:szCs w:val="28"/>
          <w:rtl w:val="true"/>
          <w:lang w:bidi="fa-IR"/>
        </w:rPr>
        <w:t>و صاحب المعالم</w:t>
      </w:r>
      <w:r>
        <w:rPr>
          <w:rStyle w:val="FootnoteAnchor"/>
          <w:rtl w:val="true"/>
        </w:rPr>
        <w:footnoteReference w:id="1539"/>
      </w:r>
      <w:r>
        <w:rPr>
          <w:rFonts w:ascii="Amiri" w:hAnsi="Amiri" w:eastAsia="Amiri" w:cs="Amiri"/>
          <w:color w:val="111111"/>
          <w:sz w:val="28"/>
          <w:sz w:val="28"/>
          <w:szCs w:val="28"/>
          <w:rtl w:val="true"/>
          <w:lang w:bidi="ar-SA"/>
        </w:rPr>
        <w:t>حيث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مفيد، إذ مجرّد عدم ظهور المادّة لا يكفي في الحكم بالانفعال، بل التحقيق في صورة الشكّ في وجود المادّة الحكم بعدم الانفعال للأصل، بل و كذلك مع ظنّ العدم للاستصحاب، و إن انحصر الدليل على عدم اشتراط الكرّيّة في الخبر المشار إليه، و هو كما ترى و كأنّه غفلة عمّا قرّرناه من وجود المقتضي للانفعال، لو لا الدليل المخرج</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روض الجنان</w:t>
      </w:r>
      <w:r>
        <w:rPr>
          <w:rStyle w:val="FootnoteAnchor"/>
          <w:rtl w:val="true"/>
        </w:rPr>
        <w:footnoteReference w:id="1540"/>
      </w:r>
      <w:r>
        <w:rPr>
          <w:rFonts w:ascii="Amiri" w:hAnsi="Amiri" w:eastAsia="Amiri" w:cs="Amiri"/>
          <w:color w:val="111111"/>
          <w:sz w:val="28"/>
          <w:sz w:val="28"/>
          <w:szCs w:val="28"/>
          <w:rtl w:val="true"/>
          <w:lang w:bidi="ar-SA"/>
        </w:rPr>
        <w:t>التصريح به من، أنّ المراد بدوام النبع عدم الانقطاع في أثناء الزمان، ككثير من المياه الّتي تخرج زمن الشتاء و تجفّ في الصيف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الحكم إذا كان معلّقا بوصف النبع فهو ما لم يتحقّق الانقطاع موجود، فينبغي أن يتحقّق معه الحكم، و لا يعقل مدخليّة لانقطاعه في بعض الأزمنة في ذلك،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بالانفعال مع انتفاء الشرط بالمعنى المذكور يوجب تخصيص عموم الأدلّة بمجرّد التشهّي، و من هنا صحّ القول بأنّ ذلك ممّا لا ينبغي نسبته إلى مثل الشهيد، بل من هو دونه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الدوام بالمعنى المذكور إن اريد به ما يعمّ الزمان كلّه، فلا ريب في بطلانه إذ لا سبيل إلى العلم به، و إن خصّ ببعضه فهو مجرّد تحكّم،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ما يحترز به عن بعض العيون أو الآبار الّتي لها نبع و لا يجري ماؤها على الأرض، مع عدم دخولها في اسم البئر، و إنّما يعلم النبع بأخذ شيء من الماء، فإنّه حينئذ يأخذ بالنبع إلى أن يبلغ الحدّ الأوّل، و هذا أضعف من سابقه، فإنّ الحكم بعدم الانفعال إن كان مستفادا من الأصل أو الروايات غير رواية البئر المعلّلة بما سبق فلا ريب أنّهما ساكتان عن اعتبار أصل النبع فضلا عن دوامه، و إن كان مستفادا عن الرواية المشار إليها فأقصاها الدلالة على اعتبار وجود المادّة و الاتّصال بها، و عدم تعدّي الماء لا يقدح في شيء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عن بعض الفقهاء المحدّثين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ينبع الماء حتّى يبلغ حدّا معيّنا، ثمّ يقف و لا ينبع ثانيا إلاّ بعد إخراج بعض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ينبع ثانيا إلاّ بعد حفر جديد، كما هو المشاهد في بعض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ينبع الماء و لا يقف على حدّ كما في العيون الجارية،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شمول الأخبار المستفاد منها حكم الجاري للوجه الثاني غير واضح، فيبقى تحت ما يدلّ على اعتبار الكرّيّة، و كأنّ مراد شيخنا الشهيد رحمه اللّه ما ذكرناه</w:t>
      </w:r>
      <w:r>
        <w:rPr>
          <w:rFonts w:eastAsia="Amiri" w:cs="Amiri" w:ascii="Amiri" w:hAnsi="Amiri"/>
          <w:color w:val="111111"/>
          <w:sz w:val="28"/>
          <w:szCs w:val="28"/>
          <w:rtl w:val="true"/>
          <w:lang w:bidi="ar-SA"/>
        </w:rPr>
        <w:t>»</w:t>
      </w:r>
      <w:r>
        <w:rPr>
          <w:rStyle w:val="FootnoteAnchor"/>
          <w:rtl w:val="true"/>
        </w:rPr>
        <w:footnoteReference w:id="1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وقوف نبعه ثانيا على حفر جديد لا يخرج النابع أوّلا عن كونه نابعا، و الحكم معلّق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النبع إنّما يناط به الحكم في موضع اتّصال </w:t>
      </w:r>
      <w:bookmarkStart w:id="482" w:name="pg16144_233352"/>
    </w:p>
    <w:p>
      <w:pPr>
        <w:pStyle w:val="BookText"/>
        <w:rPr/>
      </w:pPr>
      <w:bookmarkEnd w:id="482"/>
      <w:r>
        <w:rPr>
          <w:rFonts w:ascii="Amiri" w:hAnsi="Amiri" w:eastAsia="Amiri" w:cs="Amiri"/>
          <w:color w:val="111111"/>
          <w:sz w:val="28"/>
          <w:sz w:val="28"/>
          <w:szCs w:val="28"/>
          <w:rtl w:val="true"/>
          <w:lang w:bidi="ar-SA"/>
        </w:rPr>
        <w:t>النابع بالمادّة لا مطلقا، و لا ريب أنّ افتقار النبع ثانيا إلى الحفر الجديد ممّا يكشف عن انقطاع ما نبع أوّلا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من المواضع المشكوك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السكون، بل هو ممّا لا ينبغي الشكّ في عدم اندراجه تحت الجاري اسما و حكما، سواء فسّرناه بما عن منقول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المطر الّذي يبقى محقونا تحت الرمل، فإذا انكشف عنه الأرض</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يختفي تحت الرمل من ماء المطر، أو بما في مفتاح المعاني</w:t>
      </w:r>
      <w:r>
        <w:rPr>
          <w:rStyle w:val="FootnoteAnchor"/>
          <w:rtl w:val="true"/>
        </w:rPr>
        <w:footnoteReference w:id="1543"/>
      </w:r>
      <w:r>
        <w:rPr>
          <w:rFonts w:ascii="IRNazanin" w:hAnsi="IRNazanin" w:eastAsia="IRNazanin"/>
          <w:color w:val="111111"/>
          <w:sz w:val="28"/>
          <w:sz w:val="28"/>
          <w:szCs w:val="28"/>
          <w:rtl w:val="true"/>
          <w:lang w:bidi="fa-IR"/>
        </w:rPr>
        <w:t>و القاموس</w:t>
      </w:r>
      <w:r>
        <w:rPr>
          <w:rStyle w:val="FootnoteAnchor"/>
          <w:rtl w:val="true"/>
        </w:rPr>
        <w:footnoteReference w:id="1544"/>
      </w:r>
      <w:r>
        <w:rPr>
          <w:rFonts w:ascii="IRNazanin" w:hAnsi="IRNazanin" w:eastAsia="IRNazanin"/>
          <w:color w:val="111111"/>
          <w:sz w:val="28"/>
          <w:sz w:val="28"/>
          <w:szCs w:val="28"/>
          <w:rtl w:val="true"/>
          <w:lang w:bidi="fa-IR"/>
        </w:rPr>
        <w:t>و المجمع</w:t>
      </w:r>
      <w:r>
        <w:rPr>
          <w:rStyle w:val="FootnoteAnchor"/>
          <w:rtl w:val="true"/>
        </w:rPr>
        <w:footnoteReference w:id="1545"/>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الماء القليل لا 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يبقى في الأرض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الأرض الصلبة المستوية المتن، نعم إن فسّرناه بما يظهر في الشتاء و يذهب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الثلاث المذكورة في الكتب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تقدّم بيان كونه مرادا للشهيد فيما اعتبره من الشرط المتقدّم، و قد ظهر بملاحظة ما ذكر أنّ القدر المتيقّن ممّا هو مراد المشهور إنّما هو السائل عن نبع، و هذا أو ما هو أعمّ منه هو الّذي اختلف الأصحاب في انفعال قليله،</w:t>
      </w:r>
    </w:p>
    <w:p>
      <w:pPr>
        <w:pStyle w:val="Heading4"/>
        <w:numPr>
          <w:ilvl w:val="3"/>
          <w:numId w:val="1"/>
        </w:numPr>
        <w:rPr/>
      </w:pPr>
      <w:bookmarkStart w:id="483" w:name="__RefHeading___Toc1804716_1280447820"/>
      <w:bookmarkStart w:id="484" w:name="_Toc189"/>
      <w:bookmarkEnd w:id="483"/>
      <w:r>
        <w:rPr>
          <w:rtl w:val="true"/>
        </w:rPr>
        <w:t>و اشتراط الكرّيّة في عدم انفعاله و عدمه على قولين</w:t>
      </w:r>
      <w:r>
        <w:rPr>
          <w:rtl w:val="true"/>
        </w:rPr>
        <w:t>:</w:t>
      </w:r>
      <w:bookmarkEnd w:id="484"/>
    </w:p>
    <w:p>
      <w:pPr>
        <w:pStyle w:val="Heading5"/>
        <w:numPr>
          <w:ilvl w:val="4"/>
          <w:numId w:val="1"/>
        </w:numPr>
        <w:rPr/>
      </w:pPr>
      <w:bookmarkStart w:id="485" w:name="__RefHeading___Toc1804718_1280447820"/>
      <w:bookmarkStart w:id="486" w:name="_Toc190"/>
      <w:bookmarkEnd w:id="485"/>
      <w:r>
        <w:rPr>
          <w:rtl w:val="true"/>
        </w:rPr>
        <w:t>الأوّل</w:t>
      </w:r>
      <w:r>
        <w:rPr>
          <w:rtl w:val="true"/>
        </w:rPr>
        <w:t xml:space="preserve">: </w:t>
      </w:r>
      <w:r>
        <w:rPr>
          <w:rtl w:val="true"/>
        </w:rPr>
        <w:t>ما هو المشهور جدّا محقّقا و محكيّا من أنّه لا يشترط فيه الكرّيّة، فلا ينفعل قليله بالنجاسة إلاّ إذا تغيّر،</w:t>
      </w:r>
      <w:bookmarkEnd w:id="48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عزى إلى صريح المبسوط</w:t>
      </w:r>
      <w:r>
        <w:rPr>
          <w:rStyle w:val="FootnoteAnchor"/>
          <w:rtl w:val="true"/>
        </w:rPr>
        <w:footnoteReference w:id="1546"/>
      </w:r>
      <w:r>
        <w:rPr>
          <w:rFonts w:ascii="Amiri" w:hAnsi="Amiri" w:eastAsia="Amiri" w:cs="Amiri"/>
          <w:color w:val="111111"/>
          <w:sz w:val="28"/>
          <w:sz w:val="28"/>
          <w:szCs w:val="28"/>
          <w:rtl w:val="true"/>
          <w:lang w:bidi="ar-SA"/>
        </w:rPr>
        <w:t>، و الغنية</w:t>
      </w:r>
      <w:r>
        <w:rPr>
          <w:rStyle w:val="FootnoteAnchor"/>
          <w:rtl w:val="true"/>
        </w:rPr>
        <w:footnoteReference w:id="1547"/>
      </w:r>
      <w:r>
        <w:rPr>
          <w:rFonts w:ascii="IRNazanin" w:hAnsi="IRNazanin" w:eastAsia="IRNazanin"/>
          <w:color w:val="111111"/>
          <w:sz w:val="28"/>
          <w:sz w:val="28"/>
          <w:szCs w:val="28"/>
          <w:rtl w:val="true"/>
          <w:lang w:bidi="fa-IR"/>
        </w:rPr>
        <w:t>، و شرح الجمل</w:t>
      </w:r>
      <w:r>
        <w:rPr>
          <w:rStyle w:val="FootnoteAnchor"/>
          <w:rtl w:val="true"/>
        </w:rPr>
        <w:footnoteReference w:id="1548"/>
      </w:r>
      <w:r>
        <w:rPr>
          <w:rFonts w:ascii="Amiri" w:hAnsi="Amiri" w:eastAsia="Amiri" w:cs="Amiri"/>
          <w:color w:val="111111"/>
          <w:sz w:val="28"/>
          <w:sz w:val="28"/>
          <w:szCs w:val="28"/>
          <w:rtl w:val="true"/>
          <w:lang w:bidi="ar-SA"/>
        </w:rPr>
        <w:t>، للقاضي، و الدروس</w:t>
      </w:r>
      <w:r>
        <w:rPr>
          <w:rStyle w:val="FootnoteAnchor"/>
          <w:rtl w:val="true"/>
        </w:rPr>
        <w:footnoteReference w:id="1549"/>
      </w:r>
      <w:r>
        <w:rPr>
          <w:rFonts w:ascii="Amiri" w:hAnsi="Amiri" w:eastAsia="Amiri" w:cs="Amiri"/>
          <w:color w:val="111111"/>
          <w:sz w:val="28"/>
          <w:sz w:val="28"/>
          <w:szCs w:val="28"/>
          <w:rtl w:val="true"/>
          <w:lang w:bidi="ar-SA"/>
        </w:rPr>
        <w:t>، و الذكرى</w:t>
      </w:r>
      <w:r>
        <w:rPr>
          <w:rStyle w:val="FootnoteAnchor"/>
          <w:rtl w:val="true"/>
        </w:rPr>
        <w:footnoteReference w:id="1550"/>
      </w:r>
      <w:r>
        <w:rPr>
          <w:rFonts w:ascii="Amiri" w:hAnsi="Amiri" w:eastAsia="Amiri" w:cs="Amiri"/>
          <w:color w:val="111111"/>
          <w:sz w:val="28"/>
          <w:sz w:val="28"/>
          <w:szCs w:val="28"/>
          <w:rtl w:val="true"/>
          <w:lang w:bidi="ar-SA"/>
        </w:rPr>
        <w:t>، و حاشية الشرائع</w:t>
      </w:r>
      <w:r>
        <w:rPr>
          <w:rStyle w:val="FootnoteAnchor"/>
          <w:rtl w:val="true"/>
        </w:rPr>
        <w:footnoteReference w:id="1551"/>
      </w:r>
      <w:r>
        <w:rPr>
          <w:rFonts w:ascii="IRNazanin" w:hAnsi="IRNazanin" w:eastAsia="IRNazanin"/>
          <w:color w:val="111111"/>
          <w:sz w:val="28"/>
          <w:sz w:val="28"/>
          <w:szCs w:val="28"/>
          <w:rtl w:val="true"/>
          <w:lang w:bidi="fa-IR"/>
        </w:rPr>
        <w:t>، و الإرشاد</w:t>
      </w:r>
      <w:r>
        <w:rPr>
          <w:rStyle w:val="FootnoteAnchor"/>
          <w:rtl w:val="true"/>
        </w:rPr>
        <w:footnoteReference w:id="1552"/>
      </w:r>
      <w:r>
        <w:rPr>
          <w:rFonts w:ascii="Amiri" w:hAnsi="Amiri" w:eastAsia="Amiri" w:cs="Amiri"/>
          <w:color w:val="111111"/>
          <w:sz w:val="28"/>
          <w:sz w:val="28"/>
          <w:szCs w:val="28"/>
          <w:rtl w:val="true"/>
          <w:lang w:bidi="ar-SA"/>
        </w:rPr>
        <w:t>، و الجعفريّة</w:t>
      </w:r>
      <w:r>
        <w:rPr>
          <w:rStyle w:val="FootnoteAnchor"/>
          <w:rtl w:val="true"/>
        </w:rPr>
        <w:footnoteReference w:id="1553"/>
      </w:r>
      <w:r>
        <w:rPr>
          <w:rFonts w:ascii="Amiri" w:hAnsi="Amiri" w:eastAsia="Amiri" w:cs="Amiri"/>
          <w:color w:val="111111"/>
          <w:sz w:val="28"/>
          <w:sz w:val="28"/>
          <w:szCs w:val="28"/>
          <w:rtl w:val="true"/>
          <w:lang w:bidi="ar-SA"/>
        </w:rPr>
        <w:t>، و الكفاية</w:t>
      </w:r>
      <w:r>
        <w:rPr>
          <w:rStyle w:val="FootnoteAnchor"/>
          <w:rtl w:val="true"/>
        </w:rPr>
        <w:footnoteReference w:id="1554"/>
      </w:r>
      <w:r>
        <w:rPr>
          <w:rFonts w:ascii="Amiri" w:hAnsi="Amiri" w:eastAsia="Amiri" w:cs="Amiri"/>
          <w:color w:val="111111"/>
          <w:sz w:val="28"/>
          <w:sz w:val="28"/>
          <w:szCs w:val="28"/>
          <w:rtl w:val="true"/>
          <w:lang w:bidi="ar-SA"/>
        </w:rPr>
        <w:t>، و المصابيح</w:t>
      </w:r>
      <w:r>
        <w:rPr>
          <w:rStyle w:val="FootnoteAnchor"/>
          <w:rtl w:val="true"/>
        </w:rPr>
        <w:footnoteReference w:id="1555"/>
      </w:r>
      <w:r>
        <w:rPr>
          <w:rFonts w:ascii="Amiri" w:hAnsi="Amiri" w:eastAsia="Amiri" w:cs="Amiri"/>
          <w:color w:val="111111"/>
          <w:sz w:val="28"/>
          <w:sz w:val="28"/>
          <w:szCs w:val="28"/>
          <w:rtl w:val="true"/>
          <w:lang w:bidi="ar-SA"/>
        </w:rPr>
        <w:t>، و ظاهر إطلاق المقنعة</w:t>
      </w:r>
      <w:r>
        <w:rPr>
          <w:rStyle w:val="FootnoteAnchor"/>
          <w:rtl w:val="true"/>
        </w:rPr>
        <w:footnoteReference w:id="155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الخلاف</w:t>
      </w:r>
      <w:r>
        <w:rPr>
          <w:rStyle w:val="FootnoteAnchor"/>
          <w:rtl w:val="true"/>
        </w:rPr>
        <w:footnoteReference w:id="1557"/>
      </w:r>
      <w:r>
        <w:rPr>
          <w:rFonts w:ascii="IRNazanin" w:hAnsi="IRNazanin" w:eastAsia="IRNazanin"/>
          <w:color w:val="111111"/>
          <w:sz w:val="28"/>
          <w:sz w:val="28"/>
          <w:szCs w:val="28"/>
          <w:rtl w:val="true"/>
          <w:lang w:bidi="fa-IR"/>
        </w:rPr>
        <w:t>، و الجمل و العقود</w:t>
      </w:r>
      <w:r>
        <w:rPr>
          <w:rStyle w:val="FootnoteAnchor"/>
          <w:rtl w:val="true"/>
        </w:rPr>
        <w:footnoteReference w:id="1558"/>
      </w:r>
      <w:r>
        <w:rPr>
          <w:rFonts w:ascii="Amiri" w:hAnsi="Amiri" w:eastAsia="Amiri" w:cs="Amiri"/>
          <w:color w:val="111111"/>
          <w:sz w:val="28"/>
          <w:sz w:val="28"/>
          <w:szCs w:val="28"/>
          <w:rtl w:val="true"/>
          <w:lang w:bidi="ar-SA"/>
        </w:rPr>
        <w:t>، و النهاية</w:t>
      </w:r>
      <w:r>
        <w:rPr>
          <w:rStyle w:val="FootnoteAnchor"/>
          <w:rtl w:val="true"/>
        </w:rPr>
        <w:footnoteReference w:id="1559"/>
      </w:r>
      <w:r>
        <w:rPr>
          <w:rFonts w:ascii="IRNazanin" w:hAnsi="IRNazanin" w:eastAsia="IRNazanin"/>
          <w:color w:val="111111"/>
          <w:sz w:val="28"/>
          <w:sz w:val="28"/>
          <w:szCs w:val="28"/>
          <w:rtl w:val="true"/>
          <w:lang w:bidi="fa-IR"/>
        </w:rPr>
        <w:t>، و المراسم</w:t>
      </w:r>
      <w:r>
        <w:rPr>
          <w:rStyle w:val="FootnoteAnchor"/>
          <w:rtl w:val="true"/>
        </w:rPr>
        <w:footnoteReference w:id="1560"/>
      </w:r>
      <w:r>
        <w:rPr>
          <w:rFonts w:ascii="Amiri" w:hAnsi="Amiri" w:eastAsia="Amiri" w:cs="Amiri"/>
          <w:color w:val="111111"/>
          <w:sz w:val="28"/>
          <w:sz w:val="28"/>
          <w:szCs w:val="28"/>
          <w:rtl w:val="true"/>
          <w:lang w:bidi="ar-SA"/>
        </w:rPr>
        <w:t>، و الوسيلة</w:t>
      </w:r>
      <w:r>
        <w:rPr>
          <w:rStyle w:val="FootnoteAnchor"/>
          <w:rtl w:val="true"/>
        </w:rPr>
        <w:footnoteReference w:id="1561"/>
      </w:r>
      <w:r>
        <w:rPr>
          <w:rFonts w:ascii="IRNazanin" w:hAnsi="IRNazanin" w:eastAsia="IRNazanin"/>
          <w:color w:val="111111"/>
          <w:sz w:val="28"/>
          <w:sz w:val="28"/>
          <w:szCs w:val="28"/>
          <w:rtl w:val="true"/>
          <w:lang w:bidi="fa-IR"/>
        </w:rPr>
        <w:t>و السرائر</w:t>
      </w:r>
      <w:r>
        <w:rPr>
          <w:rStyle w:val="FootnoteAnchor"/>
          <w:rtl w:val="true"/>
        </w:rPr>
        <w:footnoteReference w:id="1562"/>
      </w:r>
      <w:r>
        <w:rPr>
          <w:rFonts w:ascii="Amiri" w:hAnsi="Amiri" w:eastAsia="Amiri" w:cs="Amiri"/>
          <w:color w:val="111111"/>
          <w:sz w:val="28"/>
          <w:sz w:val="28"/>
          <w:szCs w:val="28"/>
          <w:rtl w:val="true"/>
          <w:lang w:bidi="ar-SA"/>
        </w:rPr>
        <w:t>، و الإشارة</w:t>
      </w:r>
      <w:r>
        <w:rPr>
          <w:rStyle w:val="FootnoteAnchor"/>
          <w:rtl w:val="true"/>
        </w:rPr>
        <w:footnoteReference w:id="1563"/>
      </w:r>
      <w:r>
        <w:rPr>
          <w:rFonts w:ascii="IRNazanin" w:hAnsi="IRNazanin" w:eastAsia="IRNazanin"/>
          <w:color w:val="111111"/>
          <w:sz w:val="28"/>
          <w:sz w:val="28"/>
          <w:szCs w:val="28"/>
          <w:rtl w:val="true"/>
          <w:lang w:bidi="fa-IR"/>
        </w:rPr>
        <w:t>، و النافع</w:t>
      </w:r>
      <w:r>
        <w:rPr>
          <w:rStyle w:val="FootnoteAnchor"/>
          <w:rtl w:val="true"/>
        </w:rPr>
        <w:footnoteReference w:id="1564"/>
      </w:r>
      <w:r>
        <w:rPr>
          <w:rFonts w:ascii="IRNazanin" w:hAnsi="IRNazanin" w:eastAsia="IRNazanin"/>
          <w:color w:val="111111"/>
          <w:sz w:val="28"/>
          <w:sz w:val="28"/>
          <w:szCs w:val="28"/>
          <w:rtl w:val="true"/>
          <w:lang w:bidi="fa-IR"/>
        </w:rPr>
        <w:t>، و الشرائع</w:t>
      </w:r>
      <w:r>
        <w:rPr>
          <w:rStyle w:val="FootnoteAnchor"/>
          <w:rtl w:val="true"/>
        </w:rPr>
        <w:footnoteReference w:id="1565"/>
      </w:r>
      <w:r>
        <w:rPr>
          <w:rFonts w:ascii="IRNazanin" w:hAnsi="IRNazanin" w:eastAsia="IRNazanin"/>
          <w:color w:val="111111"/>
          <w:sz w:val="28"/>
          <w:sz w:val="28"/>
          <w:szCs w:val="28"/>
          <w:rtl w:val="true"/>
          <w:lang w:bidi="fa-IR"/>
        </w:rPr>
        <w:t>، و المعتبر</w:t>
      </w:r>
      <w:r>
        <w:rPr>
          <w:rStyle w:val="FootnoteAnchor"/>
          <w:rtl w:val="true"/>
        </w:rPr>
        <w:footnoteReference w:id="1566"/>
      </w:r>
      <w:r>
        <w:rPr>
          <w:rFonts w:ascii="Amiri" w:hAnsi="Amiri" w:eastAsia="Amiri" w:cs="Amiri"/>
          <w:color w:val="111111"/>
          <w:sz w:val="28"/>
          <w:sz w:val="28"/>
          <w:szCs w:val="28"/>
          <w:rtl w:val="true"/>
          <w:lang w:bidi="ar-SA"/>
        </w:rPr>
        <w:t>، و التبصرة</w:t>
      </w:r>
      <w:r>
        <w:rPr>
          <w:rStyle w:val="FootnoteAnchor"/>
          <w:rtl w:val="true"/>
        </w:rPr>
        <w:footnoteReference w:id="1567"/>
      </w:r>
      <w:r>
        <w:rPr>
          <w:rFonts w:ascii="IRNazanin" w:hAnsi="IRNazanin" w:eastAsia="IRNazanin"/>
          <w:color w:val="111111"/>
          <w:sz w:val="28"/>
          <w:sz w:val="28"/>
          <w:szCs w:val="28"/>
          <w:rtl w:val="true"/>
          <w:lang w:bidi="fa-IR"/>
        </w:rPr>
        <w:t>، و الإرشاد</w:t>
      </w:r>
      <w:r>
        <w:rPr>
          <w:rStyle w:val="FootnoteAnchor"/>
          <w:rtl w:val="true"/>
        </w:rPr>
        <w:footnoteReference w:id="1568"/>
      </w:r>
      <w:r>
        <w:rPr>
          <w:rFonts w:ascii="IRNazanin" w:hAnsi="IRNazanin" w:eastAsia="IRNazanin"/>
          <w:color w:val="111111"/>
          <w:sz w:val="28"/>
          <w:sz w:val="28"/>
          <w:szCs w:val="28"/>
          <w:rtl w:val="true"/>
          <w:lang w:bidi="fa-IR"/>
        </w:rPr>
        <w:t>، و الجامع</w:t>
      </w:r>
      <w:r>
        <w:rPr>
          <w:rStyle w:val="FootnoteAnchor"/>
          <w:rtl w:val="true"/>
        </w:rPr>
        <w:footnoteReference w:id="1569"/>
      </w:r>
      <w:r>
        <w:rPr>
          <w:rFonts w:ascii="Amiri" w:hAnsi="Amiri" w:eastAsia="Amiri" w:cs="Amiri"/>
          <w:color w:val="111111"/>
          <w:sz w:val="28"/>
          <w:sz w:val="28"/>
          <w:szCs w:val="28"/>
          <w:rtl w:val="true"/>
          <w:lang w:bidi="ar-SA"/>
        </w:rPr>
        <w:t>، و اللمعة</w:t>
      </w:r>
      <w:r>
        <w:rPr>
          <w:rStyle w:val="FootnoteAnchor"/>
          <w:rtl w:val="true"/>
        </w:rPr>
        <w:footnoteReference w:id="1570"/>
      </w:r>
      <w:r>
        <w:rPr>
          <w:rFonts w:ascii="Amiri" w:hAnsi="Amiri" w:eastAsia="Amiri" w:cs="Amiri"/>
          <w:color w:val="111111"/>
          <w:sz w:val="28"/>
          <w:sz w:val="28"/>
          <w:szCs w:val="28"/>
          <w:rtl w:val="true"/>
          <w:lang w:bidi="ar-SA"/>
        </w:rPr>
        <w:t>، و البيان</w:t>
      </w:r>
      <w:r>
        <w:rPr>
          <w:rStyle w:val="FootnoteAnchor"/>
          <w:rtl w:val="true"/>
        </w:rPr>
        <w:footnoteReference w:id="1571"/>
      </w:r>
      <w:r>
        <w:rPr>
          <w:rFonts w:ascii="Amiri" w:hAnsi="Amiri" w:eastAsia="Amiri" w:cs="Amiri"/>
          <w:color w:val="111111"/>
          <w:sz w:val="28"/>
          <w:sz w:val="28"/>
          <w:szCs w:val="28"/>
          <w:rtl w:val="true"/>
          <w:lang w:bidi="ar-SA"/>
        </w:rPr>
        <w:t>، و محكيّ أبي الصلاح</w:t>
      </w:r>
      <w:r>
        <w:rPr>
          <w:rStyle w:val="FootnoteAnchor"/>
          <w:rtl w:val="true"/>
        </w:rPr>
        <w:footnoteReference w:id="1572"/>
      </w:r>
      <w:r>
        <w:rPr>
          <w:rFonts w:ascii="Amiri" w:hAnsi="Amiri" w:eastAsia="Amiri" w:cs="Amiri"/>
          <w:color w:val="111111"/>
          <w:sz w:val="28"/>
          <w:sz w:val="28"/>
          <w:szCs w:val="28"/>
          <w:rtl w:val="true"/>
          <w:lang w:bidi="ar-SA"/>
        </w:rPr>
        <w:t>، و السيوري</w:t>
      </w:r>
      <w:r>
        <w:rPr>
          <w:rStyle w:val="FootnoteAnchor"/>
          <w:rtl w:val="true"/>
        </w:rPr>
        <w:footnoteReference w:id="1573"/>
      </w:r>
      <w:r>
        <w:rPr>
          <w:rFonts w:ascii="IRNazanin" w:hAnsi="IRNazanin" w:eastAsia="IRNazanin"/>
          <w:color w:val="111111"/>
          <w:sz w:val="28"/>
          <w:sz w:val="28"/>
          <w:szCs w:val="28"/>
          <w:rtl w:val="true"/>
          <w:lang w:bidi="fa-IR"/>
        </w:rPr>
        <w:t>، و ابن فهد</w:t>
      </w:r>
      <w:r>
        <w:rPr>
          <w:rStyle w:val="FootnoteAnchor"/>
          <w:rtl w:val="true"/>
        </w:rPr>
        <w:footnoteReference w:id="1574"/>
      </w:r>
      <w:r>
        <w:rPr>
          <w:rFonts w:ascii="Amiri" w:hAnsi="Amiri" w:eastAsia="Amiri" w:cs="Amiri"/>
          <w:color w:val="111111"/>
          <w:sz w:val="28"/>
          <w:sz w:val="28"/>
          <w:szCs w:val="28"/>
          <w:rtl w:val="true"/>
          <w:lang w:bidi="ar-SA"/>
        </w:rPr>
        <w:t>، و المحقّق الكركي</w:t>
      </w:r>
      <w:r>
        <w:rPr>
          <w:rStyle w:val="FootnoteAnchor"/>
          <w:rtl w:val="true"/>
        </w:rPr>
        <w:footnoteReference w:id="1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السيد مهدي بحر العلوم في مصابيحه، راجع المصابيح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المعالم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بل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ينجّس الجاري بالملاقاة، و هو مذهب فقهائنا أجمع، إلى أن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الكثير الراكد</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فعلم أنّه لا فرق بين قليل الجاري و كثيره، و عن شرح الجمل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عدم نجاسة الجاري، مع التصريح فيه بعدم الفرق بين القليل و الكثير</w:t>
      </w:r>
      <w:r>
        <w:rPr>
          <w:rStyle w:val="FootnoteAnchor"/>
          <w:rtl w:val="true"/>
        </w:rPr>
        <w:footnoteReference w:id="1577"/>
      </w:r>
      <w:r>
        <w:rPr>
          <w:rFonts w:ascii="Amiri" w:hAnsi="Amiri" w:eastAsia="Amiri" w:cs="Amiri"/>
          <w:color w:val="111111"/>
          <w:sz w:val="28"/>
          <w:sz w:val="28"/>
          <w:szCs w:val="28"/>
          <w:rtl w:val="true"/>
          <w:lang w:bidi="ar-SA"/>
        </w:rPr>
        <w:t>، و نحوه عن الغنية</w:t>
      </w:r>
      <w:r>
        <w:rPr>
          <w:rStyle w:val="FootnoteAnchor"/>
          <w:rtl w:val="true"/>
        </w:rPr>
        <w:footnoteReference w:id="1578"/>
      </w:r>
      <w:r>
        <w:rPr>
          <w:rFonts w:ascii="IRNazanin" w:hAnsi="IRNazanin" w:eastAsia="IRNazanin"/>
          <w:color w:val="111111"/>
          <w:sz w:val="28"/>
          <w:sz w:val="28"/>
          <w:szCs w:val="28"/>
          <w:rtl w:val="true"/>
          <w:lang w:bidi="fa-IR"/>
        </w:rPr>
        <w:t>، و عن ظاهر الخلاف</w:t>
      </w:r>
      <w:r>
        <w:rPr>
          <w:rStyle w:val="FootnoteAnchor"/>
          <w:rtl w:val="true"/>
        </w:rPr>
        <w:footnoteReference w:id="1579"/>
      </w:r>
      <w:r>
        <w:rPr>
          <w:rFonts w:ascii="Amiri" w:hAnsi="Amiri" w:eastAsia="Amiri" w:cs="Amiri"/>
          <w:color w:val="111111"/>
          <w:sz w:val="28"/>
          <w:sz w:val="28"/>
          <w:szCs w:val="28"/>
          <w:rtl w:val="true"/>
          <w:lang w:bidi="ar-SA"/>
        </w:rPr>
        <w:t>نقله، و مثله عن حواشي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الثاني، و مثله عن مصابيح العلاّمة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أقف فيه على مخالف ممّن سلف</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 أي ممّن تقدّم على العلاّمة، 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رأي العلاّمة إلى مخالفة مذهب الأصحاب</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في صريح نهاية الإحكام</w:t>
      </w:r>
      <w:r>
        <w:rPr>
          <w:rStyle w:val="FootnoteAnchor"/>
          <w:rtl w:val="true"/>
        </w:rPr>
        <w:footnoteReference w:id="1582"/>
      </w:r>
      <w:r>
        <w:rPr>
          <w:rFonts w:ascii="IRNazanin" w:hAnsi="IRNazanin" w:eastAsia="IRNazanin"/>
          <w:color w:val="111111"/>
          <w:sz w:val="28"/>
          <w:sz w:val="28"/>
          <w:szCs w:val="28"/>
          <w:rtl w:val="true"/>
          <w:lang w:bidi="fa-IR"/>
        </w:rPr>
        <w:t>، و ظاهر القواعد</w:t>
      </w:r>
      <w:r>
        <w:rPr>
          <w:rStyle w:val="FootnoteAnchor"/>
          <w:rtl w:val="true"/>
        </w:rPr>
        <w:footnoteReference w:id="1583"/>
      </w:r>
      <w:r>
        <w:rPr>
          <w:rFonts w:ascii="Amiri" w:hAnsi="Amiri" w:eastAsia="Amiri" w:cs="Amiri"/>
          <w:color w:val="111111"/>
          <w:sz w:val="28"/>
          <w:sz w:val="28"/>
          <w:szCs w:val="28"/>
          <w:rtl w:val="true"/>
          <w:lang w:bidi="ar-SA"/>
        </w:rPr>
        <w:t>من اشتراط الكرّيّة و انفعال قليله، و عن ثاني الشهيدين في المسالك</w:t>
      </w:r>
      <w:r>
        <w:rPr>
          <w:rStyle w:val="FootnoteAnchor"/>
          <w:rtl w:val="true"/>
        </w:rPr>
        <w:footnoteReference w:id="1584"/>
      </w:r>
      <w:r>
        <w:rPr>
          <w:rFonts w:ascii="Amiri" w:hAnsi="Amiri" w:eastAsia="Amiri" w:cs="Amiri"/>
          <w:color w:val="111111"/>
          <w:sz w:val="28"/>
          <w:sz w:val="28"/>
          <w:szCs w:val="28"/>
          <w:rtl w:val="true"/>
          <w:lang w:bidi="ar-SA"/>
        </w:rPr>
        <w:t xml:space="preserve">إنّه اختاره صريحا، </w:t>
      </w:r>
      <w:bookmarkStart w:id="487" w:name="pg16144_233354"/>
    </w:p>
    <w:p>
      <w:pPr>
        <w:pStyle w:val="BookText"/>
        <w:rPr/>
      </w:pPr>
      <w:bookmarkEnd w:id="487"/>
      <w:r>
        <w:rPr>
          <w:rFonts w:ascii="Amiri" w:hAnsi="Amiri" w:eastAsia="Amiri" w:cs="Amiri"/>
          <w:color w:val="111111"/>
          <w:sz w:val="28"/>
          <w:sz w:val="28"/>
          <w:szCs w:val="28"/>
          <w:rtl w:val="true"/>
          <w:lang w:bidi="ar-SA"/>
        </w:rPr>
        <w:t>و يظهر منه الميل إليه في الروضة</w:t>
      </w:r>
      <w:r>
        <w:rPr>
          <w:rStyle w:val="FootnoteAnchor"/>
          <w:rtl w:val="true"/>
        </w:rPr>
        <w:footnoteReference w:id="158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أيضا في روض الجنان</w:t>
      </w:r>
      <w:r>
        <w:rPr>
          <w:rStyle w:val="FootnoteAnchor"/>
          <w:rtl w:val="true"/>
        </w:rPr>
        <w:footnoteReference w:id="1586"/>
      </w:r>
      <w:r>
        <w:rPr>
          <w:rFonts w:ascii="Amiri" w:hAnsi="Amiri" w:eastAsia="Amiri" w:cs="Amiri"/>
          <w:color w:val="111111"/>
          <w:sz w:val="28"/>
          <w:sz w:val="28"/>
          <w:szCs w:val="28"/>
          <w:rtl w:val="true"/>
          <w:lang w:bidi="ar-SA"/>
        </w:rPr>
        <w:t>، و عن ولده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ذهب إليه في جملة من كتبه، إلاّ أنّ الّذي استقرّ عليه رأيه بعد ذلك هو المذهب المشهور</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و عنه في الروض</w:t>
      </w:r>
      <w:r>
        <w:rPr>
          <w:rStyle w:val="FootnoteAnchor"/>
          <w:rtl w:val="true"/>
        </w:rPr>
        <w:footnoteReference w:id="1588"/>
      </w:r>
      <w:r>
        <w:rPr>
          <w:rFonts w:ascii="Amiri" w:hAnsi="Amiri" w:eastAsia="Amiri" w:cs="Amiri"/>
          <w:color w:val="111111"/>
          <w:sz w:val="28"/>
          <w:sz w:val="28"/>
          <w:szCs w:val="28"/>
          <w:rtl w:val="true"/>
          <w:lang w:bidi="ar-SA"/>
        </w:rPr>
        <w:t>عن جماعة من المتأخّرين</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804720_1280447820"/>
      <w:bookmarkStart w:id="489" w:name="_Toc191"/>
      <w:bookmarkEnd w:id="488"/>
      <w:r>
        <w:rPr>
          <w:rtl w:val="true"/>
        </w:rPr>
        <w:t>احتجّ الأوّلون بوجوه</w:t>
      </w:r>
      <w:r>
        <w:rPr>
          <w:rtl w:val="true"/>
        </w:rPr>
        <w:t>: [</w:t>
      </w:r>
      <w:r>
        <w:rPr>
          <w:rtl w:val="true"/>
        </w:rPr>
        <w:t>أي لا يشترط فيه الكرية فلا ينفعل قليله بالنجاسة إلا إذا تغير</w:t>
      </w:r>
      <w:r>
        <w:rPr>
          <w:rtl w:val="true"/>
        </w:rPr>
        <w:t>]</w:t>
      </w:r>
      <w:bookmarkEnd w:id="489"/>
    </w:p>
    <w:p>
      <w:pPr>
        <w:pStyle w:val="Heading6"/>
        <w:numPr>
          <w:ilvl w:val="5"/>
          <w:numId w:val="1"/>
        </w:numPr>
        <w:rPr/>
      </w:pPr>
      <w:bookmarkStart w:id="490" w:name="__RefHeading___Toc1804722_1280447820"/>
      <w:bookmarkStart w:id="491" w:name="_Toc192"/>
      <w:bookmarkEnd w:id="490"/>
      <w:r>
        <w:rPr>
          <w:rtl w:val="true"/>
        </w:rPr>
        <w:t>أحدها</w:t>
      </w:r>
      <w:r>
        <w:rPr>
          <w:rtl w:val="true"/>
        </w:rPr>
        <w:t xml:space="preserve">: </w:t>
      </w:r>
      <w:r>
        <w:rPr>
          <w:rtl w:val="true"/>
        </w:rPr>
        <w:t>الأصل،</w:t>
      </w:r>
      <w:bookmarkEnd w:id="491"/>
    </w:p>
    <w:p>
      <w:pPr>
        <w:pStyle w:val="BookText"/>
        <w:rPr/>
      </w:pPr>
      <w:r>
        <w:rPr>
          <w:rFonts w:ascii="Amiri" w:hAnsi="Amiri" w:eastAsia="Amiri" w:cs="Amiri"/>
          <w:color w:val="111111"/>
          <w:sz w:val="28"/>
          <w:sz w:val="28"/>
          <w:szCs w:val="28"/>
          <w:rtl w:val="true"/>
          <w:lang w:bidi="ar-SA"/>
        </w:rPr>
        <w:t>تمسّك به غير واحد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القاعدة الكلّيّة المستفادة عن عمومات الأدلّة كتابا و سنّة، فهي و إن كانت مسلّمة، غير أنّها لا ربط لها بالمقام، لأنّ الكلام في قبول الجاري للانفعال بالعارض و عدمه، و القاعدة إنّما تقتضي طهارته في أصله و خلقته الأصليّة، فهي في الحقيقة ساكتة عمّا نحن بصدده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ضعف ما في كلام جملة منهم من الاحتجاج بالعمومات، و أضعف منه ما في كلام بعضهم من الاحتجاج بالخبر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يعلم أنّه قذر</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فإنّه على ما قرّرناه سابقا عامّ في مورده و هو الشبهة في الموضوع، و المقام ليس منه، على أنّ العلم بالقذارة أعمّ من الشرعي، و هو قائم في المقام، بناء على عموم قاعدة انفعال القليل كما هو التحقيق؛ فلا بدّ في الخروج عنه من مخصّص و العامّ لا يصلح له، بل هو ممّا ينبغي تخصيصه بالقاعدة، و من هنا ظهر جواب آخر عن العمومات و الأصل بالمعنى المفروض، لو قلنا فيهما بالدلالة على عدم قبول الانفعال بالعارض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قاعدة الطهارة أيضا و لكن بالمعنى الّذي قرّره صاحب المدارك</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من أنّ الأشياء كلّها على الطهارة إلاّ ما نصّ الشارع على نجاسته لأنّها مخلوقة لمنافع العباد، و لا يتمّ النفع إلاّ بطهارتها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منافاته أيضا لما نحن بصدده، إذ غاية ما فيه كون خلقة الأشياء على الطهارة، و هو لا ينافي عروض النجاسة من جهة الطوارئ</w:t>
      </w:r>
      <w:r>
        <w:rPr>
          <w:rFonts w:eastAsia="Amiri" w:cs="Amiri" w:ascii="Amiri" w:hAnsi="Amiri"/>
          <w:color w:val="111111"/>
          <w:sz w:val="28"/>
          <w:szCs w:val="28"/>
          <w:rtl w:val="true"/>
          <w:lang w:bidi="ar-SA"/>
        </w:rPr>
        <w:t xml:space="preserve">. </w:t>
      </w:r>
      <w:bookmarkStart w:id="492" w:name="pg16144_233355"/>
    </w:p>
    <w:p>
      <w:pPr>
        <w:pStyle w:val="BookText"/>
        <w:rPr/>
      </w:pPr>
      <w:bookmarkEnd w:id="49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بقائه على عمومه، بعد ملاحظة خصوص ما ورد في قليل الماء المتناول للجاري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الأصل رأسا، بمنع الملازمة و منع بطلان اللازم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منافع العباد ملحوظة في الخلقة من باب الحكمة، فلا يجب فيها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فلعدم انحصار جهة الانتفاع في مشروط بالطهارة، كما هو الحال في خلقة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به استصحاب الحالة السابقة، فهو إنّما يستقيم لو لا القاطع و الرافع لموضوعه، و في دليل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من عموم قاعدة الانفعال و لو استندت إلى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ذلك؛ فلا بدّ في دفعه من قاطع آخر حاكم عليه، و الأصل لا يصلح له، و بذلك يظهر عدم صحّة الاستناد إليه لو اريد به أصالة البراءة، كما اعتمد عليها المحقّق البهبهاني في حاشية المدارك،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النجاسة تكليف بالتجنّب</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1804724_1280447820"/>
      <w:bookmarkStart w:id="494" w:name="_Toc193"/>
      <w:bookmarkEnd w:id="493"/>
      <w:r>
        <w:rPr>
          <w:rtl w:val="true"/>
        </w:rPr>
        <w:t>و ثانيها</w:t>
      </w:r>
      <w:r>
        <w:rPr>
          <w:rtl w:val="true"/>
        </w:rPr>
        <w:t xml:space="preserve">: </w:t>
      </w:r>
      <w:r>
        <w:rPr>
          <w:rtl w:val="true"/>
        </w:rPr>
        <w:t>ما حكى الاحتجاج به عن المحقّق ، و العلاّمة ، من أنّ النجاسة لا تستقرّ مع الجريان</w:t>
      </w:r>
      <w:r>
        <w:rPr>
          <w:rtl w:val="true"/>
        </w:rPr>
        <w:t>.</w:t>
      </w:r>
      <w:bookmarkEnd w:id="494"/>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الاحتجاج به عن المحقّق</w:t>
      </w:r>
      <w:r>
        <w:rPr>
          <w:rStyle w:val="FootnoteAnchor"/>
          <w:rtl w:val="true"/>
        </w:rPr>
        <w:footnoteReference w:id="1592"/>
      </w:r>
      <w:r>
        <w:rPr>
          <w:rFonts w:ascii="Amiri" w:hAnsi="Amiri" w:eastAsia="Amiri" w:cs="Amiri"/>
          <w:color w:val="111111"/>
          <w:sz w:val="28"/>
          <w:sz w:val="28"/>
          <w:szCs w:val="28"/>
          <w:rtl w:val="true"/>
          <w:lang w:bidi="ar-SA"/>
        </w:rPr>
        <w:t>، و العلاّمة</w:t>
      </w:r>
      <w:r>
        <w:rPr>
          <w:rStyle w:val="FootnoteAnchor"/>
          <w:rtl w:val="true"/>
        </w:rPr>
        <w:footnoteReference w:id="1593"/>
      </w:r>
      <w:r>
        <w:rPr>
          <w:rFonts w:ascii="Amiri" w:hAnsi="Amiri" w:eastAsia="Amiri" w:cs="Amiri"/>
          <w:color w:val="111111"/>
          <w:sz w:val="28"/>
          <w:sz w:val="28"/>
          <w:szCs w:val="28"/>
          <w:rtl w:val="true"/>
          <w:lang w:bidi="ar-SA"/>
        </w:rPr>
        <w:t>، من أنّ النجاسة لا تستقرّ مع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بالجاري لا عن 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استقرار النجاسة إن اريد به عدم استقرار عينها، فاعتبار استقرارها مع إمكان استقرار أثرها في الأجزاء المتواصلة من جهة السراية من جزء إلى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ما لم يدخل الأجزاء اللاحقة في عنوان المستعلي، و إن اريد به عدم استقرار أثرها فهو أوّل الدعوى</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804726_1280447820"/>
      <w:bookmarkStart w:id="496" w:name="_Toc194"/>
      <w:bookmarkEnd w:id="495"/>
      <w:r>
        <w:rPr>
          <w:rtl w:val="true"/>
        </w:rPr>
        <w:t>و ثالثها</w:t>
      </w:r>
      <w:r>
        <w:rPr>
          <w:rtl w:val="true"/>
        </w:rPr>
        <w:t xml:space="preserve">: </w:t>
      </w:r>
      <w:r>
        <w:rPr>
          <w:rtl w:val="true"/>
        </w:rPr>
        <w:t>عدّة روايات عامّة</w:t>
      </w:r>
      <w:bookmarkEnd w:id="49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ذكره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فإن تغيّر الماء و تغيّر الطعم، فلا تتوضّأ و لا تشرب</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497" w:name="pg16144_233356"/>
    </w:p>
    <w:p>
      <w:pPr>
        <w:pStyle w:val="BookText"/>
        <w:rPr/>
      </w:pPr>
      <w:bookmarkEnd w:id="49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محمّد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الجنب ينتهي إلى الماء القليل في الطريق، و يريد أن يغتسل منه، و ليس معه إناء يغترف به، و يداه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 يتوضّأ، و يغتسل، هذا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الأوّلين يدلاّن بظاهرهما على انحصار سبب عروض النجاسة في التغيّر، كما أنّ الأخير يدلّ بإطلاقه على عدم انفعال الماء القليل بقذارة اليد، سواء حملنا القلّة على المعنى المصطلح عليه عند الفقهاء، أو على ما يعمّ الكثير المصطلح، غاية الأمر أنّه خرج منها القليل الراكد بالدليل و بقي الباقي، و منه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أوجب خروج الراكد توجب خروج الجاري، 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 لا وجه لها بعد ملاحظة عموم المفهوم في روايات انفعال القليل</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804728_1280447820"/>
      <w:bookmarkStart w:id="499" w:name="_Toc195"/>
      <w:bookmarkEnd w:id="498"/>
      <w:r>
        <w:rPr>
          <w:rtl w:val="true"/>
        </w:rPr>
        <w:t>و رابعها</w:t>
      </w:r>
      <w:r>
        <w:rPr>
          <w:rtl w:val="true"/>
        </w:rPr>
        <w:t xml:space="preserve">: </w:t>
      </w:r>
      <w:r>
        <w:rPr>
          <w:rtl w:val="true"/>
        </w:rPr>
        <w:t xml:space="preserve">خصوص صحيحة إسماعيل بن بزيع عن الرضا عليه السّلام </w:t>
      </w:r>
      <w:r>
        <w:rPr>
          <w:rtl w:val="true"/>
        </w:rPr>
        <w:t>«</w:t>
      </w:r>
      <w:r>
        <w:rPr>
          <w:rtl w:val="true"/>
        </w:rPr>
        <w:t>قال</w:t>
      </w:r>
      <w:r>
        <w:rPr>
          <w:rtl w:val="true"/>
        </w:rPr>
        <w:t xml:space="preserve">: </w:t>
      </w:r>
      <w:r>
        <w:rPr>
          <w:rtl w:val="true"/>
        </w:rPr>
        <w:t>ماء البئر واسع لا يفسده شيء، إلاّ أن يتغيّر ريحه أو طعمه،</w:t>
      </w:r>
      <w:bookmarkEnd w:id="499"/>
    </w:p>
    <w:p>
      <w:pPr>
        <w:pStyle w:val="BookText"/>
        <w:rPr/>
      </w:pPr>
      <w:r>
        <w:rPr>
          <w:rFonts w:ascii="Amiri" w:hAnsi="Amiri" w:eastAsia="Amiri" w:cs="Amiri"/>
          <w:color w:val="111111"/>
          <w:sz w:val="28"/>
          <w:sz w:val="28"/>
          <w:szCs w:val="28"/>
          <w:rtl w:val="true"/>
          <w:lang w:bidi="ar-SA"/>
        </w:rPr>
        <w:t>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العلّة في عدم فساده بدون التغيّر و طهارته بزواله وجود المادّة، و العلّة المنصوصة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المحقّق الخراساني</w:t>
      </w:r>
      <w:r>
        <w:rPr>
          <w:rStyle w:val="FootnoteAnchor"/>
          <w:rtl w:val="true"/>
        </w:rPr>
        <w:footnoteReference w:id="15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على ذلك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التحقيق في العلّة المنصوصة، أنّ الحكم يتعدّى إلى كلّ موضع يوجد فيه العلّة، إذا شهدت الحال و القرائن على أنّ خصوص متعلّقها الأوّل لا مدخل له في الحكم لا مطلقا، و إثبات الشهادة المذكورة هاهنا لا يخلو عن إشكال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وجود المادّة في الجاري مطلقا، إذ المادّة كما هو الظاهر لا بدّ أن يكون كرّا مجتمعا، و وجود مثلها في كلّ جار غير معلوم، إذ يجوز أن يكون نبعه بطريق الرشح من عروق الأرض، سلّمنا عدم اعتبار الاجتماع، لكن وجود الكرّ أيضا متّصلا غير معلوم، لجواز أن يحصل في بعض العيون الماء بقدر ما يخرج تدريجا في الأرض، إمّا بانقلاب الهواء كما هو رأي الحكماء، أو بإيجاد اللّه تعالى إيّاه من غير مادّة، أو بذوبان </w:t>
      </w:r>
    </w:p>
    <w:p>
      <w:pPr>
        <w:pStyle w:val="BookText"/>
        <w:rPr/>
      </w:pPr>
      <w:r>
        <w:rPr>
          <w:rFonts w:ascii="Amiri" w:hAnsi="Amiri" w:eastAsia="Amiri" w:cs="Amiri"/>
          <w:color w:val="111111"/>
          <w:sz w:val="28"/>
          <w:sz w:val="28"/>
          <w:szCs w:val="28"/>
          <w:rtl w:val="true"/>
          <w:lang w:bidi="ar-SA"/>
        </w:rPr>
        <w:t>الثلج و نفوذه شيئا فشيئا، و البعض الّذي يبعد فيه هذه الاحتمالات لا ينفكّ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الدفع بعد ملاحظة بناء العرف، فإنّ الأصل العرفي في التعليلات الواردة في الكلام عدم مدخليّة الخصوصيّة في انعقاد الحكم، نظرا إلى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يؤدّي مؤدّاها في نظائر المقام في كون ما بعدها ممّا اعتبره المتكلّم وسطا لما أفاده من الحكم، فيكون في قوّة كبرى كلّيّة، فلا يضرّ فيها حينئذ خصوصيّة المتعلّق الأوّل، لرجوعه موضوعا في صغرى القياس، و الصغرى لا بدّ فيها من خصوصيّة موضوعها، فالمراد بشهادة الحال المعتبرة في المقام إن كان هذا المعنى فهي قائمة في المقام جدّا، و إن كان ما زاد عليه فغير معتبرة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القوم و محطّ الاستدلال بالرواية مفروضان فيما علم بوجود المادّة فعلا، و إطلاق ورودها في كلام الإمام عليه السّلام يأبى عن اعتبار الكرّيّة و الاجتماع معها، و دعوى الظهور في ذلك ممّا لا شاهد عليه، و القضيّة إنّما اعتبرت فرضيّة، فعدم انفكاك الكرّيّة عمّا علم فيه بوجود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 دعواه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انعقاد الحكم الّذي يرد على المفهوم دون المصداق، ففرض الترشّح أو انقلاب الماء من الهواء، و كون حصوله من إيجاد اللّه سبحانه، غير قادح فيما هو من موضوع الحكم، لكون كلّ ذلك من الصور المشكوكة الّتي يرجع فيها إلى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غير واحد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انفعال القليل، كما هو من مقتضى التحقيق و النظير في خصوص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الاستدلال بالرواية بأمثال هذه الامور، ليس على ما ينبغي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و لا بدّ من ذلك فليعترض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رجوع التعليل إلى الحكم الأوّل، و هو عدم فساد ماء البئر بشيء،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ذلك ممنوعة جدّا، و إن كان المقصود أصالة من الحديث بيان سعة ماء البئر و عدم فساده بغير التغيّر، بل ظاهره كونه راجعا إلى الحكم بزوال التغيّر بالنزح، و قد تنبّه عليه احتمالا شيخنا البهائي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الاستدلال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لاحتمال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لترتّب ذهاب الريح و طيب الطعم على النزح،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غريمك حتّى يعطيك حقّك، لأنّه يكره ملازمتك</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تعليل زوال التغيّر بوجود المادّة مع خفائه و انتفاء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التغيّر من الامور المحسوسة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الوظائف الشرعيّة المطلوب بيانها من كلام الأئمّة، فلا يحمل الحديث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الطباطبائي في مصابيحه</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الحدائق</w:t>
      </w:r>
      <w:r>
        <w:rPr>
          <w:rStyle w:val="FootnoteAnchor"/>
          <w:rtl w:val="true"/>
        </w:rPr>
        <w:footnoteReference w:id="160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لا غرابة فيه، بل هو بنفسه احتمال ظاهر لا خفاء فيه، بعد ملاحظة أنّ الإمام عليه السّلام حين ما ادّعى الملازمة بين النزح و زوال التغيّر استفاد من الراوي استبعادا في تلك الملازمة، فأتى بالعلّة المذكورة رفعا لذلك و تحقيقا لتلك الملازمة، أو دفعا لما عساه يتأمّل بعد ذلك فيها، و لا ريب أنّ ذلك ممّا لا ينافي وظيفة الإمامة بعد ما حصل له المقتضي، و إنّما لا يحمل كلام الأئمّة على نظائر هذه الامور إذا لم يقم عليه مقتض، كما أنّ المقام كان من مظانّ الاستبعاد و التأمّل المذكورين، بملاحظة طروّ عدم الالتفات إلى تجدّد الماء من المادّة عقيب نزح المتغيّر منه شيئا فشيئا، فينشأ منه مقايسة ذلك على ماء الحوض أو البئر الغير النابع، أو الغدير أو غيره المتغيّر بالنجاسة أو غيرها، حيث إنّه لا يخرج عن كونه متغيّرا بالنزح بالضرورة و العيان، بل هو كلّما نزح كان الباقي منه على تغيّره إلى أن لا يبقى منه شيء، كما لا يخفى، و التعليل ورد لبيان أنّ ماء البئر ليس من هذا الباب، بل النزح فيه يوجب زوال التغيّر من جهة وجود المادّة، الموجبة لتجدّد جزء من الماء الغير المتغيّر مكان ما نزح من المتغيّر، و هكذا إلى ما لا يبقى معه من المتغيّر شيء، أو يستهلك في جنب المتجدّد إن بقي منه شيء، فالمراد بذهاب الريح و طيب الطعم حقيقة إنّما هو فراغ البئر عن المتغيّر لا زوال مجرّد الوصف مع بقاء العين، فإنّه غير معقول مع تحقّق النزح</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يوجّه الاستدلال على نحو يستلزم المطلوب،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لأصل الحكم، و هو عدم فساد الماء بدون التغيّر، أو له و لطهره بزواله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فينزح حتّى يذهب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للأخير خاصّة على بعد، و على التقادير فالحكم المعلّل بالمادّة يطّرد بوجودها في غير مورد التعليل، لأنّ العلّة المنصوصة حجّة كما </w:t>
      </w:r>
    </w:p>
    <w:p>
      <w:pPr>
        <w:pStyle w:val="BookText"/>
        <w:rPr/>
      </w:pPr>
      <w:r>
        <w:rPr>
          <w:rFonts w:ascii="Amiri" w:hAnsi="Amiri" w:eastAsia="Amiri" w:cs="Amiri"/>
          <w:color w:val="111111"/>
          <w:sz w:val="28"/>
          <w:sz w:val="28"/>
          <w:szCs w:val="28"/>
          <w:rtl w:val="true"/>
          <w:lang w:bidi="ar-SA"/>
        </w:rPr>
        <w:t xml:space="preserve">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الجاري لوجودها فيه، و مقتضى التعليل على الأوّلين نفس المدّعى، و هو عدم انفعال الجاري بدون التغيّر، و على الثالث ما يستلزمه، لأنّ زوال النجاسة بواسطة المادّة يستلزم العصمة عن الانفعال بها، لكون الدفع أهون من الرفع، و هذا محكيّ عن مصابيح السيّد الطباطبائي</w:t>
      </w:r>
      <w:r>
        <w:rPr>
          <w:rStyle w:val="FootnoteAnchor"/>
          <w:rtl w:val="true"/>
        </w:rPr>
        <w:footnoteReference w:id="1603"/>
      </w:r>
      <w:r>
        <w:rPr>
          <w:rFonts w:ascii="Amiri" w:hAnsi="Amiri" w:eastAsia="Amiri" w:cs="Amiri"/>
          <w:color w:val="111111"/>
          <w:sz w:val="28"/>
          <w:sz w:val="28"/>
          <w:szCs w:val="28"/>
          <w:rtl w:val="true"/>
          <w:lang w:bidi="ar-SA"/>
        </w:rPr>
        <w:t>، و في كلام جماعة 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مجرّد زوال التغيّر بالنزح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بوجود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الطهر، لجواز كون المطهّر هو مع شيء آخر من إلقاء كرّ و نحوه، و قد علم به الراوي من الخارج فلم يبيّنه الإمام عليه السّلام، و إنّما بيّن له طريق إزالة التغيّر،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التعليل مورد الغالب في الآبار من بلوغ مائها كرّا بل كرورا، كما يومئ إليه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كناية عن كثرة الماء، أو مراد به اتّساعه بحسب المقدار، و الطهر المستفاد منها لعلّه من جهة أنّ الكرّ يطهّر بمجرّد زوال تغيّره كما هو أحد القولين في المسألة، فحينئذ لو استلزم ذلك عصمته عن الانفعال بها من غير تغيّر فإنّما يستلزمه لكونه كرّا لا لكونه ذا مادّة، و المادّة إنّما اعتبرت على الاحتمال الأخير معدّة لزوال التغيّر الّذي هو المطهّر، أو سببا لتحقّق نزح المتغيّر مع اشتمال المحلّ على الماء بعد تفريغ المتغيّر عنه، مع إمكان أن يكون وجود المادّة إنّما اعتبر جزءا لسبب التطهير، المركّب منه و من النزح المزيل للتغيّر، أو المجموع منه و من زوال التغيّر، و لا يلزم منه كونه علّة تامّة للعصمة عن الانفعال كما لا يخفى،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الدفع أهون من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رأسا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يجدي نفعا هنا، لكون الرافع شيئا لا يوجد في صورة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وجّه الاستدلال بما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التعليل إن رجع إلى الحكم الأوّل فيدلّ على عدم انفعال كلّ ذي مادّة بما عدا التغيّر، و إن رجع إلى الحكم الثاني فيدلّ على أنّ كلّ ذي مادّة متغيّرة يرتفع نجاسته بزوال تغيّره بتجدّد الماء عليه من المادّة بل مطلق الزوال، و هذا ممّا لا يجتمع مع انفعال قليله بالملاقاة، كان أوجه ممّا ذكر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يدفعه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المنافاة بين الحكمين، بجواز قبول قليله الانفعال و كون ما ذكر طريقا إلى تطهيره، كما عليه مبنى القول بانفعال ماء البئر، غاية الأمر أنّ النزح على تقدير عدم التغيّر لا يعلّق بزوال التغيّر، بل له حينئذ حدّ مقرّر في الشريعة، و المفروض أنّ </w:t>
      </w:r>
      <w:bookmarkStart w:id="500" w:name="pg16144_233360"/>
    </w:p>
    <w:p>
      <w:pPr>
        <w:pStyle w:val="BookText"/>
        <w:rPr/>
      </w:pPr>
      <w:bookmarkEnd w:id="500"/>
      <w:r>
        <w:rPr>
          <w:rFonts w:ascii="Amiri" w:hAnsi="Amiri" w:eastAsia="Amiri" w:cs="Amiri"/>
          <w:color w:val="111111"/>
          <w:sz w:val="28"/>
          <w:sz w:val="28"/>
          <w:szCs w:val="28"/>
          <w:rtl w:val="true"/>
          <w:lang w:bidi="ar-SA"/>
        </w:rPr>
        <w:t>أحكام الشرع لا تقاس بالعقول القاصرة، و إلاّ كان اللازم عدم طهر المتنجّس بالغسل بناء على نجاسة الغسالة كما هو التحقيق،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 المتغيّر بمجرّد زوال التغيّر، أو به مع ضميمة النزح، أو بهما مع ضميمة وجود المادّة، لا يجتمع مع قبول الغير المتغيّر منه المتجدّد من المادّة للانفعال بمجرّد الملاقاة، بعد ملاحظة أنّ الملاقاة الموجبة للانفعال أعمّ من ملاقاة النجاسة و ملاقاة المتنجّس، فإنّ المتجدّد من المادّة حين زوال التغيّر ملاق للماء و هو متنجّس، و المفروض أنّه ليس له قوّة عاصمة عن الانفعال،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 الجميع بالزوال،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طهر شيء منها،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 المتغيّر دون غيره، و الثاني بموجب الرواية، و كذلك الثالث لاستحالة اختلاف الماء الواحد في سطح واحد في وصفي الطهارة و النجاسة،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المتجدّد عن المادّة محلاّ لحدوث الطهر فيه بزوال تغيّر غيره، فلأن يكون محلاّ لبقاء طهره عند انتفاء التغيّر رأسا، و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انفعاله رأسا حتّى بملاقاته المتغيّر، و ليس ذلك إلاّ من جهة أنّ له قوّة عاصمة و ليست إلاّ المادّة، و لا يخفى أنّ الاستدلال بهذا الوجه تمام لو لا رجوعه إلى استنباط العلّة، فليتأمّل</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804730_1280447820"/>
      <w:bookmarkStart w:id="502" w:name="_Toc196"/>
      <w:bookmarkEnd w:id="501"/>
      <w:r>
        <w:rPr>
          <w:rtl w:val="true"/>
        </w:rPr>
        <w:t>و خامسها</w:t>
      </w:r>
      <w:r>
        <w:rPr>
          <w:rtl w:val="true"/>
        </w:rPr>
        <w:t xml:space="preserve">: </w:t>
      </w:r>
      <w:r>
        <w:rPr>
          <w:rtl w:val="true"/>
        </w:rPr>
        <w:t>الروايات النافية للبأس عن البول في الماء الجاري،</w:t>
      </w:r>
      <w:bookmarkEnd w:id="502"/>
    </w:p>
    <w:p>
      <w:pPr>
        <w:pStyle w:val="BookText"/>
        <w:rPr/>
      </w:pPr>
      <w:r>
        <w:rPr>
          <w:rFonts w:ascii="Amiri" w:hAnsi="Amiri" w:eastAsia="Amiri" w:cs="Amiri"/>
          <w:color w:val="111111"/>
          <w:sz w:val="28"/>
          <w:sz w:val="28"/>
          <w:szCs w:val="28"/>
          <w:rtl w:val="true"/>
          <w:lang w:bidi="ar-SA"/>
        </w:rPr>
        <w:t>كرواية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الماء الجاري يبال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و رواية ابن بكير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بالبول في الماء الجاري</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و رواية الفضيل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يبول الرجل في الماء الجاري، و كره أن يبول في الماء الراكد</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و رواية عنبسة بن مصعب،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يبول في الماء الجاري؟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الماء جاريا</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واردة في حكم البول في الماء، لا في حكم الماء بعد البول، فلا يستفاد منها إلاّ حكم تكليفي و هو جواز البول في الجاري، و هو ليس ممّا نحن فيه و لا مستلزما له، حيث لا منافاة بين إباحة ذلك الفعل و انفعال الماء به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يفصّل فيها بجعل الرواية الاولى من أدلّة المقام، لظهورها في السؤال عن الماء </w:t>
      </w:r>
      <w:bookmarkStart w:id="503" w:name="pg16144_233361"/>
    </w:p>
    <w:p>
      <w:pPr>
        <w:pStyle w:val="BookText"/>
        <w:rPr/>
      </w:pPr>
      <w:bookmarkEnd w:id="503"/>
      <w:r>
        <w:rPr>
          <w:rFonts w:ascii="Amiri" w:hAnsi="Amiri" w:eastAsia="Amiri" w:cs="Amiri"/>
          <w:color w:val="111111"/>
          <w:sz w:val="28"/>
          <w:sz w:val="28"/>
          <w:szCs w:val="28"/>
          <w:rtl w:val="true"/>
          <w:lang w:bidi="ar-SA"/>
        </w:rPr>
        <w:t>لا البول، دون الباقية لظهورها في السؤال عن البول في الماء دون الماء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ورود هذه الروايات في سياق واحد، و إن قدّم في بعضها البول و في البعض الآخر الماء، و 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بالسؤال فيها استعلام الحكم التكليفي حتّى فيما قدّم فيه ذكر الماء، و لو سلّم عدم الظهور فيها بالخصوص، فلا نسلّم ظهورها في خلاف ما ذكر، لأنّ ظهور البواقي فيما ذكر يوجب فيها عدم ظهور في خلافه، كما أنّ تقديم ذكر الماء فيها يوجب عدم ظهورها فيما ذكر، فهو في الحقيقة مجمل من جهة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يحكي الاستدلال فيما هو من قبيل هذه الروايات بصحيحة محمّد بن مسلم المتقدّمة في بحث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الثوب الّذي يصيبه البول، المشتملة 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و هو أضعف من سابقه، لابتنائه على عدم نجاسة الغسالة، أو المنافاة بين طهر المحلّ و نجاسة ما يغسل به</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804732_1280447820"/>
      <w:bookmarkStart w:id="505" w:name="_Toc197"/>
      <w:bookmarkEnd w:id="504"/>
      <w:r>
        <w:rPr>
          <w:rtl w:val="true"/>
        </w:rPr>
        <w:t>و سادسها</w:t>
      </w:r>
      <w:r>
        <w:rPr>
          <w:rtl w:val="true"/>
        </w:rPr>
        <w:t xml:space="preserve">: </w:t>
      </w:r>
      <w:r>
        <w:rPr>
          <w:rtl w:val="true"/>
        </w:rPr>
        <w:t>ما ورد في الروايات من تشبيه ماء الحمّام بالجاري،</w:t>
      </w:r>
      <w:bookmarkEnd w:id="505"/>
    </w:p>
    <w:p>
      <w:pPr>
        <w:pStyle w:val="BookText"/>
        <w:rPr/>
      </w:pPr>
      <w:r>
        <w:rPr>
          <w:rFonts w:ascii="Amiri" w:hAnsi="Amiri" w:eastAsia="Amiri" w:cs="Amiri"/>
          <w:color w:val="111111"/>
          <w:sz w:val="28"/>
          <w:sz w:val="28"/>
          <w:szCs w:val="28"/>
          <w:rtl w:val="true"/>
          <w:lang w:bidi="ar-SA"/>
        </w:rPr>
        <w:t xml:space="preserve">كصحيحة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ماء الجاري</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و مرسلة الكافي عن ابن جمهور، عن محمّد بن القاسم،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الجاري يشترط فيه الكرّيّة لم يكن للتشبيه به وجه من جهة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التشبيه و ما هو بمنزلته ممّا يقتضي في نظر العرف و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الجاري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عداه في وصف أو حكم ملحوظ للمتكلّم منبعث منه التشبيه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هنا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الوصف أو الحكم المقصود إفادتها من التشبيه، و امتياز الجاري عمّا عداه من المياه إمّا في طهارته </w:t>
      </w:r>
    </w:p>
    <w:p>
      <w:pPr>
        <w:pStyle w:val="BookText"/>
        <w:rPr/>
      </w:pPr>
      <w:r>
        <w:rPr>
          <w:rFonts w:ascii="Amiri" w:hAnsi="Amiri" w:eastAsia="Amiri" w:cs="Amiri"/>
          <w:color w:val="111111"/>
          <w:sz w:val="28"/>
          <w:sz w:val="28"/>
          <w:szCs w:val="28"/>
          <w:rtl w:val="true"/>
          <w:lang w:bidi="ar-SA"/>
        </w:rPr>
        <w:t>الأصليّة، و هو باطل لعدم اختصاص ذلك به، أو في اشتراطه بالكرّيّة في عدم انفعاله و هو أيضا باطل للعلّة المذكورة، أو في قبوله الانفعال بالتغيّر و هو أيضا باطل لعين ما ذكر، أو في طهر متغيّرة بمجرّد زوال تغيّره، أو في عدم قبول قليله الانفعال، و الأوّل خلاف ما يظهر من السياق جدّا، فتعيّن الأخير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بناء على اشتراط بلوغ المادّة المعتبرة في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بضميمتها في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أدلّ على خلاف المطلب، لقضاء التنزيل بتساوي الأمرين في الحكم،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على تقدير استفادة الاشتراط المذكور من تلك الرواية، و هو مبنيّ على تنزيل التنزيل الوارد فيها إلى الثاني من الاحتمالات المذكورة و 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ثبت الاشتراط من جهة الخارج فتشبيهه بالجاري لا يقتضي تعدّي ذلك الحكم منه إليه، لأنّ التشبيه إنّما يقتضي تعدّي الحكم من المشبّه به إلى المشبّه لا العكس، فلا بدّ من كونه مسوقا لبيان مشاركته للجاري في حكم آخر، و لعلّه تقوّي ما في حياضه بما اعتبر معه من المادّة كتقوّي الجاري بما له من المادّة، ثمّ بملاحظة إطلاق اللفظ في المشبّه به يلزم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الكرّيّة في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تنزيله منزلة الجاري في تجدّد الماء النظيف منه تدريجا، فيرتفع به القذارة المتوهّمة من ملاقاة بعضه للنجاسة، نظرا إلى أنّ الماء الراكد و لو كان كرّا مورد لتوهّم استقرار القذارة المتوهّمة من الملاقاة فيه، فهذا التنزيل لدفع ما في النفس من الاستقذار الناشئ من ملاقاة النجاسات، فليس الكلام مسوقا لبيان حكم الجاري من حيث اعتبار الكثرة فيه و عدمه، و هو كما ترى خروج عن ظاهر السياق سؤالا و جوابا، و تكلّف يلتزم به بلا داع إليه، و ما ذكرناه أوجه، بل هو الظاهر بناء على قضيّة الاشتراط، و مع الغضّ عنه فالرواية ظاهرة في بيان عدم اعتبار الكرّيّة في ماء الحمّام، و قضيّة ذلك كون الجاري أيضا من حكمه عدم اعتبار الكرّيّة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تقرير الاستدلال بها على المطلب بوجه آخر أمتن ممّا ذكرناه،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و إن لم يصرّح فيه بالحكم المسئول عنه المطلوب استعلامه، غير أنّ أخذ ماء الحمّام عنوانا في السؤال دليل على أنّ مقصود السائل استعلام حكمه من حيث الطهارة </w:t>
      </w:r>
    </w:p>
    <w:p>
      <w:pPr>
        <w:pStyle w:val="BookText"/>
        <w:rPr/>
      </w:pPr>
      <w:r>
        <w:rPr>
          <w:rFonts w:ascii="Amiri" w:hAnsi="Amiri" w:eastAsia="Amiri" w:cs="Amiri"/>
          <w:color w:val="111111"/>
          <w:sz w:val="28"/>
          <w:sz w:val="28"/>
          <w:szCs w:val="28"/>
          <w:rtl w:val="true"/>
          <w:lang w:bidi="ar-SA"/>
        </w:rPr>
        <w:t xml:space="preserve">و الطهوريّة، لاستقرار العادة في الأسئلة حيثما ذكر فيها العناوين مطلقة من غير تصريح بالحكم المسئول عنه معها، بكون المقصود استعلام أحكامها الظاهرة الّتي أخذت هي في أصل الشرع عناوين لها بالأصالة، و من المعلوم أنّ الحكم الّذي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له بالأصالة بحسب الشرع إنّما هو الطهوريّة بالمعنى الشامل للطهارة و المطهّريّة، فمقصود السائل في تلك الرواية استعلام حكم ماء الحمّام من حيث الطهارة أو المطهّريّة، لكن لا بالنظر إلى خلقته الأصليّة، لأنّ ماء الحمّام بحسب الخلقة ليس حاله إلاّ كحال سائر المياه، و قد ثبت طهوريّتها كتابا و سنّة على الإطلاق، فالغرض حينئذ استعلام بقاء طهوريّته و العدم من جهة الطوارئ، فتنزيله في الجواب منزلة الجاري كناية عن بقائه على وصف الطهوريّة طهارة أو مطهّريّة و عدم ارتفاعها بسبب الطوارئ، و لا يستقيم ذلك إلاّ أن يكون الجاري أيضا حكمه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ملاحظة الإطلاق الشامل للكريّة و ما دونها عين المطلوب، سواء كان الغرض استعلام طهارته أو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استعلام مطهّريّته لا يستلزم المطلوب، لجواز كون شبهة السائل زوال الطهوريّة عن الماء المستعمل في رفع الأحداث، و مع قيام هذا الاحتمال يسقط بها الاستدلال، لاستلزامه فيها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السؤال في كونه سؤالا عن الطوارئ السالبة للطهارة أظهر منه في كونه سؤالا عن الطوارئ السالبة للطهوريّة لا من جهة الطهارة، مع أنّ الجواب لو دلّ على بقاء الطهوريّة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ماء الحمّام محلّ لورود النجاسات عليه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بقاء الطهارة، و لا يقدح فيه عدم التعرّض لحكم الطهارة أصلا و بالذات، بعد الجزم بثبوت الملازمة الشرعيّة بين الطهارة و الطهوريّة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هذه الاستفادة من باب الدلالة بالإشارة و لا بأس به بعد ملاحظة أنّها أيضا من الدلالات المعتبرة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الضعف في سندها بالإرسال و ابن جمهور، أمكن الاستناد إليها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أنّه يعصم بعضه الغير الملاقي للنجاسة البعض الآخر الملاقي لها كما هو الظاهر، بقرينة أنّ تطهير البعض للبعض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الانفعال </w:t>
      </w:r>
    </w:p>
    <w:p>
      <w:pPr>
        <w:pStyle w:val="BookText"/>
        <w:rPr/>
      </w:pPr>
      <w:r>
        <w:rPr>
          <w:rFonts w:ascii="Amiri" w:hAnsi="Amiri" w:eastAsia="Amiri" w:cs="Amiri"/>
          <w:color w:val="111111"/>
          <w:sz w:val="28"/>
          <w:sz w:val="28"/>
          <w:szCs w:val="28"/>
          <w:rtl w:val="true"/>
          <w:lang w:bidi="ar-SA"/>
        </w:rPr>
        <w:t xml:space="preserve">بمجرّد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فرضه إلاّ في صورة التغيّر الّذي يزول بتجدّد الماء عليه من المادّة، و ليس في النجاسات الواردة في سؤال الرواية ما يوجب التغيّر عادة كما لا يخفى، و بناء على الانفعال بمجرّد الملاقاة لا يمكن التطهير بلا مطهّر خارجي، من إلقاء كرّ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 الرفع قضيّة للمعنى الحقيقي، و يعلم منه الدفع و هو الحكم المطلوب من السؤال بالفحوى،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البعد و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يعترض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على خلاف المطلب أدلّ، حيث إنّ ظاهرها اعتصام ماء النهر بعضه ببعض لا بالمادّة، فتدلّ على اعتبار كثرته في اعتصامه، و هو أيضا كما ترى، فإنّ الأبعاض المتواصلة الّتي يعتصم كلّ بعض منها بآخر منتهية إلى المادّة، و قضيّة ذلك كون الاعتصام الّذي يتحقّق فيما بينها مستندا بالآخرة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الاعتراض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المماثلة ممّا يقتضي المساواة من الطرفين، و من المعلوم أنّ رفع النجاسة المتحقّقة في ماء الحمّام لا يكون إلاّ بالمادّة البالغة كرّا، فمقتضى المماثلة اعتبار ذلك في الجاري إذا تنجّس بعضه، و هذا عين مذهب العلاّمة</w:t>
      </w:r>
      <w:r>
        <w:rPr>
          <w:rStyle w:val="FootnoteAnchor"/>
          <w:rtl w:val="true"/>
        </w:rPr>
        <w:footnoteReference w:id="1611"/>
      </w:r>
      <w:r>
        <w:rPr>
          <w:rFonts w:ascii="Amiri" w:hAnsi="Amiri" w:eastAsia="Amiri" w:cs="Amiri"/>
          <w:color w:val="111111"/>
          <w:sz w:val="28"/>
          <w:sz w:val="28"/>
          <w:szCs w:val="28"/>
          <w:rtl w:val="true"/>
          <w:lang w:bidi="ar-SA"/>
        </w:rPr>
        <w:t>في الجاري، فإنّ‌</w:t>
      </w:r>
      <w:r>
        <w:rPr>
          <w:rStyle w:val="FootnoteAnchor"/>
          <w:rtl w:val="true"/>
        </w:rPr>
        <w:footnoteReference w:id="1612"/>
      </w:r>
      <w:r>
        <w:rPr>
          <w:rFonts w:ascii="Amiri" w:hAnsi="Amiri" w:eastAsia="Amiri" w:cs="Amiri"/>
          <w:color w:val="111111"/>
          <w:sz w:val="28"/>
          <w:sz w:val="28"/>
          <w:szCs w:val="28"/>
          <w:rtl w:val="true"/>
          <w:lang w:bidi="ar-SA"/>
        </w:rPr>
        <w:t xml:space="preserve">المماثلة إنّما تقتضي المساواة في الحكم المسوق لبيانه الكلام لا في موضوعه، و المادّة البالغة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اعتبار الكرّيّة فيها في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و ملحوظة موضوعا لحكم الرفع، المنساق لبيانه الرواية، هذا مضافا إلى ما عرفت من ورود الرواية لبيان حكم الدفع لا الرفع الذي يوجب توهّم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الجميع المناقشة في 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بالنابع، ثمّ في شموله لما دون الكرّ،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يختصّ بالنابع، إلاّ أنّ الظاهر المتبادر منه و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المتقدّمة و الآتية إنّما هو النابع و إن كان إطلاقيّا، و هو شيء يجده الذوق بملاحظة المقام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الاعتراض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المذكورة إنّما تثبت على جهة العموم بالقياس إلى الكرّ و ما دونه، و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bookmarkStart w:id="506" w:name="pg16144_233365"/>
    </w:p>
    <w:p>
      <w:pPr>
        <w:pStyle w:val="BookText"/>
        <w:rPr/>
      </w:pPr>
      <w:bookmarkEnd w:id="506"/>
      <w:r>
        <w:rPr>
          <w:rFonts w:ascii="Amiri" w:hAnsi="Amiri" w:eastAsia="Amiri" w:cs="Amiri"/>
          <w:color w:val="111111"/>
          <w:sz w:val="28"/>
          <w:sz w:val="28"/>
          <w:szCs w:val="28"/>
          <w:rtl w:val="true"/>
          <w:lang w:bidi="ar-SA"/>
        </w:rPr>
        <w:t>عامّ بالقياس إلى الجاري و الحمّام و غيرهما، فيتعارضان في قليل الجاري و الحمّام، و الجمع و إن كان يحصل بتخصيص كلّ منهما، غير أنّ تخصيص الرواية بصورة الكرّيّة أولى من تخصيص المفهوم بغير الجاري، لكون المخرج بالأوّل أقلّ منه بالثاني بمراتب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المخرج عن كلّ من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ارتكاب التخصيص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دون الكرّ من الجاري، و هو شيء واحد لا يطرأه وصفا القلّة و الكثرة بالاعتبارين، 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تخصيص المفهوم، لكون عمومات الجاري من جهة أنّها أقلّ أفرادا من المفهوم أظهر في العموم من المفهوم، كما لا يخفى</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804734_1280447820"/>
      <w:bookmarkStart w:id="508" w:name="_Toc198"/>
      <w:bookmarkEnd w:id="507"/>
      <w:r>
        <w:rPr>
          <w:rtl w:val="true"/>
        </w:rPr>
        <w:t>و سابعها</w:t>
      </w:r>
      <w:r>
        <w:rPr>
          <w:rtl w:val="true"/>
        </w:rPr>
        <w:t xml:space="preserve">: </w:t>
      </w:r>
      <w:r>
        <w:rPr>
          <w:rtl w:val="true"/>
        </w:rPr>
        <w:t>عموم روايات وردت في خصوص الجاري، نافية لتنجيسه بشيء ما عدا التغيّر،</w:t>
      </w:r>
      <w:bookmarkEnd w:id="508"/>
    </w:p>
    <w:p>
      <w:pPr>
        <w:pStyle w:val="BookText"/>
        <w:rPr/>
      </w:pPr>
      <w:r>
        <w:rPr>
          <w:rFonts w:ascii="Amiri" w:hAnsi="Amiri" w:eastAsia="Amiri" w:cs="Amiri"/>
          <w:color w:val="111111"/>
          <w:sz w:val="28"/>
          <w:sz w:val="28"/>
          <w:szCs w:val="28"/>
          <w:rtl w:val="true"/>
          <w:lang w:bidi="ar-SA"/>
        </w:rPr>
        <w:t>كالمرسل المرويّ عن نوادر الراوندي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 لا ينجّسه شيء</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و حديث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الجاري يمرّ بالجيف و العذرة و الدم يتوضّأ منه و يشرب، و ليس ينجّسه شيء ما لم يتغيّر أوصافه، طعمه و لونه و ريحه</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و المحكيّ عن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ماء جار لا ينجّسه شيء</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معارضة بإطلاقات أدلّة إناطة الاعتصام بالكثرة، و التقييد في إطلاقات الجاري إخراج للفرد النادر، لأنّ ما لا يبلغ مع ما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قليل، بخلاف تقييد الماء بغير الجاري في أدلّة إناطة الاعتصام، فإنّه إخراج للفرد المتعارف، و بالتأمّل فيما ذكرناه تقدر على دفع ذلك، نظرا إلى أنّ المخرج ليس إلاّ قليل الجاري، سواء اعتبر إخراجه عن إطلاقات الجاري أو إطلاقات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الخارج من أدلّة إناطة الاعتصام بالكثرة في مثل قوله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السؤال عن الماء الّذي لا ينجّسه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الكرّ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هو مطلق الجاري، فيكون المقسم في هذه الأدلّة هو الماء الراكد، و هذا أبعد من تقييد الجاري بما يبلغ كرّا فضعفه أوضح من أن يوضح،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لا يتأتّى إلاّ بعد اختلاف الدليلين في مفاديهما، و من البيّن أنّه لا تنافي بين منطوق </w:t>
      </w:r>
      <w:bookmarkStart w:id="509" w:name="pg16144_233366"/>
    </w:p>
    <w:p>
      <w:pPr>
        <w:pStyle w:val="BookText"/>
        <w:rPr/>
      </w:pPr>
      <w:bookmarkEnd w:id="509"/>
      <w:r>
        <w:rPr>
          <w:rFonts w:ascii="Amiri" w:hAnsi="Amiri" w:eastAsia="Amiri" w:cs="Amiri"/>
          <w:color w:val="111111"/>
          <w:sz w:val="28"/>
          <w:sz w:val="28"/>
          <w:szCs w:val="28"/>
          <w:rtl w:val="true"/>
          <w:lang w:bidi="ar-SA"/>
        </w:rPr>
        <w:t xml:space="preserve">الخبرين، و إنّما التنافي بين مفهوم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 إن كان له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المفهوم مخصوص بالقليل، و أمّا المنطوق الشامل للجاري و الراكد و غيرهما فهو موافق لاطلاقات الجاري في الدلالة على عدم الانفعال كما هو واضح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 التخصيصين إنّما هو تخصيص المفهوم، تقديما للأظهر على الظاهر من جهتين،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يخدش في تلك الروايات عدم ثبوت اعتبار أسانيدها، و الشهرة و إن كانت محقّقة لا تصلح جابرة، لعدم وضوح كونها مستندة إليها، على معنى كون مستند المشهور في ذهابهم إلى عدم اشتراط الكرّيّة في الجاري هو تلك الروايات و هو غير واضح، فالقدح في السند لا رافع له، و مجرّد موافقة المضمون لها لا يوجب الوثوق بصدقه ما لم تكن الشهرة موجبة للوثوق بمفادها،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هذه المناقشة في السند كان في تلك الروايات كفاية في إثبات الحكم المبحوث عنه</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804736_1280447820"/>
      <w:bookmarkStart w:id="511" w:name="_Toc199"/>
      <w:bookmarkEnd w:id="510"/>
      <w:r>
        <w:rPr>
          <w:rtl w:val="true"/>
        </w:rPr>
        <w:t>و ثامنها</w:t>
      </w:r>
      <w:r>
        <w:rPr>
          <w:rtl w:val="true"/>
        </w:rPr>
        <w:t xml:space="preserve">: </w:t>
      </w:r>
      <w:r>
        <w:rPr>
          <w:rtl w:val="true"/>
        </w:rPr>
        <w:t xml:space="preserve">الإجماعات المنقولة </w:t>
      </w:r>
      <w:r>
        <w:rPr>
          <w:rtl w:val="true"/>
        </w:rPr>
        <w:t xml:space="preserve">- </w:t>
      </w:r>
      <w:r>
        <w:rPr>
          <w:rtl w:val="true"/>
        </w:rPr>
        <w:t xml:space="preserve">المتقدّم إليها الإشارة </w:t>
      </w:r>
      <w:r>
        <w:rPr>
          <w:rtl w:val="true"/>
        </w:rPr>
        <w:t xml:space="preserve">- </w:t>
      </w:r>
      <w:r>
        <w:rPr>
          <w:rtl w:val="true"/>
        </w:rPr>
        <w:t>المعتضدة بالشهرة العظيمة،</w:t>
      </w:r>
      <w:bookmarkEnd w:id="511"/>
    </w:p>
    <w:p>
      <w:pPr>
        <w:pStyle w:val="BookText"/>
        <w:rPr/>
      </w:pPr>
      <w:r>
        <w:rPr>
          <w:rFonts w:ascii="Amiri" w:hAnsi="Amiri" w:eastAsia="Amiri" w:cs="Amiri"/>
          <w:color w:val="111111"/>
          <w:sz w:val="28"/>
          <w:sz w:val="28"/>
          <w:szCs w:val="28"/>
          <w:rtl w:val="true"/>
          <w:lang w:bidi="ar-SA"/>
        </w:rPr>
        <w:t xml:space="preserve">محقّقة و محكيّة، و يشكل التعويل عليها في المقام على جهة الاستقلال، لعدم ثبوت حجّيّة منقول الإجماع عندنا بالخصوص، و كونه حجّة من باب الكشف عن وجود دليل معتبر ليس المقام من موارده، إذ المراد بالكشف حصول الاطمئنان و سكون النفس و خروجها عن التزلزل، و هي قاصرة عن الكشف بهذا المعنى، لما نرى في كلام 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التعويل على ما ليس بصالح له من الوجوه المتقدّمة، و التعويل عليها و إن لم يعلم من المجمعين أو كثير من الناقلين للإجماع غير أنّ تعويل المتأخّرين عليها مانع عن حصول الوثوق بما ذكر، و إن وجد في كلام بعضهم التعويل على ما له دلالة على المطلب، سليمة عمّا يصلح للمعارضة، كصحيحة داود بن سرحان</w:t>
      </w:r>
      <w:r>
        <w:rPr>
          <w:rStyle w:val="FootnoteAnchor"/>
          <w:rtl w:val="true"/>
        </w:rPr>
        <w:footnoteReference w:id="1616"/>
      </w:r>
      <w:r>
        <w:rPr>
          <w:rFonts w:ascii="Amiri" w:hAnsi="Amiri" w:eastAsia="Amiri" w:cs="Amiri"/>
          <w:color w:val="111111"/>
          <w:sz w:val="28"/>
          <w:sz w:val="28"/>
          <w:szCs w:val="28"/>
          <w:rtl w:val="true"/>
          <w:lang w:bidi="ar-SA"/>
        </w:rPr>
        <w:t xml:space="preserve">و رواية ابن أبي يعفور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انجبار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الاخر المتقدّمة على فرض اعتبار أسانيدها أو انجبارها</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804738_1280447820"/>
      <w:bookmarkStart w:id="513" w:name="_Toc200"/>
      <w:bookmarkEnd w:id="512"/>
      <w:r>
        <w:rPr>
          <w:rtl w:val="true"/>
        </w:rPr>
        <w:t>و تاسعها</w:t>
      </w:r>
      <w:r>
        <w:rPr>
          <w:rtl w:val="true"/>
        </w:rPr>
        <w:t xml:space="preserve">: </w:t>
      </w:r>
      <w:r>
        <w:rPr>
          <w:rtl w:val="true"/>
        </w:rPr>
        <w:t xml:space="preserve">ما اعتمد عليه المحقّق البهبهاني </w:t>
      </w:r>
      <w:r>
        <w:rPr>
          <w:rtl w:val="true"/>
        </w:rPr>
        <w:t xml:space="preserve">- </w:t>
      </w:r>
      <w:r>
        <w:rPr>
          <w:rtl w:val="true"/>
        </w:rPr>
        <w:t>مضافا إلى أصالة البراءة المتقدّم ذكرها</w:t>
      </w:r>
      <w:bookmarkEnd w:id="51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1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طريقة المسلمين في عملهم في الأعصار و الأمصار و اتّفاق فتاوي فقهائهم</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الأصل و الرواية قد عرفت ما فيهما، و طريقة المسلمين و إن كانت جارية في الجملة، غير أنّه غير واضح الوجه، لقوّة احتمال استنادها إلى فتاوي فقهائهم فقد تبيّن من البداية إلى تلك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المعتمد من الأدلّة المذكورة صحيحة داود بن سرحان،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سلامة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يعفور، المعتضدة بالشهرة العظيمة و الإجماعات المنقولة، و ما ذكر من طريقة المتشرّعة، فإنّ كلّ ذا ممّا لا ضير في أخذها مؤيّدة، فصار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سائلا على وجه الأرض عن نبع، اقتصارا على القدر المتيقّن من معقد الإجماعات و عمل المسلمين، المتبادر من الصحيحة و لو بحسب الغلبة و القرائن الخارجة، المعلومة بالتتبّع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من السائل لا عن نبع، أو السائل عن رشح، أو النابع أو الراشح بلا سيلان، فيبقى على حكم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الاحتجاج على 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الكرّيّة في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الأدلّة الدالّة على اعتبار الكرّيّة، كقوله عليه السّلام في صحيحتي معاوية بن عمّار،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لا إشكال فيه و لا شبهة تعتريه، لو لا حكومة ما تقدّم على الأدلّة المذكورة، لو اريد بها مفهوم الروايتين مع الروايات الاخر الواردة بهذا المضمون، و إلاّ فإطلاق دعوى العموم في محلّ منع، لكون ما عدا تلك الروايات المشار إليها بين ظاهرة و صريحة في الراكد، كما لا يخفى على الناظر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غيره كما عن مصابيح العلاّمة الطباطبائي</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العموم، لفقد اللفظ الدالّ عليه، سلّمنا العموم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عمومان تعارضا من وجه، فيجب الجمع بينهما بتقييد أحدهما بالآخر، و الترجيح في جانب الطهارة بالأصل، و الإجماع، و قوّة دلالة المنطوق على المفهوم</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التعسّف، فإنّ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للمنطوق،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المنطوق شاملة للجاري جزما، لبطلان خلافه بالضرورة، و لعدم ما </w:t>
      </w:r>
    </w:p>
    <w:p>
      <w:pPr>
        <w:pStyle w:val="BookText"/>
        <w:rPr/>
      </w:pPr>
      <w:r>
        <w:rPr>
          <w:rFonts w:ascii="Amiri" w:hAnsi="Amiri" w:eastAsia="Amiri" w:cs="Amiri"/>
          <w:color w:val="111111"/>
          <w:sz w:val="28"/>
          <w:sz w:val="28"/>
          <w:szCs w:val="28"/>
          <w:rtl w:val="true"/>
          <w:lang w:bidi="ar-SA"/>
        </w:rPr>
        <w:t>يوجبه من ندرة و نحوها، ضرورة عدم ندرة الكرّ من الجاري، بل هو عند التحقيق أغلب و أكثر يحسب الأفراد من الراكد كما لا يخفى، فمع فرض شمول المنطوق لكثير الجاري فلا بدّ و أن يشمل المفهوم لقليله أيضا و إن فرضناه نادرا بالقياس إلى قليل الراكد، و إلاّ لزم كون القضيّة في جانب المنطوق مستعملة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ما يوجب انتفاؤه الانتفاء بالقياس إلى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تحقّق موضوع الحكم و هو الكرّيّة بالقياس إلى الجاري كما في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مجرّد ندرة القليل من الجاري لا يوجب عدم دخوله في موضوع المفهوم، بعد ملاحظة اقتضاء موضوع المنطوق مقابلا في جانب المفهوم، و أمّا ما ذكره من المرجّحات فكلّها منظور فيه عدا الأخير منها، و نضيف إليه ما قدّمنا الإشارة إليه من كون تخصيص عمومات الجاري لقلّة أفرادها تخصيص في الأظهر، فيرجّح عليه تخصيص المفهوم لكونه تخصيص الظاهر، تقديما للأظهر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مراده رحمه اللّه بأحد العامّين اللذين فرض النسبة بينهما عموما من وجه، صحيحة محمّد بن إسماعيل بن بزيع</w:t>
      </w:r>
      <w:r>
        <w:rPr>
          <w:rStyle w:val="FootnoteAnchor"/>
          <w:rtl w:val="true"/>
        </w:rPr>
        <w:footnoteReference w:id="1623"/>
      </w:r>
      <w:r>
        <w:rPr>
          <w:rFonts w:ascii="Amiri" w:hAnsi="Amiri" w:eastAsia="Amiri" w:cs="Amiri"/>
          <w:color w:val="111111"/>
          <w:sz w:val="28"/>
          <w:sz w:val="28"/>
          <w:szCs w:val="28"/>
          <w:rtl w:val="true"/>
          <w:lang w:bidi="ar-SA"/>
        </w:rPr>
        <w:t xml:space="preserve">، الدالّة على عدم فساد كلّ ذي مادّة بمادّته و منه الجاري، الّذي يدخل قليله في عموم المفهوم، و إلاّ فلا تعارض لو اعتبر ذلك العامّ الخبر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يعلم أنّه قذر</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فضلا عن كونه من باب العموم من وجه، لدخول القليل حينئذ فيما أخذ غاية في ذلك الخبر، إن قلنا بتناوله لمشتبه الحكم، كما أنّ المفهوم أخصّ لو فرض الطرف المقابل صحيحة حريز</w:t>
      </w:r>
      <w:r>
        <w:rPr>
          <w:rStyle w:val="FootnoteAnchor"/>
          <w:rtl w:val="true"/>
        </w:rPr>
        <w:footnoteReference w:id="1625"/>
      </w:r>
      <w:r>
        <w:rPr>
          <w:rFonts w:ascii="Amiri" w:hAnsi="Amiri" w:eastAsia="Amiri" w:cs="Amiri"/>
          <w:color w:val="111111"/>
          <w:sz w:val="28"/>
          <w:sz w:val="28"/>
          <w:szCs w:val="28"/>
          <w:rtl w:val="true"/>
          <w:lang w:bidi="ar-SA"/>
        </w:rPr>
        <w:t>، و صحيحة أبي خالد القمّاط</w:t>
      </w:r>
      <w:r>
        <w:rPr>
          <w:rStyle w:val="FootnoteAnchor"/>
          <w:rtl w:val="true"/>
        </w:rPr>
        <w:footnoteReference w:id="1626"/>
      </w:r>
      <w:r>
        <w:rPr>
          <w:rFonts w:ascii="Amiri" w:hAnsi="Amiri" w:eastAsia="Amiri" w:cs="Amiri"/>
          <w:color w:val="111111"/>
          <w:sz w:val="28"/>
          <w:sz w:val="28"/>
          <w:szCs w:val="28"/>
          <w:rtl w:val="true"/>
          <w:lang w:bidi="ar-SA"/>
        </w:rPr>
        <w:t>، و حسنة محمّد بن ميسّر</w:t>
      </w:r>
      <w:r>
        <w:rPr>
          <w:rStyle w:val="FootnoteAnchor"/>
          <w:rtl w:val="true"/>
        </w:rPr>
        <w:footnoteReference w:id="1627"/>
      </w:r>
      <w:r>
        <w:rPr>
          <w:rFonts w:ascii="Amiri" w:hAnsi="Amiri" w:eastAsia="Amiri" w:cs="Amiri"/>
          <w:color w:val="111111"/>
          <w:sz w:val="28"/>
          <w:sz w:val="28"/>
          <w:szCs w:val="28"/>
          <w:rtl w:val="true"/>
          <w:lang w:bidi="ar-SA"/>
        </w:rPr>
        <w:t>، لعموم تلك الروايات القليل و الكثير، فتخصّص بالمفهوم، و لم يقع الاستدلال منه رحمه اللّه إلاّ بها و بصحيحة محمّد بن إسماعيل</w:t>
      </w:r>
      <w:r>
        <w:rPr>
          <w:rFonts w:eastAsia="Amiri" w:cs="Amiri" w:ascii="Amiri" w:hAnsi="Amiri"/>
          <w:color w:val="111111"/>
          <w:sz w:val="28"/>
          <w:szCs w:val="28"/>
          <w:rtl w:val="true"/>
          <w:lang w:bidi="ar-SA"/>
        </w:rPr>
        <w:t>.</w:t>
      </w:r>
      <w:r>
        <w:rPr>
          <w:rStyle w:val="FootnoteAnchor"/>
          <w:rtl w:val="true"/>
        </w:rPr>
        <w:footnoteReference w:id="1628"/>
      </w:r>
      <w:bookmarkStart w:id="514" w:name="pg16144_233369"/>
    </w:p>
    <w:p>
      <w:pPr>
        <w:pStyle w:val="Heading3"/>
        <w:numPr>
          <w:ilvl w:val="2"/>
          <w:numId w:val="1"/>
        </w:numPr>
        <w:rPr/>
      </w:pPr>
      <w:bookmarkStart w:id="515" w:name="__RefHeading___Toc1804740_1280447820"/>
      <w:bookmarkStart w:id="516" w:name="_Toc201"/>
      <w:bookmarkEnd w:id="514"/>
      <w:bookmarkEnd w:id="515"/>
      <w:r>
        <w:rPr>
          <w:rtl w:val="true"/>
        </w:rPr>
        <w:t>«</w:t>
      </w:r>
      <w:r>
        <w:rPr>
          <w:rtl w:val="true"/>
        </w:rPr>
        <w:t>ينبوع</w:t>
      </w:r>
      <w:r>
        <w:rPr>
          <w:rtl w:val="true"/>
        </w:rPr>
        <w:t>» [</w:t>
      </w:r>
      <w:r>
        <w:rPr>
          <w:rtl w:val="true"/>
        </w:rPr>
        <w:t>في ماء الحمام</w:t>
      </w:r>
      <w:r>
        <w:rPr>
          <w:rtl w:val="true"/>
        </w:rPr>
        <w:t>]</w:t>
      </w:r>
      <w:bookmarkEnd w:id="516"/>
    </w:p>
    <w:p>
      <w:pPr>
        <w:pStyle w:val="Heading4"/>
        <w:numPr>
          <w:ilvl w:val="3"/>
          <w:numId w:val="1"/>
        </w:numPr>
        <w:rPr/>
      </w:pPr>
      <w:bookmarkStart w:id="517" w:name="__RefHeading___Toc1804742_1280447820"/>
      <w:bookmarkStart w:id="518" w:name="_Toc202"/>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اتّفقت كلمتهم على إلحاق ماء الحمّام بالجاري،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يؤدّي مؤدّاه، و كأنّه جرى على مقتضى ما ورد في النصوص من تنزيله منزلة الجاري أو تشبيهه به، و قضيّة ذلك كونه فرعا له في كلّ ما يلحق به من الأحكام، أو أنّ في خصوص ما عقدوا له الباب المتقدّم من عدم اشتراط الكرّيّة فيه، فحينئذ يشكل الحال بالنظر إلى خلافهم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كرّيّة المادّة كما عليه المشهور، أو كرّيّة المجموع منها و ممّا في الحياض مطلقا، أو مع تساوي سطحهما أو انحدار المادّة، و ليس شيء من ذلك مذكورا في الأصل و لا في النصوص القاضية بالفرعيّة، و استفادته من الخارج يوجب إلحاقه بالراكد البالغ مجموعه كرّا، أو المتّصل بما يبلغ كرّا لا بالجاري، بل يوجب ذلك كونه في الحقيقة من أفراد الراكد الّذي يعتبر في عدم انفعاله الكرّيّة، و إن اختلفت سطوحه كما عليه الأكثر، و معه لا معنى لإفراده بالذكر فضلا عن إلحاقه بالجاري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أيّ فرق بين المقام مع فرض الاتّصال بالمادّة المأخوذ في موضوع الحكم و بين الغديرين الموصل بينهما بساقية، المعدود في كلام جمع من المتأخّرين من أقسام الراكد، المكتفى فيه عندهم بكرّيّة مجموع ما فيهما و في الساقية، و أيّ شيء أوجب إفراد المقام عن المفروض، و دعا فيه إلى اعتبار الكرّيّة في المادّة، و نفي كفاية بلوغ المجموع كرّا خصوصا إذا كان مستند اعتبار الكرّيّة في المادّة أو في المجموع أدلّة انفعال القليل و اشتراط الكرّيّة في عدم الانفعال، فإنّ اتّحاد طريق المسألتين يقضي بكونهما من واد واحد، فكيف يفرّق بينهما بجعل إحداهما فرعا لباب، و إفراد الاخرى بباب على حدّة</w:t>
      </w:r>
      <w:r>
        <w:rPr>
          <w:rFonts w:eastAsia="Amiri" w:cs="Amiri" w:ascii="Amiri" w:hAnsi="Amiri"/>
          <w:color w:val="111111"/>
          <w:sz w:val="28"/>
          <w:szCs w:val="28"/>
          <w:rtl w:val="true"/>
          <w:lang w:bidi="ar-SA"/>
        </w:rPr>
        <w:t xml:space="preserve">. </w:t>
      </w:r>
      <w:bookmarkStart w:id="519" w:name="pg16144_233370"/>
    </w:p>
    <w:p>
      <w:pPr>
        <w:pStyle w:val="BookText"/>
        <w:rPr/>
      </w:pPr>
      <w:bookmarkEnd w:id="519"/>
      <w:r>
        <w:rPr>
          <w:rFonts w:ascii="Amiri" w:hAnsi="Amiri" w:eastAsia="Amiri" w:cs="Amiri"/>
          <w:color w:val="111111"/>
          <w:sz w:val="28"/>
          <w:sz w:val="28"/>
          <w:szCs w:val="28"/>
          <w:rtl w:val="true"/>
          <w:lang w:bidi="ar-SA"/>
        </w:rPr>
        <w:t>و 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الاعتبار و قانون التأدية و الإيجاز و إن كان يقتضي ذلك، و لكن ماء الحمّام لمّا اخذ عنوانا في طائفة من الأخبار فذلك دعاهم إلى إفراده بعنوان خاصّ مع مراعاة إعمال القواعد فيه، بزعم جريانها من غير معارضة لها في تلك الأخبار، فاعتبروا فيه كرّيّة المادّة أو المجموع كلّ بحسب ما اقتضاه نظره و اجتهاده في إجراء القواعد، جمعا بينها و بين ما اقتضته الأخبار المشار إليها من تخصيصه بالعنوان</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804744_1280447820"/>
      <w:bookmarkStart w:id="521" w:name="_Toc203"/>
      <w:bookmarkEnd w:id="520"/>
      <w:r>
        <w:rPr>
          <w:rtl w:val="true"/>
        </w:rPr>
        <w:t>و على أيّ حال كان فينبغي أوّلا سوق عنان القلم إلى بيان المراد من ماء الحمّام المبحوث عنه هنا،</w:t>
      </w:r>
      <w:bookmarkEnd w:id="521"/>
    </w:p>
    <w:p>
      <w:pPr>
        <w:pStyle w:val="BookText"/>
        <w:rPr/>
      </w:pPr>
      <w:r>
        <w:rPr>
          <w:rFonts w:ascii="Amiri" w:hAnsi="Amiri" w:eastAsia="Amiri" w:cs="Amiri"/>
          <w:color w:val="111111"/>
          <w:sz w:val="28"/>
          <w:sz w:val="28"/>
          <w:szCs w:val="28"/>
          <w:rtl w:val="true"/>
          <w:lang w:bidi="ar-SA"/>
        </w:rPr>
        <w:t xml:space="preserve">و قد أطبق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الحياض الصغار الّتي لا تبلغ الكرّ، ثمّ صريح غير واحد مع ظاهر آخرين يقضي باختصاص البحث عنه بصورة اتّصاله بالمادّة، و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الكبير الّذي يجري منه الماء إلى الحياض الصغار، كما أنّ المراد بالحياض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تتبّع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المتّخذة في جنب الحوض الكبير ليرد عليها الواردون لأخذ الماء و الغسل، بل الاغتسال أيضا على ما هو المعهود من طريقة أهل السنّة، حيث لا يغتسلون في الحوض الكبير المسمّى بالخزانة، و كأنّ دليلهم على هذه التقييدات كلّها كونه المنساق من جملة من الروايات الواردة في ماء الحمّام، كرواية بكر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و المحكيّ عن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سبيله سبيل الجاري إذا كانت له مادّة</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فإنّ كلمة الاختصاص في الظرف تقضي بأنّ المراد به ما يكون للمادّة جهة اختصاص به، بحيث لا يوجد ذلك الاختصاص في غيره ممّا هو في الحمّام، و لا يكون ذلك إلاّ الحياض الموصوفة بما ذكر الّتي تستمدّ الماء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كونها لا تسع الكرّ،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من الشرطيّة إفادة ما يعتصم به الماء المذكور، و الكرّ بنفسه معتصم، فيعود اعتبار وجود المادّة لغوا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روايات ماء الحمّام مسوقة لبيان أنّه أخفّ حكما من سائر المياه كما لا يخفى على المتأمّل، و التسوية فيه بين كثيره و قليله توجب كون الحكم فيه </w:t>
      </w:r>
    </w:p>
    <w:p>
      <w:pPr>
        <w:pStyle w:val="BookText"/>
        <w:rPr/>
      </w:pPr>
      <w:r>
        <w:rPr>
          <w:rFonts w:ascii="Amiri" w:hAnsi="Amiri" w:eastAsia="Amiri" w:cs="Amiri"/>
          <w:color w:val="111111"/>
          <w:sz w:val="28"/>
          <w:sz w:val="28"/>
          <w:szCs w:val="28"/>
          <w:rtl w:val="true"/>
          <w:lang w:bidi="ar-SA"/>
        </w:rPr>
        <w:t>أغلظ،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اتّصاله بها، فلأنّه المتبادر عرفا من عبارة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لو لا اتّصالها به كان وجودها بمنزلة عدمها، فإنّها إنّما اعتبرت عاصمة، و لا يعقل العصمة لها إلاّ مع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ذكر الحياض الصغار في تفسير ماء الحمّام لعلّه مبنيّ على المثال، أو لأنّه محلّ الثمرة غالبا، و إلاّ فلو كان في الحوض الكثير ما ينقص عن الكرّ لحقه الحكم، ليس على ما ينبغي إن اريد به الحوض الكبير المعدّ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قيل من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المنبسط في أرض الحمّام المتّصل بالحوض الصغير أو الكبير المتّصلين بالمادّة حكمه حكم ما في الحياض، إن اريد به إدراج ذلك في الروايتين، و إن اريد استفادة حكمه من باب تنقيح المناط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القطع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احتمال تمشّي الحكم إلى حياض المسلخ، بل الماء الّذي في البئر إذا اتّصل الماء النازل من المادّة بالحوض، و اتّصل ماء الحوض بالماء المنبسط على أرض الحمّام، و اتّصل ذلك بماء البئر، إلاّ أن يكون ذلك من باب تنقيح المناط أيضا لا من جهة شمول النصوص، و تفسير المادّة بالحوض الكبير لأجل أنّ ماء الحمّام لا مادّة له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الواضح أنّ المراد بالحمّام و حياضه في الأخبار و كلام العلماء الأخيار ما يقع عليه الاسم عرفا، و لو كان في الآن الحاضر على الهيئة المغايرة للهيئة الموجودة في الآن السابق، كما هو الأصل المتّفق عليه في جميع موضوعات الأحكام الثابتة عن الزمن القديم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الحدائق من الاستشكال في تماميّة الاستدلال بالأخبار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إنّما يتمّ بعد معرفة الحيضان الّتي كانت في زمانهم على أيّ كيفيّة كانت؟ إذ الظاهر أنّ الأسئلة كانت عن ماء الحمّام المعهود عندهم، سيّما أنّ أصل الإضافة للعهد</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ممّا لا يلتفت إليه، لمنع كون المعهوديّة عندهم مخصّصة لعموم الجواب بعد فرض تحقّق التسمية مطلقا، و الاختلاف في الكيفيّة لا يوجب الاختلاف في التسمية، فلا يوجب الاختلاف في الحكم، و إلاّ لتغيّرت أكثر الأحكام الثابتة 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الهيئة المركّبة إذا انتفى شيء منها لا تجري عليها الأحكام، لانتفاء المركّب بانتفاء أحد أجزائه، و لأنّ أحكام الحمّام مخالفة للأصل، فيقتصر فيها على المتيقّن، بل لو شكّ في كون الموجود الآن كالسابق أو لا؟ لم تجر عليه الأحكام أيضا و إن أطلق عليه الاسم الآن، مع عدم جريان أصالة عدم التغيّر هنا، إذ هي إنّما تجري حيث يكون المعنى قديما و رأينا اللفظ الأوّل مستعملا فيه الآن، و شككنا فيه بالنسبة إلى الزمن السابق فنحكم بذلك لأصالة عدم التغيّر، لا فيما إذا شككنا في كون هذا المعنى موجودا سابقا أو لا؟ و فرق واضح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الاشتراك لا يثبت بها وجود المعنى، إذ غاية ما يمكن إثباته بها نفي الاشتراك بعد فرض وجود المعنى، أمّا أنّها تثبت أنّ هذا الموضوع موجود في السابق فلا، متّضح الفساد</w:t>
      </w:r>
      <w:r>
        <w:rPr>
          <w:rStyle w:val="FootnoteAnchor"/>
          <w:rtl w:val="true"/>
        </w:rPr>
        <w:footnoteReference w:id="1632"/>
      </w:r>
      <w:r>
        <w:rPr>
          <w:rFonts w:ascii="Amiri" w:hAnsi="Amiri" w:eastAsia="Amiri" w:cs="Amiri"/>
          <w:color w:val="111111"/>
          <w:sz w:val="28"/>
          <w:sz w:val="28"/>
          <w:szCs w:val="28"/>
          <w:rtl w:val="true"/>
          <w:lang w:bidi="ar-SA"/>
        </w:rPr>
        <w:t>ضرورة أنّ اختلاف الهيئة لا يوجب عدم جريان الأحكام ما لم يكن موجبا لاختلاف الماهيّة و انتفاء الماهيّة الاولى، و نحن نقطع ببقاء الماهيّة الاولى في الحمّامات المستحدثة، و إن حصل فيها الاختلاف كثيرا، و الأحكام الثابتة ثمّة تجري عليها مع القطع بالتغيّر فكيف مع الشكّ فيه، و معه لم يكن الحاجة ماسّة إلى التشبّث بالأصل حتّى ينظر في جريانه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وقوع اللفظ عليها مع اختلافها في الهيئات من باب وقوع المشترك المعنوي على أفراده المختلفة، فلا حاجة إلى أصالة عدم الاشتراك، و ليس للحمّام حكم مغاير للقواعد حتّى يقتصر فيه على المتيقّن، لكون عدم الانفعال مستند إلى الاتّصال بالمادّة البالغة بنفسها أو مع ما في الحياض و الساقية كرّا، و هو من مقتضي القواعد المقرّرة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بعدم اشتراط الكرّيّة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أضعف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يتّجه ذلك، غير أنّه يندفع بملاحظة ما قرّرناه، نظرا إلى ورود النصّ الخاصّ مع عدم داع إلى الاختصاص، فلا ضير معه في الخروج عن الأصل، بل هو واجب حينئذ كما مرّ في مستثنيات قاعدة الانفعال، هذا إذا اريد بالأصل ما يقتضيه تلك القاعدة، و أمّا إذا اريد به ما يقتضيه الأصل الأوّلي في المياه من الطهارة، ليكون ذلك دفعا لمقالة مشترطي الكرّيّة بأحد المعنيين، فيكفي في الخروج عنه عموم تلك القاعدة و على أيّ حال كان فما في الحياض الصغار </w:t>
      </w:r>
    </w:p>
    <w:p>
      <w:pPr>
        <w:pStyle w:val="BookText"/>
        <w:rPr/>
      </w:pPr>
      <w:r>
        <w:rPr>
          <w:rFonts w:ascii="Amiri" w:hAnsi="Amiri" w:eastAsia="Amiri" w:cs="Amiri"/>
          <w:color w:val="111111"/>
          <w:sz w:val="28"/>
          <w:sz w:val="28"/>
          <w:szCs w:val="28"/>
          <w:rtl w:val="true"/>
          <w:lang w:bidi="ar-SA"/>
        </w:rPr>
        <w:t xml:space="preserve">إذا لاقته النجاسة حال اتّصاله بالمادّة لا ينفعل به ما لم يتغيّر أحد أوصافه، و الأصل فيه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في الجملة و 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سرحان المرويّة 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ما تقول في ماء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الجاري</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 عن قرب الأسناد عن إسماعيل بن جابر، عن أبي الحسن الأوّل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xml:space="preserve">و خبر أبي الحسن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الرجال يقومون على الحوض في الحمّام، لا أعرف اليهودي من النصراني، و لا الجنب من غير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منه، و لا يغتسل من ماء آخر فإنّه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الرجل يدخل الحمّام و هو جنب فيمسّ الماء بيديه من غير أن يغسلهما؟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الحمّام فأغتسل، فيصيب جسدي بعد الغسل جنبا، أو غير 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 اللّه عليه السّلام إنّي أدخل الحمّام في السحر، و فيه الجنب و غير ذلك، فأقوم، فأغتسل فينتضح عليّ بعد ما أفرغ من 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 xml:space="preserve">، و الاستدلال به مبنيّ على كون الجاري في قضيّة الاستفهام استعارة، مرادا به كونه بمنزلة الجاري، و التشبيه به على حدّ 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بملاحظة أنّ المعهود في ماء الحمّام كونه حارّا فلا يكون جاريا بالمعنى المعهود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بكر بن حبيب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 و خبر ابن أبي يعفور المتقدّم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 بناء على أنّ المراد بالتطهير العصمة كما تقدّم، بعد فرض انجبار السند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المحكيّ عن فقه الرضا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ماء الحمّام سبيله الماء الجاري إذا كانت له مادّة</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بها واضح بعد حمل مطلقها على مقيّدها، و قضيّة ذلك عدم انفعال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في حياضه الصغار الغير البالغ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الملاقاة عند اتّصاله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تنزيله منزلة الجاري في خبر ابن سرحان، و تشبيهه بماء النهر في خبر ابن أبي يعفور، إشعارا باعتبار المادّة، لأنّ لكلّ من الجاري و النهر مادّة فلا حاجة فيهما إلى إعمال قاعدة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التشبيه لا يقتضي المشاركة في مناط الحكم، بل غايته المشاركة في أصل الحكم و إن تغاير في المشبّه و المشبّه به، أ لا ترى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المشاركة في الشجاعة، نعم يمكن الاستناد في اعتبار ذلك في المطلقات إلى الغلبة كما توهّم، إذ الغالب في الحمّامات وجود المادّة و أمّا ضعف أسانيد جملة منها فمجبور بالعمل في الجملة، فلا يعبأ بما في المدارك</w:t>
      </w:r>
      <w:r>
        <w:rPr>
          <w:rStyle w:val="FootnoteAnchor"/>
          <w:rtl w:val="true"/>
        </w:rPr>
        <w:footnoteReference w:id="1640"/>
      </w:r>
      <w:r>
        <w:rPr>
          <w:rFonts w:ascii="Amiri" w:hAnsi="Amiri" w:eastAsia="Amiri" w:cs="Amiri"/>
          <w:color w:val="111111"/>
          <w:sz w:val="28"/>
          <w:sz w:val="28"/>
          <w:szCs w:val="28"/>
          <w:rtl w:val="true"/>
          <w:lang w:bidi="ar-SA"/>
        </w:rPr>
        <w:t>من القدح في سند رواية بكر بن حبيب لجهالة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من رجال السند صفوان بن يحيى، فلا ضير في ضعف من قبله، و قد يوصف السند بالحسن، و لعلّ وجهه ما استظهره بعض مشايخنا</w:t>
      </w:r>
      <w:r>
        <w:rPr>
          <w:rStyle w:val="FootnoteAnchor"/>
          <w:rtl w:val="true"/>
        </w:rPr>
        <w:footnoteReference w:id="1641"/>
      </w:r>
      <w:r>
        <w:rPr>
          <w:rFonts w:ascii="Amiri" w:hAnsi="Amiri" w:eastAsia="Amiri" w:cs="Amiri"/>
          <w:color w:val="111111"/>
          <w:sz w:val="28"/>
          <w:sz w:val="28"/>
          <w:szCs w:val="28"/>
          <w:rtl w:val="true"/>
          <w:lang w:bidi="ar-SA"/>
        </w:rPr>
        <w:t>من احتمال كون بكر بن حبيب هنا هو بكر بن محمّد بن حبيب، و قد ذكر في ترجمته ما تدلّ على حسنه، و ربّما نقل</w:t>
      </w:r>
      <w:r>
        <w:rPr>
          <w:rStyle w:val="FootnoteAnchor"/>
          <w:rtl w:val="true"/>
        </w:rPr>
        <w:footnoteReference w:id="1642"/>
      </w:r>
      <w:r>
        <w:rPr>
          <w:rFonts w:ascii="Amiri" w:hAnsi="Amiri" w:eastAsia="Amiri" w:cs="Amiri"/>
          <w:color w:val="111111"/>
          <w:sz w:val="28"/>
          <w:sz w:val="28"/>
          <w:szCs w:val="28"/>
          <w:rtl w:val="true"/>
          <w:lang w:bidi="ar-SA"/>
        </w:rPr>
        <w:t xml:space="preserve">عن الكشّي توثيقه و إن أنكره بعضهم، و لكن الاستظهار غير واضح الوجه، و قد يؤيّد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في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الشيخ في العدّة من أنّه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يروي إلاّ عن ثقة</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يرويه هنا عن ابن حبيب بواسطة منصور بن حازم، فأقصى ما يقتضيه ما ذكر هنا وثاقة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الحاجة في ثبوت وثاقته إلى ذلك لكونه بنفسه ثقة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وثاقة ابن حبيب، إلاّ أن يقال بذلك فيه أيضا من جهة رواية منصور عنه، نظرا إلى ما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ثقة عين صدوق، من أجلّة أصحابنا </w:t>
      </w:r>
      <w:bookmarkStart w:id="522" w:name="pg16144_233375"/>
    </w:p>
    <w:p>
      <w:pPr>
        <w:pStyle w:val="BookText"/>
        <w:rPr/>
      </w:pPr>
      <w:bookmarkEnd w:id="522"/>
      <w:r>
        <w:rPr>
          <w:rFonts w:ascii="Amiri" w:hAnsi="Amiri" w:eastAsia="Amiri" w:cs="Amiri"/>
          <w:color w:val="111111"/>
          <w:sz w:val="28"/>
          <w:sz w:val="28"/>
          <w:szCs w:val="28"/>
          <w:rtl w:val="true"/>
          <w:lang w:bidi="ar-SA"/>
        </w:rPr>
        <w:t>و فقهائهم،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الشرائع</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 فجلالة شأنه و فضله و علوّ رتبته يأبى عن روايته عمّن لا يوثق به، أو روايته ما لا ينبغي الوثوق عليه، فأقلّه كون الرواية ممّا يوثق به و يعتمد عليه و إن لم يكن الراوي بنفسه على تلك المثابة، لجواز احتفاف الرواية بقرينة الخارج،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في الجملة ممّا لا إشكال فيه و لا كلام، فلا ينبغي إطالة الكلام في إقعاده و تتميم الدليل عليه،</w:t>
      </w:r>
    </w:p>
    <w:p>
      <w:pPr>
        <w:pStyle w:val="Heading4"/>
        <w:numPr>
          <w:ilvl w:val="3"/>
          <w:numId w:val="1"/>
        </w:numPr>
        <w:rPr/>
      </w:pPr>
      <w:bookmarkStart w:id="523" w:name="__RefHeading___Toc1804746_1280447820"/>
      <w:bookmarkStart w:id="524" w:name="_Toc204"/>
      <w:bookmarkEnd w:id="523"/>
      <w:r>
        <w:rPr>
          <w:rtl w:val="true"/>
        </w:rPr>
        <w:t>بل اللائق بالبحث جهات اخر متعلّقة بموضوع المسألة،</w:t>
      </w:r>
      <w:bookmarkEnd w:id="524"/>
    </w:p>
    <w:p>
      <w:pPr>
        <w:pStyle w:val="Heading5"/>
        <w:numPr>
          <w:ilvl w:val="4"/>
          <w:numId w:val="1"/>
        </w:numPr>
        <w:rPr/>
      </w:pPr>
      <w:bookmarkStart w:id="525" w:name="__RefHeading___Toc1804748_1280447820"/>
      <w:bookmarkStart w:id="526" w:name="_Toc205"/>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و قد تكلّم فيها الأصحاب و اختلفت أقوالهم فيها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804750_1280447820"/>
      <w:bookmarkStart w:id="528" w:name="_Toc206"/>
      <w:bookmarkEnd w:id="527"/>
      <w:r>
        <w:rPr>
          <w:rtl w:val="true"/>
        </w:rPr>
        <w:t>الجهة الاولى</w:t>
      </w:r>
      <w:r>
        <w:rPr>
          <w:rtl w:val="true"/>
        </w:rPr>
        <w:t xml:space="preserve">: </w:t>
      </w:r>
      <w:r>
        <w:rPr>
          <w:rtl w:val="true"/>
        </w:rPr>
        <w:t>أنّهم اختلفوا في اشتراط الكرّيّة في المادّة على قولين</w:t>
      </w:r>
      <w:r>
        <w:rPr>
          <w:rtl w:val="true"/>
        </w:rPr>
        <w:t>:</w:t>
      </w:r>
      <w:bookmarkEnd w:id="528"/>
    </w:p>
    <w:p>
      <w:pPr>
        <w:pStyle w:val="Heading6"/>
        <w:numPr>
          <w:ilvl w:val="5"/>
          <w:numId w:val="1"/>
        </w:numPr>
        <w:rPr/>
      </w:pPr>
      <w:bookmarkStart w:id="529" w:name="__RefHeading___Toc1804752_1280447820"/>
      <w:bookmarkStart w:id="530" w:name="_Toc207"/>
      <w:bookmarkEnd w:id="529"/>
      <w:r>
        <w:rPr>
          <w:rtl w:val="true"/>
        </w:rPr>
        <w:t>أحدهما</w:t>
      </w:r>
      <w:r>
        <w:rPr>
          <w:rtl w:val="true"/>
        </w:rPr>
        <w:t xml:space="preserve">: </w:t>
      </w:r>
      <w:r>
        <w:rPr>
          <w:rtl w:val="true"/>
        </w:rPr>
        <w:t>كونها شرطا</w:t>
      </w:r>
      <w:bookmarkEnd w:id="530"/>
    </w:p>
    <w:p>
      <w:pPr>
        <w:pStyle w:val="BookText"/>
        <w:rPr/>
      </w:pPr>
      <w:r>
        <w:rPr>
          <w:rFonts w:ascii="Amiri" w:hAnsi="Amiri" w:eastAsia="Amiri" w:cs="Amiri"/>
          <w:color w:val="111111"/>
          <w:sz w:val="28"/>
          <w:sz w:val="28"/>
          <w:szCs w:val="28"/>
          <w:rtl w:val="true"/>
          <w:lang w:bidi="ar-SA"/>
        </w:rPr>
        <w:t>و عزّاه غير واحد إلى الأكثر، و ربّما يعزى إلى العلاّمة في التحرير</w:t>
      </w:r>
      <w:r>
        <w:rPr>
          <w:rStyle w:val="FootnoteAnchor"/>
          <w:rtl w:val="true"/>
        </w:rPr>
        <w:footnoteReference w:id="1645"/>
      </w:r>
      <w:r>
        <w:rPr>
          <w:rFonts w:ascii="Amiri" w:hAnsi="Amiri" w:eastAsia="Amiri" w:cs="Amiri"/>
          <w:color w:val="111111"/>
          <w:sz w:val="28"/>
          <w:sz w:val="28"/>
          <w:szCs w:val="28"/>
          <w:rtl w:val="true"/>
          <w:lang w:bidi="ar-SA"/>
        </w:rPr>
        <w:t>اعتبار زيادة المادّة على الكرّيّة، و لكنّه غير واضح الوجه، فلذا حمله ثاني الشهيدين</w:t>
      </w:r>
      <w:r>
        <w:rPr>
          <w:rStyle w:val="FootnoteAnchor"/>
          <w:rtl w:val="true"/>
        </w:rPr>
        <w:footnoteReference w:id="1646"/>
      </w:r>
      <w:r>
        <w:rPr>
          <w:rFonts w:ascii="Amiri" w:hAnsi="Amiri" w:eastAsia="Amiri" w:cs="Amiri"/>
          <w:color w:val="111111"/>
          <w:sz w:val="28"/>
          <w:sz w:val="28"/>
          <w:szCs w:val="28"/>
          <w:rtl w:val="true"/>
          <w:lang w:bidi="ar-SA"/>
        </w:rPr>
        <w:t>و المحقّق الثاني</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ذلك في تطهير الحوض الصغير على فرض 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يتأمّل في نسبته اعتبار الكرّيّة أيضا إلى الأكثر، بل عن كشف اللثام</w:t>
      </w:r>
      <w:r>
        <w:rPr>
          <w:rStyle w:val="FootnoteAnchor"/>
          <w:rtl w:val="true"/>
        </w:rPr>
        <w:footnoteReference w:id="1648"/>
      </w:r>
      <w:r>
        <w:rPr>
          <w:rFonts w:ascii="IRNazanin" w:hAnsi="IRNazanin" w:eastAsia="IRNazanin"/>
          <w:color w:val="111111"/>
          <w:sz w:val="28"/>
          <w:sz w:val="28"/>
          <w:szCs w:val="28"/>
          <w:rtl w:val="true"/>
          <w:lang w:bidi="fa-IR"/>
        </w:rPr>
        <w:t>أنّه نقل عن الجامع</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العلاّمة على الاشتراط، حاملا لتلك النسبة على كون المراد من الأكثر أكثر من تأخّر عن المحقّق، المصرّح بعدم الاشتراط لإطلاق النصوص و الفتاوى،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ظاهره أنّ الفتاوي مطلقة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804754_1280447820"/>
      <w:bookmarkStart w:id="532" w:name="_Toc208"/>
      <w:bookmarkEnd w:id="531"/>
      <w:r>
        <w:rPr>
          <w:rtl w:val="true"/>
        </w:rPr>
        <w:t>و ثانيهما</w:t>
      </w:r>
      <w:r>
        <w:rPr>
          <w:rtl w:val="true"/>
        </w:rPr>
        <w:t xml:space="preserve">: </w:t>
      </w:r>
      <w:r>
        <w:rPr>
          <w:rtl w:val="true"/>
        </w:rPr>
        <w:t>عدم كونها شرطا</w:t>
      </w:r>
      <w:bookmarkEnd w:id="53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به المحقّق في محكيّ المعتبر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بكثرة المادّة و قلّتها، لكن لو تحقّقت نجاستها لم تطهر بالجريان</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و هو ظاهر إطلاق كلامه في كتابيه الشرائع</w:t>
      </w:r>
      <w:r>
        <w:rPr>
          <w:rStyle w:val="FootnoteAnchor"/>
          <w:rtl w:val="true"/>
        </w:rPr>
        <w:footnoteReference w:id="1651"/>
      </w:r>
      <w:r>
        <w:rPr>
          <w:rFonts w:ascii="IRNazanin" w:hAnsi="IRNazanin" w:eastAsia="IRNazanin"/>
          <w:color w:val="111111"/>
          <w:sz w:val="28"/>
          <w:sz w:val="28"/>
          <w:szCs w:val="28"/>
          <w:rtl w:val="true"/>
          <w:lang w:bidi="fa-IR"/>
        </w:rPr>
        <w:t>و النافع</w:t>
      </w:r>
      <w:r>
        <w:rPr>
          <w:rStyle w:val="FootnoteAnchor"/>
          <w:rtl w:val="true"/>
        </w:rPr>
        <w:footnoteReference w:id="1652"/>
      </w:r>
      <w:r>
        <w:rPr>
          <w:rFonts w:ascii="Amiri" w:hAnsi="Amiri" w:eastAsia="Amiri" w:cs="Amiri"/>
          <w:color w:val="111111"/>
          <w:sz w:val="28"/>
          <w:sz w:val="28"/>
          <w:szCs w:val="28"/>
          <w:rtl w:val="true"/>
          <w:lang w:bidi="ar-SA"/>
        </w:rPr>
        <w:t xml:space="preserve">، و عزى إلى جملة ممّن تأخّر عنه، بل عن الشيخ جعفر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من القائلين باشتراط الكرّيّة، </w:t>
      </w:r>
      <w:bookmarkStart w:id="533" w:name="pg16144_233376"/>
    </w:p>
    <w:p>
      <w:pPr>
        <w:pStyle w:val="BookText"/>
        <w:rPr/>
      </w:pPr>
      <w:bookmarkEnd w:id="533"/>
      <w:r>
        <w:rPr>
          <w:rFonts w:ascii="Amiri" w:hAnsi="Amiri" w:eastAsia="Amiri" w:cs="Amiri"/>
          <w:color w:val="111111"/>
          <w:sz w:val="28"/>
          <w:sz w:val="28"/>
          <w:szCs w:val="28"/>
          <w:rtl w:val="true"/>
          <w:lang w:bidi="ar-SA"/>
        </w:rPr>
        <w:t>حاملا لإطلاق كلامهم في اشتراط الكرّيّة في المادّة على التطهير بعد تنجّس ما في الحياض، و لإطلاق كلامهم أيضا في كفاية مجموع ما في المادّة و الحوض و المجرى على عدم قبول النجاسة بالملاقاة، فالفريقان اتّفقا على لزوم كرّيّة المادّة للتطهير، و الاكتفاء بكرّيّة المجموع لدفع الانفعال مع اختياره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عليّ في حاشية الشرائع تفصيل في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تنقيح المبحث بأنّ المادّة إمّا أن يكون سطوحها مساويا لسطوح الحوض، أو أعلى، أو أخفض، فإن كان مساويا و هما معا طاهران كفى لدفع النجاسة و عدم الانفعال عنها بالملاقاة كون الماءين معا كرّا، و إن كان سطوح الماء أعلى اعتبر في زمان اتّصال مائها بماء الحوض و تسلّطه عليه بلوغها الكرّيّة، و هذا إنّما يكون إذا كانت في الأصل أزيد من كرّ، و إن كانت سطوحها أخفض اعتبر مع هذا فوران المادّة من تحت الحوض بقوّة و دفع، بحيث تظهر عامليّتها فيه، فلو كان اتّصالها به إنّما هو اتّصال مماسّة أو يجري إليه ترشّحا لم يعتدّ بها</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4" w:name="__RefHeading___Toc1804756_1280447820"/>
      <w:bookmarkStart w:id="535" w:name="_Toc209"/>
      <w:bookmarkEnd w:id="534"/>
      <w:r>
        <w:rPr>
          <w:rtl w:val="true"/>
        </w:rPr>
        <w:t>حجّة القول الأوّل</w:t>
      </w:r>
      <w:r>
        <w:rPr>
          <w:rtl w:val="true"/>
        </w:rPr>
        <w:t>:</w:t>
      </w:r>
      <w:bookmarkEnd w:id="535"/>
    </w:p>
    <w:p>
      <w:pPr>
        <w:pStyle w:val="BookText"/>
        <w:rPr/>
      </w:pPr>
      <w:r>
        <w:rPr>
          <w:rFonts w:ascii="Amiri" w:hAnsi="Amiri" w:eastAsia="Amiri" w:cs="Amiri"/>
          <w:color w:val="111111"/>
          <w:sz w:val="28"/>
          <w:sz w:val="28"/>
          <w:szCs w:val="28"/>
          <w:rtl w:val="true"/>
          <w:lang w:bidi="ar-SA"/>
        </w:rPr>
        <w:t>أنّه عند عدم بلوغ المادّة كرّا يصدق عليه أنّه ماء قليل لاقى نجاسة، فيشمله ما دلّ على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يؤيّد ذلك أو يستدلّ عليه بانصراف نصوص الحمّام إلى ما هو الغالب فيه من كون مائها كرّا بل أزيد، مع أنّ في رواية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إشارة بل دلالة على أنّ العاصم له هي الكثرة لا مجرّد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ما ادّعي من الصدق مع بلوغ المجموع كرّا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يجدي نفعا في عدم الانفعال إلاّ مع صدق الوحدة على المجموع، و المراد به صدق قضيّة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الماء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ليشمله منطوق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xml:space="preserve">و هو في حيّز المنع جدّا، ضرورة عدم وقوع اسم الإشارة بصيغة المفرد على ما في الحوض مع ما في المادّة و لو حال اتّصالها به، </w:t>
      </w:r>
    </w:p>
    <w:p>
      <w:pPr>
        <w:pStyle w:val="BookText"/>
        <w:rPr/>
      </w:pPr>
      <w:r>
        <w:rPr>
          <w:rFonts w:ascii="Amiri" w:hAnsi="Amiri" w:eastAsia="Amiri" w:cs="Amiri"/>
          <w:color w:val="111111"/>
          <w:sz w:val="28"/>
          <w:sz w:val="28"/>
          <w:szCs w:val="28"/>
          <w:rtl w:val="true"/>
          <w:lang w:bidi="ar-SA"/>
        </w:rPr>
        <w:t>فلا يقال عليهما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ذلك مع انكشاف المراد كان مستهجنا، بخلاف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أو هذا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كلاّ منهما دليل التعدّد، و معه لا يندرج المجموع في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العبرة في المقام صدق عنوان المائيّة على المجموع مع وقوع اسم الكرّ على ما صدق عليه ذلك العنوان، لا بوقوع اسم الإشارة عليه بصيغة المفرد، و عدم وقوع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المجموع من جهة أنّها بحسب الوضع أو الاستعمال مخصوص بما هو ملزوم للوحدة و الفرديّة، و هو الجزئي الخارجي من المشار إليه، بخلاف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بحسب الوضع للجنس المعرّى عن وصفي الوحدة و الكثرة، فتصدق اللفظ من جهته على الواحد و الاثنين و ما زاد، فيتبعه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صدقه على ما صدق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إنّما يتبع الظهور و الصدق إذا كان الظهور من مقتضى الهيئة التركيبيّة المأخوذة في الخطاب، و لا ريب أنّها قد تكون ظاهرة في خلاف ما اقتضته مفرداتها باعتبار أوضاعها الأفراديّة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فرضناه صادقا بنفسه على ما عدا الواحد أيضا، لكنّ الهيئة التركيبيّة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تنصرف عرفا إلى صورة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قليل لاقى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منه صدقه على المجموع، أو على المادّة وحدها، أو على ما في الحوض وحده، و لا سبيل إلى الأوّل، لأنّ مبنى صدق كونه ماء قليلا على عدم اعتبار الوحدة في صدق قضيّة المفهوم من الرواية، و إذا جاز ذلك هنا جاز في المنطوق أيضا على تقدير بلوغ المجموع كرّا، فلا ملازمة بين قصور المادّة عن الكرّ و صدق القليل الملاقي للنجاسة على المجموع على التقدير المذكور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إلى الثاني، لمنع صدق الملاقاة للنجاسة على المادّة و لو بالمعنى الأعمّ المتنجّس، ضرورة كونها حال الاتّصال ملاقية لما في الحوض، و هو إن لم يكن طاهرا بملاحظة النصّ الغير الفارق بين كرّيّة المادّة و عدمها، فلا أقلّ من كونه مشكوك الحال بملاحظة الشكّ في اعتبار كرّيّة المادّة و عدمها، و معه لا يحكم عليه بالنجاسة جزما،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المادّة حينئذ ملاقية للنجاسة أو المتنجّس، و إنّما هي ملاقية لما يحكم </w:t>
      </w:r>
    </w:p>
    <w:p>
      <w:pPr>
        <w:pStyle w:val="BookText"/>
        <w:rPr/>
      </w:pPr>
      <w:r>
        <w:rPr>
          <w:rFonts w:ascii="Amiri" w:hAnsi="Amiri" w:eastAsia="Amiri" w:cs="Amiri"/>
          <w:color w:val="111111"/>
          <w:sz w:val="28"/>
          <w:sz w:val="28"/>
          <w:szCs w:val="28"/>
          <w:rtl w:val="true"/>
          <w:lang w:bidi="ar-SA"/>
        </w:rPr>
        <w:t>عليه في ظاهر الشرع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إلى الثالث، لأنّ اعتبار الكرّيّة فيها إمّا مع البناء على صدق الوحدة على المجموع منها و ممّا في الحوض، أو مع البناء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قضيّة الاشتراط إلى اعتبار الزيادة على الكرّ لدفع الانفعال في الماء الواحد، و هو ممّا لا قائل به، و لم ينهض عليه دليل، و لا اقتضاء أدلّة الكرّ أيضا، نعم ربّما يحكى في الأخبار ما يوهمه كما 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غدير فيه من الماء أكثر من كرّ لم ينجّسه شيء</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و لكنّه ليس بظاهره اتّفاقا على تقدير ثبوت العمل به، بل محمول 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كثير من العبارات، و يراد به إناطة العاصميّة بالكرّيّة زاد عليها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الكلام إلى إناطة اعتصام الماء القليل عن الانفعال باتّصاله بالكرّ و إن لم يكن جزءا منه، كاعتصامه باتّصاله بالجاري، و هو و إن لم يكن منافيا للتشبيه و التنزيل الواردين في جملة من الأخبار المتقدّمة، و لا ظهور تلك الأخبار في امتياز ماء الحمّام عن سائر المياه، و اشتماله على مزيّة لا توجد فيها، حيث إنّ اعتصامه عن الانفعال يحصل بمجرّد الاتّصال و إن لم يكن بنفسه كرّا و لا جزء من الكرّ، بخلاف غيره، فإنّ المعتبر في اعتصامه بلوغه كرّا، و لا يكفي فيه مجرّد الاتّصال إلاّ مع صدق قضيّة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الاستناد في استفادة ذلك الحكم إلى قاعدة انفعال القليل أو قاعدة اعتبار الكرّيّة باطل جدّا، لأنّ هاتين القاعدتين لا تقضيان إلاّ الاعتصام في نفس الكرّ لا فيما يتّصل به و هو ليس منه، كما أنّه لو اريد استفادته عن أخبار الباب كان أوضح فسادا من الأوّل، لأنّ هذه الأخبار إن لم تكن نافية لاعتبار الكرّيّة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إلى بعض الأوهام، نظرا إلى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عدم كونها مثبتة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ممّا لم يعرف له مستند صحيح، و ما جعل مستندا له فاسد الوضع في كلّ محتملاته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الغالب، فقد يجاب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بمنع حصول الغلبة إلى حدّ بحيث يكون الأقلّ من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النادرة بحيث لا يشمله اللفظ، و لو </w:t>
      </w:r>
    </w:p>
    <w:p>
      <w:pPr>
        <w:pStyle w:val="BookText"/>
        <w:rPr/>
      </w:pPr>
      <w:r>
        <w:rPr>
          <w:rFonts w:ascii="Amiri" w:hAnsi="Amiri" w:eastAsia="Amiri" w:cs="Amiri"/>
          <w:color w:val="111111"/>
          <w:sz w:val="28"/>
          <w:sz w:val="28"/>
          <w:szCs w:val="28"/>
          <w:rtl w:val="true"/>
          <w:lang w:bidi="ar-SA"/>
        </w:rPr>
        <w:t>سلّم الندرة فهي ندرة وجود لا ندرة إطلاق، و لذلك ترى صدق ماء الحمّام على مثله من غير استنكار كما هو ظاهر</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الأوّل من كونه مكابرة، و دفعا للضرورة، و ما في الثاني من عدم منافاة الصدق في لحاظ العقل عدم شمول الإطلاق له في لحاظ المحاورة المبتنية على اعتبار الظواهر و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الانصراف الناشئ من الغلبة و إن كان يؤخذ به لدخوله في عداد الظواهر النوعيّة، غير أنّ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أوّلية أو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يعوّل عليها ما لم يصادفها ما يوهنها، بكشفه عن عدم اعتماد المتكلّم في إفادة مطلبه عليها، و قد قام في تلك الأخبار ما يوجب ذلك، لما في جملة منها من التصريح باعتبار وجود المادّة، فإنّ الغلبة موجودة بالنسبة إليها أيضا، بل لم يعهد حمّام لم يكن له مادّة، بخلاف كرّيّة تلك المادّة فإنّها قد يتخلّفها، فكانت غلبة المادّة أولى بالاعتماد عليها في إفادة المطلب، فالتصريح باعتبارها ممّا يقضي بعدم اعتناء المعصوم عليه السّلام في خصوص المورد بالغلبة، و عدم اتّكاله إليها في الإفادة، و بذلك يضعف تأثير الغلبة المدّعاة في الكشف عن حقيقة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يجاب عن أصل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نهوضها دليلا على اعتبار الكرّيّة في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بين ما دلّ على انفعال القليل و بين ما نحن فيه تعارض العموم من وجه، و الترجيح مع أخبار الحمّام لكثرتها، و تعاضدها، و عدم وجود المعارض فيها، و كونها منطوقة و تلك أكثرها مفاهيم، و بعضها قضايا في موارد خاصّة مع معارضتها بكثير من الأخبار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أخبار الحمّام معتضدة بأصالة البراءة، لأنّ النجاسة تكليف بالاجتناب، و باستصحاب الطهارة، و بأصل الطهارة المستفادة من العمومات على وجه، و ما دلّ على عدم انفعال الماء إلاّ بما تغيّر ريحه أو طعمه أو لونه</w:t>
      </w:r>
      <w:r>
        <w:rPr>
          <w:rFonts w:eastAsia="Amiri" w:cs="Amiri" w:ascii="Amiri" w:hAnsi="Amiri"/>
          <w:color w:val="111111"/>
          <w:sz w:val="28"/>
          <w:szCs w:val="28"/>
          <w:rtl w:val="true"/>
          <w:lang w:bidi="ar-SA"/>
        </w:rPr>
        <w:t>»</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الترجيح و ما ذكر من المرجّحات، لعدم كون شيء منها بشيء عند أهل الدقّة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التقييد في أخبار الحمّام أقوى، لكون الإطلاق فيها أضعف</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و لعلّه من جهة ملاحظة الانصراف بالغلبة المدّعاة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إن كانت ممّا يعتدّ بها هنا فلا كرامة لفرض التعارض حينئذ ليوجب مراجعة الترجيح، فإنّه فرع الدلالة و هي نافية لها، و إلاّ فلا وجه لدعوى ضعف الإطلاق، مع أنّه يعارضه كون التقييد المذكور تقييدا فيما هو أقلّ أفرادا من أخبار الانفعال فيكون تقييدا في الأظهر، و لا ريب أنّ تقييد الظاهر أولى، فإنّ الإنصاف أنّ أخبار الحمّام أظهر في الشمول لصورتي الكرّيّة و عدمها من أخبار الانفعال في الدلالة على عموم الحكم للحمّام أيضا، بل هو فيما بين أفراد الماء القليل من نادر الأفراد، و من هنا اتّجه المعارضة من جهة اخرى بالنظر إلى دعوى الندرة في خلاف الكرّيّة في ماء الحمّام الموجبة لضعف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يمنع التعارض أيضا، بناء على اختصاص أدلّة الانفعال بصورة ورود النجاسة على الماء، فلا يشمل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انفعال الماء الموجود في الحوض الصغير بورود النجاسة عليه، لا فيما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المنع مبنيّ على توهّم كون الكرّيّة إنّما تعتبر في المادّة لتطهير ماء الحوض عند تنجّسه، فاعتبرت الكرّيّة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لها عن الانفعال بملاقاة المتنجّس، فجوابه حينئذ ما تحقّق في محلّه من عدم الفرق في الانفعال بين الورودين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على القول باشتراط الكرّيّة في المادّة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ينافي ما هو كالصريح من الأخبار من أنّ ماء الحمّام له خصوصيّة على غيره من المياه، إذ على تقدير الاشتراط يكون حاله كغيره من المياه، كما اعترف به الشهيد في الذكرى</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أنّ الخصوصيّة لعلّها اعتصامه بما هو ليس جزء منه، و حاصله عدم اعتبار الكرّيّة فيه لمجرّد اتّصاله بما ليس منه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في دفع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شمول دليله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لا إشكال فيه، ضرورة أنّه بمجرّد اتّصاله بالمادّة لا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و هو بقدر الكرّ فلا ينجّسه شيء فلا يتناوله منطوق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bookmarkStart w:id="536" w:name="pg16144_233381"/>
    </w:p>
    <w:p>
      <w:pPr>
        <w:pStyle w:val="BookText"/>
        <w:rPr/>
      </w:pPr>
      <w:bookmarkEnd w:id="536"/>
      <w:r>
        <w:rPr>
          <w:rFonts w:ascii="Amiri" w:hAnsi="Amiri" w:eastAsia="Amiri" w:cs="Amiri"/>
          <w:color w:val="111111"/>
          <w:sz w:val="28"/>
          <w:sz w:val="28"/>
          <w:szCs w:val="28"/>
          <w:rtl w:val="true"/>
          <w:lang w:bidi="ar-SA"/>
        </w:rPr>
        <w:t>فلا بدّ في إخراجه عن المفهوم من وسط، و لا يصلح له إلاّ ما دلّ على أنّ كون الماء متّصلا بالكرّ ككونه بنفسه كرّا في مرحلة الاعتصام عن الانفعال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أخبار الكرّ بأجمعها قاصرة عن إفادة ذلك، كما أنّ أخبار انفعال القليل لا تقضي بشيء من ذلك كما لا يخفى على المنصف، فلا محيص في إنهاض هذا الوسط من مراجعة أخبار الحمّام، و قد عرفت أنّها خالية عن الدلالة على اعتبار الكرّيّة في المادّة، إذ قد تبيّن أنّ غلبة الكرّيّة و ندرة خلافها لا عبرة بهما هنا، مع أنّ الغلبة لو صلحت منشأ للأثر هنا لقضت باعتبار الزيادة على الكرّ بل اعتبار الكرور، لما هو الغالب في مواد الحمّامات من وجود كرور من الماء فيها كما لا يخفى على المتأمّل و هو كما ترى، فإذا بنى على كون تلك الغلبة ملغاة في نظر الإمام عليه السّلام، فلم لا يبنى على كون غلبة الكرّيّة أيضا ملغاة في نظره، مع ما فيه من استبعاد واضح لو قيل بالفرق بين ما لو بقيت المادّة بقدر الكرّ و ما لو نقصت مثقالا أو عشرة مثاقيل أو عشرين مثقالا،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الأوّل من الغالب فيعتصم به ما في الحوض، و الثاني من النادر فلا يصلح للعاصميّة كما هو لازم القول بالاشتراط، بل هو شيء يعدّ من المضحكات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الكرّيّة في المادّة ممّا لا دليل عليه من العقل و النقل، فالقول به خال عن الوجه جدّا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804758_1280447820"/>
      <w:bookmarkStart w:id="538" w:name="_Toc210"/>
      <w:bookmarkEnd w:id="537"/>
      <w:r>
        <w:rPr>
          <w:rtl w:val="true"/>
        </w:rPr>
        <w:t>و أمّا القول بعدم اشتراطها</w:t>
      </w:r>
      <w:bookmarkEnd w:id="538"/>
    </w:p>
    <w:p>
      <w:pPr>
        <w:pStyle w:val="BookText"/>
        <w:rPr/>
      </w:pPr>
      <w:r>
        <w:rPr>
          <w:rFonts w:ascii="Amiri" w:hAnsi="Amiri" w:eastAsia="Amiri" w:cs="Amiri"/>
          <w:color w:val="111111"/>
          <w:sz w:val="28"/>
          <w:sz w:val="28"/>
          <w:szCs w:val="28"/>
          <w:rtl w:val="true"/>
          <w:lang w:bidi="ar-SA"/>
        </w:rPr>
        <w:t xml:space="preserve">فمستنده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عن المحقّق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نصوص الباب و فتاوي الأصحاب، و لا يخدشه إلاّ ما ذكره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صلوحها لمعارضة ما دلّ على انفعال القليل بالملاقاة، إذ الغالب في مادّة الحمّام بلوغ الكرّيّة فينزّل عليه الإطلاق، و المعتمد اعتبار الكرّيّة لما سيجيء من الأدلّة الدالّة على انفعال القليل بالملاقاة، و لأنّ المادّة الناقصة عن الكرّ كالعدم</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 xml:space="preserve">و أنت بملاحظة ما قرّرناه بما لا مزيد عليه تقدر على دفع ما ادّعاه من تنزيل الإطلاق، و نهوض أدلّة انفعال القليل على الاشتراط، و من العجب أنّه ينادي بأعلى صوته في مواضع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و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العموم عن تلك الأدلّة و يتمسّك بها هنا، و هو لا يتمّ إلاّ مع إحراز العموم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من الوجه الأخير من كون المادّة الناقصة عن الكرّ كالعدم، فهو </w:t>
      </w:r>
      <w:bookmarkStart w:id="539" w:name="pg16144_233382"/>
    </w:p>
    <w:p>
      <w:pPr>
        <w:pStyle w:val="BookText"/>
        <w:rPr/>
      </w:pPr>
      <w:bookmarkEnd w:id="539"/>
      <w:r>
        <w:rPr>
          <w:rFonts w:ascii="Amiri" w:hAnsi="Amiri" w:eastAsia="Amiri" w:cs="Amiri"/>
          <w:color w:val="111111"/>
          <w:sz w:val="28"/>
          <w:sz w:val="28"/>
          <w:szCs w:val="28"/>
          <w:rtl w:val="true"/>
          <w:lang w:bidi="ar-SA"/>
        </w:rPr>
        <w:t>مصادرة واضحة لا يعبأ بها</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804760_1280447820"/>
      <w:bookmarkStart w:id="541" w:name="_Toc211"/>
      <w:bookmarkEnd w:id="540"/>
      <w:r>
        <w:rPr>
          <w:rtl w:val="true"/>
        </w:rPr>
        <w:t>الجهة الثانية</w:t>
      </w:r>
      <w:r>
        <w:rPr>
          <w:rtl w:val="true"/>
        </w:rPr>
        <w:t xml:space="preserve">: </w:t>
      </w:r>
      <w:r>
        <w:rPr>
          <w:rtl w:val="true"/>
        </w:rPr>
        <w:t>عن ثاني الشهيدين في المدارك و غيره أنّه اكتفى بكون المجموع من المادّة و ما في الحوض كرّا مع تواصلهما مطلقا،</w:t>
      </w:r>
      <w:bookmarkEnd w:id="541"/>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ثاني الشهيدين في المدارك</w:t>
      </w:r>
      <w:r>
        <w:rPr>
          <w:rStyle w:val="FootnoteAnchor"/>
          <w:rtl w:val="true"/>
        </w:rPr>
        <w:footnoteReference w:id="1663"/>
      </w:r>
      <w:r>
        <w:rPr>
          <w:rFonts w:ascii="Amiri" w:hAnsi="Amiri" w:eastAsia="Amiri" w:cs="Amiri"/>
          <w:color w:val="111111"/>
          <w:sz w:val="28"/>
          <w:sz w:val="28"/>
          <w:szCs w:val="28"/>
          <w:rtl w:val="true"/>
          <w:lang w:bidi="ar-SA"/>
        </w:rPr>
        <w:t xml:space="preserve">و غيره أنّه اكتفى بكون المجموع من المادّة و ما في الحوض كرّا مع تواصلهما مطلقا، لعموم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و وافقه على ذلك جمع كثير ممّن تأخّر عنه ممّن عاصرناهم و غيرهم، و حكي عن شرح المفاتيح</w:t>
      </w:r>
      <w:r>
        <w:rPr>
          <w:rStyle w:val="FootnoteAnchor"/>
          <w:rtl w:val="true"/>
        </w:rPr>
        <w:footnoteReference w:id="1665"/>
      </w:r>
      <w:r>
        <w:rPr>
          <w:rFonts w:ascii="Amiri" w:hAnsi="Amiri" w:eastAsia="Amiri" w:cs="Amiri"/>
          <w:color w:val="111111"/>
          <w:sz w:val="28"/>
          <w:sz w:val="28"/>
          <w:szCs w:val="28"/>
          <w:rtl w:val="true"/>
          <w:lang w:bidi="ar-SA"/>
        </w:rPr>
        <w:t>اختياره، و عن الذخيرة</w:t>
      </w:r>
      <w:r>
        <w:rPr>
          <w:rStyle w:val="FootnoteAnchor"/>
          <w:rtl w:val="true"/>
        </w:rPr>
        <w:footnoteReference w:id="1666"/>
      </w:r>
      <w:r>
        <w:rPr>
          <w:rFonts w:ascii="Amiri" w:hAnsi="Amiri" w:eastAsia="Amiri" w:cs="Amiri"/>
          <w:color w:val="111111"/>
          <w:sz w:val="28"/>
          <w:sz w:val="28"/>
          <w:szCs w:val="28"/>
          <w:rtl w:val="true"/>
          <w:lang w:bidi="ar-SA"/>
        </w:rPr>
        <w:t>عن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أنّ بلوغ المجموع قدر الكرّ كاف مطلقا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إطلاق الأصحاب اشتراط كرّيّة المادّة مبنيّ على الغالب من كثرة أخذ الماء من الحوض، و كأنّ المراد به أنّ الكرّيّة إنّما اعتبرت في المادّة لئلاّ يخرج المجموع عن الكرّيّة بكثرة أخذ الماء من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الأردبيلي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 اختلاف السطوح لا يكفي بلوغ المجموع كرّا، و أمّا مع استواء السطوح فيكتفى به</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و عن جامع المقاصد اختياره أيضا مع نوع اختلاف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اشتراط الكرّيّة في المادّة إنّما هو مع عدم استواء السطوح، بأن تكون المادّة أعلى أو أسفل، لكن مع اشتراط القاهريّة بفوران و نحوه في هذا القسم، أمّا مع استواء السطوح فيكفي بلوغ المجموع كرّا، كالغديرين إذا وصل بينهما بساقية، بل أولى لعموم البلوى هنا</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و قد سبق هذا التفصيل عن حاشية الشرائع أيضا في الجهة الاولى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و غيره عن بعض المتأخّرين الاكتفاء بكرّيّة المجموع مع التساوي، أو الانحدار مع الاختلاف و إلاّ فيشترط الكرّيّة في المادّة،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نسب إلى العلاّمة جمعا بين كلماته في كتبه</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و يظهر هذا الجمع أيضا عن صاحب المدارك، فإنّه بعد ما حكى عن أكثر المتأخّرين</w:t>
      </w:r>
      <w:r>
        <w:rPr>
          <w:rStyle w:val="FootnoteAnchor"/>
          <w:rtl w:val="true"/>
        </w:rPr>
        <w:footnoteReference w:id="1670"/>
      </w:r>
      <w:r>
        <w:rPr>
          <w:rFonts w:ascii="Amiri" w:hAnsi="Amiri" w:eastAsia="Amiri" w:cs="Amiri"/>
          <w:color w:val="111111"/>
          <w:sz w:val="28"/>
          <w:sz w:val="28"/>
          <w:szCs w:val="28"/>
          <w:rtl w:val="true"/>
          <w:lang w:bidi="ar-SA"/>
        </w:rPr>
        <w:t>اشتراط الكرّيّة في المادّة، و عن المحقّق في المعتبر</w:t>
      </w:r>
      <w:r>
        <w:rPr>
          <w:rStyle w:val="FootnoteAnchor"/>
          <w:rtl w:val="true"/>
        </w:rPr>
        <w:footnoteReference w:id="1671"/>
      </w:r>
      <w:r>
        <w:rPr>
          <w:rFonts w:ascii="Amiri" w:hAnsi="Amiri" w:eastAsia="Amiri" w:cs="Amiri"/>
          <w:color w:val="111111"/>
          <w:sz w:val="28"/>
          <w:sz w:val="28"/>
          <w:szCs w:val="28"/>
          <w:rtl w:val="true"/>
          <w:lang w:bidi="ar-SA"/>
        </w:rPr>
        <w:t>و غيره</w:t>
      </w:r>
      <w:r>
        <w:rPr>
          <w:rStyle w:val="FootnoteAnchor"/>
          <w:rtl w:val="true"/>
        </w:rPr>
        <w:footnoteReference w:id="1672"/>
      </w:r>
      <w:r>
        <w:rPr>
          <w:rFonts w:ascii="Amiri" w:hAnsi="Amiri" w:eastAsia="Amiri" w:cs="Amiri"/>
          <w:color w:val="111111"/>
          <w:sz w:val="28"/>
          <w:sz w:val="28"/>
          <w:szCs w:val="28"/>
          <w:rtl w:val="true"/>
          <w:lang w:bidi="ar-SA"/>
        </w:rPr>
        <w:t xml:space="preserve">في مسألة الغديرين إذا أوصل بينهما بساقية، أنّهما كانا كالماء الواحد مع بلوغ </w:t>
      </w:r>
    </w:p>
    <w:p>
      <w:pPr>
        <w:pStyle w:val="BookText"/>
        <w:rPr/>
      </w:pPr>
      <w:r>
        <w:rPr>
          <w:rFonts w:ascii="Amiri" w:hAnsi="Amiri" w:eastAsia="Amiri" w:cs="Amiri"/>
          <w:color w:val="111111"/>
          <w:sz w:val="28"/>
          <w:sz w:val="28"/>
          <w:szCs w:val="28"/>
          <w:rtl w:val="true"/>
          <w:lang w:bidi="ar-SA"/>
        </w:rPr>
        <w:t>المجموع منهما و من الساقية كرّا،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بإطلاقه يقتضي عدم الفرق بين ما سطوحه مستوية أو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صرّح في التذكرة</w:t>
      </w:r>
      <w:r>
        <w:rPr>
          <w:rStyle w:val="FootnoteAnchor"/>
          <w:rtl w:val="true"/>
        </w:rPr>
        <w:footnoteReference w:id="1673"/>
      </w:r>
      <w:r>
        <w:rPr>
          <w:rFonts w:ascii="Amiri" w:hAnsi="Amiri" w:eastAsia="Amiri" w:cs="Amiri"/>
          <w:color w:val="111111"/>
          <w:sz w:val="28"/>
          <w:sz w:val="28"/>
          <w:szCs w:val="28"/>
          <w:rtl w:val="true"/>
          <w:lang w:bidi="ar-SA"/>
        </w:rPr>
        <w:t>بالاكتفاء ببلوغ المجموع الكرّ مع عدم تساوي السطوح بالنسبة إلى السافل، قال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 الحمّام أغلظ من غيره، و الحال يقتضي العكس، كما صرّحوا به، و الجمع بين الكلامين و إن كان ممكنا بحمل مسألة الغديرين على استواء السطوح، أو كون الساقية في أرض منحدرة، لا نازلة من ميزاب و نحوه، إلاّ أنّ فيه تقييدا للنصّ و كلام الأصحاب من غير دليل</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أنّه لا تنافي بين الكلامين في المسألتين ليحتاج إلى الحمل و الجمع، بل أمكن أن يكون العلاّمة قائلا باشتراط الكرّيّة في مادّة الحمّام مع اكتفائه بكرّيّة المجموع في مسألة الغديرين، أو بشرط عدم الاختلاف بطريق النزول و التسنيم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في المسألة قول بعدم اعتبار الكرّيّة أصلا لا في المادّة و لا في المجموع مطلقا و لو مع الاختلاف بالتسنيم، صار إليه بعض مشايخنا في جواهره</w:t>
      </w:r>
      <w:r>
        <w:rPr>
          <w:rStyle w:val="FootnoteAnchor"/>
          <w:rtl w:val="true"/>
        </w:rPr>
        <w:footnoteReference w:id="1675"/>
      </w:r>
      <w:r>
        <w:rPr>
          <w:rFonts w:ascii="Amiri" w:hAnsi="Amiri" w:eastAsia="Amiri" w:cs="Amiri"/>
          <w:color w:val="111111"/>
          <w:sz w:val="28"/>
          <w:sz w:val="28"/>
          <w:szCs w:val="28"/>
          <w:rtl w:val="true"/>
          <w:lang w:bidi="ar-SA"/>
        </w:rPr>
        <w:t>، و قد يحكى عن صريح المحقّق في المعتبر</w:t>
      </w:r>
      <w:r>
        <w:rPr>
          <w:rStyle w:val="FootnoteAnchor"/>
          <w:rtl w:val="true"/>
        </w:rPr>
        <w:footnoteReference w:id="1676"/>
      </w:r>
      <w:r>
        <w:rPr>
          <w:rFonts w:ascii="Amiri" w:hAnsi="Amiri" w:eastAsia="Amiri" w:cs="Amiri"/>
          <w:color w:val="111111"/>
          <w:sz w:val="28"/>
          <w:sz w:val="28"/>
          <w:szCs w:val="28"/>
          <w:rtl w:val="true"/>
          <w:lang w:bidi="ar-SA"/>
        </w:rPr>
        <w:t>، و ظاهره في الشرائع</w:t>
      </w:r>
      <w:r>
        <w:rPr>
          <w:rStyle w:val="FootnoteAnchor"/>
          <w:rtl w:val="true"/>
        </w:rPr>
        <w:footnoteReference w:id="1677"/>
      </w:r>
      <w:r>
        <w:rPr>
          <w:rFonts w:ascii="IRNazanin" w:hAnsi="IRNazanin" w:eastAsia="IRNazanin"/>
          <w:color w:val="111111"/>
          <w:sz w:val="28"/>
          <w:sz w:val="28"/>
          <w:szCs w:val="28"/>
          <w:rtl w:val="true"/>
          <w:lang w:bidi="fa-IR"/>
        </w:rPr>
        <w:t>، و النافع</w:t>
      </w:r>
      <w:r>
        <w:rPr>
          <w:rStyle w:val="FootnoteAnchor"/>
          <w:rtl w:val="true"/>
        </w:rPr>
        <w:footnoteReference w:id="1678"/>
      </w:r>
      <w:r>
        <w:rPr>
          <w:rFonts w:ascii="Amiri" w:hAnsi="Amiri" w:eastAsia="Amiri" w:cs="Amiri"/>
          <w:color w:val="111111"/>
          <w:sz w:val="28"/>
          <w:sz w:val="28"/>
          <w:szCs w:val="28"/>
          <w:rtl w:val="true"/>
          <w:lang w:bidi="ar-SA"/>
        </w:rPr>
        <w:t>، و هو اشتباه صرف، فإنّه على ما تقدّم في الجهة الاولى من عبارته مصرّح بنفي اعتبارها عن المادّة، و أمّا اعتبارها بالنسبة إلى المجموع فكلامه محتمل، لإطلاقه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أقوال أربع، مبنى الأوّل منها كما عرفت على إعمال أدلّة انفعال القليل بالملاقاة، لزعم أنّه لا تنافي بينها و بين أدلّة ماء الحمّام، إمّا لكونها ساكتة عن اعتبار الكرّيّة و عدمها، أو لانصرافها إلى ما هو الغالب فيه من بلوغ المجموع كرّا، أو لأنّ الترجيح على تقدير التنافي في جانب أدلّة الانفعال لضعف الإطلاق في جانب أدلّة الحمّام، كما أنّ مبنى القول الأخير على إعمال أدلّة ماء الحمّام، إمّا لعدم تناول أدلّة الانفعال له، أو لكون الترجيح في جانب أدلّة الحمّام لكونها أظهر من جهة قلّة أفرادها، أو لظهورها في أنّ ماء الحمّام له مزيّة يمتاز بها عمّا عداه من أفراد الماء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القولان المتوسّطان فمبناهما على مراعاة صدق الوحدة و عدمه، بزعم أنّها لا تصدق إلاّ مع تساوي السطوح، أو معه و مع انحدار المادّة فيكتفي بكرّيّة المجموع، و في غيرهما لا بدّ من كرّيّة المادّة، و يشكل التعلّق له بالأدلّة الفارقة بين الكثير و القليل لعدم اقتضائها توقّف الاعتصام عن الانفعال على الاتّصال بالكرّ، إذ غايتها الدلالة على اعتصام نفس الكرّ لا ما يتّصل به و هو ليس منه، كما يشكل التعلّق له بأدلّة الحمّام، إذ مبنى الاستدلال بها إن كان على إطلاقها فهي تقتضي نفي اعتبار الكرّيّة رأسا فضلا عن اعتبارها في المادّة، و إن كان على ما توهّم من انصرافها إلى كرّيّة المادّة بملاحظة الغلبة، فهي تقتضي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مع تساوي السطوح و اختلافها مطلقا، لا في خصوص اختلافها مطلقا، أو في صورة التسنيم خاصّة، فكيف يخصّص ذلك بصورة الاختلاف مطلقا، أو مع التسنيم خاصّة و المفروض أنّه على هذا التقدير لا تنافي بينها في صورة التساوي و بين أدلّة إناطة الاعتصام بالكرّ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من ترجيح تلك الأدلّة عليها، بل الّذي يقتضيه أدلّة الكرّ من كرّيّة المجموع ما يقتضيه أدلّة الباب أيضا بناء على قاعدتهم المذكورة، إذ كما أنّ الغالب في الحمّام بلوغ المادّة كرّا فكذلك الغالب فيه بلوغ المجموع كرّا، بل الغلبة في ذلك أقوى و أظهر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القولان ممّا لا نعرف له وجها يعتمد عليه، فهما بالإعراض عنهما أولى و أجدر، بل اللائق بالبحث إنّما هو القول الأوّل و الأخير، و قد عرفت أنّ مبنى الأوّل على تحكيم أدلّة انفعال القليل على أدلّة الحمّام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يجدي في حصول مطلوبهم إلاّ إذا اندرج المقام على تقدير كرّيّة المجموع في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غاية الإشكال، بل في حيّز المنع، لا لأنّ الكرّ يشترط في عدم انفعاله تساوي السطوح، بل لعدم جريان ما ذكرناه من الضابط في معنى تلك القضيّة في مباحث الكرّ، من كون مفاد أدلّته أنّ كلّ ماء يقع عليه اسم الكرّ عرفا فهو ممّا لا ينجّسه شيء، و لا ريب أنّ ماء الحوض الصغير في الحمّام لا يقع عليه اسم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حال اتّصاله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المجموع كرّا، بل مع كون المادّة وحدها كرّا، و وقوعه على المجموع مبنيّ على الاعتبار، لا أنّه له في الواقع و 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واقعيّة لا ينفع فيها مجرّد الاعتبار، فموضوع الحكم بعدم الانفعال لا بدّ و أن يكون متّصفا بالكرّيّة في متن الواقع لا في نظر الاعتبار فقط، و إنّما يتأتّى ذلك إذا كان للماء هيئة توجب كون كلّ من أطرافه جزءا ممّا حصل منها، و هذا المعنى غير حاصل في المقام بحسب الواقع، و صحّة وقوع الاسم على المجموع اعتبار صرف متضمّن لاشتراط حصول تلك الهيئة بحسب الواقع، و كأنّ غفلة من اكتفى بكرّيّة المجموع نشأت عن الغفلة عن كون ذلك اعتبار صرفا، أو متضمّنا للتعليق على ما لا تحقّق له في الواقع، و لا ريب أنّ مجرّد الاعتبار لا يصيّر الشيء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اتّضح عدم المنافاة بين ما قرّرناه هنا و ما اخترناه في بحث الكرّ من عدم اشتراط تساوي السطوح، لتحقّق المعنى المذكور ثمّة في جميع صور المسألة و الفارق هو العرف، كما اتّضح سرّ ما عرفت عن العلاّمة من فرقه بين الغديرين و ما نحن فيه، فإذا فرض عدم اندراج المقام على تقدير كرّيّة المجموع في المنطوق فلا بدّ و أن يندرج في المفهوم، و قضيّة ذلك عدم الفرق في انفعال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في الحوض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بلوغ المجموع كرّا و عدمه، و هو مع أنّه خلاف المطلوب ترك للعمل على أخبار الحمّام بالمرّة،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يحصل في صورة كرّيّة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حصول العمل بها حينئذ كونها مخرجة له عن المفهوم المقتضي للانفعال، و اعتبار كونها مخرجة إمّا مع تسليم كونها مطلقة، أو مع كونها منصرفة إلى الغالب، و لا ينطبق شيء منهما على مقصودكم،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على فرض تسليمه يقتضي إلغاء الكرّيّة رأسا،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فيه من منع اعتبار الغلبة هنا كما سبق مشروحا أنّ التعويل عليه في اعتبار الكرّيّة خروج عن الاستدلال بأخبار انفعال ما دون الكرّ، مضافا إلى أنّه لو صحّ لقضى باعتبار الكرّيّة في المادّة أيضا لا في المجموع فقط</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العمل في المقام إنّما هو بأخبار الحمّام لا غير، و أنّ مقتضى ما فيها من الإطلاق إلغاء الكرّيّة بالمرّة عن المادّة و عن المجموع معا، و المراد بالإطلاق ما في غير الخبرين المتضمّنين لتنزيل ماء الحمّام منزلة الجاري و تشبيهه بماء النهر، إذ لا إطلاق فيهما لكونهما واردين لمجرّد بيان حكم الاعتصام و عدم الانفعال كالجاري و ماء </w:t>
      </w:r>
      <w:bookmarkStart w:id="542" w:name="pg16144_233386"/>
    </w:p>
    <w:p>
      <w:pPr>
        <w:pStyle w:val="BookText"/>
        <w:rPr/>
      </w:pPr>
      <w:bookmarkEnd w:id="542"/>
      <w:r>
        <w:rPr>
          <w:rFonts w:ascii="Amiri" w:hAnsi="Amiri" w:eastAsia="Amiri" w:cs="Amiri"/>
          <w:color w:val="111111"/>
          <w:sz w:val="28"/>
          <w:sz w:val="28"/>
          <w:szCs w:val="28"/>
          <w:rtl w:val="true"/>
          <w:lang w:bidi="ar-SA"/>
        </w:rPr>
        <w:t xml:space="preserve">النهر، من غير تعرّض فيهما للتشبيه في عدم اعتبار الكرّيّة كما في المشبّه به، فلا يستفاد منهما إلاّ قضيّة مهملة بخلاف ما عداهما، فإنّ الإطلاق فيه ممّا لا إشكال فيه خصوصا في خبر قرب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و خبر بكر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الإطلاق منزّلا على الغالب قد عرفت ما فيها بما لا مزيد عليه، فماء الحمّام حينئذ مخرج عن قاعدة انفعال القليل بالدليل، فثبت أنّ الأقوى في النظر القاصر هو القول الأخير الّذي صار إليه بعض مشايخنا،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أطنب الكلام في تقريب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حاصل البحث أنّ ما في الحياض حاله كحال الماء الخارج من عين الجاري، و الحوض الكبير الّذي يأتي منه الماء بمنزلة العين الّتي ينبع منها الماء القليل، فلا يقبل ما في الحياض النجاسة سواء كان ما في الحوض الكبير كرّا أو لا، و سواء كان المجموع مقدار كرّ أو لا، لكن بشرط اتّصالها بالمادّة و تجدّد الخروج منها</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في كرّيّة المجموع، و أحوط منه اعتبار كرّيّة المادّة أيضا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804762_1280447820"/>
      <w:bookmarkStart w:id="544" w:name="_Toc212"/>
      <w:bookmarkEnd w:id="543"/>
      <w:r>
        <w:rPr>
          <w:rtl w:val="true"/>
        </w:rPr>
        <w:t>الجهة الثالثة</w:t>
      </w:r>
      <w:r>
        <w:rPr>
          <w:rtl w:val="true"/>
        </w:rPr>
        <w:t xml:space="preserve">: </w:t>
      </w:r>
      <w:r>
        <w:rPr>
          <w:rtl w:val="true"/>
        </w:rPr>
        <w:t>لهم خلاف آخر في تطهير ماء الحمّام، بعد تنجّسه بسبب الانقطاع عن المادّة حين ملاقاة النجاسة،</w:t>
      </w:r>
      <w:bookmarkEnd w:id="544"/>
    </w:p>
    <w:p>
      <w:pPr>
        <w:pStyle w:val="Heading6"/>
        <w:numPr>
          <w:ilvl w:val="5"/>
          <w:numId w:val="1"/>
        </w:numPr>
        <w:rPr/>
      </w:pPr>
      <w:bookmarkStart w:id="545" w:name="__RefHeading___Toc1804764_1280447820"/>
      <w:bookmarkStart w:id="546" w:name="_Toc213"/>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804766_1280447820"/>
      <w:bookmarkStart w:id="548" w:name="_Toc214"/>
      <w:bookmarkEnd w:id="547"/>
      <w:r>
        <w:rPr>
          <w:rtl w:val="true"/>
        </w:rPr>
        <w:t>المسألة الاولى</w:t>
      </w:r>
      <w:r>
        <w:rPr>
          <w:rtl w:val="true"/>
        </w:rPr>
        <w:t xml:space="preserve">: </w:t>
      </w:r>
      <w:r>
        <w:rPr>
          <w:rtl w:val="true"/>
        </w:rPr>
        <w:t>في اشتراط كرّيّة المادّة في رفع النجاسة عن ماء الحوض الصغير و عدمه،</w:t>
      </w:r>
      <w:bookmarkEnd w:id="548"/>
    </w:p>
    <w:p>
      <w:pPr>
        <w:pStyle w:val="Heading6"/>
        <w:numPr>
          <w:ilvl w:val="5"/>
          <w:numId w:val="1"/>
        </w:numPr>
        <w:rPr/>
      </w:pPr>
      <w:bookmarkStart w:id="549" w:name="__RefHeading___Toc1804768_1280447820"/>
      <w:bookmarkStart w:id="550" w:name="_Toc215"/>
      <w:bookmarkEnd w:id="549"/>
      <w:r>
        <w:rPr>
          <w:rtl w:val="true"/>
        </w:rPr>
        <w:t>اشارة</w:t>
      </w:r>
      <w:bookmarkEnd w:id="55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صرّح به غير واحد هو الاشتراط نافين عنه الاشكال، بل نقل عليه الإجماعات، الّتي منها ما ستعرف عن الفاضل الهندي</w:t>
      </w:r>
      <w:r>
        <w:rPr>
          <w:rStyle w:val="FootnoteAnchor"/>
          <w:rtl w:val="true"/>
        </w:rPr>
        <w:footnoteReference w:id="1682"/>
      </w:r>
      <w:r>
        <w:rPr>
          <w:rFonts w:ascii="Amiri" w:hAnsi="Amiri" w:eastAsia="Amiri" w:cs="Amiri"/>
          <w:color w:val="111111"/>
          <w:sz w:val="28"/>
          <w:sz w:val="28"/>
          <w:szCs w:val="28"/>
          <w:rtl w:val="true"/>
          <w:lang w:bidi="ar-SA"/>
        </w:rPr>
        <w:t>، و في الرياض</w:t>
      </w:r>
      <w:r>
        <w:rPr>
          <w:rStyle w:val="FootnoteAnchor"/>
          <w:rtl w:val="true"/>
        </w:rPr>
        <w:footnoteReference w:id="1683"/>
      </w:r>
      <w:r>
        <w:rPr>
          <w:rFonts w:ascii="Amiri" w:hAnsi="Amiri" w:eastAsia="Amiri" w:cs="Amiri"/>
          <w:color w:val="111111"/>
          <w:sz w:val="28"/>
          <w:sz w:val="28"/>
          <w:szCs w:val="28"/>
          <w:rtl w:val="true"/>
          <w:lang w:bidi="ar-SA"/>
        </w:rPr>
        <w:t xml:space="preserve">نفي الخلاف عنه، و إن كان بضابطته المعروفة عنه عبارة عن عدم عثوره على الخلاف حيثما يعبّر به، لا أنّه عثر على الإجماع، و لعلّه من جهة تردّده في مذهب المحقّق، حيث إنّه قد ينسب إليه المصير إلى عدم اعتبار الكرّيّة في الدفع و الرفع معا، لإطلاق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عن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بكثرة المادّة و قلّتها</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xml:space="preserve">و قد يعزى إليه اختيار الاعتبار في الرفع خاصّة، لمكان </w:t>
      </w:r>
      <w:bookmarkStart w:id="551" w:name="pg16144_233387"/>
    </w:p>
    <w:p>
      <w:pPr>
        <w:pStyle w:val="BookText"/>
        <w:rPr/>
      </w:pPr>
      <w:bookmarkEnd w:id="55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العبارة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لو تحقّقت نجاستها لم تطهر بالجريان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دلالة ذلك على ما ذكر نظر واضح، كما تنبّه عليه غير واحد من الأجلّة، لجواز كونه مرادا به عدم كفاية مجرّد اتّصال المادّة في التطهير و اشتراط الامتزاج فيه، كما هو أحد القولين في المسألة الآتية، 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المنساق من نظائر تلك العبارة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المحقّق بالنسبة إلى مسألة التطهير متشابه، فلا يعلم مذهبه في تلك المسألة بنفس تلك العبارة، فإن علم من الخارج شيء يقضي باختياره الكرّيّة يعلم له الموافقة و إلاّ فلا، و قد يستفاد اختياره إيّاها بما يرجع في الحقيقة إلى استبعاد صرف، كما عن الفاضل الهندي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المحقّق إنّما يسوّي بين الكرّ و الأقلّ من الباقي منها إلاّ ما جرى في الحوض، و لا يقول بأنّ الباقي إذا نقص عن الكرّ فانقطع الجريان ثمّ تنجّس ما في الحوض يطهّر بالإجراء ثانيا، للاتّفاق على أنّه لا يطهّر الماء النجس إلاّ الكرّ أو الماء الجاري</w:t>
      </w:r>
      <w:r>
        <w:rPr>
          <w:rFonts w:eastAsia="Amiri" w:cs="Amiri" w:ascii="Amiri" w:hAnsi="Amiri"/>
          <w:color w:val="111111"/>
          <w:sz w:val="28"/>
          <w:szCs w:val="28"/>
          <w:rtl w:val="true"/>
          <w:lang w:bidi="ar-SA"/>
        </w:rPr>
        <w:t>»</w:t>
      </w:r>
      <w:r>
        <w:rPr>
          <w:rStyle w:val="FootnoteAnchor"/>
          <w:rtl w:val="true"/>
        </w:rPr>
        <w:footnoteReference w:id="16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من الأصحاب هنا مخالف في اعتبار الكرّيّة، عدا ما يوهمه إطلاق عبارات المحقّق في المعتبر</w:t>
      </w:r>
      <w:r>
        <w:rPr>
          <w:rStyle w:val="FootnoteAnchor"/>
          <w:rtl w:val="true"/>
        </w:rPr>
        <w:footnoteReference w:id="1686"/>
      </w:r>
      <w:r>
        <w:rPr>
          <w:rFonts w:ascii="IRNazanin" w:hAnsi="IRNazanin" w:eastAsia="IRNazanin"/>
          <w:color w:val="111111"/>
          <w:sz w:val="28"/>
          <w:sz w:val="28"/>
          <w:szCs w:val="28"/>
          <w:rtl w:val="true"/>
          <w:lang w:bidi="fa-IR"/>
        </w:rPr>
        <w:t>و الشرائع</w:t>
      </w:r>
      <w:r>
        <w:rPr>
          <w:rStyle w:val="FootnoteAnchor"/>
          <w:rtl w:val="true"/>
        </w:rPr>
        <w:footnoteReference w:id="1687"/>
      </w:r>
      <w:r>
        <w:rPr>
          <w:rFonts w:ascii="IRNazanin" w:hAnsi="IRNazanin" w:eastAsia="IRNazanin"/>
          <w:color w:val="111111"/>
          <w:sz w:val="28"/>
          <w:sz w:val="28"/>
          <w:szCs w:val="28"/>
          <w:rtl w:val="true"/>
          <w:lang w:bidi="fa-IR"/>
        </w:rPr>
        <w:t>و النافع</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الحدائق</w:t>
      </w:r>
      <w:r>
        <w:rPr>
          <w:rStyle w:val="FootnoteAnchor"/>
          <w:rtl w:val="true"/>
        </w:rPr>
        <w:footnoteReference w:id="1689"/>
      </w:r>
      <w:r>
        <w:rPr>
          <w:rFonts w:ascii="Amiri" w:hAnsi="Amiri" w:eastAsia="Amiri" w:cs="Amiri"/>
          <w:color w:val="111111"/>
          <w:sz w:val="28"/>
          <w:sz w:val="28"/>
          <w:szCs w:val="28"/>
          <w:rtl w:val="true"/>
          <w:lang w:bidi="ar-SA"/>
        </w:rPr>
        <w:t>عن بعض الأخباريّين</w:t>
      </w:r>
      <w:r>
        <w:rPr>
          <w:rStyle w:val="FootnoteAnchor"/>
          <w:rtl w:val="true"/>
        </w:rPr>
        <w:footnoteReference w:id="1690"/>
      </w:r>
      <w:r>
        <w:rPr>
          <w:rFonts w:ascii="Amiri" w:hAnsi="Amiri" w:eastAsia="Amiri" w:cs="Amiri"/>
          <w:color w:val="111111"/>
          <w:sz w:val="28"/>
          <w:sz w:val="28"/>
          <w:szCs w:val="28"/>
          <w:rtl w:val="true"/>
          <w:lang w:bidi="ar-SA"/>
        </w:rPr>
        <w:t>المفصّل في مسألة انفعال القليل بين الورودين الميل إلى عدم اعتبار الكرّيّة في الرفع، اكتفاء بجريان الماء الطاهر عليه بقوّة بحيث يستهلك الماء فيه، استنادا إلى ظواهر جملة من الأخبار، و لكنّ المسألة لو كانت إجماعيّة فهذا الخلاف غير قادح فيه جزما، حتّى مع صحّة مستنده فكيف به مع فساد المستند كما سيتبيّن، و على أيّ حال كان</w:t>
      </w:r>
    </w:p>
    <w:p>
      <w:pPr>
        <w:pStyle w:val="Heading6"/>
        <w:numPr>
          <w:ilvl w:val="5"/>
          <w:numId w:val="1"/>
        </w:numPr>
        <w:rPr/>
      </w:pPr>
      <w:bookmarkStart w:id="552" w:name="__RefHeading___Toc1804770_1280447820"/>
      <w:bookmarkStart w:id="553" w:name="_Toc216"/>
      <w:bookmarkEnd w:id="552"/>
      <w:r>
        <w:rPr>
          <w:rtl w:val="true"/>
        </w:rPr>
        <w:t>فحجّة القول باعتبار الكرّيّة وجوه</w:t>
      </w:r>
      <w:r>
        <w:rPr>
          <w:rtl w:val="true"/>
        </w:rPr>
        <w:t>:</w:t>
      </w:r>
      <w:bookmarkEnd w:id="553"/>
    </w:p>
    <w:p>
      <w:pPr>
        <w:pStyle w:val="Heading6"/>
        <w:numPr>
          <w:ilvl w:val="5"/>
          <w:numId w:val="1"/>
        </w:numPr>
        <w:rPr/>
      </w:pPr>
      <w:bookmarkStart w:id="554" w:name="__RefHeading___Toc1804772_1280447820"/>
      <w:bookmarkStart w:id="555" w:name="_Toc217"/>
      <w:bookmarkEnd w:id="554"/>
      <w:r>
        <w:rPr>
          <w:rtl w:val="true"/>
        </w:rPr>
        <w:t>أحدها</w:t>
      </w:r>
      <w:r>
        <w:rPr>
          <w:rtl w:val="true"/>
        </w:rPr>
        <w:t xml:space="preserve">: </w:t>
      </w:r>
      <w:r>
        <w:rPr>
          <w:rtl w:val="true"/>
        </w:rPr>
        <w:t>ظهور الإجماع</w:t>
      </w:r>
      <w:r>
        <w:rPr>
          <w:rtl w:val="true"/>
        </w:rPr>
        <w:t>.</w:t>
      </w:r>
      <w:bookmarkEnd w:id="555"/>
    </w:p>
    <w:p>
      <w:pPr>
        <w:pStyle w:val="Heading6"/>
        <w:numPr>
          <w:ilvl w:val="5"/>
          <w:numId w:val="1"/>
        </w:numPr>
        <w:rPr/>
      </w:pPr>
      <w:bookmarkStart w:id="556" w:name="__RefHeading___Toc1804774_1280447820"/>
      <w:bookmarkStart w:id="557" w:name="_Toc218"/>
      <w:bookmarkEnd w:id="556"/>
      <w:r>
        <w:rPr>
          <w:rtl w:val="true"/>
        </w:rPr>
        <w:t>و ثانيها</w:t>
      </w:r>
      <w:r>
        <w:rPr>
          <w:rtl w:val="true"/>
        </w:rPr>
        <w:t xml:space="preserve">: </w:t>
      </w:r>
      <w:r>
        <w:rPr>
          <w:rtl w:val="true"/>
        </w:rPr>
        <w:t>الإجماعات المحكيّة</w:t>
      </w:r>
      <w:bookmarkEnd w:id="55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منها ما تقدّم، و منها ما عن الخوانساري</w:t>
      </w:r>
      <w:r>
        <w:rPr>
          <w:rStyle w:val="FootnoteAnchor"/>
          <w:rtl w:val="true"/>
        </w:rPr>
        <w:footnoteReference w:id="1691"/>
      </w:r>
      <w:r>
        <w:rPr>
          <w:rFonts w:ascii="IRNazanin" w:hAnsi="IRNazanin" w:eastAsia="IRNazanin"/>
          <w:color w:val="111111"/>
          <w:sz w:val="28"/>
          <w:sz w:val="28"/>
          <w:szCs w:val="28"/>
          <w:rtl w:val="true"/>
          <w:lang w:bidi="fa-IR"/>
        </w:rPr>
        <w:t xml:space="preserve">من </w:t>
      </w:r>
      <w:bookmarkStart w:id="558" w:name="pg16144_233388"/>
    </w:p>
    <w:p>
      <w:pPr>
        <w:pStyle w:val="BookText"/>
        <w:rPr/>
      </w:pPr>
      <w:bookmarkEnd w:id="558"/>
      <w:r>
        <w:rPr>
          <w:rFonts w:ascii="Amiri" w:hAnsi="Amiri" w:eastAsia="Amiri" w:cs="Amiri"/>
          <w:color w:val="111111"/>
          <w:sz w:val="28"/>
          <w:sz w:val="28"/>
          <w:szCs w:val="28"/>
          <w:rtl w:val="true"/>
          <w:lang w:bidi="ar-SA"/>
        </w:rPr>
        <w:t>الإجماع ظاهرا على أنّ المادّة البالغة كرّا لها قابليّة لتطهير ما في الحوض بمجرّد جريانه إليه من دون القاء كرّ عليه دفعة، و لكن في نهوض ذلك على اشتراط الكرّيّة نظر واضح، لا يخفى وجهه على المتأمّل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804776_1280447820"/>
      <w:bookmarkStart w:id="560" w:name="_Toc219"/>
      <w:bookmarkEnd w:id="559"/>
      <w:r>
        <w:rPr>
          <w:rtl w:val="true"/>
        </w:rPr>
        <w:t>و ثالثها</w:t>
      </w:r>
      <w:r>
        <w:rPr>
          <w:rtl w:val="true"/>
        </w:rPr>
        <w:t xml:space="preserve">: </w:t>
      </w:r>
      <w:r>
        <w:rPr>
          <w:rtl w:val="true"/>
        </w:rPr>
        <w:t>استصحاب النجاسة إلى أن يتحقّق رافع يقيني،</w:t>
      </w:r>
      <w:bookmarkEnd w:id="560"/>
    </w:p>
    <w:p>
      <w:pPr>
        <w:pStyle w:val="BookText"/>
        <w:rPr/>
      </w:pPr>
      <w:r>
        <w:rPr>
          <w:rFonts w:ascii="Amiri" w:hAnsi="Amiri" w:eastAsia="Amiri" w:cs="Amiri"/>
          <w:color w:val="111111"/>
          <w:sz w:val="28"/>
          <w:sz w:val="28"/>
          <w:szCs w:val="28"/>
          <w:rtl w:val="true"/>
          <w:lang w:bidi="ar-SA"/>
        </w:rPr>
        <w:t>و ليس إلاّ كرّيّة المادّة</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804778_1280447820"/>
      <w:bookmarkStart w:id="562" w:name="_Toc220"/>
      <w:bookmarkEnd w:id="561"/>
      <w:r>
        <w:rPr>
          <w:rtl w:val="true"/>
        </w:rPr>
        <w:t>و رابعها</w:t>
      </w:r>
      <w:r>
        <w:rPr>
          <w:rtl w:val="true"/>
        </w:rPr>
        <w:t xml:space="preserve">: </w:t>
      </w:r>
      <w:r>
        <w:rPr>
          <w:rtl w:val="true"/>
        </w:rPr>
        <w:t>ما عن جامع المقاصد</w:t>
      </w:r>
      <w:r>
        <w:rPr>
          <w:rtl w:val="true"/>
        </w:rPr>
        <w:t>: «</w:t>
      </w:r>
      <w:r>
        <w:rPr>
          <w:rtl w:val="true"/>
        </w:rPr>
        <w:t>و اعلم أنّ اشتراط الكرّيّة في المادّة هو أصحّ القولين للأصحاب،</w:t>
      </w:r>
      <w:bookmarkEnd w:id="562"/>
    </w:p>
    <w:p>
      <w:pPr>
        <w:pStyle w:val="BookText"/>
        <w:rPr/>
      </w:pPr>
      <w:r>
        <w:rPr>
          <w:rFonts w:ascii="Amiri" w:hAnsi="Amiri" w:eastAsia="Amiri" w:cs="Amiri"/>
          <w:color w:val="111111"/>
          <w:sz w:val="28"/>
          <w:sz w:val="28"/>
          <w:szCs w:val="28"/>
          <w:rtl w:val="true"/>
          <w:lang w:bidi="ar-SA"/>
        </w:rPr>
        <w:t>لانفعال ما دون الكرّ بالملاقاة، فلا يرفع النجاسة عن غيره</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أيضا كما ترى لا ينهضان دليلا على الاشتراط، بل غاية ما فيهما الدلالة على أنّ ما دون الكرّ لا يصلح مطهّرا، و أمّا أنّ المطهّر هو الكرّ أو أنّ الكرّ صالح له فلا بدّ في إثبات ذلك من إنهاض دليل آخر، فالحقّ أنّ ماء الحمّام لم يثبت له من حيث الرفع و التطهير خصوصيّة، لعدم تعرّض في الأخبار الواردة فيه لبيان هذا الحكم فضلا عن كيفيّته كما ستعرف، فلا بدّ في استعلام حكم المسألة من المراجعة إلى ما يطهّر به الماء القليل، و النظر في دليل اعتبار كونه كرّا و غيره من الإجماع و غيره، و لتحقيق ذلك موضع آخر يأتي في أبواب كيفيّة تطهير المياه</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1804780_1280447820"/>
      <w:bookmarkStart w:id="564" w:name="_Toc221"/>
      <w:bookmarkEnd w:id="563"/>
      <w:r>
        <w:rPr>
          <w:rtl w:val="true"/>
        </w:rPr>
        <w:t>و أمّا القول بعدم الكرّيّة</w:t>
      </w:r>
      <w:bookmarkEnd w:id="564"/>
    </w:p>
    <w:p>
      <w:pPr>
        <w:pStyle w:val="BookText"/>
        <w:rPr/>
      </w:pPr>
      <w:r>
        <w:rPr>
          <w:rFonts w:ascii="Amiri" w:hAnsi="Amiri" w:eastAsia="Amiri" w:cs="Amiri"/>
          <w:color w:val="111111"/>
          <w:sz w:val="28"/>
          <w:sz w:val="28"/>
          <w:szCs w:val="28"/>
          <w:rtl w:val="true"/>
          <w:lang w:bidi="ar-SA"/>
        </w:rPr>
        <w:t xml:space="preserve">إن كان ثابتا في المسألة، و كان قائله ممّن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مستند له إلاّ إطلاق أخبار الباب المتقدّمة، و هو ظاهر الفساد لكون تلك الأخبار بين صريحة و ظاهرة سياقا و متنا في التعرّض لبيان حكم الدفع من غير تعرّض لبيان حكم الرفع، نعم في ثلاث روايات منها ما ربّما يوهم ذلك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بمنزلة الماء الجاري</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سبيله سبيل الماء الجاري إذا كانت له مادّة</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بناء على أنّ المنزلة و التشبيه يفيدان العموم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عموم المنزلة و التشبيه كلاما، و القول بانصرافهما إلى الخواصّ الظاهرة لا يخلو عن قوّة، و الظاهر من خواصّ المشبّه به إنّما هو الدفع، أنّ هذه الامور إنّما تفيد الظهور في العموم إذا لم يقم في الكلام المشتمل عليها ما يصرفها عن ظهورها و المقام ليس منه</w:t>
      </w:r>
      <w:r>
        <w:rPr>
          <w:rFonts w:eastAsia="Amiri" w:cs="Amiri" w:ascii="Amiri" w:hAnsi="Amiri"/>
          <w:color w:val="111111"/>
          <w:sz w:val="28"/>
          <w:szCs w:val="28"/>
          <w:rtl w:val="true"/>
          <w:lang w:bidi="ar-SA"/>
        </w:rPr>
        <w:t xml:space="preserve">. </w:t>
      </w:r>
      <w:bookmarkStart w:id="565" w:name="pg16144_233389"/>
    </w:p>
    <w:p>
      <w:pPr>
        <w:pStyle w:val="BookText"/>
        <w:rPr/>
      </w:pPr>
      <w:bookmarkEnd w:id="565"/>
      <w:r>
        <w:rPr>
          <w:rFonts w:ascii="Amiri" w:hAnsi="Amiri" w:eastAsia="Amiri" w:cs="Amiri"/>
          <w:color w:val="111111"/>
          <w:sz w:val="28"/>
          <w:sz w:val="28"/>
          <w:szCs w:val="28"/>
          <w:rtl w:val="true"/>
          <w:lang w:bidi="ar-SA"/>
        </w:rPr>
        <w:t>أمّا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سياق السؤال الوارد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السؤال عن حكم الدفع و قبوله الانفعال و عدمه، كما لا يخفى على المنصف، فيصرف إليه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 في توجيهه في بحث الجاري من أنّ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 بعضه بعضا عن الانفعال و يوجب اعتصامه، بقرينة ما تقدّم من عدم كون شيء ممّا ذكر في سؤاله من النجاسات ما يوجب تغيّر الماء عادة،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احترازي أتى به المعصوم لدفع ما لعلّه يتوهّمه المخاطب من عدم الاحتياج إلى المادّة في الحكم الّذي أعطاه عليه السّلام، و الّذي هو محلّ لأن يطرأه هذا التوهّم إنّما هو مقام الدفع دون مقام الرفع، لأنّ كلّ عاقل متشرّع يعلم أنّ النجاسة بعد ما طرأت الماء لا ترتفع من قبل نفسها، بل تحتاج إلى رافع شرعي و مطهّر خارجي، و محصّله يرجع إلى دوران الشرط بين كونه قيدا احترازيّا أو توضيحيّا، و من المقرّر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قضيّة ذلك كون الخبر واردا لبيان الدفع دون الرفع</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804782_1280447820"/>
      <w:bookmarkStart w:id="567" w:name="_Toc222"/>
      <w:bookmarkEnd w:id="566"/>
      <w:r>
        <w:rPr>
          <w:rtl w:val="true"/>
        </w:rPr>
        <w:t>المسألة الثانية</w:t>
      </w:r>
      <w:r>
        <w:rPr>
          <w:rtl w:val="true"/>
        </w:rPr>
        <w:t xml:space="preserve">: </w:t>
      </w:r>
      <w:r>
        <w:rPr>
          <w:rtl w:val="true"/>
        </w:rPr>
        <w:t>في تطهير ماء الحمّام بمجرّد اتّصاله بالمادّة أو اشتراطه بالامتزاج و غلبة المادّة عليه،</w:t>
      </w:r>
      <w:bookmarkEnd w:id="567"/>
    </w:p>
    <w:p>
      <w:pPr>
        <w:pStyle w:val="BookText"/>
        <w:rPr/>
      </w:pPr>
      <w:r>
        <w:rPr>
          <w:rFonts w:ascii="Amiri" w:hAnsi="Amiri" w:eastAsia="Amiri" w:cs="Amiri"/>
          <w:color w:val="111111"/>
          <w:sz w:val="28"/>
          <w:sz w:val="28"/>
          <w:szCs w:val="28"/>
          <w:rtl w:val="true"/>
          <w:lang w:bidi="ar-SA"/>
        </w:rPr>
        <w:t xml:space="preserve">قولان من الاقتصار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استصحاب النجاسة أو أصالة عدم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المتّفق عليه، و أنّ الصادق عليه السّلام حكم بأنّه بمنزلة الجاري، و لو تنجّس الجاري لم يطهّر إلاّ باستيلاء الماء عليه، بحيث يزيل انفعاله، و من امتياز الطاهر من النجس مع عدم الامتزاج، و ذلك يقتضي اختصاص كلّ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اتّصال القليل بالكثير قبل النجاسة كاف في دفع النجاسة و إن لم يمتزج به فكذا بعدها، لأنّ عدم قبول النجاسة في الأوّل إنّما هو بصيرورة الماءين ماء واحدا بالاتّصال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الامتزاج إن اريد به امتزاج كلّ جزء من الماء النجس بجزء من الطاهر لم يمكن الحكم بالطهارة أصلا، لعدم العلم بذلك، و إن اكتفى بامتزاج البعض لم يكن المطهّر للبعض الآخر هو الامتزاج بل مجرّد الاتّصال، فيلزم إمّا القول بعدم الطهارة أصلا، أو القول بالاكتفاء بمجرّد الاتّصال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الاتّفاق واقع على أنّ تطهير ما نقص عن الكرّ بإلقاء كرّ عليه، </w:t>
      </w:r>
      <w:bookmarkStart w:id="568" w:name="pg16144_233390"/>
    </w:p>
    <w:p>
      <w:pPr>
        <w:pStyle w:val="BookText"/>
        <w:rPr/>
      </w:pPr>
      <w:bookmarkEnd w:id="568"/>
      <w:r>
        <w:rPr>
          <w:rFonts w:ascii="Amiri" w:hAnsi="Amiri" w:eastAsia="Amiri" w:cs="Amiri"/>
          <w:color w:val="111111"/>
          <w:sz w:val="28"/>
          <w:sz w:val="28"/>
          <w:szCs w:val="28"/>
          <w:rtl w:val="true"/>
          <w:lang w:bidi="ar-SA"/>
        </w:rPr>
        <w:t>و لا شكّ أنّ المداخلة ممتنعة، فالمعتبر إذن الاتّصال الموجود هنا</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 و أنّ الأجزاء الملاقية للطاهر يجب الحكم بطهارتها عملا بعموم ما دلّ على طهوريّة الماء، فتطهّر الأجزاء الّتي يليها لذلك، و كذا الكلام في بقيّة الأجزاء، كما حكاه في المدارك عن المحقّق و الشهيد الثانيين،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اعتبار حسن نبّه عليه المحقّق الشيخ عليّ في بعض فوائده، و جدّي في روض الجنان</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 و في أكثر ما ذكر عن الطرفين نظر، و إذ قد عرفت أنّ الحمّام لم يثبت له خصوصيّة بالنسبة إلى مقام الرفع، لكون الأخبار الواردة فيه ساكتة عن ذلك المقام، فكيفيّة تطهير هذا الماء كتطهير سائر المياه القليلة، فتحقيق حاله بالقياس إلى اشتراط الامتزاج و عدمه، موكول إلى محلّه، و سيلحقك البحث عن ذلك إن شاء اللّه</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804784_1280447820"/>
      <w:bookmarkStart w:id="570" w:name="_Toc223"/>
      <w:bookmarkEnd w:id="569"/>
      <w:r>
        <w:rPr>
          <w:rtl w:val="true"/>
        </w:rPr>
        <w:t>المسألة الثالثة</w:t>
      </w:r>
      <w:r>
        <w:rPr>
          <w:rtl w:val="true"/>
        </w:rPr>
        <w:t xml:space="preserve">: </w:t>
      </w:r>
      <w:r>
        <w:rPr>
          <w:rtl w:val="true"/>
        </w:rPr>
        <w:t>بناء على القول باشتراط الامتزاج و اشتراط كرّيّة المادّة في التطهير، فهل يكتفى بكون المادّة مقدار الكرّ من غير زيادة عليه،</w:t>
      </w:r>
      <w:bookmarkEnd w:id="570"/>
    </w:p>
    <w:p>
      <w:pPr>
        <w:pStyle w:val="BookText"/>
        <w:rPr/>
      </w:pPr>
      <w:r>
        <w:rPr>
          <w:rFonts w:ascii="Amiri" w:hAnsi="Amiri" w:eastAsia="Amiri" w:cs="Amiri"/>
          <w:color w:val="111111"/>
          <w:sz w:val="28"/>
          <w:sz w:val="28"/>
          <w:szCs w:val="28"/>
          <w:rtl w:val="true"/>
          <w:lang w:bidi="ar-SA"/>
        </w:rPr>
        <w:t>أو يشترط زيادتها بمقدار ما يحصل به الممازجة و الغلبة؟ و كذا بناء على القول بكفاية الاتّصال يجري الكلام في اشتراط الزيادة بمقدار ما ينحدر من الماء عن المادّة المتّصلة بالحوض، قولان، اختار أوّلهما في المدارك</w:t>
      </w:r>
      <w:r>
        <w:rPr>
          <w:rStyle w:val="FootnoteAnchor"/>
          <w:rtl w:val="true"/>
        </w:rPr>
        <w:footnoteReference w:id="1698"/>
      </w:r>
      <w:r>
        <w:rPr>
          <w:rFonts w:ascii="Amiri" w:hAnsi="Amiri" w:eastAsia="Amiri" w:cs="Amiri"/>
          <w:color w:val="111111"/>
          <w:sz w:val="28"/>
          <w:sz w:val="28"/>
          <w:szCs w:val="28"/>
          <w:rtl w:val="true"/>
          <w:lang w:bidi="ar-SA"/>
        </w:rPr>
        <w:t>، و عن العلاّمة في المنتهى</w:t>
      </w:r>
      <w:r>
        <w:rPr>
          <w:rStyle w:val="FootnoteAnchor"/>
          <w:rtl w:val="true"/>
        </w:rPr>
        <w:footnoteReference w:id="1699"/>
      </w:r>
      <w:r>
        <w:rPr>
          <w:rFonts w:ascii="Amiri" w:hAnsi="Amiri" w:eastAsia="Amiri" w:cs="Amiri"/>
          <w:color w:val="111111"/>
          <w:sz w:val="28"/>
          <w:sz w:val="28"/>
          <w:szCs w:val="28"/>
          <w:rtl w:val="true"/>
          <w:lang w:bidi="ar-SA"/>
        </w:rPr>
        <w:t>، التصريح في مسألة الغديرين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ثانيهما عن ثاني الشهيدين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كانت كرّا فقط لكان ورود شيء منها على الحياض موجبا لخروجها عن الكرّيّة، إذ المعتبر كرّيّة المادّة بعد الملاقاة فتقبل الانفعال حينئذ</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و عن صريح التحرير</w:t>
      </w:r>
      <w:r>
        <w:rPr>
          <w:rStyle w:val="FootnoteAnchor"/>
          <w:rtl w:val="true"/>
        </w:rPr>
        <w:footnoteReference w:id="1701"/>
      </w:r>
      <w:r>
        <w:rPr>
          <w:rFonts w:ascii="Amiri" w:hAnsi="Amiri" w:eastAsia="Amiri" w:cs="Amiri"/>
          <w:color w:val="111111"/>
          <w:sz w:val="28"/>
          <w:sz w:val="28"/>
          <w:szCs w:val="28"/>
          <w:rtl w:val="true"/>
          <w:lang w:bidi="ar-SA"/>
        </w:rPr>
        <w:t>أيضا اختياره، كما عن جامع المقاصد</w:t>
      </w:r>
      <w:r>
        <w:rPr>
          <w:rStyle w:val="FootnoteAnchor"/>
          <w:rtl w:val="true"/>
        </w:rPr>
        <w:footnoteReference w:id="1702"/>
      </w:r>
      <w:r>
        <w:rPr>
          <w:rFonts w:ascii="Amiri" w:hAnsi="Amiri" w:eastAsia="Amiri" w:cs="Amiri"/>
          <w:color w:val="111111"/>
          <w:sz w:val="28"/>
          <w:sz w:val="28"/>
          <w:szCs w:val="28"/>
          <w:rtl w:val="true"/>
          <w:lang w:bidi="ar-SA"/>
        </w:rPr>
        <w:t>اختياره أيضا استنادا بما ذكر عن الشهيد، و لا يخفى ما فيه من الاعتبار الصرف، و الحكم تابع للإجماع، فإن ثبت إجماع فكيف و لم يثبت، و إلاّ كان كسائر المياه القليلة الّتي تطهر بالكرّ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القول الأوّل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703"/>
      </w:r>
      <w:bookmarkStart w:id="571" w:name="pg16144_233391"/>
    </w:p>
    <w:p>
      <w:pPr>
        <w:pStyle w:val="BookText"/>
        <w:rPr/>
      </w:pPr>
      <w:bookmarkEnd w:id="571"/>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الجاري</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سبيله سبيل الجاري</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واضح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بابتناء القولين على قولهم في اعتبار الدفعة في إلقاء الكرّ و عدمه، فالأوّل مبنيّ على الثاني، كما أنّ الثاني مبنيّ على الأوّل، و هو أيضا مشكل</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804786_1280447820"/>
      <w:bookmarkStart w:id="573" w:name="_Toc224"/>
      <w:bookmarkEnd w:id="572"/>
      <w:r>
        <w:rPr>
          <w:rtl w:val="true"/>
        </w:rPr>
        <w:t>ثمّ إنّ جماعة من الأصحاب تنبّهوا على فروع في المقام، لا بأس بإيرادها</w:t>
      </w:r>
      <w:r>
        <w:rPr>
          <w:rtl w:val="true"/>
        </w:rPr>
        <w:t>.</w:t>
      </w:r>
      <w:bookmarkEnd w:id="573"/>
    </w:p>
    <w:p>
      <w:pPr>
        <w:pStyle w:val="Heading5"/>
        <w:numPr>
          <w:ilvl w:val="4"/>
          <w:numId w:val="1"/>
        </w:numPr>
        <w:rPr/>
      </w:pPr>
      <w:bookmarkStart w:id="574" w:name="__RefHeading___Toc1804788_1280447820"/>
      <w:bookmarkStart w:id="575" w:name="_Toc225"/>
      <w:bookmarkEnd w:id="574"/>
      <w:r>
        <w:rPr>
          <w:rtl w:val="true"/>
        </w:rPr>
        <w:t>أحدها</w:t>
      </w:r>
      <w:r>
        <w:rPr>
          <w:rtl w:val="true"/>
        </w:rPr>
        <w:t xml:space="preserve">: </w:t>
      </w:r>
      <w:r>
        <w:rPr>
          <w:rtl w:val="true"/>
        </w:rPr>
        <w:t>أنّه هل يشترط في مادّة الحمّام العلم بعدم نجاستها أو يكفي عدم العلم بالنجاسة؟</w:t>
      </w:r>
      <w:bookmarkEnd w:id="575"/>
    </w:p>
    <w:p>
      <w:pPr>
        <w:pStyle w:val="BookText"/>
        <w:rPr/>
      </w:pPr>
      <w:r>
        <w:rPr>
          <w:rFonts w:ascii="Amiri" w:hAnsi="Amiri" w:eastAsia="Amiri" w:cs="Amiri"/>
          <w:color w:val="111111"/>
          <w:sz w:val="28"/>
          <w:sz w:val="28"/>
          <w:szCs w:val="28"/>
          <w:rtl w:val="true"/>
          <w:lang w:bidi="ar-SA"/>
        </w:rPr>
        <w:t>احتمالان صرّح بثانيهما العلاّمة في المنتهى</w:t>
      </w:r>
      <w:r>
        <w:rPr>
          <w:rStyle w:val="FootnoteAnchor"/>
          <w:rtl w:val="true"/>
        </w:rPr>
        <w:footnoteReference w:id="1706"/>
      </w:r>
      <w:r>
        <w:rPr>
          <w:rFonts w:ascii="Amiri" w:hAnsi="Amiri" w:eastAsia="Amiri" w:cs="Amiri"/>
          <w:color w:val="111111"/>
          <w:sz w:val="28"/>
          <w:sz w:val="28"/>
          <w:szCs w:val="28"/>
          <w:rtl w:val="true"/>
          <w:lang w:bidi="ar-SA"/>
        </w:rPr>
        <w:t xml:space="preserve">، و تبعه غير واحد، و أمّا الأوّل فلم نقف على قائل به، كما أنّ احتمال كفاية المادّة مطلقة و لو مع العلم بالنجاسة ممّا لا قائل به، بل ظاهرهم الاتّفاق على بطلانه، بل المستفاد من أخبار الباب بحكم الالتزام العرفي إنّما هو طهارة المادّة، كما أنّ المستفاد من الأخبار الآمرة بالغسل عن النجاسات إنّما هو اشتراط طهارة الماء الّذي يغسل به، كما هو مجمع عليه عندهم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بيانه في بحث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فالفرع المذكور مفروض لاستعلام أنّ الطهارة المعتبرة في المادّة هل هي عبارة عن الطهارة العلميّة أو الشرعيّة الّتي تتأتّى مع عدم العلم بالنجاسة في الجملة، كما سيتبيّن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 العلاّمة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و التعذّر، و الحرج، و استجوده المحقّق الخوانساري في شرح الدروس</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و قد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بكفاية عدم العلم بالنجاسة إذا لم تكن المادّة مسبوقة بالعلم بها، و إلاّ فلا إشكال في عدم الكفاية في صورة تطهير ما في الحوض بها، لاستصحابي النجاستين في المادّة و في الحوض، و كذلك في مقام الدفع لمكان النجاسة المستصحبة فلا تفيد تقوّيا بالقياس إلى غيرها، و قضيّة ذلك انفعال ذلك الغير بالملاقاة، بل بمجرّد اتّصاله بها على إشكال فيه، ينشأ عن ملاحظة استصحاب الطهارة فيه</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804790_1280447820"/>
      <w:bookmarkStart w:id="577" w:name="_Toc226"/>
      <w:bookmarkEnd w:id="576"/>
      <w:r>
        <w:rPr>
          <w:rtl w:val="true"/>
        </w:rPr>
        <w:t>و ثانيها</w:t>
      </w:r>
      <w:r>
        <w:rPr>
          <w:rtl w:val="true"/>
        </w:rPr>
        <w:t xml:space="preserve">: </w:t>
      </w:r>
      <w:r>
        <w:rPr>
          <w:rtl w:val="true"/>
        </w:rPr>
        <w:t>بناء على اعتبار كرّيّة المادّة أو المجموع، لو شكّ في الكرّيّة</w:t>
      </w:r>
      <w:bookmarkEnd w:id="57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فعزى الخوانساري إلى ظاهر كلامهم أنّه يبني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بلوغ الكرّيّة، فضعّفه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البناء على طهارتها، و عدم الحكم بنجاستها بملاقاة النجاسة، للروايات </w:t>
      </w:r>
      <w:bookmarkStart w:id="578" w:name="pg16144_233392"/>
    </w:p>
    <w:p>
      <w:pPr>
        <w:pStyle w:val="BookText"/>
        <w:rPr/>
      </w:pPr>
      <w:bookmarkEnd w:id="578"/>
      <w:r>
        <w:rPr>
          <w:rFonts w:ascii="Amiri" w:hAnsi="Amiri" w:eastAsia="Amiri" w:cs="Amiri"/>
          <w:color w:val="111111"/>
          <w:sz w:val="28"/>
          <w:sz w:val="28"/>
          <w:szCs w:val="28"/>
          <w:rtl w:val="true"/>
          <w:lang w:bidi="ar-SA"/>
        </w:rPr>
        <w:t xml:space="preserve">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ماء طاهر حتّى يعلم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لاستصحاب الطهارة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 طهارة الحوض الصغير، نعم، إذا تغيّر الحوض الصغير فلا يمكن الحكم بتطهيره بإجراء تلك المادّة إليه، و كذا لا يمكن تطهير شيء نجس لا فيها و لا في الحوض الصغير، و كذا الحال في جميع المياه المشكوك الكرّيّة</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و وافقه على هذا التفصيل صاحب الرياض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ينبغي القطع بالطهارة لو طرأ الشكّ بعد تيقّن الكرّيّة فيها، لاستصحابي بقاء الطهارة و المادّة على الكرّيّة، و عمومي الأصلين البراءة،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يعلم أنّه قذر</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طرأ الشكّ بعد تيقّن نقصها من الكرّ بكثرة مجيء الماء إليها فلا يبعد ذلك، لتعارضهما من الجانبين فيبقى الأصلان سالمين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الحكم فيما لو طرأ مع فقد اليقين، و أمّا لو انفعل ما في الحوض ثمّ اتّصل بالمادّة المزبورة المشكوك كرّيّتها فالأقرب البقاء على النجاسة، لاستصحابها السليم عن المعارض، و إن احتمل الطهارة أيضا في الجملة، بمعنى عدم تنجيسه ما يلاقيه بإمكان وجود المعارض، من جانب الملاقي الطاهر لمثله، إلاّ أنّ الظاهر كون الاستصحاب الأوّل مجمعا عليه</w:t>
      </w:r>
      <w:r>
        <w:rPr>
          <w:rFonts w:eastAsia="Amiri" w:cs="Amiri" w:ascii="Amiri" w:hAnsi="Amiri"/>
          <w:color w:val="111111"/>
          <w:sz w:val="28"/>
          <w:szCs w:val="28"/>
          <w:rtl w:val="true"/>
          <w:lang w:bidi="ar-SA"/>
        </w:rPr>
        <w:t>.»</w:t>
      </w:r>
      <w:r>
        <w:rPr>
          <w:rStyle w:val="FootnoteAnchor"/>
          <w:rtl w:val="true"/>
        </w:rPr>
        <w:footnoteReference w:id="1711"/>
      </w:r>
      <w:r>
        <w:rPr>
          <w:rFonts w:ascii="IRNazanin" w:hAnsi="IRNazanin" w:eastAsia="IRNazanin"/>
          <w:color w:val="111111"/>
          <w:sz w:val="28"/>
          <w:sz w:val="28"/>
          <w:szCs w:val="28"/>
          <w:rtl w:val="true"/>
          <w:lang w:bidi="fa-IR"/>
        </w:rPr>
        <w:t>انتهى، و استجوده بعض تلامذته</w:t>
      </w:r>
      <w:r>
        <w:rPr>
          <w:rStyle w:val="FootnoteAnchor"/>
          <w:rtl w:val="true"/>
        </w:rPr>
        <w:footnoteReference w:id="17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804792_1280447820"/>
      <w:bookmarkStart w:id="580" w:name="_Toc227"/>
      <w:bookmarkEnd w:id="579"/>
      <w:r>
        <w:rPr>
          <w:rtl w:val="true"/>
        </w:rPr>
        <w:t>و ثالثها</w:t>
      </w:r>
      <w:r>
        <w:rPr>
          <w:rtl w:val="true"/>
        </w:rPr>
        <w:t xml:space="preserve">: </w:t>
      </w:r>
      <w:r>
        <w:rPr>
          <w:rtl w:val="true"/>
        </w:rPr>
        <w:t>قال المحقّق الخوانساري</w:t>
      </w:r>
      <w:r>
        <w:rPr>
          <w:rtl w:val="true"/>
        </w:rPr>
        <w:t xml:space="preserve">: </w:t>
      </w:r>
      <w:r>
        <w:rPr>
          <w:rtl w:val="true"/>
        </w:rPr>
        <w:t xml:space="preserve">و </w:t>
      </w:r>
      <w:r>
        <w:rPr>
          <w:rtl w:val="true"/>
        </w:rPr>
        <w:t>«</w:t>
      </w:r>
      <w:r>
        <w:rPr>
          <w:rtl w:val="true"/>
        </w:rPr>
        <w:t>اعلم أنّهم اكتفوا في الكرّيّة بشهادة العدلين بها و اختلف في الواحد،</w:t>
      </w:r>
      <w:bookmarkEnd w:id="580"/>
    </w:p>
    <w:p>
      <w:pPr>
        <w:pStyle w:val="BookText"/>
        <w:rPr/>
      </w:pPr>
      <w:r>
        <w:rPr>
          <w:rFonts w:ascii="Amiri" w:hAnsi="Amiri" w:eastAsia="Amiri" w:cs="Amiri"/>
          <w:color w:val="111111"/>
          <w:sz w:val="28"/>
          <w:sz w:val="28"/>
          <w:szCs w:val="28"/>
          <w:rtl w:val="true"/>
          <w:lang w:bidi="ar-SA"/>
        </w:rPr>
        <w:t>فقد قطع المحقّق الشيخ عليّ بالاكتفاء به، بناء على أنّه إخبار لا شهادة، و استقرب لو كان له يد على الحمّام كالمالك و المستأجر و الوكيل، و نقل عن فخر المحقّقين قبول قول ذي اليد على الحمّام مطلقا، سواء كان عدلا أو لا و في غير شهادة العدلين إشكال قويّ لعدم نصّ عليه و فيها أيضا بعض الإشكال</w:t>
      </w:r>
      <w:r>
        <w:rPr>
          <w:rFonts w:eastAsia="Amiri" w:cs="Amiri" w:ascii="Amiri" w:hAnsi="Amiri"/>
          <w:color w:val="111111"/>
          <w:sz w:val="28"/>
          <w:szCs w:val="28"/>
          <w:rtl w:val="true"/>
          <w:lang w:bidi="ar-SA"/>
        </w:rPr>
        <w:t>».</w:t>
      </w:r>
      <w:r>
        <w:rPr>
          <w:rStyle w:val="FootnoteAnchor"/>
          <w:rtl w:val="true"/>
        </w:rPr>
        <w:footnoteReference w:id="1713"/>
      </w:r>
    </w:p>
    <w:p>
      <w:pPr>
        <w:pStyle w:val="Heading5"/>
        <w:numPr>
          <w:ilvl w:val="4"/>
          <w:numId w:val="1"/>
        </w:numPr>
        <w:rPr/>
      </w:pPr>
      <w:bookmarkStart w:id="581" w:name="__RefHeading___Toc1804794_1280447820"/>
      <w:bookmarkStart w:id="582" w:name="_Toc228"/>
      <w:bookmarkEnd w:id="581"/>
      <w:r>
        <w:rPr>
          <w:rtl w:val="true"/>
        </w:rPr>
        <w:t>و رابعها</w:t>
      </w:r>
      <w:r>
        <w:rPr>
          <w:rtl w:val="true"/>
        </w:rPr>
        <w:t xml:space="preserve">: </w:t>
      </w:r>
      <w:r>
        <w:rPr>
          <w:rtl w:val="true"/>
        </w:rPr>
        <w:t>قد عرفت في ذيل كلام السيّد في الرياض الحكم بنجاسة ما يلاقي ماء الحوض النجس المتّصل بالمادّة المشكوكة في كرّيّتها،</w:t>
      </w:r>
      <w:bookmarkEnd w:id="58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احتماله طهارة الملاقي خاصّة لإمكان معارضة استصحاب الطهارة فيه لاستصحاب النجاسة في الماء، مع دعواه على العمل باستصحاب النجاسة المقتضية لنجاسة الملاقي، و قد يجعل الاحتمالان المذكوران </w:t>
      </w:r>
      <w:bookmarkStart w:id="583" w:name="pg16144_233393"/>
    </w:p>
    <w:p>
      <w:pPr>
        <w:pStyle w:val="BookText"/>
        <w:rPr/>
      </w:pPr>
      <w:bookmarkEnd w:id="583"/>
      <w:r>
        <w:rPr>
          <w:rFonts w:ascii="Amiri" w:hAnsi="Amiri" w:eastAsia="Amiri" w:cs="Amiri"/>
          <w:color w:val="111111"/>
          <w:sz w:val="28"/>
          <w:sz w:val="28"/>
          <w:szCs w:val="28"/>
          <w:rtl w:val="true"/>
          <w:lang w:bidi="ar-SA"/>
        </w:rPr>
        <w:t>قولين في ذلك الفرع، و لكن يرجّح احتمال النجاسة تعليلا بكون استصحاب نجاسة الماء من استصحاب طهارة الملاقي مزيلا له فيقدّم عليه على ما هو مقرّر في محلّه، و يجعل السرّ في الإجماع المدّعى على العمل باستصحاب النجاسة هو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الفروع المذكورة مبنيّ على النظر في تأسيس أصل كلّي يجري في غالب أبواب الطهارات و غيرها، و هو أنّ الطهارة في الماء حيثما علّق عليها الأحكام، هل العبرة فيها بالعلم بها أو لا؟ و على الثاني فهل يعتبر فيها أمارة من الأمارات الشرعيّة التعبّديّة أو لا؟ ثمّ النجاسة على فرض عدم اعتبار علم و لا أمارة في نقيضها يلزمها أن يعتبر فيها العلم أو الأمارة؟ فهل يتعيّن فيها العلم خاصّة، و لا يحكم بها بدونه و لو مع قيام الأمارة عليها؟ أو يكفي في ثبوتها الأمارة أيضا، و أنّها تقوم مقام العلم؟ و عليه فهل يتعيّن في ذلك أمارة دون اخرى؟ أو يجري فيها عامّة الأمارات الجارية في غير المقام، ثمّ إذا كفت الأمارة في ثبوت نجاسة شيء فهل تفيد تلك النجاسة تنجيسا لملاقيه أو لا؟</w:t>
      </w:r>
    </w:p>
    <w:p>
      <w:pPr>
        <w:pStyle w:val="BookText"/>
        <w:rPr/>
      </w:pPr>
      <w:r>
        <w:rPr>
          <w:rFonts w:ascii="Amiri" w:hAnsi="Amiri" w:eastAsia="Amiri" w:cs="Amiri"/>
          <w:color w:val="111111"/>
          <w:sz w:val="28"/>
          <w:sz w:val="28"/>
          <w:szCs w:val="28"/>
          <w:rtl w:val="true"/>
          <w:lang w:bidi="ar-SA"/>
        </w:rPr>
        <w:t xml:space="preserve">غير أنّه ينبغي أن يعلم أنّ هذا البحث إنّما يثمر و يجري في معرفة حكم الجزئيّات، المعلوم حكم كلّيّاتها بأصل الشرع من طهارة أو نجاسة، الصالحة لاندراجها تحت كلّ من الكلّيّين المعلوم حكمهما الكلّي الإلهي، الّتي قد يعبّر عنها بالموضوعات الصرفة، و إلاّ فكلّ من الطهارة و النجاسة من حيث إنّه حكم كلّي إلهي يتبع في ثبوته لموضوعاته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يعبّر عنها بالموضوعات المستنبطة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لدليله، من حيث إنّه توقيفي فلا بدّ فيه من دليل علمي أو ظنّي حيث يعتبر</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804796_1280447820"/>
      <w:bookmarkStart w:id="585" w:name="_Toc229"/>
      <w:bookmarkEnd w:id="584"/>
      <w:r>
        <w:rPr>
          <w:rtl w:val="true"/>
        </w:rPr>
        <w:t>فالكلام في اعتبار العلم فيه من هذه الجهة، أو كفاية مطلق الظنّ، أو اعتبار الأمارة مطلقة، أو غيرها، هو الكلام في حجّيّة الظنّ و دليليّة الطرق المعهودة،</w:t>
      </w:r>
      <w:bookmarkEnd w:id="585"/>
    </w:p>
    <w:p>
      <w:pPr>
        <w:pStyle w:val="Heading5"/>
        <w:numPr>
          <w:ilvl w:val="4"/>
          <w:numId w:val="1"/>
        </w:numPr>
        <w:rPr/>
      </w:pPr>
      <w:bookmarkStart w:id="586" w:name="__RefHeading___Toc1804798_1280447820"/>
      <w:bookmarkStart w:id="587" w:name="_Toc230"/>
      <w:bookmarkEnd w:id="586"/>
      <w:r>
        <w:rPr>
          <w:rtl w:val="true"/>
        </w:rPr>
        <w:t>اشارة</w:t>
      </w:r>
      <w:bookmarkEnd w:id="58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كما ترى شيء لا يتعلّق به غرض الفقيه أصلا و إنّما هو بحث له محلّ آخر، بل الّذي يتعلّق به الغرض هنا إنّما هو استعلام كون الطهارة و النجاسة المعلومتين للموضوعات المستنبطة منوطتين في موضوعاتها الخارجيّة بالعلم خاصّة، أو تكفي فيهما الظنّ مطلقا، أو أنّ الطهارة منوطة بعدم العلم بالنجاسة بخلاف النجاسة، فإنّها منوطة بالعلم بها، على معنى العلم بتحقّق سببها الموجب لها، أو ما هو قائم مقامه على فرض ثبوته، ثمّ إنّه لا فرق في هذا البحث بين المياه و غيرها ممّا اعتبر فيها الطهارة، من المآكل و المشارب و الثياب </w:t>
      </w:r>
      <w:bookmarkStart w:id="588" w:name="pg16144_233394"/>
    </w:p>
    <w:p>
      <w:pPr>
        <w:pStyle w:val="BookText"/>
        <w:rPr/>
      </w:pPr>
      <w:bookmarkEnd w:id="588"/>
      <w:r>
        <w:rPr>
          <w:rFonts w:ascii="Amiri" w:hAnsi="Amiri" w:eastAsia="Amiri" w:cs="Amiri"/>
          <w:color w:val="111111"/>
          <w:sz w:val="28"/>
          <w:sz w:val="28"/>
          <w:szCs w:val="28"/>
          <w:rtl w:val="true"/>
          <w:lang w:bidi="ar-SA"/>
        </w:rPr>
        <w:t>و الأواني و نحوها، و كيف كان فينبغي في المقام الكلام في مطالب</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804800_1280447820"/>
      <w:bookmarkStart w:id="590" w:name="_Toc231"/>
      <w:bookmarkEnd w:id="589"/>
      <w:r>
        <w:rPr>
          <w:rtl w:val="true"/>
        </w:rPr>
        <w:t>المطلب الأوّل</w:t>
      </w:r>
      <w:r>
        <w:rPr>
          <w:rtl w:val="true"/>
        </w:rPr>
        <w:t xml:space="preserve">: </w:t>
      </w:r>
      <w:r>
        <w:rPr>
          <w:rtl w:val="true"/>
        </w:rPr>
        <w:t>لا إشكال كما لا خلاف في أنّ الطهارة المعتبرة في الماء بل كلّ مشروط بالطهارة غير منوطة بالعلم به،</w:t>
      </w:r>
      <w:bookmarkEnd w:id="590"/>
    </w:p>
    <w:p>
      <w:pPr>
        <w:pStyle w:val="Heading6"/>
        <w:numPr>
          <w:ilvl w:val="5"/>
          <w:numId w:val="1"/>
        </w:numPr>
        <w:rPr/>
      </w:pPr>
      <w:bookmarkStart w:id="591" w:name="__RefHeading___Toc1804802_1280447820"/>
      <w:bookmarkStart w:id="592" w:name="_Toc232"/>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بل الّذي ينوط به في ترتيب الأحكام الشرعيّة إنّما هو النجاسة، قال الشيخ في لباس المصلّي من زيادات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رواية عبد اللّه بن سنان الآتية، الآمرة بغسل الثوب للصلاة الّذي اعير لمن يعلم أنّه يأكل الجري و يشرب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محمول على الاستحباب، لأنّ الأصل في الأشياء كلّها الطهارة، و لا يجب غسل شيء من الثياب إلاّ بعد العلم بأنّ فيها نجاسة، و قد روى هذا الراوي بعينه خلاف هذا الخبر</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يعني به روايته الاخرى الآتية المصرّحة في الثوب الّذي اعير للذمّي بعدم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عدا نجس العين يجب الحكم بطهارته، تمسّكا بمقتضى الأصل و العمومات إلى أن يحصل اليقين بملاقاته لشيء من الأعيان النجسة بإحدى الطرق المفيدة له، و لا عبرة بالظنّ ما لم يستند إلى حجّة شرعيّة، لانتفاء الدليل على اعتباره، و عموم النهي عن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 قدّس سرّه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1804804_1280447820"/>
      <w:bookmarkStart w:id="594" w:name="_Toc233"/>
      <w:bookmarkEnd w:id="593"/>
      <w:r>
        <w:rPr>
          <w:rtl w:val="true"/>
        </w:rPr>
        <w:t xml:space="preserve">و الأصل فيما ذكرناه من الحكمين بعد الإجماع القولي المقطوع به من تتبّع كلمات الأصحاب </w:t>
      </w:r>
      <w:r>
        <w:rPr>
          <w:rtl w:val="true"/>
        </w:rPr>
        <w:t>[</w:t>
      </w:r>
      <w:r>
        <w:rPr>
          <w:rtl w:val="true"/>
        </w:rPr>
        <w:t>الأخبار المعتبرة</w:t>
      </w:r>
      <w:r>
        <w:rPr>
          <w:rtl w:val="true"/>
        </w:rPr>
        <w:t>]</w:t>
      </w:r>
      <w:r>
        <w:rPr>
          <w:rtl w:val="true"/>
        </w:rPr>
        <w:t>،</w:t>
      </w:r>
      <w:bookmarkEnd w:id="594"/>
    </w:p>
    <w:p>
      <w:pPr>
        <w:pStyle w:val="BookText"/>
        <w:rPr/>
      </w:pPr>
      <w:r>
        <w:rPr>
          <w:rFonts w:ascii="Amiri" w:hAnsi="Amiri" w:eastAsia="Amiri" w:cs="Amiri"/>
          <w:color w:val="111111"/>
          <w:sz w:val="28"/>
          <w:sz w:val="28"/>
          <w:szCs w:val="28"/>
          <w:rtl w:val="true"/>
          <w:lang w:bidi="ar-SA"/>
        </w:rPr>
        <w:t>و العملي المعلوم من طريقة الفقهاء و سيرة كافّة المتشرّعة في عامّة الأعصار و قاطبة الأمصار، الأخبار المعتبرة الّتي فيها الصحاح و غيرها المستفيضة القريبة من التواتر، بل المتواترة باعتبار المعنى جدّا بل البالغة فوق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المستفيض المرويّ في كتب المشايخ الثلاث بطرق متكرّرة، المتّفق على العمل به، المتلقّى بالقبول لدى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المرويّة في التهذيب و الوسائل عنه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يعلم أنّه قذر، فإذا علمت فقد قذر، و ما لم تعلم فليس عليك شيء</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 xml:space="preserve">و قد مرّ في مباحث الماء القليل الكلام في تطبيق الاولى على </w:t>
      </w:r>
    </w:p>
    <w:p>
      <w:pPr>
        <w:pStyle w:val="BookText"/>
        <w:rPr/>
      </w:pPr>
      <w:r>
        <w:rPr>
          <w:rFonts w:ascii="Amiri" w:hAnsi="Amiri" w:eastAsia="Amiri" w:cs="Amiri"/>
          <w:color w:val="111111"/>
          <w:sz w:val="28"/>
          <w:sz w:val="28"/>
          <w:szCs w:val="28"/>
          <w:rtl w:val="true"/>
          <w:lang w:bidi="ar-SA"/>
        </w:rPr>
        <w:t>الموضوعات الخارجيّة و على قياسها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أو ماء إذا لم أعلم</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تمسّك به في المدارك</w:t>
      </w:r>
      <w:r>
        <w:rPr>
          <w:rStyle w:val="FootnoteAnchor"/>
          <w:rtl w:val="true"/>
        </w:rPr>
        <w:footnoteReference w:id="1719"/>
      </w:r>
      <w:r>
        <w:rPr>
          <w:rFonts w:ascii="Amiri" w:hAnsi="Amiri" w:eastAsia="Amiri" w:cs="Amiri"/>
          <w:color w:val="111111"/>
          <w:sz w:val="28"/>
          <w:sz w:val="28"/>
          <w:szCs w:val="28"/>
          <w:rtl w:val="true"/>
          <w:lang w:bidi="ar-SA"/>
        </w:rPr>
        <w:t>على ما تقدّم عنه من دعوى الأصل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بن موسى الساباطي، أنّه سأل أبا عبد اللّه عليه السّلام عن الرجل يجد في إنائه فأرة، و قد توضّأ من ذلك الإناء مرارا، أو غسل منه ثيابه أو اغتسل منه، و قد كانت الفأرة متسلّخة؟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 يغسل كلّما أصابه ذلك الماء، و يعيد الوضوء و الصلاة، و إن كان إنّما رآها بعد ما فرغ من ذلك و فعله فلا يمسّ من الماء شيئا، و ليس عليه شيء، لأنّه لا يعلم متى سقطت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تكون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و هذا كما ترى يقضي بعدم اعتبار الظنّ بالنجاسة بجميع مراتبه، حتّى ما يكون منه قويّا متآخما بالعلم، ضرورة أنّ انفساخ الفأرة كما هو مفروض السؤال ممّا يحصل معه ظنّ قويّ قريب من العلم بسقوطها في الإناء قبل جميع تلك الاستعمالات، إن لم نقل بإيراثه العلم بذلك، و احتمال كونها ساقطة في الساعة الّذي أبدأه الإمام عليه السّلام في غاية البعد و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المتقدّمة في مباحث الماء القليل، بالتوجيه المتقدّم ثمّة، القائلة في دم الرعاف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 و إن كان شيئا بيّنا فلا تتوضّأ منه</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محمّد بن إسماعيل المرويّة في الكافي عن بعض أصحابنا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المطر، أنّه لا بأس به أن يصيب الثوب ثلاثة أيّام، إلاّ أن تعلم أنّه قد نجّسه شيء بعد المطر، فإن أصابه بعد ثلاثة أيّام فاغسله، فإن كان الطريق نظيفا لم تغسله</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بإبراهيم بن هاشم، المرويّ في الكافي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الرجل فأصاب ثوبه شيء فليغسل الّذي أصابه، فإن ظنّ أنّه أصابه شيء و لم يستيقن و لم ير مكانه، فلينضحه بالماء، و إن استيقن أنّه قد أصابه شيء و لم ير مكانه فليغسل ثوبه كلّه، فإنّه أحسن</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بناء على أنّ النضح المعلّق على ظنّ الإصابة و عدم تيقّنها هو الرشّ، فلا يكون مجزيا عن الغسل لو كان الظنّ كافيا في تنجّس المحلّ، و هو محمول عندهم بالاستحباب، و أمكن كونه تعبّدا على حدّ سائر التعبّديّات الّتي منها غسل موضع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الثوب قد أصابه الجنابة فلم يغسله، هل يصلح النوم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و سألته عن الرجل يعرق في الثوب، يعلم أنّ فيه جنابة، كيف يصنع؟ هل يصلح له أن يصلّي قبل أن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إذا عرق أصاب جسده من ذلك الجنابة الّتي في الثوب، فليغسل ما أصاب جسده من ذلك، و إن علم أنّه قد أصاب جسده و لم يعرف مكانه، فليغسل جسده كلّه،</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فإنّه بمفهومه دالّ على عدم وجوب غسل الجسد مع عدم العلم بإصابة الجسد، كما أنّه بمنطوقه دالّ على وجوبه مع العلم بالإصابة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القاسم عن 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الدجاجة و الحمامة و أشباهها، تطأ العذرة، ثمّ تطأ الثوب أ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استبان من أثره شيء فاغسله، و إلاّ فلا بأس</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و مثله مرويّ‌</w:t>
      </w:r>
      <w:r>
        <w:rPr>
          <w:rStyle w:val="FootnoteAnchor"/>
          <w:rtl w:val="true"/>
        </w:rPr>
        <w:footnoteReference w:id="1727"/>
      </w:r>
      <w:r>
        <w:rPr>
          <w:rFonts w:ascii="Amiri" w:hAnsi="Amiri" w:eastAsia="Amiri" w:cs="Amiri"/>
          <w:color w:val="111111"/>
          <w:sz w:val="28"/>
          <w:sz w:val="28"/>
          <w:szCs w:val="28"/>
          <w:rtl w:val="true"/>
          <w:lang w:bidi="ar-SA"/>
        </w:rPr>
        <w:t>عن عليّ بن جعفر عن أخيه موسى بن جعفر عليه السّلام، و دلالتهما واضحة بعد ملاحظة ما أشرنا إليه في رواية دم الرعاف المتقدّمة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يبول بالليل، فيحسب أنّ البول أصابه فلا يستيقن، فهل يجزيه أن يصبّ على ذكره إذا بال، و لا يتنشّف؟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ما استبان أنّه قد أصابه، و ينضح ما يشكّ فيه من جسده و ثيابه، </w:t>
      </w:r>
    </w:p>
    <w:p>
      <w:pPr>
        <w:pStyle w:val="BookText"/>
        <w:rPr/>
      </w:pPr>
      <w:r>
        <w:rPr>
          <w:rFonts w:ascii="Amiri" w:hAnsi="Amiri" w:eastAsia="Amiri" w:cs="Amiri"/>
          <w:color w:val="111111"/>
          <w:sz w:val="28"/>
          <w:sz w:val="28"/>
          <w:szCs w:val="28"/>
          <w:rtl w:val="true"/>
          <w:lang w:bidi="ar-SA"/>
        </w:rPr>
        <w:t>و يتنشّف قبل أن يتوضّأ</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بالتنشّف الاستبراء، و بالوضوء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الاستدلال ما تقدّم في حسنة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المنيّ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أصابه و لم أتيقّن ذلك فنظرت، فلم أر شيئا ثمّ 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و ليس ينبغي لك أن تنقض اليقين بالشكّ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تريد أن تذهب الشكّ الّذي وقع في نفسك</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بإبراهيم بن هاشم أيضا،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أصاب ثوبه جنابة أو 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علم إنّه أصاب ثوبه جنابة قبل أن يصلّي، ثمّ صلّى فيه و لم يغسله، فعليه أن يعيد ما صلّى، و إن كان لم يعلم فليس عليه إعادة، و إن كان يرى أنّه أصابه شيء فينظر فلم ير شيئا، أجزأه أن ينضحه بالماء</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أنا حاضر، أنّي اعير الذمّي ثوبي، و أنا أعلم أنّه يشرب الخمر، و يأكل الخنزير، فيردّه عليّ فأغسله قبل أن اصلّي فيه؟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و لا تغسله من أجل ذلك، فإنّك أعرته إيّاه و هو طاهر، و لم تستيقن أنّه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أبي عبد اللّه عليه السّلام إنّ أمير المؤمنين عليه السّلام سئل عن سفرة وجدت في طريق مطروحة، كثير لحمها و خبزها و جبنها و بيضها و فيها سكّين،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ما فيها، ثمّ يؤكل، لأنّه يفسد و ليس له بقاء، فإذا جاء طالبها غرموا له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يدري سفرة مسلم هي أم 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سعة حتّى تعلموا</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بن مهران، أنّه سأل أبا عبد اللّه عليه السّلام عن تقليد السيف في الصلاة، و فيه الغرى</w:t>
      </w:r>
      <w:r>
        <w:rPr>
          <w:rStyle w:val="FootnoteAnchor"/>
          <w:rtl w:val="true"/>
        </w:rPr>
        <w:footnoteReference w:id="1733"/>
      </w:r>
      <w:r>
        <w:rPr>
          <w:rFonts w:ascii="Amiri" w:hAnsi="Amiri" w:eastAsia="Amiri" w:cs="Amiri"/>
          <w:color w:val="111111"/>
          <w:sz w:val="28"/>
          <w:sz w:val="28"/>
          <w:szCs w:val="28"/>
          <w:rtl w:val="true"/>
          <w:lang w:bidi="ar-SA"/>
        </w:rPr>
        <w:t>و الكيمخت؟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لم تعلم أنّه ميتة</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إنّ رجلا سأل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يتقلّد السيف و 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الكيمخت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 منه ما يكون 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أنّه ميّت فلا تصلّ فيه</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الخفاف الّتي تباع في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 صلّ فيها حتّى تعلم أنّه ميّت بعينه</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السوق فيشتري جبّة فرّا، لا يدري أ ذكيّة هي أم غير ذكيّة، أ يصلّي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ليس عليكم المسألة، أنّ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أنّ الدين أوسع من ذلك</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يأتي السوق فيشتري الخفّ، لا يدري أ ذكيّ هو أم لا؟ ما تقول في الصلاة فيه، و هو لا يدري أ 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أشتري الخفّ من السوق، و يصنع لي و اصلّي، و ليس عليكم المسألة</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جلود الفراء يشتريها الرجل من أسواق الجبل، أ يسأل عن ذكاته إذا كان البائع مسلما غير 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 تسألوا عنه إذا رأيتم المشركين يبيعون ذلك، و 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يبعث بالدراهم إلى السوق، فيشتري بها جبنا، فيسمّي و يأكل و لا يسأل عنه</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الخفاف عندنا في السوق نشتريها، فما ترى في الصلاة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 حتّى يقال لك أنّها ميتة بعينه</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السوق فأشتري خفّا، لا أدري أ ذكيّ هو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أضيق من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ترغب عمّا كان أبو الحسن عليه السّلام يفعله</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1497/362:2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الثياب السابريّة يعملها المجوس، و هم أخباث و هم يشربون الخمر، و نساؤهم على تلك الحال، ألبسها و لا أغسلها و اصلّي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فقطعت له قميصا و خطته و فتلت له إزارا و رداء من السابري، ثمّ بعثت بها إليه في يوم جمعة حين ارتفع النهار، فكأنّه عرف ما اريد فخرج بها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من خبر المعلّى بن خنيس،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الثياب الّتي تعملها المجوس و النصارى و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نفي البأس عن الصلاة فيها بلا غسل، و إلاّ فلم يكن أحد يشكّ في عدم البأس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ثوب 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أنّ الرشّ ليس غسلا ليتبع النجاسة الثابتة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عليّ البزّاز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عليهما السّلام عن الثوب </w:t>
      </w:r>
      <w:bookmarkStart w:id="595" w:name="pg16144_233400"/>
    </w:p>
    <w:p>
      <w:pPr>
        <w:pStyle w:val="BookText"/>
        <w:rPr/>
      </w:pPr>
      <w:bookmarkEnd w:id="595"/>
      <w:r>
        <w:rPr>
          <w:rFonts w:ascii="Amiri" w:hAnsi="Amiri" w:eastAsia="Amiri" w:cs="Amiri"/>
          <w:color w:val="111111"/>
          <w:sz w:val="28"/>
          <w:sz w:val="28"/>
          <w:szCs w:val="28"/>
          <w:rtl w:val="true"/>
          <w:lang w:bidi="ar-SA"/>
        </w:rPr>
        <w:t>يعمله أهل الكتاب، اصلّي فيه قبل أن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أن يغسل أحبّ إليّ</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جميلة عن أبي عبد اللّه عليه السّلام أنّه سئل عن ثوب المجوسي، ألبسه و اصلّي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نحن نشتري الثياب السابريّة فنلبسها و لا نغسلها</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أحمد بن عليّ بن أبي طالب الطبرسي في الاحتجاج، عن محمّد بن عبد اللّه بن جعفر الحميري، أنّه كتب إلى صاحب الزمان عليه السّلام عندنا حاكة مجوس يأكلون الميتة، و لا يغتسلون من الجنابة، و ينسجون لنا ثيابنا، فهل يجوز الصلاة فيها من قبل أن تغتسل؟ فكتب إليه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الاستبصار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الجبن، و تقليد السيف و فيه الكيمخت و الفراء؟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يعلم أنّه ميتة</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إلى غير ذلك من الروايات الجزئيّة الّتي يطّلع عليها المتتبّع في أبواب متفرّقة</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804806_1280447820"/>
      <w:bookmarkStart w:id="597" w:name="_Toc234"/>
      <w:bookmarkEnd w:id="596"/>
      <w:r>
        <w:rPr>
          <w:rtl w:val="true"/>
        </w:rPr>
        <w:t>و لا ريب أنّ المستفاد من مجموع تلك الأخبار الدالّة بعضها عموما و البعض الآخر خصوصا امور</w:t>
      </w:r>
      <w:r>
        <w:rPr>
          <w:rtl w:val="true"/>
        </w:rPr>
        <w:t>:</w:t>
      </w:r>
      <w:bookmarkEnd w:id="597"/>
    </w:p>
    <w:p>
      <w:pPr>
        <w:pStyle w:val="Heading6"/>
        <w:numPr>
          <w:ilvl w:val="5"/>
          <w:numId w:val="1"/>
        </w:numPr>
        <w:rPr/>
      </w:pPr>
      <w:bookmarkStart w:id="598" w:name="__RefHeading___Toc1804808_1280447820"/>
      <w:bookmarkStart w:id="599" w:name="_Toc235"/>
      <w:bookmarkEnd w:id="598"/>
      <w:r>
        <w:rPr>
          <w:rtl w:val="true"/>
        </w:rPr>
        <w:t>أحدها</w:t>
      </w:r>
      <w:r>
        <w:rPr>
          <w:rtl w:val="true"/>
        </w:rPr>
        <w:t xml:space="preserve">: </w:t>
      </w:r>
      <w:r>
        <w:rPr>
          <w:rtl w:val="true"/>
        </w:rPr>
        <w:t>أنّ ثبوت الطهارة في مواردها و ترتّب أحكامها على تلك الموارد لا يتوقّف على العلم بها</w:t>
      </w:r>
      <w:r>
        <w:rPr>
          <w:rtl w:val="true"/>
        </w:rPr>
        <w:t>.</w:t>
      </w:r>
      <w:bookmarkEnd w:id="599"/>
    </w:p>
    <w:p>
      <w:pPr>
        <w:pStyle w:val="Heading6"/>
        <w:numPr>
          <w:ilvl w:val="5"/>
          <w:numId w:val="1"/>
        </w:numPr>
        <w:rPr/>
      </w:pPr>
      <w:bookmarkStart w:id="600" w:name="__RefHeading___Toc1804810_1280447820"/>
      <w:bookmarkStart w:id="601" w:name="_Toc236"/>
      <w:bookmarkEnd w:id="600"/>
      <w:r>
        <w:rPr>
          <w:rtl w:val="true"/>
        </w:rPr>
        <w:t>و ثانيها</w:t>
      </w:r>
      <w:r>
        <w:rPr>
          <w:rtl w:val="true"/>
        </w:rPr>
        <w:t xml:space="preserve">: </w:t>
      </w:r>
      <w:r>
        <w:rPr>
          <w:rtl w:val="true"/>
        </w:rPr>
        <w:t>أنّها كما لا تتوقّف على العلم، فكذلك لا تتوقّف على قيام أمارة تعبّديّة بها،</w:t>
      </w:r>
      <w:bookmarkEnd w:id="60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استصحاب، أو بيّنة، أو إخبار عدل، أو ذي يد و نحوها، فإنّ ذلك يستفاد عن إطلاق الخبر الأوّل و الثاني و جملة كثيرة من البواقي، و أقوى ما يدلّ على ذلك الخبر الثالث عن أمير المؤمنين عليه السّلام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ما يتردّد بين الماء و البول لا يعلم له بالخصوص حالة سابقة، ليكون الحكم بالطهارة مستندا إليها استصحابا لها، و طهارة المحلّ و إن كانت بعد إصابة ذلك إيّاه قابلة للاستصحاب، غير أنّ </w:t>
      </w:r>
      <w:bookmarkStart w:id="602" w:name="pg16144_233401"/>
    </w:p>
    <w:p>
      <w:pPr>
        <w:pStyle w:val="BookText"/>
        <w:rPr/>
      </w:pPr>
      <w:bookmarkEnd w:id="602"/>
      <w:r>
        <w:rPr>
          <w:rFonts w:ascii="Amiri" w:hAnsi="Amiri" w:eastAsia="Amiri" w:cs="Amiri"/>
          <w:color w:val="111111"/>
          <w:sz w:val="28"/>
          <w:sz w:val="28"/>
          <w:szCs w:val="28"/>
          <w:rtl w:val="true"/>
          <w:lang w:bidi="ar-SA"/>
        </w:rPr>
        <w:t>المنساق من الرواية كون الحكم بالطهارة لاحقا هنا بالمائع المتردّد بين الأمرين لا بالمحلّ، و إن استلزم طهارة الأوّل طهارة المحلّ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في صحيحة زرارة</w:t>
      </w:r>
      <w:r>
        <w:rPr>
          <w:rStyle w:val="FootnoteAnchor"/>
          <w:rtl w:val="true"/>
        </w:rPr>
        <w:footnoteReference w:id="1747"/>
      </w:r>
      <w:r>
        <w:rPr>
          <w:rFonts w:ascii="Amiri" w:hAnsi="Amiri" w:eastAsia="Amiri" w:cs="Amiri"/>
          <w:color w:val="111111"/>
          <w:sz w:val="28"/>
          <w:sz w:val="28"/>
          <w:szCs w:val="28"/>
          <w:rtl w:val="true"/>
          <w:lang w:bidi="ar-SA"/>
        </w:rPr>
        <w:t>من استناد الإمام عليه السّلام إلى الاستصحاب، و لا ما يظهر من صحيحة عبد اللّه بن سنان</w:t>
      </w:r>
      <w:r>
        <w:rPr>
          <w:rStyle w:val="FootnoteAnchor"/>
          <w:rtl w:val="true"/>
        </w:rPr>
        <w:footnoteReference w:id="1748"/>
      </w:r>
      <w:r>
        <w:rPr>
          <w:rFonts w:ascii="Amiri" w:hAnsi="Amiri" w:eastAsia="Amiri" w:cs="Amiri"/>
          <w:color w:val="111111"/>
          <w:sz w:val="28"/>
          <w:sz w:val="28"/>
          <w:szCs w:val="28"/>
          <w:rtl w:val="true"/>
          <w:lang w:bidi="ar-SA"/>
        </w:rPr>
        <w:t>من كون الاستناد إلى الحالة السابقة، فلا داعي إلى حمل المطلقات على هذا المقيّد، لما قرّر في محلّه من أنّ العامّ و الخاصّ لا يحمل أحدهما على الآخر،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له حالة سابقة تصلح للاستناد إليها، مع أنّ قاعدة حمل المطلق على المقيّد فيما بين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إلاّ في موضع التكليف الإلزامي و المقام ليس منه، مع أنّ أصل الحمل لا يمكن بالنسبة إلى الخبر الثالث كما عرفت</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804812_1280447820"/>
      <w:bookmarkStart w:id="604" w:name="_Toc237"/>
      <w:bookmarkEnd w:id="603"/>
      <w:r>
        <w:rPr>
          <w:rtl w:val="true"/>
        </w:rPr>
        <w:t>و ثالثها</w:t>
      </w:r>
      <w:r>
        <w:rPr>
          <w:rtl w:val="true"/>
        </w:rPr>
        <w:t xml:space="preserve">: </w:t>
      </w:r>
      <w:r>
        <w:rPr>
          <w:rtl w:val="true"/>
        </w:rPr>
        <w:t>عدم وجوب الفحص و النظر تحصيلا للعلم بالنجاسة، أو إحراز لأمارة قامت بها على فرض كونها معتبرة في ثبوتها،</w:t>
      </w:r>
      <w:bookmarkEnd w:id="604"/>
    </w:p>
    <w:p>
      <w:pPr>
        <w:pStyle w:val="BookText"/>
        <w:rPr/>
      </w:pPr>
      <w:r>
        <w:rPr>
          <w:rFonts w:ascii="Amiri" w:hAnsi="Amiri" w:eastAsia="Amiri" w:cs="Amiri"/>
          <w:color w:val="111111"/>
          <w:sz w:val="28"/>
          <w:sz w:val="28"/>
          <w:szCs w:val="28"/>
          <w:rtl w:val="true"/>
          <w:lang w:bidi="ar-SA"/>
        </w:rPr>
        <w:t>و الّذي يدلّ عليه صراحة من الأخبار صحيحة زرارة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عقيب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 إن شككت في أنّه أصابه شيء أن أنظر فيه؟</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لكنّك تريد أن تذهب 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استحبابه، و هو ممّا لا إشكال فيه لاستقلال العقل بحسن الاحتياط، و نحو الصحيحة المذكورة في الصراحة على عدم وجوب الفحص الأخبار الاخر النافية للمسألة، و قد يدّعي الإجماع على عدم وجوبه في العمل بالأصل في الموضوعات الخارجيّة، كما سمعناه عن بعض مشايخنا العظام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عند قراءتنا عليه، و الظاهر أنّه في محلّه في الجملة، و إن اقتضى بعض القواعد وجوبه على ما قرّرناه في بعض تحقيقاتنا الاصوليّة</w:t>
      </w:r>
      <w:r>
        <w:rPr>
          <w:rStyle w:val="FootnoteAnchor"/>
          <w:rtl w:val="true"/>
        </w:rPr>
        <w:footnoteReference w:id="1751"/>
      </w:r>
      <w:r>
        <w:rPr>
          <w:rFonts w:ascii="Amiri" w:hAnsi="Amiri" w:eastAsia="Amiri" w:cs="Amiri"/>
          <w:color w:val="111111"/>
          <w:sz w:val="28"/>
          <w:sz w:val="28"/>
          <w:szCs w:val="28"/>
          <w:rtl w:val="true"/>
          <w:lang w:bidi="ar-SA"/>
        </w:rPr>
        <w:t>، لكن النصوص في خصوص المقام كما عرفت حاكمة عليها</w:t>
      </w:r>
      <w:r>
        <w:rPr>
          <w:rFonts w:eastAsia="Amiri" w:cs="Amiri" w:ascii="Amiri" w:hAnsi="Amiri"/>
          <w:color w:val="111111"/>
          <w:sz w:val="28"/>
          <w:szCs w:val="28"/>
          <w:rtl w:val="true"/>
          <w:lang w:bidi="ar-SA"/>
        </w:rPr>
        <w:t xml:space="preserve">. </w:t>
      </w:r>
      <w:bookmarkStart w:id="605" w:name="pg16144_233402"/>
    </w:p>
    <w:p>
      <w:pPr>
        <w:pStyle w:val="Heading6"/>
        <w:numPr>
          <w:ilvl w:val="5"/>
          <w:numId w:val="1"/>
        </w:numPr>
        <w:rPr/>
      </w:pPr>
      <w:bookmarkStart w:id="606" w:name="__RefHeading___Toc1804814_1280447820"/>
      <w:bookmarkStart w:id="607" w:name="_Toc238"/>
      <w:bookmarkEnd w:id="605"/>
      <w:bookmarkEnd w:id="606"/>
      <w:r>
        <w:rPr>
          <w:rtl w:val="true"/>
        </w:rPr>
        <w:t>و رابعها</w:t>
      </w:r>
      <w:r>
        <w:rPr>
          <w:rtl w:val="true"/>
        </w:rPr>
        <w:t xml:space="preserve">: </w:t>
      </w:r>
      <w:r>
        <w:rPr>
          <w:rtl w:val="true"/>
        </w:rPr>
        <w:t>أنّ النجاسة لا تثبت إلاّ بالعلم، و أنّ الظنّ لا يكفي فيها،</w:t>
      </w:r>
      <w:bookmarkEnd w:id="607"/>
    </w:p>
    <w:p>
      <w:pPr>
        <w:pStyle w:val="BookText"/>
        <w:rPr/>
      </w:pPr>
      <w:r>
        <w:rPr>
          <w:rFonts w:ascii="Amiri" w:hAnsi="Amiri" w:eastAsia="Amiri" w:cs="Amiri"/>
          <w:color w:val="111111"/>
          <w:sz w:val="28"/>
          <w:sz w:val="28"/>
          <w:szCs w:val="28"/>
          <w:rtl w:val="true"/>
          <w:lang w:bidi="ar-SA"/>
        </w:rPr>
        <w:t xml:space="preserve">و لا ريب أنّ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فيها ظاهران في المتعارف من معنييهما، فمن يكتفي فيها بالظنّ أو الأمارة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أو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بدليل ذلك، ليكون حاكما على روايات الباب، بكشفه عن كون الحصر المستفاد منها إضافيّا، أو أنّ العلم و اليقين المعلّق عليهما حكم النجاسة اريد منهما ما يعمّ الظنّ و غيرها من الأمارات، و أنّى له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كفاية إخبار ذي اليد و اعتباره فيها من الأخبار المشتملة على السؤال عن وجوب المسألة و السؤال، فإنّ هذه الأسئلة قاضية بأنّ كون قول ذي اليد مجديا في ثبوت النجاسة كان مفروغا عنه فيما بينهم، و إنّما الشبهة كانت في وجوب تحصيله، و جواب المسئول بنفي وجوب المسألة أيضا ربّما يكون تقريرا لهم على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المسألة بنفسه ردع لهم، لجواز ابتنائه على كون المراد بيان أنّ ما يترتّب على المسألة من الإخبار بالمسئول عنه لا يجدي نفعا في ثبوت النجاسة حتّى يكون المسألة واجبة، و لكنّه خلاف ما يظهر من سياق الروايات، و من سياق أصل القضيّة، مع أنّ في بعضها ما يكون ظاهرا بنفسه في لزوم القبول على تقدير تحقّقه، كما في خبر إسماعيل بن عيسى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 تسألوا عنه إذا رأيتم المشركين يبيعون ذلك</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 xml:space="preserve">الخ إذ أقلّ مراتب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المطلق، و إلاّ فهو ظاهر في الإيجاب، فلو لا الإخبار بالمسئول عنه مجديا في لزوم القبول لما كان لرجحان السؤال عنه وجه، فضلا عن وجوبه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ظاهره أنّ قول المشركين يقبل في أموالهم أنّها ذكيّة و إلاّ فلا فائدة للسؤال عنهم، فإذا قبل قول المشركين فقبول قول المسلمين بطريق أولى،</w:t>
      </w:r>
      <w:r>
        <w:rPr>
          <w:rFonts w:eastAsia="Amiri" w:cs="Amiri" w:ascii="Amiri" w:hAnsi="Amiri"/>
          <w:color w:val="111111"/>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 xml:space="preserve">و لا يخفى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عليه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المراد بالسؤال المأمور به بقرينة السؤال هو السؤال عن المشرك، بل المراد به السؤال من </w:t>
      </w:r>
    </w:p>
    <w:p>
      <w:pPr>
        <w:pStyle w:val="BookText"/>
        <w:rPr/>
      </w:pPr>
      <w:r>
        <w:rPr>
          <w:rFonts w:ascii="Amiri" w:hAnsi="Amiri" w:eastAsia="Amiri" w:cs="Amiri"/>
          <w:color w:val="111111"/>
          <w:sz w:val="28"/>
          <w:sz w:val="28"/>
          <w:szCs w:val="28"/>
          <w:rtl w:val="true"/>
          <w:lang w:bidi="ar-SA"/>
        </w:rPr>
        <w:t>المسلم البائع الغير العارف الّذي فرضه السائل، و لا ينافيه التفصيل كما ذكره في الكتاب المشار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الأظهر في معنى الخبر أنّه لمّا سأل السائل عن حكم الاشتراء من السوق المذكورة إذا كان البائع مسلما، و أنّه هل سأل عن ذكاته أم لا؟ أجاب عليه السّلام بالتفصيل بأنّه إن كان في تلك السوق من يبيع من المشركين فعليكم السؤال من ذلك المسلم، إذ لعلّه أخذه من المشركين، و إذا رأيتم المسلم يصلّي فيه فلا تسألوا، لأنّ صلاته فيه دليل على طهارته عنده، و يفهم من الخبر بمفهوم الشرط أنّه مع عدم من يبيع من المشركين فليس عليكم السؤال</w:t>
      </w:r>
      <w:r>
        <w:rPr>
          <w:rFonts w:eastAsia="Amiri" w:cs="Amiri" w:ascii="Amiri" w:hAnsi="Amiri"/>
          <w:color w:val="111111"/>
          <w:sz w:val="28"/>
          <w:szCs w:val="28"/>
          <w:rtl w:val="true"/>
          <w:lang w:bidi="ar-SA"/>
        </w:rPr>
        <w:t>»</w:t>
      </w:r>
      <w:r>
        <w:rPr>
          <w:rStyle w:val="FootnoteAnchor"/>
          <w:rtl w:val="true"/>
        </w:rPr>
        <w:footnoteReference w:id="17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يبقى الإشكال في هذا الخبر بالنسبة إلى دلالته على وجوب السؤال على فرض بيع المشركين في تلك السوق، و هو ينافي إطلاق سائر الأخبار المشار إليها النافية لوجوب الفحص و السؤال، و لعلّه لضعف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تقييدا لتلك الأخبار لما فيها من الصحاح، و بذلك يضعف التمسّك به على أصل المطلب و هو لزوم قبول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التمسّك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الحلبي المتقدّمة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 حتّى يقال لك أنّها ميتة بعينه</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فإنّها بمفهومها يدلّ على عدم جواز الصلاة بعد تحقّق القول المذكور، و لا نعني من لزوم القبول إلاّ هذا، و لكنّها بإطلاقها تدلّ على لزوم القبول مع هذا القول سواء كان القائل مالكا أو غيره، عادلا أو غيره، واحدا أو متعدّدا، فيشمل البيّنة و أخبار العادل بل الفاسق أيضا و لكن الظاهر أنّه لا قائل بهذا الإطلاق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ينافي ظواهر الأخبار الاخر المشار إليها، لظهورها في مسألة المالك فيقيّد بها هذا الإطلاق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المسألة ممّا لا إشكال فيه، و لم يظهر من الأصحاب مخالف فيها، و ربّما يستظهر الاتّفاق عليه كما أشار إليه صاحب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قبول قول </w:t>
      </w:r>
      <w:bookmarkStart w:id="608" w:name="pg16144_233404"/>
    </w:p>
    <w:p>
      <w:pPr>
        <w:pStyle w:val="BookText"/>
        <w:rPr/>
      </w:pPr>
      <w:bookmarkEnd w:id="608"/>
      <w:r>
        <w:rPr>
          <w:rFonts w:ascii="Amiri" w:hAnsi="Amiri" w:eastAsia="Amiri" w:cs="Amiri"/>
          <w:color w:val="111111"/>
          <w:sz w:val="28"/>
          <w:sz w:val="28"/>
          <w:szCs w:val="28"/>
          <w:rtl w:val="true"/>
          <w:lang w:bidi="ar-SA"/>
        </w:rPr>
        <w:t>المالك في طهارة ثوبه و إنائه و نجاستهما</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رحمه اللّه في موضع من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 العدل بنجاسة إنائه فالوجه القبول، و لو أخبر الفاسق بنجاسة إنائه فالأقرب القبول أيضا</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فما في كلام المحقّق الخوانساري في شرح الدروس من المناقشة في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قول المالك عدلا كان أو فاسقا فلم أظفر له على حجّة</w:t>
      </w:r>
      <w:r>
        <w:rPr>
          <w:rFonts w:eastAsia="Amiri" w:cs="Amiri" w:ascii="Amiri" w:hAnsi="Amiri"/>
          <w:color w:val="111111"/>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ممّا يقضي بالعجب، و مع ذلك ليس ممّا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w:t>
      </w:r>
      <w:r>
        <w:rPr>
          <w:rStyle w:val="FootnoteAnchor"/>
          <w:rtl w:val="true"/>
        </w:rPr>
        <w:footnoteReference w:id="1759"/>
      </w:r>
      <w:r>
        <w:rPr>
          <w:rFonts w:ascii="Amiri" w:hAnsi="Amiri" w:eastAsia="Amiri" w:cs="Amiri"/>
          <w:color w:val="111111"/>
          <w:sz w:val="28"/>
          <w:sz w:val="28"/>
          <w:szCs w:val="28"/>
          <w:rtl w:val="true"/>
          <w:lang w:bidi="ar-SA"/>
        </w:rPr>
        <w:t>أنّهم قيّدوا قبول قول إخبار الواحد بنجاسة إنائه بما إذا وقع الإخبار قبل الاستعمال، فلو كان الإخبار بعده لم يقبل بالنظر إلى نجاسة المستعمل له، فإنّ ذلك في الحقيقة إخبار بنجاسة العين فلا يكفي فيه الواحد و إن كان عدلا، و لأنّ الماء يخرج بالاستعمال عن ملكه إذ هو في معنى الإتلاف أو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بمكان من القوّة و إن كان ما ذكر في التعليل عليلا، و الوجه في ذلك أنّ هذا الإخبار لا يفيد علما، و لا يستفاد من الروايات المشار إليها أزيد من قبول إخبار ذي اليد، لو تحقّق حال وجود المورد و بقائه في يده، فيبقى الأصل الكلّي المستفاد عن الروايات سليما عن المعارض، فصار نتيجة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تثبت بالعلم أو بإخبار ذي اليد بها، فثبوت الطهارة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حاجة له إلى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804816_1280447820"/>
      <w:bookmarkStart w:id="610" w:name="_Toc239"/>
      <w:bookmarkEnd w:id="609"/>
      <w:r>
        <w:rPr>
          <w:rtl w:val="true"/>
        </w:rPr>
        <w:t>و خامسها</w:t>
      </w:r>
      <w:r>
        <w:rPr>
          <w:rtl w:val="true"/>
        </w:rPr>
        <w:t xml:space="preserve">: </w:t>
      </w:r>
      <w:r>
        <w:rPr>
          <w:rtl w:val="true"/>
        </w:rPr>
        <w:t>إنّ الظنّ بالنجاسة لا عبرة به و لو كان قويّا،</w:t>
      </w:r>
      <w:bookmarkEnd w:id="61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لا فرق فيه بين ما لو استند إلى العادة و الغلبة و غيرها، و هذا يستفاد عن إطلاق جملة كثيرة من الروايات، مضافا إلى ظهور جملة اخرى فيه بالخصوص، كما يشهد به التأمّل في صحيحة عبد اللّه بن سنان</w:t>
      </w:r>
      <w:r>
        <w:rPr>
          <w:rStyle w:val="FootnoteAnchor"/>
          <w:rtl w:val="true"/>
        </w:rPr>
        <w:footnoteReference w:id="1760"/>
      </w:r>
      <w:r>
        <w:rPr>
          <w:rFonts w:ascii="Amiri" w:hAnsi="Amiri" w:eastAsia="Amiri" w:cs="Amiri"/>
          <w:color w:val="111111"/>
          <w:sz w:val="28"/>
          <w:sz w:val="28"/>
          <w:szCs w:val="28"/>
          <w:rtl w:val="true"/>
          <w:lang w:bidi="ar-SA"/>
        </w:rPr>
        <w:t>الواردة في إعارة الثوب للذمّي، فإنّ مباشرة الذمّي له ممّا يوجب بحسب العادة الظنّ الغالب بالملاقاة المنجّسة، و على قياسها الأخبار الاخر الواردة في ثياب المجوس و نحوها، لكن في رواية طين المطر ما ربّما يوهم اعتبار الظنّ الحاصل من الغلبة حيث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بعد ثلاثة أيّام فاغسله</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 فإنّ الغالب عند مضيّ هذا المقدار من الزمان تحقّق سبب النجاسة</w:t>
      </w:r>
      <w:r>
        <w:rPr>
          <w:rFonts w:eastAsia="Amiri" w:cs="Amiri" w:ascii="Amiri" w:hAnsi="Amiri"/>
          <w:color w:val="111111"/>
          <w:sz w:val="28"/>
          <w:szCs w:val="28"/>
          <w:rtl w:val="true"/>
          <w:lang w:bidi="ar-SA"/>
        </w:rPr>
        <w:t xml:space="preserve">. </w:t>
      </w:r>
      <w:bookmarkStart w:id="611" w:name="pg16144_233405"/>
    </w:p>
    <w:p>
      <w:pPr>
        <w:pStyle w:val="BookText"/>
        <w:rPr/>
      </w:pPr>
      <w:bookmarkEnd w:id="611"/>
      <w:r>
        <w:rPr>
          <w:rFonts w:ascii="Amiri" w:hAnsi="Amiri" w:eastAsia="Amiri" w:cs="Amiri"/>
          <w:color w:val="111111"/>
          <w:sz w:val="28"/>
          <w:sz w:val="28"/>
          <w:szCs w:val="28"/>
          <w:rtl w:val="true"/>
          <w:lang w:bidi="ar-SA"/>
        </w:rPr>
        <w:t xml:space="preserve">غير أنّه يمكن دفعه بظهور كون ذلك تقدير الماء يوجب العلم بتحقّق السبب، بقرينة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تلك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الطريق نظيفا لم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يوجب تقييد الحدّ المذكور بعدم نظافة الطريق، أي عدم خلوّه عن النجاسة العينيّة، و لا ريب أنّ مضيّ هذا المقدار من الزمان مع عدم نظافة الطريق ممّا يورث العلم العادي بتحقّق السبب، سيّما إذا كثر فيه المستطرقون</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804818_1280447820"/>
      <w:bookmarkStart w:id="613" w:name="_Toc240"/>
      <w:bookmarkEnd w:id="612"/>
      <w:r>
        <w:rPr>
          <w:rtl w:val="true"/>
        </w:rPr>
        <w:t xml:space="preserve">نعم، هنا روايات اخر تعارض بظاهرها </w:t>
      </w:r>
      <w:r>
        <w:rPr>
          <w:rtl w:val="true"/>
        </w:rPr>
        <w:t xml:space="preserve">- </w:t>
      </w:r>
      <w:r>
        <w:rPr>
          <w:rtl w:val="true"/>
        </w:rPr>
        <w:t xml:space="preserve">بل صراحة بعضها </w:t>
      </w:r>
      <w:r>
        <w:rPr>
          <w:rtl w:val="true"/>
        </w:rPr>
        <w:t xml:space="preserve">- </w:t>
      </w:r>
      <w:r>
        <w:rPr>
          <w:rtl w:val="true"/>
        </w:rPr>
        <w:t>الروايات المتقدّمة في مفادها</w:t>
      </w:r>
      <w:r>
        <w:rPr>
          <w:rtl w:val="true"/>
        </w:rPr>
        <w:t>.</w:t>
      </w:r>
      <w:bookmarkEnd w:id="61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إنّي أدخل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الذين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أنّها ذكيّة؟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لا بأس أن تبيعها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استحلال أهل العراق الميتة، و أنّ دباغ الجلد الميتة ذكاته، ثمّ لم يرضوا أن يكذبوا في ذلك إلاّ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علّل في المنع المذكور بقضيّة استحلال أهل العراق الميتة، و هي كما ترى قضيّة غالبيّة، فلو لا الغلبة معتبرة في نظر الشارع لما صلحت جهة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الفراء؟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صلوات اللّه عليهما رجلا صردا</w:t>
      </w:r>
      <w:r>
        <w:rPr>
          <w:rStyle w:val="FootnoteAnchor"/>
          <w:rtl w:val="true"/>
        </w:rPr>
        <w:footnoteReference w:id="1763"/>
      </w:r>
      <w:r>
        <w:rPr>
          <w:rFonts w:ascii="IRNazanin" w:hAnsi="IRNazanin" w:eastAsia="IRNazanin"/>
          <w:color w:val="111111"/>
          <w:sz w:val="28"/>
          <w:sz w:val="28"/>
          <w:szCs w:val="28"/>
          <w:rtl w:val="true"/>
          <w:lang w:bidi="fa-IR"/>
        </w:rPr>
        <w:t>لا تدفئه فراء الحجاز، لأنّ دباغها بالقرظ</w:t>
      </w:r>
      <w:r>
        <w:rPr>
          <w:rStyle w:val="FootnoteAnchor"/>
          <w:rtl w:val="true"/>
        </w:rPr>
        <w:footnoteReference w:id="1764"/>
      </w:r>
      <w:r>
        <w:rPr>
          <w:rFonts w:ascii="Amiri" w:hAnsi="Amiri" w:eastAsia="Amiri" w:cs="Amiri"/>
          <w:color w:val="111111"/>
          <w:sz w:val="28"/>
          <w:sz w:val="28"/>
          <w:szCs w:val="28"/>
          <w:rtl w:val="true"/>
          <w:lang w:bidi="ar-SA"/>
        </w:rPr>
        <w:t>، و كان يبعث إلى العراق فيؤتى ممّا قبلهم بالفرو فيلبسه، فإذا حضرت الصلاة ألقاه، و ألقى القميص الّذي يليه، فكان يسأل عن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الجلود الميتة و يزعمون أنّ دباغه ذكاته</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الفراء إلاّ ما صنع </w:t>
      </w:r>
    </w:p>
    <w:p>
      <w:pPr>
        <w:pStyle w:val="BookText"/>
        <w:rPr/>
      </w:pPr>
      <w:r>
        <w:rPr>
          <w:rFonts w:ascii="Amiri" w:hAnsi="Amiri" w:eastAsia="Amiri" w:cs="Amiri"/>
          <w:color w:val="111111"/>
          <w:sz w:val="28"/>
          <w:sz w:val="28"/>
          <w:szCs w:val="28"/>
          <w:rtl w:val="true"/>
          <w:lang w:bidi="ar-SA"/>
        </w:rPr>
        <w:t>في أرض الحجاز أو ما علمت منه ذكاة</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ثوبا من السوق للبس، و لا يدري لمن كان هل يصلح الصلاة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اشتراه من مسلم فليصلّ فيه، و إن اشتراه من نصراني فلا يصلّي فيه حتّى يغسله</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و عن الحميري أنّه رواه أيضا في قرب الإسناد</w:t>
      </w:r>
      <w:r>
        <w:rPr>
          <w:rStyle w:val="FootnoteAnchor"/>
          <w:rtl w:val="true"/>
        </w:rPr>
        <w:footnoteReference w:id="1768"/>
      </w:r>
      <w:r>
        <w:rPr>
          <w:rFonts w:ascii="Amiri" w:hAnsi="Amiri" w:eastAsia="Amiri" w:cs="Amiri"/>
          <w:color w:val="111111"/>
          <w:sz w:val="28"/>
          <w:sz w:val="28"/>
          <w:szCs w:val="28"/>
          <w:rtl w:val="true"/>
          <w:lang w:bidi="ar-SA"/>
        </w:rPr>
        <w:t>عن عبد اللّه بن الحسن، عن جدّه،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ابن إدريس أنّه رواه في آخر السرائر نقلا من كتاب الجامع لأحمد بن محمّد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ذكر مثله، إلاّ أنّه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يلبسه و لا يصلّي فيه</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عبد اللّه عليه السّلام عن الرجل يعير ثوبه لمن يعلم أنّه يأكل الجريّ و يشرب الخمر، فيردّه أ 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إسحاق بن عمّار عن العبد الصالح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فرو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عليهما المسلمين فلا بأس</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أوّل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المعارضة، لما تقدّم، إذ اعتبار الغلبة هنا ليس من جهة أنّ النجاسة تثبت بها في ظاهر الشرع، بل لمراعاة ما يرجع إلى البيع صونا له عن الغرر، أو احتياطا عن إيقاع البيع في غير محلّه، نظرا إلى أنّه لا يصحّ في الأعيان النجسة الّتي منها الميتة و أجزائها، كيف و 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النجاسة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المنع عن البيع رأسا، بل و إفساد اشتراء السائل أيضا كما لا يخفى، فهذه الرواية عند التحقيق توافق روايات الباب، و فيها دلالة أيضا على اعتبار قول المالك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الجواب عن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المعصوم و إن كان حجّة، إلاّ أنّه هنا مجمل، </w:t>
      </w:r>
      <w:bookmarkStart w:id="614" w:name="pg16144_233407"/>
    </w:p>
    <w:p>
      <w:pPr>
        <w:pStyle w:val="BookText"/>
        <w:rPr/>
      </w:pPr>
      <w:bookmarkEnd w:id="614"/>
      <w:r>
        <w:rPr>
          <w:rFonts w:ascii="Amiri" w:hAnsi="Amiri" w:eastAsia="Amiri" w:cs="Amiri"/>
          <w:color w:val="111111"/>
          <w:sz w:val="28"/>
          <w:sz w:val="28"/>
          <w:szCs w:val="28"/>
          <w:rtl w:val="true"/>
          <w:lang w:bidi="ar-SA"/>
        </w:rPr>
        <w:t>إذ جهة إلقائه عليه السّلام الفرو عند حضور الصلاة ملتبسة، حيث لم يظهر كونه لأجل النجاسة الّتي لا يستند ثبوتها هنا إلاّ إلى الغلبة، لجواز كونه احتياطا منه فإنّه حسن خصوصا في حقّهم عليهم السّلام، بل هذا هو المتعيّن بملاحظة أنّه لو كان عنده عليه السّلام ممّا ثبت فيه النجاسة و الميتة لم يكن يباشره أصلا و لا يلبسه رأسا، إمّا لأنّ الميتة ممّا لا ينتفع بها أصلا، أو أنّ شأنه عليه السّلام يأبى عن مباشرة النجاسات عن علم و عمد على فرض إباحة الانتفاع بالميتة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كون المراد بالكراهة معناها المصطلح عليها لا الحرمة، و إن قيل بشيوع استعمال الكراهة في الروايات في الحرمة و كراهة الصلاة فيما ظنّ بنجاسته و استحباب التجنّب عنه ممّا لا إشكال فيه، كما يومئ إليه أيضا استثناء ما صنع في أرض الحجاز، فإنّه ما لا يظنّ معه بالنجاسة و الميتة، و حاصله يرجع إلى أنّ اعتبار الظنّ الحاصل بالغلبة أو غيرها لإحراز موضوع الكراهة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القياس يجاب عن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و الأمر الواردين فيها يحملان على الكراهة و الاستحباب، كما أنّ الغلبة الّتي اعتبرها الإمام في الأخير منها يحمل على كونه من جهة إحراز ما يرتفع معه الكراهة، و مع الغضّ عن جميع ذلك فهذه الأخبار غير صالحة لمعارضة ما سبق لقلّتها، و عدم عامل بها ظاهرا، أو شذوذ العامل على فرض ثبوته، مع ما عرفت من كون ما سبق بالغ حدّ التواتر بل متجاوز عنه، فلا يلتفت إلى غيره، أو يلزم التأويل فيه تقديما للسند على الدلالة كما قرّر في محلّه، و هو الطريقة المستمرة بين الأعلام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804820_1280447820"/>
      <w:bookmarkStart w:id="616" w:name="_Toc241"/>
      <w:bookmarkEnd w:id="615"/>
      <w:r>
        <w:rPr>
          <w:rtl w:val="true"/>
        </w:rPr>
        <w:t>المطلب الثاني</w:t>
      </w:r>
      <w:r>
        <w:rPr>
          <w:rtl w:val="true"/>
        </w:rPr>
        <w:t xml:space="preserve">: </w:t>
      </w:r>
      <w:r>
        <w:rPr>
          <w:rtl w:val="true"/>
        </w:rPr>
        <w:t>قد عرفت أنّ مفاد الأخبار المذكورة اعتبار العلم في النجاسة و عدم كفاية الظنّ فيها و أنّه لا يقوم مقام العلم،</w:t>
      </w:r>
      <w:bookmarkEnd w:id="61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المحكيّ عن ابن البرّاج</w:t>
      </w:r>
      <w:r>
        <w:rPr>
          <w:rStyle w:val="FootnoteAnchor"/>
          <w:rtl w:val="true"/>
        </w:rPr>
        <w:footnoteReference w:id="1772"/>
      </w:r>
      <w:r>
        <w:rPr>
          <w:rFonts w:ascii="Amiri" w:hAnsi="Amiri" w:eastAsia="Amiri" w:cs="Amiri"/>
          <w:color w:val="111111"/>
          <w:sz w:val="28"/>
          <w:sz w:val="28"/>
          <w:szCs w:val="28"/>
          <w:rtl w:val="true"/>
          <w:lang w:bidi="ar-SA"/>
        </w:rPr>
        <w:t>من قدماء أصحابنا، بل لم نعثر في ذلك على نقل مخالفة عدا ما عن الحلبي</w:t>
      </w:r>
      <w:r>
        <w:rPr>
          <w:rStyle w:val="FootnoteAnchor"/>
          <w:rtl w:val="true"/>
        </w:rPr>
        <w:footnoteReference w:id="1773"/>
      </w:r>
      <w:r>
        <w:rPr>
          <w:rFonts w:ascii="Amiri" w:hAnsi="Amiri" w:eastAsia="Amiri" w:cs="Amiri"/>
          <w:color w:val="111111"/>
          <w:sz w:val="28"/>
          <w:sz w:val="28"/>
          <w:szCs w:val="28"/>
          <w:rtl w:val="true"/>
          <w:lang w:bidi="ar-SA"/>
        </w:rPr>
        <w:t>من أنّ الظنّ بها مطلقا يقوم مقام العلم، و قد يسند إلى العلاّمة في التذكرة</w:t>
      </w:r>
      <w:r>
        <w:rPr>
          <w:rStyle w:val="FootnoteAnchor"/>
          <w:rtl w:val="true"/>
        </w:rPr>
        <w:footnoteReference w:id="1774"/>
      </w:r>
      <w:r>
        <w:rPr>
          <w:rFonts w:ascii="Amiri" w:hAnsi="Amiri" w:eastAsia="Amiri" w:cs="Amiri"/>
          <w:color w:val="111111"/>
          <w:sz w:val="28"/>
          <w:sz w:val="28"/>
          <w:szCs w:val="28"/>
          <w:rtl w:val="true"/>
          <w:lang w:bidi="ar-SA"/>
        </w:rPr>
        <w:t>التفصيل بين ما كان عن سبب كإخبار العدل فهو كاليقين و ما لم يكن كذلك فلا يكتفى به،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جملة من كتبه يكتفي به إذا كان من شهادة العدلين دون غيره و الأولى إيراد كلمات العلاّمة رحمه اللّه في المطلب الآتي إذ لا مخالفة له في هذا المقام، حيث إنّه لا يكتفى بمطلق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الحلبي الاحتجاج على ما صار إليه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الشرعيّات كلّها ظنّية، و أنّ العمل بالمرجوح مع قيام الراجح باطل</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 و قد يحتجّ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الاشتغال بالطهارة بالماء الطاهر و الصلاة بالثوب الطاهر ثابت يقينا، و هو ممّا يقتضي اليقين بالبراءة جزما، و لا يحصل اليقين إلاّ بالطاهر الواقعي لمكان وضع الألفاظ للمعاني الواقعيّة، و قضيّة ذلك تعيّن الاجتناب عمّا ظنّ بنجاسته، لأنّ مقدّمة الواجب المطلق ممّا لا بدّ منها</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ابتناء الشرعيّات مطلقة على الظنّ، لو اريد بها ما يعمّ الموضوعات الخارجيّة كما هو المتنازع فيه و بدونه لا يجدي، و لو سلّم فهو لم يثبت إلاّ من باب القاعدة القابلة للتخصيص، و الروايات المتقدّمة تنهض مخصّصة لها، هذا مضافا إلى ما في حسنة الحلبي المتقدّمة</w:t>
      </w:r>
      <w:r>
        <w:rPr>
          <w:rStyle w:val="FootnoteAnchor"/>
          <w:rtl w:val="true"/>
        </w:rPr>
        <w:footnoteReference w:id="1777"/>
      </w:r>
      <w:r>
        <w:rPr>
          <w:rFonts w:ascii="Amiri" w:hAnsi="Amiri" w:eastAsia="Amiri" w:cs="Amiri"/>
          <w:color w:val="111111"/>
          <w:sz w:val="28"/>
          <w:sz w:val="28"/>
          <w:szCs w:val="28"/>
          <w:rtl w:val="true"/>
          <w:lang w:bidi="ar-SA"/>
        </w:rPr>
        <w:t xml:space="preserve">من الظنّ المأمور معه بالنضح الّذي لا يكفي في رفع النجاسة، و مثله ما في رواية زرارة المنهيّ معه عن إعادة الصلاة،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ظاهرا في معناه المعهود فلا أقلّ من كونه شاملا له، و مثله الشكّ الوارد في رواية ابن الحجّاج</w:t>
      </w:r>
      <w:r>
        <w:rPr>
          <w:rStyle w:val="FootnoteAnchor"/>
          <w:rtl w:val="true"/>
        </w:rPr>
        <w:footnoteReference w:id="1778"/>
      </w:r>
      <w:r>
        <w:rPr>
          <w:rFonts w:ascii="Amiri" w:hAnsi="Amiri" w:eastAsia="Amiri" w:cs="Amiri"/>
          <w:color w:val="111111"/>
          <w:sz w:val="28"/>
          <w:sz w:val="28"/>
          <w:szCs w:val="28"/>
          <w:rtl w:val="true"/>
          <w:lang w:bidi="ar-SA"/>
        </w:rPr>
        <w:t xml:space="preserve">بقرينة تقدّم الحسبان في كلام السائل، مع شيوع إطلاق هذا اللفظ في الروايات على مطلق الاحتمال، و على هذا القياس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رواية عبد اللّه بن سنان</w:t>
      </w:r>
      <w:r>
        <w:rPr>
          <w:rStyle w:val="FootnoteAnchor"/>
          <w:rtl w:val="true"/>
        </w:rPr>
        <w:footnoteReference w:id="1779"/>
      </w:r>
      <w:r>
        <w:rPr>
          <w:rFonts w:ascii="Amiri" w:hAnsi="Amiri" w:eastAsia="Amiri" w:cs="Amiri"/>
          <w:color w:val="111111"/>
          <w:sz w:val="28"/>
          <w:sz w:val="28"/>
          <w:szCs w:val="28"/>
          <w:rtl w:val="true"/>
          <w:lang w:bidi="ar-SA"/>
        </w:rPr>
        <w:t>المحكوم معه بالنضح، مضافا إلى سائر الروايات الشاملة بإطلاقها لصورة الظنّ أو الظاهرة فيها، و لا ريب أنّ ما ذكر في الاحتجاج لا يصلح معارضا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ممّا لا مدخل له في التعبّديّات، و العبرة في الراجحيّة و المرجوحيّة بالقياس إليها إنّما هو بما اعتبره الشارع، و لا اعتداد فيها بالترجيح العقلي، فحيث إنّ الشارع حكم بالطهارة، ما لم يحصل العلم بنقيضها كشف عن كون الراجح في نظره مع عدم العلم هو الطهارة، فنحن أنّما نأخذ بها لا بعنوان أنّه مرجوح في نظر العقل لئلاّ يكون جائزا، بل بعنوان أنّه راجح في نظر الشارع، بل المتّجه حينئذ المنع عن قضاء العقل بالمرجوحيّة بعد ما لاحظ ترجيح الشارع للطهارة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المرجوحيّة لو اريد بها ما هو بحسب اعتقاد المكلّف فنمنع حكم العقل </w:t>
      </w:r>
      <w:bookmarkStart w:id="617" w:name="pg16144_233409"/>
    </w:p>
    <w:p>
      <w:pPr>
        <w:pStyle w:val="BookText"/>
        <w:rPr/>
      </w:pPr>
      <w:bookmarkEnd w:id="617"/>
      <w:r>
        <w:rPr>
          <w:rFonts w:ascii="Amiri" w:hAnsi="Amiri" w:eastAsia="Amiri" w:cs="Amiri"/>
          <w:color w:val="111111"/>
          <w:sz w:val="28"/>
          <w:sz w:val="28"/>
          <w:szCs w:val="28"/>
          <w:rtl w:val="true"/>
          <w:lang w:bidi="ar-SA"/>
        </w:rPr>
        <w:t>بعدم جواز الأخذ به، و لو اريد ما هو بحسب الشرع فنمنع أصل المرجوحيّة بعد نهوض الأدلّة القطعيّة برجحانه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تيقّن الامتثال بالطهارة المفروضة بعد تنصيص الشارع بالاجتزاء به، و لا ينافيه كون الألفاظ للمعاني الواقعيّة، فإنّ الواقع قد يحرز بما نصّ الشارع بكونه محرزا له، و الأخبار المذكورة مع الإجماعات المقطوعة كافية في ذلك، غاية الأمر نهوض تلك الأدلّة حاكمة على الأدلّة المثبتة لاشتراط الطهارة في امتثال التكاليف إلى الواقع، بكشفها عن كون الطهارة المأخوذة شرطا عبارة عمّا لم يعلم معه بالنجاسة،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التشبّث بأمثال هذه الامور اجتهاد في مقابله النصّ، و هل هو من باب الردّ على قول السيّد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بالشيء الفلاني فإنّي أجتزي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المحقّقين من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كالخوانساري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بأنّا لم نجد في الآيات و لا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يحضرنا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قائلا بأن تطهّروا بالماء الطاهر، و صلّوا في الثوب الطاهر مثلا، بالمعنى المراد في الاحتجاج،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1780"/>
      </w:r>
      <w:r>
        <w:rPr>
          <w:rFonts w:ascii="Amiri" w:hAnsi="Amiri" w:eastAsia="Amiri" w:cs="Amiri"/>
          <w:color w:val="111111"/>
          <w:sz w:val="28"/>
          <w:sz w:val="28"/>
          <w:szCs w:val="28"/>
          <w:rtl w:val="true"/>
          <w:lang w:bidi="ar-SA"/>
        </w:rPr>
        <w:t>فظاهره مخصوص بالرسول صلّى اللّه عليه و آله و إثبات عمومه مشكل، مع إمكان المناقشة في ظهور كون الطهارة بالمعنى المراد بناء على عدم ثبوت الحقيقة الشرعيّة، بل الأوامر فيها إنّما هو بالطهارة بالماء مطلقا، و كذا الأوامر بالصلاة أيضا مطلقة من دون تخصيص بالثياب الطاهرة، و غاية ما يدلّ فيها على التقييد هو مثل ما وقع أنّ الماء إذا تغيّر مثلا فلا تتوضّأ منه، أو أنّه إذا وقع قذر في الماء فلا تتوضّأ أو أنّه إذا وصل الثوب البول مثلا أو خصوص شيء آخر من النجاسات إلى الثوب أو البدن فاغسله، أو اغسل البول مثلا عن الثوب أو البدن، أو مثل أنّ الشيء الفلاني إذا كان طاهرا فلا بأس بالصلاة فيه، الدالّ بمفهومه على أنّه إذا لم يكن طاهرا فيتحقّق البأس فيه و هكذا</w:t>
      </w:r>
      <w:r>
        <w:rPr>
          <w:rFonts w:eastAsia="Amiri" w:cs="Amiri" w:ascii="Amiri" w:hAnsi="Amiri"/>
          <w:color w:val="111111"/>
          <w:sz w:val="28"/>
          <w:szCs w:val="28"/>
          <w:rtl w:val="true"/>
          <w:lang w:bidi="ar-SA"/>
        </w:rPr>
        <w:t>»</w:t>
      </w:r>
      <w:r>
        <w:rPr>
          <w:rStyle w:val="FootnoteAnchor"/>
          <w:rtl w:val="true"/>
        </w:rPr>
        <w:footnoteReference w:id="17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كما ترى بمكان من الضعف لا يكاد يخفى على ذي بصيرة، بل هو في الحقيقة أوضح ضعفا من أصل الاحتجاج، فالتفوّه به لا يليق بالمحقّقين</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804822_1280447820"/>
      <w:bookmarkStart w:id="619" w:name="_Toc242"/>
      <w:bookmarkEnd w:id="618"/>
      <w:r>
        <w:rPr>
          <w:rtl w:val="true"/>
        </w:rPr>
        <w:t>المطلب الثالث</w:t>
      </w:r>
      <w:r>
        <w:rPr>
          <w:rtl w:val="true"/>
        </w:rPr>
        <w:t xml:space="preserve">: </w:t>
      </w:r>
      <w:r>
        <w:rPr>
          <w:rtl w:val="true"/>
        </w:rPr>
        <w:t>اختلفوا في قيام الأخبار بالنجاسة مقام العلم بها إذا كان المخبر عدلا و عدمه على أقوال،</w:t>
      </w:r>
      <w:bookmarkEnd w:id="61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العلامة في التذكرة</w:t>
      </w:r>
      <w:r>
        <w:rPr>
          <w:rStyle w:val="FootnoteAnchor"/>
          <w:rtl w:val="true"/>
        </w:rPr>
        <w:footnoteReference w:id="1782"/>
      </w:r>
      <w:r>
        <w:rPr>
          <w:rFonts w:ascii="Amiri" w:hAnsi="Amiri" w:eastAsia="Amiri" w:cs="Amiri"/>
          <w:color w:val="111111"/>
          <w:sz w:val="28"/>
          <w:sz w:val="28"/>
          <w:szCs w:val="28"/>
          <w:rtl w:val="true"/>
          <w:lang w:bidi="ar-SA"/>
        </w:rPr>
        <w:t xml:space="preserve">إن استند الظنّ إلى سبب شرعي </w:t>
      </w:r>
    </w:p>
    <w:p>
      <w:pPr>
        <w:pStyle w:val="BookText"/>
        <w:rPr/>
      </w:pPr>
      <w:r>
        <w:rPr>
          <w:rFonts w:ascii="Amiri" w:hAnsi="Amiri" w:eastAsia="Amiri" w:cs="Amiri"/>
          <w:color w:val="111111"/>
          <w:sz w:val="28"/>
          <w:sz w:val="28"/>
          <w:szCs w:val="28"/>
          <w:rtl w:val="true"/>
          <w:lang w:bidi="ar-SA"/>
        </w:rPr>
        <w:t>كقول العدل فهو كالمتيقّن و إلاّ فلا، 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 عدل بنجاسة الإناء لم يجب القبول أمّا لو شهد عدلان فالأولى القبول</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و صرّح في المختلف</w:t>
      </w:r>
      <w:r>
        <w:rPr>
          <w:rStyle w:val="FootnoteAnchor"/>
          <w:rtl w:val="true"/>
        </w:rPr>
        <w:footnoteReference w:id="1784"/>
      </w:r>
      <w:r>
        <w:rPr>
          <w:rFonts w:ascii="Amiri" w:hAnsi="Amiri" w:eastAsia="Amiri" w:cs="Amiri"/>
          <w:color w:val="111111"/>
          <w:sz w:val="28"/>
          <w:sz w:val="28"/>
          <w:szCs w:val="28"/>
          <w:rtl w:val="true"/>
          <w:lang w:bidi="ar-SA"/>
        </w:rPr>
        <w:t>بذلك مع شهادة الشاهدين، و نسب اختياره إلى ابن إدريس</w:t>
      </w:r>
      <w:r>
        <w:rPr>
          <w:rStyle w:val="FootnoteAnchor"/>
          <w:rtl w:val="true"/>
        </w:rPr>
        <w:footnoteReference w:id="1785"/>
      </w:r>
      <w:r>
        <w:rPr>
          <w:rFonts w:ascii="Amiri" w:hAnsi="Amiri" w:eastAsia="Amiri" w:cs="Amiri"/>
          <w:color w:val="111111"/>
          <w:sz w:val="28"/>
          <w:sz w:val="28"/>
          <w:szCs w:val="28"/>
          <w:rtl w:val="true"/>
          <w:lang w:bidi="ar-SA"/>
        </w:rPr>
        <w:t>أيضا، و عن المحقّق في المعتبر</w:t>
      </w:r>
      <w:r>
        <w:rPr>
          <w:rStyle w:val="FootnoteAnchor"/>
          <w:rtl w:val="true"/>
        </w:rPr>
        <w:footnoteReference w:id="1786"/>
      </w:r>
      <w:r>
        <w:rPr>
          <w:rFonts w:ascii="Amiri" w:hAnsi="Amiri" w:eastAsia="Amiri" w:cs="Amiri"/>
          <w:color w:val="111111"/>
          <w:sz w:val="28"/>
          <w:sz w:val="28"/>
          <w:szCs w:val="28"/>
          <w:rtl w:val="true"/>
          <w:lang w:bidi="ar-SA"/>
        </w:rPr>
        <w:t>أنّه جزم بعدم القبول في العدل الواحد و جعل القبول في العدلين أظهر، و عن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فصّله في المنتهى هو المشهور بين المتأخّرين</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و عنه أيضا أنّه نقل عن بعضهم أنّه قيّد القبول في خبر العدلين بذكر السبب،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لاختلاف العلماء في المقتضي للتنجيس</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عن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القبول و الحكم بالطهارة استنادا إلى أنّ الطهارة معلومة بالأصل، و شهادة الشاهدين تثمر الظنّ، فلا يترك لأجله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الحكم بشهادة الشاهدين معلوم، و لهذا لو كان الماء مبيعا لردّه المشتري، و إنّما يحصل ذلك بعد الحكم بالشهادة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هو على ما اختاره من قبول شهادة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الحكم بشهادتهما معلوم في الشرع فيجب العمل بها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إذ لو أراد بما ذكره من معلوميّة الحكم بشهادة الشاهدين ما هو كذلك على الإطلاق حتّى في خصوص المقام، فهو في حيّز المنع، لعدم قيام ما يقضي من الشرع بذلك عموما، و ما ورد هو فيه من الموارد لا يتناول المقام جزما، و لو أراد بكونه كذلك في الجملة فهو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المشتري إذا ادّعى عيب النجاسة في المبيع و شهد عدلان به لوجب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في مقام الحكم للحاكم غير القبول على الإطلاق، و محلّ البحث من الثاني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و إن كان يتوقّف على ثبوت العيب، و هو يستند إلى القضاء بموجب الشهادة، لكن عنوان العيب لا ينحصر في النجاسة و تحقّقها، بل الاتّهام بالنجاسة و كون الشيء معرضا للاحتياط الراجح الّذي لا يكاد يتركه المتّقون ممّا </w:t>
      </w:r>
    </w:p>
    <w:p>
      <w:pPr>
        <w:pStyle w:val="BookText"/>
        <w:rPr/>
      </w:pPr>
      <w:r>
        <w:rPr>
          <w:rFonts w:ascii="Amiri" w:hAnsi="Amiri" w:eastAsia="Amiri" w:cs="Amiri"/>
          <w:color w:val="111111"/>
          <w:sz w:val="28"/>
          <w:sz w:val="28"/>
          <w:szCs w:val="28"/>
          <w:rtl w:val="true"/>
          <w:lang w:bidi="ar-SA"/>
        </w:rPr>
        <w:t>يصلح كونه عيبا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هذه الاستظهارات لا يصلح حاكما على الأخبار المتقدّمة الدالّة على إناطة النجاسة بالعلم بها، بل لا بدّ في ذلك من وجود نصّ معتبر صريح الدلالة، و لم نقف إلى الآن بعد ما تتبّعنا بقدر الوسع على ما يقضي بذلك من الأدلّة الشرعيّة، و إن قال السيّد في مناهله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من الوالد دام ظلّه العالي وجود رواية دالّة على حجّيّة شهادة العدلين مطلقا</w:t>
      </w:r>
      <w:r>
        <w:rPr>
          <w:rFonts w:eastAsia="Amiri" w:cs="Amiri" w:ascii="Amiri" w:hAnsi="Amiri"/>
          <w:color w:val="111111"/>
          <w:sz w:val="28"/>
          <w:szCs w:val="28"/>
          <w:rtl w:val="true"/>
          <w:lang w:bidi="ar-SA"/>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الاستناد في ذلك إلى ما في الاستبصار عن عليّ بن إبراهيم، عن محمّد بن عيسى، عن 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البيّنة إذا اقيمت على الحقّ، أ يحلّ للقاضي أن يقضي بقول البيّنة من غير مسألة إذا لم يعرفهم؟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يجب على الناس أن يأخذوا بها بظاهر الحال، الولايات، و المناكح و المواريث، و الذبائح، و الشهادات، فإذا كان ظاهره ظاهرا مأمونا جازت شهادته و لا يسأل عن باطنه</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و يمكن أن يكون المراد من الرواية الّتي حكى وجودها السيّد عن أبيه قدّس سرّهما هو هذه الرواية،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خلّي و طبعها و إن كانت عامّة، غير أنّ سياقها سؤالا و جوابا يقضي بعدم كون المعصوم عليه السّلام بصدد بيان هذا الحكم العامّ، و إنّما هو في مقام إعطاء حكم آخر، و هو أنّ الشهادات الّتي يجب الأخذ بها في مواردها إنّما يؤخذ بها بلا تفتيش عن البواطن، كما تنبّه عليه الشيخ في الاستبصار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يجب على الحاكم التفتيش عن بواطن الناس، و إنّما يجوز له أن يقبل شهادتهم إذا كانوا على ظاهر الإسلام و الأمانة، و أنّ لا يعرفهم بما يقدح فيهم و يوجب تفتيشهم</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 انتهى كلامه أعلى اللّه مقامه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فقضيّة كونها ممّا يجب قبولها بظاهر الحال بالنسبة إلى جميع المقامات، أو بالنسبة إلى موارد مخصوصة غير متّضحة الدلالة، فالتشبّث بمثل ذلك في إخراج الأخبار الكثيرة </w:t>
      </w:r>
      <w:bookmarkStart w:id="620" w:name="pg16144_233412"/>
    </w:p>
    <w:p>
      <w:pPr>
        <w:pStyle w:val="BookText"/>
        <w:rPr/>
      </w:pPr>
      <w:bookmarkEnd w:id="620"/>
      <w:r>
        <w:rPr>
          <w:rFonts w:ascii="Amiri" w:hAnsi="Amiri" w:eastAsia="Amiri" w:cs="Amiri"/>
          <w:color w:val="111111"/>
          <w:sz w:val="28"/>
          <w:sz w:val="28"/>
          <w:szCs w:val="28"/>
          <w:rtl w:val="true"/>
          <w:lang w:bidi="ar-SA"/>
        </w:rPr>
        <w:t>المتواترة عن ظواهرها في غاية الإشكال، و أشكل منه مخالفة من تقدّم من الأساطين، بل الشهرة على فرض تحقّقها كما حكيت، فالاحتياط في مثله ممّا لا ينبغي تركه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قبول قول المالك في نجاسة إنائه، أو كلّ ما يتعلّق به، ممّا لا ينبغي التأمّل فيه كما عرفت، آخذا بموجب جملة من الروايات المتقدّمة، مضافة إلى ما حكاه في الحدائق</w:t>
      </w:r>
      <w:r>
        <w:rPr>
          <w:rStyle w:val="FootnoteAnchor"/>
          <w:rtl w:val="true"/>
        </w:rPr>
        <w:footnoteReference w:id="1792"/>
      </w:r>
      <w:r>
        <w:rPr>
          <w:rFonts w:ascii="Amiri" w:hAnsi="Amiri" w:eastAsia="Amiri" w:cs="Amiri"/>
          <w:color w:val="111111"/>
          <w:sz w:val="28"/>
          <w:sz w:val="28"/>
          <w:szCs w:val="28"/>
          <w:rtl w:val="true"/>
          <w:lang w:bidi="ar-SA"/>
        </w:rPr>
        <w:t>عن الحميري في قرب الأسناد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أعار رجلا ثوبا فصلّى فيه و هو لا 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و في معناه أخبار اخر</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804824_1280447820"/>
      <w:bookmarkStart w:id="622" w:name="_Toc243"/>
      <w:bookmarkEnd w:id="621"/>
      <w:r>
        <w:rPr>
          <w:rtl w:val="true"/>
        </w:rPr>
        <w:t>المطلب الرابع</w:t>
      </w:r>
      <w:r>
        <w:rPr>
          <w:rtl w:val="true"/>
        </w:rPr>
        <w:t xml:space="preserve">: </w:t>
      </w:r>
      <w:r>
        <w:rPr>
          <w:rtl w:val="true"/>
        </w:rPr>
        <w:t>لا أعرف خلافا في قيام الاستصحاب بالقياس إلى النجاسة مقام العلم بها، فتحرز به النجاسة حيثما كان جاريا،</w:t>
      </w:r>
      <w:bookmarkEnd w:id="622"/>
    </w:p>
    <w:p>
      <w:pPr>
        <w:pStyle w:val="BookText"/>
        <w:rPr/>
      </w:pPr>
      <w:r>
        <w:rPr>
          <w:rFonts w:ascii="Amiri" w:hAnsi="Amiri" w:eastAsia="Amiri" w:cs="Amiri"/>
          <w:color w:val="111111"/>
          <w:sz w:val="28"/>
          <w:sz w:val="28"/>
          <w:szCs w:val="28"/>
          <w:rtl w:val="true"/>
          <w:lang w:bidi="ar-SA"/>
        </w:rPr>
        <w:t>كما تحرز بالعلم و بغيره ممّا يقوم مقامه، بل هو المعلوم ضرورة من سيرة العلماء، و يدلّ عليه عموم الأخبار المستفيضة الواردة في باب الاستصحاب المشتملة على أنّ اليقين لا ينقض بالشكّ، بناء على أنّ المراد بعدم نقض اليقين عدم نقض المتيقّن، أي رفع اليد عمّا كان متيقّنا إلى أن يحصل اليقين بارتفاعه، و هذه الأخبار و إن كان أعمّ من أخبار الباب المتقدّمة موردا و مفهوما، بل أعمّ من جميع الأدلّة، غير أنّها كأدلّة العسر و الحرج في مواردها واردة بحكم فهم العرف على سائر الأدلّة، و حاكمة عليها في اقتضاء كون الواقع ممّا يحرز بالعلم، أو أنّ العلم داخل في موضوع الحكم، فتكون مفادها أنّ الاستصحاب حيثما يكون جاريا يقوم مقام العلم في كلّ ما هو شأنه، فإن كان العلم في موارد اعتباره معتبرا من باب الطريقيّة إلى الواقع فيقوم مقامه الاستصحاب، و مرجعه بعد الجمع بين مفادي الأدلّة الحاكمة و المحكوم عليها إلى أنّ الواقع ما يحرز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أو الحالة المتعقّبة له ممّا لم يبلغ رتبة العلم بالخلاف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العلم في موارد اعتباره معتبرا من باب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العلم داخلا في موضوع الحكم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مقامه الاستصحاب، و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موضوع الحكم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أو الحالة المتعقّبة له الغير البالغة حدّ </w:t>
      </w:r>
    </w:p>
    <w:p>
      <w:pPr>
        <w:pStyle w:val="BookText"/>
        <w:rPr/>
      </w:pPr>
      <w:r>
        <w:rPr>
          <w:rFonts w:ascii="Amiri" w:hAnsi="Amiri" w:eastAsia="Amiri" w:cs="Amiri"/>
          <w:color w:val="111111"/>
          <w:sz w:val="28"/>
          <w:sz w:val="28"/>
          <w:szCs w:val="28"/>
          <w:rtl w:val="true"/>
          <w:lang w:bidi="ar-SA"/>
        </w:rPr>
        <w:t>العلم بخلاف المعلوم الأوّل، و إنّما يستفاد هذا التعميم من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أبدا بالشكّ</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بناء على ما تقدّم من أنّ المراد منع رفع اليد عمّا كان متيقّنا، و هو كما ترى يشمل ما لو كان اليقين المعتبر معه لمجرّد الطريقيّة، أو من جهة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اعتبر فيه العلم و اليقين شرعا من باب الموضوعيّة إنّما هو النجاسة المنوطة بالعلم بتحقّق سببها، على حسب ما هو موجب الأخبار المتقدّمة، فإنّ المتأمّل فيها و في مفادها يعرف أنّ الشارع جعل العلم بالنسبة إلى حكم النجاسة جزءا للموضوع، على معنى أنّ النجاسة و أحكامها لا تثبت إلاّ فيما علم بتحقّق سبب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يستفاد منه ذلك صراحة صحيحة زرارة</w:t>
      </w:r>
      <w:r>
        <w:rPr>
          <w:rStyle w:val="FootnoteAnchor"/>
          <w:rtl w:val="true"/>
        </w:rPr>
        <w:footnoteReference w:id="1795"/>
      </w:r>
      <w:r>
        <w:rPr>
          <w:rFonts w:ascii="Amiri" w:hAnsi="Amiri" w:eastAsia="Amiri" w:cs="Amiri"/>
          <w:color w:val="111111"/>
          <w:sz w:val="28"/>
          <w:sz w:val="28"/>
          <w:szCs w:val="28"/>
          <w:rtl w:val="true"/>
          <w:lang w:bidi="ar-SA"/>
        </w:rPr>
        <w:t>المتقدّمة المشتملة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فلم أر شيئا ثمّ صلّيت فرأيته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النجاسة لو كان هو الواقع من غير مدخليّة للعلم فيه إلاّ من باب الطريقيّة، كان اللازم إبطال الصلاة و الحكم بإعادتها، ضرورة وقوعها في مفروض السؤال مع النجاسة الواقعيّة، و من أحكام النجاسة بطلان الصلاة الواقعة معها و في معناها الأخبار المستفيضة، بل المتواترة الواردة في اشتمال المصلّي على النجاسة، المفصّلة بين سبق العلم بها على الصلاة و عدمه، فموضوع النجاسة ما علم فيه بتحقّق السبب، أو ما قارنه الحالة المتعقّبة للعلم بتحقّقه إلى أن تصل حدّ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يعرف أنّ العلم بعد ما كان داخلا في موضوع النجاسة لا يمكن دخوله في موضوع الطهارة، و إلاّ لزم ارتفاع النقيضين، أو ضدّين لا ثالث لهما في صورة عدم العلم بشيء منهما كما لا يخفى، و لذا وردت الأخبار المتواترة حسبما عرفت بين صريحة و ظاهرة في الحكم بالطهارة ما لم يعلم النجاسة، فموضوع الطهارة حينئذ ما لم يعلم فيه بتحقّق سبب النجاسة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هذا الموضوع ممّا لا يجتمع في الوجود الخارجي مع ما هو موضوع النجاسة، و هو ما علم فيه بتحقّق سبب النجاسة، لاشتمال كلّ على قيد معاند لما قيّد به الآخر، فحيثما انتفى العلم و ما يقوم مقامه حصل موضوع الطهارة، و حيثما حصل العلم أو ما يقوم مقامه انتفى موضوع الطهارة و وجد موضوع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قضيّة ذلك أن لا يعارض العلم و لا ما يقوم مقامه في اقتضاء النجاسة شيء من الأمارات، حتّى الاستصحاب في مقابلة استصحاب النجاسة، و اليد في مقابلة البيّنة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بالبيّنة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فإنّ استصحاب الطهارة في موارده قائم مقام العلم بها، و العلم بالقياس إلى الطهارة لا يعتبر إلاّ طريقا إليها، و كما أنّ ثبوت أصل الحكم تابع لبقاء موضوعه، و لا يعقل له البقاء مع ارتفاع الموضوع، فكذلك الّذي يكون طريقا إليه فإنّه يصلح طريقا إليه ما دام موضوعه باقيا، و حيث بنينا على أنّ موضوع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 xml:space="preserve">ما لم يعلم فيه بتحقّق سبب النجاسة، و أنّ العلم المأخوذ في ذلك أعمّ من العلم الحقيقي و ما يقوم مقامه، و أنّ ممّا يقوم مقامه إنّما هو الحالة المتعقّبة له إلى أن يبلغ حدّ العلم بخلاف المعلوم السابق، يتبيّن أنّ استصحاب الطهارة في موضع جريان استصحاب النجاسة سواء كانا في محلّ واحد أو في محلّين ممّا لا معنى له أصلا، ضرورة أنّ استصحاب النجاسة لقيامه مقام العلم رافع لموضوع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يعلم فيه بتحقّق سبب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يعقل كون استصحاب الطهارة طريقا إليها، ضرورة أنّه مع فرض استصحاب النجاسة، يصدق على المورد أنّه ما علم فيه بتحقّق سبب النجاسة، و لا يصدق معه ما هو موضوع الطهارة، لما عرفت من المنافاة بينهما و عدم إمكان اجتماعهما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يوجد في كلام العلماء الأعلام في مواضع استصحاب النجاسة من معارضته باستصحاب الطهارة في غاية الضعف، و إنّما المعارضة بين الاستصحابين أو مطلق الأمارتين يتأتّى فيما لم يكن شيء من المتعارضين داخلا في موضوع الحكم، على معنى كونهما في غير موضع التعارض من مواردهما معتبرين لمجرّد الطريقيّة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أصل كلّي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الامارات القائمة بالنجاسة لا يعارضها الأمارات القائمة بالطهارة ما لم يكن دليل اعتبارها حاكما على دليل اعتبار أمارة النجاسة، كما في قول ذي اليد و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على استصحاب النجاسة، فحينئذ لو قام البيّنة على نجاسة شيء فلا يعارضها إخبار ذي اليد بالطهارة لانتفاء موضوعه، كما أنّه لو أخبر ذو اليد بنجاسة شيء لا يعارضه البيّنة لو قامت بالطهارة لعين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أنّ شريكين في إناء أخبر أحدهما بنجاسته و الآخر بطهارته، قبل الأوّل لاستلزامه انتفاء موضوع الطهارة، فيكون الثاني قد صادف غير موضوع الطهارة، فلا محلّ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حقيقة الحال فيما لو تعارضت البيّنتان في إناء واحد، فشهدت إحداهما بعروض النجاسة له في وقت معيّن، و شهدت الاخرى بعدم عروضها له في ذلك الوقت، فإنّ للأصحاب في ذلك على ما ضبطه بعضهم</w:t>
      </w:r>
      <w:r>
        <w:rPr>
          <w:rStyle w:val="FootnoteAnchor"/>
          <w:rtl w:val="true"/>
        </w:rPr>
        <w:footnoteReference w:id="1797"/>
      </w:r>
      <w:r>
        <w:rPr>
          <w:rFonts w:ascii="IRNazanin" w:hAnsi="IRNazanin" w:eastAsia="IRNazanin"/>
          <w:color w:val="111111"/>
          <w:sz w:val="28"/>
          <w:sz w:val="28"/>
          <w:szCs w:val="28"/>
          <w:rtl w:val="true"/>
          <w:lang w:bidi="fa-IR"/>
        </w:rPr>
        <w:t>أقوال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في التذكرة</w:t>
      </w:r>
      <w:r>
        <w:rPr>
          <w:rStyle w:val="FootnoteAnchor"/>
          <w:rtl w:val="true"/>
        </w:rPr>
        <w:footnoteReference w:id="1798"/>
      </w:r>
      <w:r>
        <w:rPr>
          <w:rFonts w:ascii="IRNazanin" w:hAnsi="IRNazanin" w:eastAsia="IRNazanin"/>
          <w:color w:val="111111"/>
          <w:sz w:val="28"/>
          <w:sz w:val="28"/>
          <w:szCs w:val="28"/>
          <w:rtl w:val="true"/>
          <w:lang w:bidi="fa-IR"/>
        </w:rPr>
        <w:t>و القواعد</w:t>
      </w:r>
      <w:r>
        <w:rPr>
          <w:rStyle w:val="FootnoteAnchor"/>
          <w:rtl w:val="true"/>
        </w:rPr>
        <w:footnoteReference w:id="17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إلحاقه حينئذ بالمشتبه بالنجس الّذي يجب الاجتناب عنه كالإناءين المشتبهين، و عن فخر المحقّقين في شرح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أولى، و عن ثاني الشهيدين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بعض فوائده أنّه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بيّنه الطهارة لاعتضادها بالأصل، حكاه 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بتساقط البيّنتين و الرجوع إلى الأصل، و عن الشهيد أنّه ذكره في البيان</w:t>
      </w:r>
      <w:r>
        <w:rPr>
          <w:rStyle w:val="FootnoteAnchor"/>
          <w:rtl w:val="true"/>
        </w:rPr>
        <w:footnoteReference w:id="1800"/>
      </w:r>
      <w:r>
        <w:rPr>
          <w:rFonts w:ascii="Amiri" w:hAnsi="Amiri" w:eastAsia="Amiri" w:cs="Amiri"/>
          <w:color w:val="111111"/>
          <w:sz w:val="28"/>
          <w:sz w:val="28"/>
          <w:szCs w:val="28"/>
          <w:rtl w:val="true"/>
          <w:lang w:bidi="ar-SA"/>
        </w:rPr>
        <w:t>و قوّاه، و عن 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نسبه مع الّذي قبله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ببيّنة النجاسة لأنّها ناقلة عن حكم الأصل، و بيّنة الطهارة مقرّرة، و الناقل أولى من المقرّر، و لموافقتها الاحتياط، و لأنّها في معنى الإثبات و الطهارة في معنى النفي، و هو منسوب إلى ابن إدريس</w:t>
      </w:r>
      <w:r>
        <w:rPr>
          <w:rStyle w:val="FootnoteAnchor"/>
          <w:rtl w:val="true"/>
        </w:rPr>
        <w:footnoteReference w:id="1801"/>
      </w:r>
      <w:r>
        <w:rPr>
          <w:rFonts w:ascii="IRNazanin" w:hAnsi="IRNazanin" w:eastAsia="IRNazanin"/>
          <w:color w:val="111111"/>
          <w:sz w:val="28"/>
          <w:sz w:val="28"/>
          <w:szCs w:val="28"/>
          <w:rtl w:val="true"/>
          <w:lang w:bidi="fa-IR"/>
        </w:rPr>
        <w:t>و عن صاحب المعالم</w:t>
      </w:r>
      <w:r>
        <w:rPr>
          <w:rStyle w:val="FootnoteAnchor"/>
          <w:rtl w:val="true"/>
        </w:rPr>
        <w:footnoteReference w:id="1802"/>
      </w:r>
      <w:r>
        <w:rPr>
          <w:rFonts w:ascii="Amiri" w:hAnsi="Amiri" w:eastAsia="Amiri" w:cs="Amiri"/>
          <w:color w:val="111111"/>
          <w:sz w:val="28"/>
          <w:sz w:val="28"/>
          <w:szCs w:val="28"/>
          <w:rtl w:val="true"/>
          <w:lang w:bidi="ar-SA"/>
        </w:rPr>
        <w:t>أنّه مال إليه بعض المتأخّرين، و لا ريب أنّ هذا القول هو المتعيّن لا للوجوه المذكورة، بل لما قرّرناه من الضابطة، و لا يلزم منه تكذيب بيّنة الطهارة و لا طرحها، لورودها في غير موضوع الطهارة فلا محلّ لها حتّى يعمل بها، بعد ملاحظة دخول المفروض في عنوان ما علم فيه النجاسة علما شرعيّا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يعلم من هنا أيضا حكم ما لو تعارضا</w:t>
      </w:r>
      <w:r>
        <w:rPr>
          <w:rStyle w:val="FootnoteAnchor"/>
          <w:rtl w:val="true"/>
        </w:rPr>
        <w:footnoteReference w:id="1803"/>
      </w:r>
      <w:r>
        <w:rPr>
          <w:rFonts w:ascii="Amiri" w:hAnsi="Amiri" w:eastAsia="Amiri" w:cs="Amiri"/>
          <w:color w:val="111111"/>
          <w:sz w:val="28"/>
          <w:sz w:val="28"/>
          <w:szCs w:val="28"/>
          <w:rtl w:val="true"/>
          <w:lang w:bidi="ar-SA"/>
        </w:rPr>
        <w:t xml:space="preserve">البيّنتان في إناءين، بأن يشهد إحداهما بأنّ النجس هو هذا بعينه، و الاخرى بأنّه الآخر بعينه، فإنّه على القاعدة </w:t>
      </w:r>
    </w:p>
    <w:p>
      <w:pPr>
        <w:pStyle w:val="BookText"/>
        <w:rPr/>
      </w:pPr>
      <w:r>
        <w:rPr>
          <w:rFonts w:ascii="Amiri" w:hAnsi="Amiri" w:eastAsia="Amiri" w:cs="Amiri"/>
          <w:color w:val="111111"/>
          <w:sz w:val="28"/>
          <w:sz w:val="28"/>
          <w:szCs w:val="28"/>
          <w:rtl w:val="true"/>
          <w:lang w:bidi="ar-SA"/>
        </w:rPr>
        <w:t>المتقدّمة يدخل في عنوان المشتبه، كما عن المحقّق و العلاّمة في المعتبر</w:t>
      </w:r>
      <w:r>
        <w:rPr>
          <w:rStyle w:val="FootnoteAnchor"/>
          <w:rtl w:val="true"/>
        </w:rPr>
        <w:footnoteReference w:id="1804"/>
      </w:r>
      <w:r>
        <w:rPr>
          <w:rFonts w:ascii="Amiri" w:hAnsi="Amiri" w:eastAsia="Amiri" w:cs="Amiri"/>
          <w:color w:val="111111"/>
          <w:sz w:val="28"/>
          <w:sz w:val="28"/>
          <w:szCs w:val="28"/>
          <w:rtl w:val="true"/>
          <w:lang w:bidi="ar-SA"/>
        </w:rPr>
        <w:t>و التحرير</w:t>
      </w:r>
      <w:r>
        <w:rPr>
          <w:rStyle w:val="FootnoteAnchor"/>
          <w:rtl w:val="true"/>
        </w:rPr>
        <w:footnoteReference w:id="1805"/>
      </w:r>
      <w:r>
        <w:rPr>
          <w:rFonts w:ascii="Amiri" w:hAnsi="Amiri" w:eastAsia="Amiri" w:cs="Amiri"/>
          <w:color w:val="111111"/>
          <w:sz w:val="28"/>
          <w:sz w:val="28"/>
          <w:szCs w:val="28"/>
          <w:rtl w:val="true"/>
          <w:lang w:bidi="ar-SA"/>
        </w:rPr>
        <w:t>و الشهيد في الذكرى</w:t>
      </w:r>
      <w:r>
        <w:rPr>
          <w:rStyle w:val="FootnoteAnchor"/>
          <w:rtl w:val="true"/>
        </w:rPr>
        <w:footnoteReference w:id="1806"/>
      </w:r>
      <w:r>
        <w:rPr>
          <w:rFonts w:ascii="Amiri" w:hAnsi="Amiri" w:eastAsia="Amiri" w:cs="Amiri"/>
          <w:color w:val="111111"/>
          <w:sz w:val="28"/>
          <w:sz w:val="28"/>
          <w:szCs w:val="28"/>
          <w:rtl w:val="true"/>
          <w:lang w:bidi="ar-SA"/>
        </w:rPr>
        <w:t>و الشيخ عليّ و ثاني الشهيدين في شرح القواعد</w:t>
      </w:r>
      <w:r>
        <w:rPr>
          <w:rStyle w:val="FootnoteAnchor"/>
          <w:rtl w:val="true"/>
        </w:rPr>
        <w:footnoteReference w:id="1807"/>
      </w:r>
      <w:r>
        <w:rPr>
          <w:rFonts w:ascii="IRNazanin" w:hAnsi="IRNazanin" w:eastAsia="IRNazanin"/>
          <w:color w:val="111111"/>
          <w:sz w:val="28"/>
          <w:sz w:val="28"/>
          <w:szCs w:val="28"/>
          <w:rtl w:val="true"/>
          <w:lang w:bidi="fa-IR"/>
        </w:rPr>
        <w:t>و بعض فوائده</w:t>
      </w:r>
      <w:r>
        <w:rPr>
          <w:rStyle w:val="FootnoteAnchor"/>
          <w:rtl w:val="true"/>
        </w:rPr>
        <w:footnoteReference w:id="1808"/>
      </w:r>
      <w:r>
        <w:rPr>
          <w:rFonts w:ascii="Amiri" w:hAnsi="Amiri" w:eastAsia="Amiri" w:cs="Amiri"/>
          <w:color w:val="111111"/>
          <w:sz w:val="28"/>
          <w:sz w:val="28"/>
          <w:szCs w:val="28"/>
          <w:rtl w:val="true"/>
          <w:lang w:bidi="ar-SA"/>
        </w:rPr>
        <w:t>فإنّ البيّنتين متّفقتان في نجاسة القدر المشترك المردّد، فيكون كالمعلوم بالإجمال الّذي يوجب التحرّز عن الجميع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يسند إلى الشيخ في الخلاف</w:t>
      </w:r>
      <w:r>
        <w:rPr>
          <w:rStyle w:val="FootnoteAnchor"/>
          <w:rtl w:val="true"/>
        </w:rPr>
        <w:footnoteReference w:id="1809"/>
      </w:r>
      <w:r>
        <w:rPr>
          <w:rFonts w:ascii="Amiri" w:hAnsi="Amiri" w:eastAsia="Amiri" w:cs="Amiri"/>
          <w:color w:val="111111"/>
          <w:sz w:val="28"/>
          <w:sz w:val="28"/>
          <w:szCs w:val="28"/>
          <w:rtl w:val="true"/>
          <w:lang w:bidi="ar-SA"/>
        </w:rPr>
        <w:t>من سقوط الشهادتين و بقاء الماء على أصل الطهارة، و لا لما اختاره العلاّمة في المختلف</w:t>
      </w:r>
      <w:r>
        <w:rPr>
          <w:rStyle w:val="FootnoteAnchor"/>
          <w:rtl w:val="true"/>
        </w:rPr>
        <w:footnoteReference w:id="1810"/>
      </w:r>
      <w:r>
        <w:rPr>
          <w:rFonts w:ascii="Amiri" w:hAnsi="Amiri" w:eastAsia="Amiri" w:cs="Amiri"/>
          <w:color w:val="111111"/>
          <w:sz w:val="28"/>
          <w:sz w:val="28"/>
          <w:szCs w:val="28"/>
          <w:rtl w:val="true"/>
          <w:lang w:bidi="ar-SA"/>
        </w:rPr>
        <w:t>من التفصيل بين ما أمكن العمل بشهادتهما معا فيجب، و ما لو تنافيا فيطرح الجميع و يحكم بأصل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عن محكيّ الشيخ في المبسوط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الجمع بينهما قبلتا و نجسا، كان قويّا</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العبارة المذكورة عن المبسوط و لم يتعرّض لما لا يمكن فيه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فيه وجوب الاحتراز عنهما و الحكم بنجاسة أحدهما لا بعينه، و القول بسقوط شهادتهما فيما يتعذّر الجمع فيه لا يخلو من قوّة و هو قول الحنابلة</w:t>
      </w:r>
      <w:r>
        <w:rPr>
          <w:rFonts w:eastAsia="Amiri" w:cs="Amiri" w:ascii="Amiri" w:hAnsi="Amiri"/>
          <w:color w:val="111111"/>
          <w:sz w:val="28"/>
          <w:szCs w:val="28"/>
          <w:rtl w:val="true"/>
          <w:lang w:bidi="ar-SA"/>
        </w:rPr>
        <w:t>»</w:t>
      </w:r>
      <w:r>
        <w:rPr>
          <w:rStyle w:val="FootnoteAnchor"/>
          <w:rtl w:val="true"/>
        </w:rPr>
        <w:footnoteReference w:id="18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نحن لا نعقل هذا التفصيل في الصورة المفروضة، و لعلّه مفروض فيما لو قامت الشهادتان في الإنائين مع تعرّض كلّ لنفي ما أثبته الاخرى، أو سكوتها عن النفي و الاقتصار على مجرّد الإثبات، فيكون مرادهم ممّا لا يمكن الجمع بينهما هو الفرض الأوّل، حيث إنّ الأخذ بكلّ من الشهادتين في عقدها الإيجابي يوجب طرح الاخرى في العقد السلبي، و الوجه عندنا وجوب الاجتناب عن كلّ من الإنائين في كلّ من الفرضين،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دخوله في عنوان المشتبه، نظرا إلى اتّفاقهما في أنّ هنا نجسا و اختلافهما في التعيين، فيصدقان بالقياس إلى نجاسة القدر المشترك المردّد من دون أن يلزم منه طرح إحداهما في الشهادة بالطهارة، لأنّ العمل بموجب النجاسة في كليهما </w:t>
      </w:r>
      <w:bookmarkStart w:id="623" w:name="pg16144_233417"/>
    </w:p>
    <w:p>
      <w:pPr>
        <w:pStyle w:val="BookText"/>
        <w:rPr/>
      </w:pPr>
      <w:bookmarkEnd w:id="623"/>
      <w:r>
        <w:rPr>
          <w:rFonts w:ascii="Amiri" w:hAnsi="Amiri" w:eastAsia="Amiri" w:cs="Amiri"/>
          <w:color w:val="111111"/>
          <w:sz w:val="28"/>
          <w:sz w:val="28"/>
          <w:szCs w:val="28"/>
          <w:rtl w:val="true"/>
          <w:lang w:bidi="ar-SA"/>
        </w:rPr>
        <w:t>ينشأ عن لزوم إدراك ما يحكم عليه بالنجاسة شرعا، المتوقّف على التحرّز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كلّ أمارة على نجاسة محلّها بلا معارض فيجب الأخذ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فصّل بين ما أمكن الجمع بينهما و غيره، فحكم بنجاسة الإنائين في الأوّل و اضطراب في الثاني، فأدخله تارة تحت عموم وجوب القرعة لكلّ أمر مشكل، و أخرجه اخرى عنه مستبعدا لاستعمال القرعة في الأواني و الثياب، و لا أولويّة للعمل بإحدى الشهادتين دون الاخرى، فيطرح الجميع لأنّه ماء طاهر في الأصل فحصل الشكّ في النجاسة فيبني على اليقين؛ ثمّ أفتى بعد ذلك كلّه بنجاسة الإنائين معا، و قبول الشهود الأربع لأنّ ظاهر الشرع يقتضي صحّة شهادتهم، لأنّ كلّ شاهدين قد شهدا بإثبات ما نفاه الآخر</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و لا يخفى ما في أكثر هذه الكلمات من الاضطراب، و عدم موافقة قانون الاجتهاد، و الأقرب ما ذكرناه بما وجّهناه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804826_1280447820"/>
      <w:bookmarkStart w:id="625" w:name="_Toc244"/>
      <w:bookmarkEnd w:id="624"/>
      <w:r>
        <w:rPr>
          <w:rtl w:val="true"/>
        </w:rPr>
        <w:t>المطلب الخامس</w:t>
      </w:r>
      <w:r>
        <w:rPr>
          <w:rtl w:val="true"/>
        </w:rPr>
        <w:t xml:space="preserve">: </w:t>
      </w:r>
      <w:r>
        <w:rPr>
          <w:rtl w:val="true"/>
        </w:rPr>
        <w:t>معنى قيام الأمارة كائنة ما كانت مقام العلم كونها كالعلم بها في ترتّب جميع أحكام النجاسة، الّتي منها تنجّس الملاقي و وجوب تطهيره،</w:t>
      </w:r>
      <w:bookmarkEnd w:id="625"/>
    </w:p>
    <w:p>
      <w:pPr>
        <w:pStyle w:val="BookText"/>
        <w:rPr/>
      </w:pPr>
      <w:r>
        <w:rPr>
          <w:rFonts w:ascii="Amiri" w:hAnsi="Amiri" w:eastAsia="Amiri" w:cs="Amiri"/>
          <w:color w:val="111111"/>
          <w:sz w:val="28"/>
          <w:sz w:val="28"/>
          <w:szCs w:val="28"/>
          <w:rtl w:val="true"/>
          <w:lang w:bidi="ar-SA"/>
        </w:rPr>
        <w:t>و لا يفترق الحال في ذلك بين استصحاب و غيره، و لا معنى لاستصحاب طهارة الملاقي حينئذ، لما عرفت من أنّ ترتّب الحكم على الأمارة فرع على بقاء موضوعها، و ورودها محلاّ فارغا عن أمارة رافعة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تقرّر في ضمن المطالب المذكورة يعرف أحكام الفروع المتقدّم إليها الإشارة، فإنّ مادّة الحمّام لا يشترط فيها العلم بعدم النجاسة، بل يكفي في ترتّب أحكام الحمّام عليها عدم العلم بتحقّق سبب النجاسة فيها ما لم تكن مسبوقة بالعلم بها، و إلاّ فالاستصحاب يقوم مقام العلم بها فيترتّب عليه أحكام النجاسة أيضا بأجمعها، فلا تفيد حينئذ تطهيرا لماء الحوض الصغير، و لا تعصمه أيضا عن الانفعال بالغير، بل ربّما توجب بمجرّد اتّصالها به تنجّسه شرعا و لو لم يصادفه ملاقاة الغير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المادّة أو المجموع منها و ممّا في الحوض المشكوك في كرّيّتهما يبقى على الطهارة، فلا يلحقه النجاسة ما لم يعلم بنقصه عن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غير فرق بين سبق العلم بالكرّيّة و لا سبقه بعدمها، و لا انتفاء العلم رأسا، لدخول كلّ في موضوع الطهارة، و هو الّذي لا يعلم فيه بتحقّق سبب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عدم الكرّيّة في بعض تلك الصور لا يجدي نفعا في تحقّق موضوع النجاسة، لأنّ عدم الكرّيّة ليس سببا للنجاسة، و إنّما هو شرط لها، و إحراز الشرط بالاستصحاب حال فرض تحقّق الملاقاة لا يقتضي بإحراز المشروط إلاّ من باب الاصول المثبتة، لعدم كون هذه النجاسة على فرض طريانها من الأحكام الثابتة للمستصحب في حال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عبرة بفعليّة طروّ هذه النجاسة في الزمن السابق، و لا ريب أنّه ثمّة كان صالحا لأنّ يطرأه النجاسة و هو من أحكامه السابقة، فيستصحب تلك الصلاحية، على معنى كما أنّه كان قابلا للانفعال في الزمن السابق فيكون كذلك الآن للاستصحاب، لكن صلاحية قبول الانفعال غير قبوله فعلا، و المطلوب إثبات الثاني، و لعلّ إثبات الأوّل غير كاف فيه، فتأمّل و تحصّن بالاحتياط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قبول شهادة العدلين بالكرّيّة في الحمّام كما مضى من عدم خلوّه عن الإشكال، مع موافقته للاحتياط الّذي هو حسن على كلّ حال، و أمّا قبول قول ذي اليد في إخباره بها مالكا أو وكيلا أو مستأجرا فليس بمحلّ للإشكال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اتّصل ماء الحوض بعد تنجّسه بالمادّة المشكوك في كرّيّتها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الكرّيّة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استصحاب النجاسة خاليا عن الإشكال أيضا، و لا يعارضه استصحاب الكرّيّة في بعض الصور المتقدّمة، لما مرّ من كونه استصحابا في موضع انتفاء موضوع الطهارة، و من هنا يعلم حكم الملاقي لذلك الماء المستصحب نجاسته، فإنّه أيضا ينجّس بحكم الشرع، و لا حكم لاستصحاب طهارته بعد ما أحطت خبرا بما قرّرناه</w:t>
      </w:r>
      <w:r>
        <w:rPr>
          <w:rFonts w:eastAsia="Amiri" w:cs="Amiri" w:ascii="Amiri" w:hAnsi="Amiri"/>
          <w:color w:val="111111"/>
          <w:sz w:val="28"/>
          <w:szCs w:val="28"/>
          <w:rtl w:val="true"/>
          <w:lang w:bidi="ar-SA"/>
        </w:rPr>
        <w:t>.</w:t>
      </w:r>
      <w:bookmarkStart w:id="626" w:name="pg16144_233419"/>
    </w:p>
    <w:p>
      <w:pPr>
        <w:pStyle w:val="Heading3"/>
        <w:numPr>
          <w:ilvl w:val="2"/>
          <w:numId w:val="1"/>
        </w:numPr>
        <w:rPr/>
      </w:pPr>
      <w:bookmarkStart w:id="627" w:name="__RefHeading___Toc1804828_1280447820"/>
      <w:bookmarkStart w:id="628" w:name="_Toc245"/>
      <w:bookmarkEnd w:id="626"/>
      <w:bookmarkEnd w:id="627"/>
      <w:r>
        <w:rPr>
          <w:rtl w:val="true"/>
        </w:rPr>
        <w:t xml:space="preserve">ينبوع </w:t>
      </w:r>
      <w:r>
        <w:rPr>
          <w:rtl w:val="true"/>
        </w:rPr>
        <w:t>[</w:t>
      </w:r>
      <w:r>
        <w:rPr>
          <w:rtl w:val="true"/>
        </w:rPr>
        <w:t>في ماء الغيث</w:t>
      </w:r>
      <w:r>
        <w:rPr>
          <w:rtl w:val="true"/>
        </w:rPr>
        <w:t>]</w:t>
      </w:r>
      <w:bookmarkEnd w:id="628"/>
    </w:p>
    <w:p>
      <w:pPr>
        <w:pStyle w:val="Heading4"/>
        <w:numPr>
          <w:ilvl w:val="3"/>
          <w:numId w:val="1"/>
        </w:numPr>
        <w:rPr/>
      </w:pPr>
      <w:bookmarkStart w:id="629" w:name="__RefHeading___Toc1804830_1280447820"/>
      <w:bookmarkStart w:id="630" w:name="_Toc246"/>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و ممّا يلحق عندهم بالجاري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إلحاق ماء الحمّام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حال تقاطره من السماء، فلا ينفعل قليله بملاقاة النجاسة ما لم يتغيّر أحد أوصافه الثلاثة، و الظاهر أنّه في الجملة ممّا لا خلاف فيه، حتّى ممّن اشترط الكرّيّة في الجاري كالعلاّمة كما هو المصرّح به في كلام جماعة، و إن شئت لاحظ عبارة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الغيث حال نزوله يلحق بالجاري</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مذيّلا له في آخر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استقرّ على الأرض و انقطع التقاطر، ثمّ لاقته نجاسة اعتبر فيه ما يعتبر في الواقف، لانتفاء العلّة الّتي هي الجريان</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و مراده بالجريان الّذي أخذه علّة نزوله من السماء، كما يأتي منه التصريح به في دفع احتجاج الشيخ على ما صار إليه من اشتراط الجريان من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هذه العبارة ما عنه في نهاية الإحكام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فيه الجريان من الميزاب، بل التقاطر من السماء كاف، و لو انقطع التقاطر فلاقته النجاسة كان كالواقف</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و عنه في التذكرة التصريح بعدم اشتراط الكرّيّة مع التقاطر، و اشتراطها مع انقطاعه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انقطع تقاطر المطر و فيه نجاسة عينيّة اعتبرت الكرّيّة، و لا تعتبر حال التقاطر، و لو استحالت عينها قبل انقطاعه ثمّ انقطع كان طاهرا، و إن قصر عن الكرّ</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ما عرفت منه من التشبيه مع انضمام هذا التصريح إليه، لا ينافي ما يراه في الجاري من اشتراط الكرّيّة، لما ذكرناه مرارا في المباحث السابقة من أنّ التشبيه لا يقتضي إلاّ المشاركة في الحكم دون علّته، و الّذي يعتبره في الجاري من </w:t>
      </w:r>
    </w:p>
    <w:p>
      <w:pPr>
        <w:pStyle w:val="BookText"/>
        <w:rPr/>
      </w:pPr>
      <w:r>
        <w:rPr>
          <w:rFonts w:ascii="Amiri" w:hAnsi="Amiri" w:eastAsia="Amiri" w:cs="Amiri"/>
          <w:color w:val="111111"/>
          <w:sz w:val="28"/>
          <w:sz w:val="28"/>
          <w:szCs w:val="28"/>
          <w:rtl w:val="true"/>
          <w:lang w:bidi="ar-SA"/>
        </w:rPr>
        <w:t>الكرّيّة علّة للحكم اللاحق به، و لا يعتبر في العلّة التعدية إلى المشبّه بعد ما قلنا بتعدّي أصل الحكم، لجواز اختلافه مع المشبّه به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الكركي في جامع المقاصد بعد نقل كلام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ماء المطر حال تقاطره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الاعتراض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ما اختاره المصنّف من اشتراط الكرّيّة في الجاري يلزمه اشتراطها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لاقته نجاسة بعد انقطاع تقاطره، فكالواقف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على مقالة الأصحاب، أمّا على مقالته فالكلّ سواء</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فلعلّه غفلة عن ملاحظة ما عرفت عنه من التصريح، مع ما قرّرناه في توجيه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هذا التوجيه ينظر ما عن الفاضل الجواد في شرحه للدروس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تشبيه ماء المطر بالنابع على مذهب المصنّف جيّد، إذ لا يشترط في النابع الكرّيّة لعدم الانفعال، فيتمّ تشبيه ماء المطر به، و أمّا من اشترطها في النابع فلا معنى لتشبيهه، إلاّ أن يراد أنّه كالجاري حال كرّيّته</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بذلك يظهر أنّه لا حاجة في الجمع بين كلمات العلاّمة إلى تكلّف توجيهات اخر، كما ارتكبه بعضهم بعد الإيراد عليه بنحو ما عرفت عن جامع المقاصد على ما حكاه الخوانساري في شرحه للدروس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عبارة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أورد عليه أنّ الفرق بين الجاري و الواقف إنّما يظهر عند عدم اشتراط الكرّيّة في الجاري كما هو رأي غيره، و أمّا على رأيه فلا فرق، إلاّ أن يفرّق بينهما باعتبار أنّه لا يعتبر في الكرّ من الجاري مساواة السطوح، و أيضا يقول فيه بتقوّي الأعلى بالأسفل، و كذا يحكم في حال النجاسة بطهره بالتدافع و التكاثر و إن لم يكن الماء الطاهر الدافع قدر كرّ، كما مرّ سابقا من احتمال أن يكون مختاره رحمه اللّه هذه الامور في الجاري بخلاف الواقف، و لا يذهب عليك أنّ الظاهر من كلامه رحمه اللّه اشتراط الكرّيّة في ماء المطر</w:t>
      </w:r>
      <w:r>
        <w:rPr>
          <w:rFonts w:eastAsia="Amiri" w:cs="Amiri" w:ascii="Amiri" w:hAnsi="Amiri"/>
          <w:color w:val="111111"/>
          <w:sz w:val="28"/>
          <w:szCs w:val="28"/>
          <w:rtl w:val="true"/>
          <w:lang w:bidi="ar-SA"/>
        </w:rPr>
        <w:t>»</w:t>
      </w:r>
      <w:r>
        <w:rPr>
          <w:rStyle w:val="FootnoteAnchor"/>
          <w:rtl w:val="true"/>
        </w:rPr>
        <w:footnoteReference w:id="18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ما في الجزء الآخر من الغفلة عمّا عرفت عنه من التصريح بعدم اشتراط الكرّيّة فيه، إلاّ أن يكون كلامه في الفرق مأخوذا من كتاب لم يذكر فيه ذلك التصريح</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فأصحابنا بعد اتّفاقهم ظاهرا على عدم اشتراط الكرّيّة في ماء المطر </w:t>
      </w:r>
    </w:p>
    <w:p>
      <w:pPr>
        <w:pStyle w:val="BookText"/>
        <w:rPr/>
      </w:pPr>
      <w:r>
        <w:rPr>
          <w:rFonts w:ascii="Amiri" w:hAnsi="Amiri" w:eastAsia="Amiri" w:cs="Amiri"/>
          <w:color w:val="111111"/>
          <w:sz w:val="28"/>
          <w:sz w:val="28"/>
          <w:szCs w:val="28"/>
          <w:rtl w:val="true"/>
          <w:lang w:bidi="ar-SA"/>
        </w:rPr>
        <w:t>بالقياس إلى مقام الدفع، اختلفوا في اشتراط بعض من الامور الاخر و عدمه، فالمشهور بينهم اشتراط التقاطر من السماء فقط، من غير اشتراط الكثرة و لا الجريان من ميزاب أو غيره، و عليه دعوى الشهرة في كلام غير واحد، و في بعض العبارات</w:t>
      </w:r>
      <w:r>
        <w:rPr>
          <w:rStyle w:val="FootnoteAnchor"/>
          <w:rtl w:val="true"/>
        </w:rPr>
        <w:footnoteReference w:id="18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الفاضلان و الشهيدان و المحقّقان و غيرهم من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التصريح به عن العلاّمة في جملة من كتبه</w:t>
      </w:r>
      <w:r>
        <w:rPr>
          <w:rStyle w:val="FootnoteAnchor"/>
          <w:rtl w:val="true"/>
        </w:rPr>
        <w:footnoteReference w:id="1822"/>
      </w:r>
      <w:r>
        <w:rPr>
          <w:rFonts w:ascii="Amiri" w:hAnsi="Amiri" w:eastAsia="Amiri" w:cs="Amiri"/>
          <w:color w:val="111111"/>
          <w:sz w:val="28"/>
          <w:sz w:val="28"/>
          <w:szCs w:val="28"/>
          <w:rtl w:val="true"/>
          <w:lang w:bidi="ar-SA"/>
        </w:rPr>
        <w:t>و عن الشهيد في الدروس</w:t>
      </w:r>
      <w:r>
        <w:rPr>
          <w:rStyle w:val="FootnoteAnchor"/>
          <w:rtl w:val="true"/>
        </w:rPr>
        <w:footnoteReference w:id="1823"/>
      </w:r>
      <w:r>
        <w:rPr>
          <w:rFonts w:ascii="IRNazanin" w:hAnsi="IRNazanin" w:eastAsia="IRNazanin"/>
          <w:color w:val="111111"/>
          <w:sz w:val="28"/>
          <w:sz w:val="28"/>
          <w:szCs w:val="28"/>
          <w:rtl w:val="true"/>
          <w:lang w:bidi="fa-IR"/>
        </w:rPr>
        <w:t>، و عن مجمع الفوائد</w:t>
      </w:r>
      <w:r>
        <w:rPr>
          <w:rStyle w:val="FootnoteAnchor"/>
          <w:rtl w:val="true"/>
        </w:rPr>
        <w:footnoteReference w:id="1824"/>
      </w:r>
      <w:r>
        <w:rPr>
          <w:rFonts w:ascii="Amiri" w:hAnsi="Amiri" w:eastAsia="Amiri" w:cs="Amiri"/>
          <w:color w:val="111111"/>
          <w:sz w:val="28"/>
          <w:sz w:val="28"/>
          <w:szCs w:val="28"/>
          <w:rtl w:val="true"/>
          <w:lang w:bidi="ar-SA"/>
        </w:rPr>
        <w:t>أنّه صرّح بعدم اشتراط الكثرة و الجريان، و عزى إلى ظاهر المعتبر</w:t>
      </w:r>
      <w:r>
        <w:rPr>
          <w:rStyle w:val="FootnoteAnchor"/>
          <w:rtl w:val="true"/>
        </w:rPr>
        <w:footnoteReference w:id="1825"/>
      </w:r>
      <w:r>
        <w:rPr>
          <w:rFonts w:ascii="IRNazanin" w:hAnsi="IRNazanin" w:eastAsia="IRNazanin"/>
          <w:color w:val="111111"/>
          <w:sz w:val="28"/>
          <w:sz w:val="28"/>
          <w:szCs w:val="28"/>
          <w:rtl w:val="true"/>
          <w:lang w:bidi="fa-IR"/>
        </w:rPr>
        <w:t>، و شرح الموجز</w:t>
      </w:r>
      <w:r>
        <w:rPr>
          <w:rStyle w:val="FootnoteAnchor"/>
          <w:rtl w:val="true"/>
        </w:rPr>
        <w:footnoteReference w:id="1826"/>
      </w:r>
      <w:r>
        <w:rPr>
          <w:rFonts w:ascii="Amiri" w:hAnsi="Amiri" w:eastAsia="Amiri" w:cs="Amiri"/>
          <w:color w:val="111111"/>
          <w:sz w:val="28"/>
          <w:sz w:val="28"/>
          <w:szCs w:val="28"/>
          <w:rtl w:val="true"/>
          <w:lang w:bidi="ar-SA"/>
        </w:rPr>
        <w:t>، و صريح شرح المفاتيح</w:t>
      </w:r>
      <w:r>
        <w:rPr>
          <w:rStyle w:val="FootnoteAnchor"/>
          <w:rtl w:val="true"/>
        </w:rPr>
        <w:footnoteReference w:id="1827"/>
      </w:r>
      <w:r>
        <w:rPr>
          <w:rFonts w:ascii="IRNazanin" w:hAnsi="IRNazanin" w:eastAsia="IRNazanin"/>
          <w:color w:val="111111"/>
          <w:sz w:val="28"/>
          <w:sz w:val="28"/>
          <w:szCs w:val="28"/>
          <w:rtl w:val="true"/>
          <w:lang w:bidi="fa-IR"/>
        </w:rPr>
        <w:t>، و جامع المقاصد</w:t>
      </w:r>
      <w:r>
        <w:rPr>
          <w:rStyle w:val="FootnoteAnchor"/>
          <w:rtl w:val="true"/>
        </w:rPr>
        <w:footnoteReference w:id="1828"/>
      </w:r>
      <w:r>
        <w:rPr>
          <w:rFonts w:ascii="Amiri" w:hAnsi="Amiri" w:eastAsia="Amiri" w:cs="Amiri"/>
          <w:color w:val="111111"/>
          <w:sz w:val="28"/>
          <w:sz w:val="28"/>
          <w:szCs w:val="28"/>
          <w:rtl w:val="true"/>
          <w:lang w:bidi="ar-SA"/>
        </w:rPr>
        <w:t>، و اختاره في الرياض</w:t>
      </w:r>
      <w:r>
        <w:rPr>
          <w:rStyle w:val="FootnoteAnchor"/>
          <w:rtl w:val="true"/>
        </w:rPr>
        <w:footnoteReference w:id="1829"/>
      </w:r>
      <w:r>
        <w:rPr>
          <w:rFonts w:ascii="Amiri" w:hAnsi="Amiri" w:eastAsia="Amiri" w:cs="Amiri"/>
          <w:color w:val="111111"/>
          <w:sz w:val="28"/>
          <w:sz w:val="28"/>
          <w:szCs w:val="28"/>
          <w:rtl w:val="true"/>
          <w:lang w:bidi="ar-SA"/>
        </w:rPr>
        <w:t>، و غيره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هؤلاء كما هو صريح بعضهم اعتبار الصدق العرفي مع التقاطر، لا كفاية مسمّى المطر مطلقا و لو بقطرة و نحوها، نعم ربّما يحكى عن بعض المتأخّرين القول بطهارة الماء النازل من السماء مطلقا و لو كان قطرة واحدة، و هو في غاية البعد عن الأدلّة، خلافا للشيخ في التهذيب</w:t>
      </w:r>
      <w:r>
        <w:rPr>
          <w:rStyle w:val="FootnoteAnchor"/>
          <w:rtl w:val="true"/>
        </w:rPr>
        <w:footnoteReference w:id="1830"/>
      </w:r>
      <w:r>
        <w:rPr>
          <w:rFonts w:ascii="Amiri" w:hAnsi="Amiri" w:eastAsia="Amiri" w:cs="Amiri"/>
          <w:color w:val="111111"/>
          <w:sz w:val="28"/>
          <w:sz w:val="28"/>
          <w:szCs w:val="28"/>
          <w:rtl w:val="true"/>
          <w:lang w:bidi="ar-SA"/>
        </w:rPr>
        <w:t>، و محكيّ المبسوط</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الاستبصار</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لمصيره إلى اشتراط الجريان من الميزاب،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ماء المطر إذا جرى من الميزاب فحكمه حكم الماء الجاري،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لكن قضيّة احتجاجه على ذلك بصحيحة عليّ بن جعفر الآتية اكتفاؤه بمطلق الجريان و لو عن غير ميزاب، لذكر الجريان فيها مطلقا، فيكون الميزاب واردا في كلامه من باب المثال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يحكى ذلك عن ابن فهد في الموجز و عن صاحب الجامع</w:t>
      </w:r>
      <w:r>
        <w:rPr>
          <w:rStyle w:val="FootnoteAnchor"/>
          <w:rtl w:val="true"/>
        </w:rPr>
        <w:footnoteReference w:id="1835"/>
      </w:r>
      <w:r>
        <w:rPr>
          <w:rFonts w:ascii="Amiri" w:hAnsi="Amiri" w:eastAsia="Amiri" w:cs="Amiri"/>
          <w:color w:val="111111"/>
          <w:sz w:val="28"/>
          <w:sz w:val="28"/>
          <w:szCs w:val="28"/>
          <w:rtl w:val="true"/>
          <w:lang w:bidi="ar-SA"/>
        </w:rPr>
        <w:t xml:space="preserve">أيضا، و لكن </w:t>
      </w:r>
      <w:bookmarkStart w:id="631" w:name="pg16144_233422"/>
    </w:p>
    <w:p>
      <w:pPr>
        <w:pStyle w:val="BookText"/>
        <w:rPr/>
      </w:pPr>
      <w:bookmarkEnd w:id="631"/>
      <w:r>
        <w:rPr>
          <w:rFonts w:ascii="Amiri" w:hAnsi="Amiri" w:eastAsia="Amiri" w:cs="Amiri"/>
          <w:color w:val="111111"/>
          <w:sz w:val="28"/>
          <w:sz w:val="28"/>
          <w:szCs w:val="28"/>
          <w:rtl w:val="true"/>
          <w:lang w:bidi="ar-SA"/>
        </w:rPr>
        <w:t>العبارة المنقولة عن الموجز قاصرة عن تأديته، و لعلّها ظاهرة في موافقة المشهور،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ماء الغيث نازلا و لو من ميزاب</w:t>
      </w:r>
      <w:r>
        <w:rPr>
          <w:rFonts w:eastAsia="Amiri" w:cs="Amiri" w:ascii="Amiri" w:hAnsi="Amiri"/>
          <w:color w:val="111111"/>
          <w:sz w:val="28"/>
          <w:szCs w:val="28"/>
          <w:rtl w:val="true"/>
          <w:lang w:bidi="ar-SA"/>
        </w:rPr>
        <w:t>»</w:t>
      </w:r>
      <w:r>
        <w:rPr>
          <w:rStyle w:val="FootnoteAnchor"/>
          <w:rtl w:val="true"/>
        </w:rPr>
        <w:footnoteReference w:id="1836"/>
      </w:r>
      <w:r>
        <w:rPr>
          <w:rFonts w:ascii="Amiri" w:hAnsi="Amiri" w:eastAsia="Amiri" w:cs="Amiri"/>
          <w:color w:val="111111"/>
          <w:sz w:val="28"/>
          <w:sz w:val="28"/>
          <w:szCs w:val="28"/>
          <w:rtl w:val="true"/>
          <w:lang w:bidi="ar-SA"/>
        </w:rPr>
        <w:t>فإنّ اعتبار النزول هو القول المشهور بعينه، و لا ينافيه تعميمه بالقياس إلى الميزاب، لأنّ تحقّق النزول بالقياس إلى ما لا يصيبه السماء قد يكون بالميزاب الحاجز بينه و بين السماء، أو أنّ النزول المعتبر في حفظ الماء عن الانفعال أعمّ من كونه من السماء بلا واسطة أو منها بواسطة الميزاب، أو أنّ حالة النزول من السماء مقتضية لاعتصام الماء عن قبول الانفعال و لو بالقياس إلى ما ينزل منه من الميزاب، و حاصله عدم اختصاص الحكم مع هذه الحالة بما له مبدأ النزول عنها فعلا، بل يتعدّى إلى ما انقضى عنه ذلك المبدأ لكن ما دامت الحالة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إجراء ما يقرب من هذا التوجيه في كلام الشيخ أيضا و إن كان خلاف الظاهر، و لعلّه لذا عبّر العلاّمة في المنتهى عند حكاية مذهبه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يلوح من كلام الشيخ في التهذيب</w:t>
      </w:r>
      <w:r>
        <w:rPr>
          <w:rStyle w:val="FootnoteAnchor"/>
          <w:rtl w:val="true"/>
        </w:rPr>
        <w:footnoteReference w:id="1837"/>
      </w:r>
      <w:r>
        <w:rPr>
          <w:rFonts w:ascii="IRNazanin" w:hAnsi="IRNazanin" w:eastAsia="IRNazanin"/>
          <w:color w:val="111111"/>
          <w:sz w:val="28"/>
          <w:sz w:val="28"/>
          <w:szCs w:val="28"/>
          <w:rtl w:val="true"/>
          <w:lang w:bidi="fa-IR"/>
        </w:rPr>
        <w:t>و المبسوط</w:t>
      </w:r>
      <w:r>
        <w:rPr>
          <w:rStyle w:val="FootnoteAnchor"/>
          <w:rtl w:val="true"/>
        </w:rPr>
        <w:footnoteReference w:id="1838"/>
      </w:r>
      <w:r>
        <w:rPr>
          <w:rFonts w:ascii="Amiri" w:hAnsi="Amiri" w:eastAsia="Amiri" w:cs="Amiri"/>
          <w:color w:val="111111"/>
          <w:sz w:val="28"/>
          <w:sz w:val="28"/>
          <w:szCs w:val="28"/>
          <w:rtl w:val="true"/>
          <w:lang w:bidi="ar-SA"/>
        </w:rPr>
        <w:t>اشتراط الجريان من الميزاب</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و على هذا فلم يتحقّق منه المخالفة و إن اشتهر في الألسنة، و عن الفاضل الجواد</w:t>
      </w:r>
      <w:r>
        <w:rPr>
          <w:rStyle w:val="FootnoteAnchor"/>
          <w:rtl w:val="true"/>
        </w:rPr>
        <w:footnoteReference w:id="1840"/>
      </w:r>
      <w:r>
        <w:rPr>
          <w:rFonts w:ascii="Amiri" w:hAnsi="Amiri" w:eastAsia="Amiri" w:cs="Amiri"/>
          <w:color w:val="111111"/>
          <w:sz w:val="28"/>
          <w:sz w:val="28"/>
          <w:szCs w:val="28"/>
          <w:rtl w:val="true"/>
          <w:lang w:bidi="ar-SA"/>
        </w:rPr>
        <w:t>أنّه اعتبر أن يكون لماء المطر قوّة بحيث يصلح للجريان، و إن لم يكن جاريا بالفعل، و عزى إلى جملة ممّن تأخّر عنه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عرفته عن الروض </w:t>
      </w:r>
      <w:r>
        <w:rPr>
          <w:rFonts w:eastAsia="Amiri" w:cs="Amiri" w:ascii="Amiri" w:hAnsi="Amiri"/>
          <w:color w:val="111111"/>
          <w:sz w:val="28"/>
          <w:szCs w:val="28"/>
          <w:rtl w:val="true"/>
          <w:lang w:bidi="ar-SA"/>
        </w:rPr>
        <w:t>-</w:t>
      </w:r>
      <w:r>
        <w:rPr>
          <w:rStyle w:val="FootnoteAnchor"/>
          <w:rtl w:val="true"/>
        </w:rPr>
        <w:footnoteReference w:id="1841"/>
      </w:r>
      <w:r>
        <w:rPr>
          <w:rFonts w:ascii="IRNazanin" w:hAnsi="IRNazanin" w:eastAsia="IRNazanin"/>
          <w:color w:val="111111"/>
          <w:sz w:val="28"/>
          <w:sz w:val="28"/>
          <w:szCs w:val="28"/>
          <w:rtl w:val="true"/>
          <w:lang w:bidi="fa-IR"/>
        </w:rPr>
        <w:t>أربع،</w:t>
      </w:r>
    </w:p>
    <w:p>
      <w:pPr>
        <w:pStyle w:val="Heading4"/>
        <w:numPr>
          <w:ilvl w:val="3"/>
          <w:numId w:val="1"/>
        </w:numPr>
        <w:rPr/>
      </w:pPr>
      <w:bookmarkStart w:id="632" w:name="__RefHeading___Toc1804832_1280447820"/>
      <w:bookmarkStart w:id="633" w:name="_Toc247"/>
      <w:bookmarkEnd w:id="632"/>
      <w:r>
        <w:rPr>
          <w:rtl w:val="true"/>
        </w:rPr>
        <w:t>و قد يحكى عن العلاّمة الطباطبائي في المصابيح تسديس الأقوال</w:t>
      </w:r>
      <w:r>
        <w:rPr>
          <w:rtl w:val="true"/>
        </w:rPr>
        <w:t>.</w:t>
      </w:r>
      <w:bookmarkEnd w:id="633"/>
    </w:p>
    <w:p>
      <w:pPr>
        <w:pStyle w:val="Heading5"/>
        <w:numPr>
          <w:ilvl w:val="4"/>
          <w:numId w:val="1"/>
        </w:numPr>
        <w:rPr/>
      </w:pPr>
      <w:bookmarkStart w:id="634" w:name="__RefHeading___Toc1804834_1280447820"/>
      <w:bookmarkStart w:id="635" w:name="_Toc248"/>
      <w:bookmarkEnd w:id="634"/>
      <w:r>
        <w:rPr>
          <w:rtl w:val="true"/>
        </w:rPr>
        <w:t>أحدها</w:t>
      </w:r>
      <w:r>
        <w:rPr>
          <w:rtl w:val="true"/>
        </w:rPr>
        <w:t xml:space="preserve">: </w:t>
      </w:r>
      <w:r>
        <w:rPr>
          <w:rtl w:val="true"/>
        </w:rPr>
        <w:t>كفاية النزول من السماء مطلقا،</w:t>
      </w:r>
      <w:bookmarkEnd w:id="635"/>
    </w:p>
    <w:p>
      <w:pPr>
        <w:pStyle w:val="BookText"/>
        <w:rPr/>
      </w:pPr>
      <w:r>
        <w:rPr>
          <w:rFonts w:ascii="Amiri" w:hAnsi="Amiri" w:eastAsia="Amiri" w:cs="Amiri"/>
          <w:color w:val="111111"/>
          <w:sz w:val="28"/>
          <w:sz w:val="28"/>
          <w:szCs w:val="28"/>
          <w:rtl w:val="true"/>
          <w:lang w:bidi="ar-SA"/>
        </w:rPr>
        <w:t>و قد يحكى عن العلاّمة الطباطبائي في المصابيح</w:t>
      </w:r>
      <w:r>
        <w:rPr>
          <w:rStyle w:val="FootnoteAnchor"/>
          <w:rtl w:val="true"/>
        </w:rPr>
        <w:footnoteReference w:id="1842"/>
      </w:r>
      <w:r>
        <w:rPr>
          <w:rFonts w:ascii="Amiri" w:hAnsi="Amiri" w:eastAsia="Amiri" w:cs="Amiri"/>
          <w:color w:val="111111"/>
          <w:sz w:val="28"/>
          <w:sz w:val="28"/>
          <w:szCs w:val="28"/>
          <w:rtl w:val="true"/>
          <w:lang w:bidi="ar-SA"/>
        </w:rPr>
        <w:t>تسديس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النزول من السماء مطلقا، و لو بنحو قطرة واحدة، و هو المحكيّ عن الروض</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804836_1280447820"/>
      <w:bookmarkStart w:id="637" w:name="_Toc249"/>
      <w:bookmarkEnd w:id="636"/>
      <w:r>
        <w:rPr>
          <w:rtl w:val="true"/>
        </w:rPr>
        <w:t>و ثانيها</w:t>
      </w:r>
      <w:r>
        <w:rPr>
          <w:rtl w:val="true"/>
        </w:rPr>
        <w:t xml:space="preserve">: </w:t>
      </w:r>
      <w:r>
        <w:rPr>
          <w:rtl w:val="true"/>
        </w:rPr>
        <w:t>اشتراط قوّة يصحّ معها إطلاق اسم الغيث و المطر عرفا،</w:t>
      </w:r>
      <w:bookmarkEnd w:id="637"/>
    </w:p>
    <w:p>
      <w:pPr>
        <w:pStyle w:val="BookText"/>
        <w:rPr/>
      </w:pPr>
      <w:r>
        <w:rPr>
          <w:rFonts w:ascii="Amiri" w:hAnsi="Amiri" w:eastAsia="Amiri" w:cs="Amiri"/>
          <w:color w:val="111111"/>
          <w:sz w:val="28"/>
          <w:sz w:val="28"/>
          <w:szCs w:val="28"/>
          <w:rtl w:val="true"/>
          <w:lang w:bidi="ar-SA"/>
        </w:rPr>
        <w:t>و إن قلّ أو لم يجر و هو المشهور</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804838_1280447820"/>
      <w:bookmarkStart w:id="639" w:name="_Toc250"/>
      <w:bookmarkEnd w:id="638"/>
      <w:r>
        <w:rPr>
          <w:rtl w:val="true"/>
        </w:rPr>
        <w:t>ثالثها</w:t>
      </w:r>
      <w:r>
        <w:rPr>
          <w:rtl w:val="true"/>
        </w:rPr>
        <w:t xml:space="preserve">: </w:t>
      </w:r>
      <w:r>
        <w:rPr>
          <w:rtl w:val="true"/>
        </w:rPr>
        <w:t>اعتبار الكثرة و الجريان و لو قوّة،</w:t>
      </w:r>
      <w:bookmarkEnd w:id="63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اختيار الفاضل الأردبيلي</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bookmarkStart w:id="640" w:name="pg16144_233423"/>
    </w:p>
    <w:p>
      <w:pPr>
        <w:pStyle w:val="Heading5"/>
        <w:numPr>
          <w:ilvl w:val="4"/>
          <w:numId w:val="1"/>
        </w:numPr>
        <w:rPr/>
      </w:pPr>
      <w:bookmarkStart w:id="641" w:name="__RefHeading___Toc1804840_1280447820"/>
      <w:bookmarkStart w:id="642" w:name="_Toc251"/>
      <w:bookmarkEnd w:id="640"/>
      <w:bookmarkEnd w:id="641"/>
      <w:r>
        <w:rPr>
          <w:rtl w:val="true"/>
        </w:rPr>
        <w:t>و رابعها</w:t>
      </w:r>
      <w:r>
        <w:rPr>
          <w:rtl w:val="true"/>
        </w:rPr>
        <w:t xml:space="preserve">: </w:t>
      </w:r>
      <w:r>
        <w:rPr>
          <w:rtl w:val="true"/>
        </w:rPr>
        <w:t>اعتبار مسمّى الجريان فعلا و إن لم يكن من ميزاب و نحوه،</w:t>
      </w:r>
      <w:bookmarkEnd w:id="642"/>
    </w:p>
    <w:p>
      <w:pPr>
        <w:pStyle w:val="BookText"/>
        <w:rPr/>
      </w:pPr>
      <w:r>
        <w:rPr>
          <w:rFonts w:ascii="Amiri" w:hAnsi="Amiri" w:eastAsia="Amiri" w:cs="Amiri"/>
          <w:color w:val="111111"/>
          <w:sz w:val="28"/>
          <w:sz w:val="28"/>
          <w:szCs w:val="28"/>
          <w:rtl w:val="true"/>
          <w:lang w:bidi="ar-SA"/>
        </w:rPr>
        <w:t>و هو خيرة كشف اللثام</w:t>
      </w:r>
      <w:r>
        <w:rPr>
          <w:rStyle w:val="FootnoteAnchor"/>
          <w:rtl w:val="true"/>
        </w:rPr>
        <w:footnoteReference w:id="1845"/>
      </w:r>
      <w:r>
        <w:rPr>
          <w:rFonts w:ascii="Amiri" w:hAnsi="Amiri" w:eastAsia="Amiri" w:cs="Amiri"/>
          <w:color w:val="111111"/>
          <w:sz w:val="28"/>
          <w:sz w:val="28"/>
          <w:szCs w:val="28"/>
          <w:rtl w:val="true"/>
          <w:lang w:bidi="ar-SA"/>
        </w:rPr>
        <w:t>، و نفي عنه البعد في المدارك</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804842_1280447820"/>
      <w:bookmarkStart w:id="644" w:name="_Toc252"/>
      <w:bookmarkEnd w:id="643"/>
      <w:r>
        <w:rPr>
          <w:rtl w:val="true"/>
        </w:rPr>
        <w:t>و خامسها</w:t>
      </w:r>
      <w:r>
        <w:rPr>
          <w:rtl w:val="true"/>
        </w:rPr>
        <w:t xml:space="preserve">: </w:t>
      </w:r>
      <w:r>
        <w:rPr>
          <w:rtl w:val="true"/>
        </w:rPr>
        <w:t>اشتراط الجريان فعلا من الميزاب خاصّة</w:t>
      </w:r>
      <w:bookmarkEnd w:id="644"/>
    </w:p>
    <w:p>
      <w:pPr>
        <w:pStyle w:val="BookText"/>
        <w:rPr/>
      </w:pPr>
      <w:r>
        <w:rPr>
          <w:rFonts w:ascii="Amiri" w:hAnsi="Amiri" w:eastAsia="Amiri" w:cs="Amiri"/>
          <w:color w:val="111111"/>
          <w:sz w:val="28"/>
          <w:sz w:val="28"/>
          <w:szCs w:val="28"/>
          <w:rtl w:val="true"/>
          <w:lang w:bidi="ar-SA"/>
        </w:rPr>
        <w:t>و هو لظاهر الشيخ</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804844_1280447820"/>
      <w:bookmarkStart w:id="646" w:name="_Toc253"/>
      <w:bookmarkEnd w:id="645"/>
      <w:r>
        <w:rPr>
          <w:rtl w:val="true"/>
        </w:rPr>
        <w:t>و سادسها</w:t>
      </w:r>
      <w:r>
        <w:rPr>
          <w:rtl w:val="true"/>
        </w:rPr>
        <w:t xml:space="preserve">: </w:t>
      </w:r>
      <w:r>
        <w:rPr>
          <w:rtl w:val="true"/>
        </w:rPr>
        <w:t>و أحقّ الأقوال ظاهرا هو المذهب المشهور،</w:t>
      </w:r>
      <w:bookmarkEnd w:id="646"/>
    </w:p>
    <w:p>
      <w:pPr>
        <w:pStyle w:val="BookText"/>
        <w:rPr/>
      </w:pPr>
      <w:r>
        <w:rPr>
          <w:rFonts w:ascii="Amiri" w:hAnsi="Amiri" w:eastAsia="Amiri" w:cs="Amiri"/>
          <w:color w:val="111111"/>
          <w:sz w:val="28"/>
          <w:sz w:val="28"/>
          <w:szCs w:val="28"/>
          <w:rtl w:val="true"/>
          <w:lang w:bidi="ar-SA"/>
        </w:rPr>
        <w:t>و لم نقف على ذكر مستند إلاّ له و لمختار الشيخ و لمشترطي الكثرة</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804846_1280447820"/>
      <w:bookmarkStart w:id="648" w:name="_Toc254"/>
      <w:bookmarkEnd w:id="647"/>
      <w:r>
        <w:rPr>
          <w:rtl w:val="true"/>
        </w:rPr>
        <w:t>و ينبغي أوّلا استقصاء جميع ما ورد في الباب من الأخبار المرويّة في كتب الأصحاب، ثمّ النظر في دلالتها، و استعلام ما يتحصّل من مجموعها،</w:t>
      </w:r>
      <w:bookmarkEnd w:id="648"/>
    </w:p>
    <w:p>
      <w:pPr>
        <w:pStyle w:val="BookText"/>
        <w:rPr/>
      </w:pPr>
      <w:r>
        <w:rPr>
          <w:rFonts w:ascii="Amiri" w:hAnsi="Amiri" w:eastAsia="Amiri" w:cs="Amiri"/>
          <w:color w:val="111111"/>
          <w:sz w:val="28"/>
          <w:sz w:val="28"/>
          <w:szCs w:val="28"/>
          <w:rtl w:val="true"/>
          <w:lang w:bidi="ar-SA"/>
        </w:rPr>
        <w:t>و هي من الصحاح و غيرها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أنّه سأل أخاه موسى بن جعفر عليهما السّلام عن الرجل يمرّ في ماء المطر، و قد صبّ فيه خمر، فأصاب ثوبه، هل يصلّي فيه قبل أن يغسله؟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 و لا رجله و يصلّي فيه، فلا بأس</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التهذيب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الكنيف يكون خارجا، فتمطر السماء فتقطر عليّ القطرة؟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عن الكافي عن الكاهلي، عن رجل،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الطريق فيسيل عليّ الميزاب في أوقات أعلم أنّ الناس يتوضّئون؟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لا يسأل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يسيل عليّ من ماء المطر أرى فيه التغيّر، و أرى فيه آثار القذر، فيقطر القطرات عليّ و ينتضح عليّ منه، و البيت يتوضأ على سطحه، فيكفّ‌</w:t>
      </w:r>
      <w:r>
        <w:rPr>
          <w:rStyle w:val="FootnoteAnchor"/>
          <w:rtl w:val="true"/>
        </w:rPr>
        <w:footnoteReference w:id="1850"/>
      </w:r>
      <w:r>
        <w:rPr>
          <w:rFonts w:ascii="Amiri" w:hAnsi="Amiri" w:eastAsia="Amiri" w:cs="Amiri"/>
          <w:color w:val="111111"/>
          <w:sz w:val="28"/>
          <w:sz w:val="28"/>
          <w:szCs w:val="28"/>
          <w:rtl w:val="true"/>
          <w:lang w:bidi="ar-SA"/>
        </w:rPr>
        <w:t>على ثيابنا؟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بذا بأس، كلّ شيء رآه ماء المطر فقد طهر</w:t>
      </w:r>
      <w:r>
        <w:rPr>
          <w:rFonts w:eastAsia="Amiri" w:cs="Amiri" w:ascii="Amiri" w:hAnsi="Amiri"/>
          <w:color w:val="111111"/>
          <w:sz w:val="28"/>
          <w:szCs w:val="28"/>
          <w:rtl w:val="true"/>
          <w:lang w:bidi="ar-SA"/>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عن الكافي في الصحيح أو الحسن بإبراهيم بن هاشم، عن ابن أبي </w:t>
      </w:r>
    </w:p>
    <w:p>
      <w:pPr>
        <w:pStyle w:val="BookText"/>
        <w:rPr/>
      </w:pPr>
      <w:r>
        <w:rPr>
          <w:rFonts w:ascii="Amiri" w:hAnsi="Amiri" w:eastAsia="Amiri" w:cs="Amiri"/>
          <w:color w:val="111111"/>
          <w:sz w:val="28"/>
          <w:sz w:val="28"/>
          <w:szCs w:val="28"/>
          <w:rtl w:val="true"/>
          <w:lang w:bidi="ar-SA"/>
        </w:rPr>
        <w:t>عمير عن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ميزابين سالا، أحدهما بول و الآخر ماء المطر، فاختلطا، فأصاب ثوب رجل، لم يضرّه ذلك</w:t>
      </w:r>
      <w:r>
        <w:rPr>
          <w:rFonts w:eastAsia="Amiri" w:cs="Amiri" w:ascii="Amiri" w:hAnsi="Amiri"/>
          <w:color w:val="111111"/>
          <w:sz w:val="28"/>
          <w:szCs w:val="28"/>
          <w:rtl w:val="true"/>
          <w:lang w:bidi="ar-SA"/>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بإسناده الصحيح عن هشام بن سالم، أنّه سأل أبا عبد اللّه عليه السّلام عن السطح يبال عليه، فيصيبه السماء، فيكفّ فيصيب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الوارد في الفقيه بإسناده عن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على ظهره، و يغتسل من الجنابة، ثمّ يصيبه المطر، أ 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يمرّ في ماء المطر و قد صبّ فيه خمر، فأصاب ثوبه، هل يصلّي فيه قبل أن يغسله؟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يغسل ثوبه و لا رجله، و يصلّي فيه و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الجزء هو الّذي حكيناه أوّلا عن التهذيب أيضا، و في الوسائل رواه الحميري في قرب الأسناد عن عبد اللّه الحسن، عن جدّه عليّ بن جعفر مثله، و زاد و سألته عن الكنيف فوق البيت، فيصيبه المطر، فيكفّ فيصيب الثياب، أ يصلّي فيها قبل أن تغسل؟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الحدائق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كتاب المسائل أيضا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المطر يجري في المكان فيه العذرة، فيصيب الثوب، أ يصلّي فيه قبل أن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محمّد بن إسماعيل، عن بعض أصحابنا، عن أبي الحسن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المطر أنّه لا بأس به أن يصيب الثوب ثلاثة أيّام، إلاّ أن يعلم أنّه قد نجسه شيء بعد المطر، فإن أصابه بعد ثلاثة أيّام فاغسله، و إن كان الطريق نظيفا لم تغسله</w:t>
      </w:r>
      <w:r>
        <w:rPr>
          <w:rFonts w:eastAsia="Amiri" w:cs="Amiri" w:ascii="Amiri" w:hAnsi="Amiri"/>
          <w:color w:val="111111"/>
          <w:sz w:val="28"/>
          <w:szCs w:val="28"/>
          <w:rtl w:val="true"/>
          <w:lang w:bidi="ar-SA"/>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يذهب عليك أنّ عموم قاعدة انفعال القليل بملاقاة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في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في الانفعال بين ماء المطر و غيره، خلافا لبعض من ذهب إلى عدم انفعال ماء المطر استنادا إلى عدم العموم في تلك القاعدة كالمحقّق الخوانساري</w:t>
      </w:r>
      <w:r>
        <w:rPr>
          <w:rStyle w:val="FootnoteAnchor"/>
          <w:rtl w:val="true"/>
        </w:rPr>
        <w:footnoteReference w:id="1858"/>
      </w:r>
      <w:r>
        <w:rPr>
          <w:rFonts w:ascii="Amiri" w:hAnsi="Amiri" w:eastAsia="Amiri" w:cs="Amiri"/>
          <w:color w:val="111111"/>
          <w:sz w:val="28"/>
          <w:sz w:val="28"/>
          <w:szCs w:val="28"/>
          <w:rtl w:val="true"/>
          <w:lang w:bidi="ar-SA"/>
        </w:rPr>
        <w:t xml:space="preserve">، فالقول بعدم الانفعال هنا حال التقاطر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الجريان مطلقا، أو مقيّدا بالميزاب، أو الكثرة الصالحة لأن ينشأ منها الجريان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المشهور لا بدّ من دليلين أحدهما ما يقضي بأصل الحكم الصالح مخصّصا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ما يقضي بصحّة اشتراط التقاطر و على المذهبين الآخرين يزيد عليهما لزوم دليل ثالث يدلّ على اعتبار الجريان أو الكثرة، لا بمعنى لزوم إقامة أدلّة منفصلة على هذه المطالب، بل بمعنى لزوم إقامة ما يحتويها جميعا، اتّحد أو تعدّد، و حينئذ فلو استدلّ المشهور على ما صاروا إليه بالصحيحة الاولى المشتملة على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في ماء المطر، و قد صبّ فيه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كافيا لهم في ثبوت مطلوبهم بكلا جزأيه، أمّا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و أمّا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تناول الصحيحة في الإخراج عن القاعدة إلاّ حال التقاطر، فيجب عدم التعدّي إلى غيرها، اقتصارا فيما خالف الأصل على مورد الدليل، و إنّما يتّضح هذا البيان بالقياس إلى صغرى القياس على تقدير كون الإضافة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إذ المرور في المطر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حال النزول و التقاطر، و المفروض عدم اشتمال الجواب على عامّ أو مطلق ليتّجه القول بعدم صلاحية المورد لتخصيصه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احتمال كونها لاميّة، فربّما يدخل في الوهم شمول الجواب بملاحظة ترك الاستفصال حال التقاطر و غيرها، إلاّ أنّه لا يجدي نفعا في استفادة التعميم من الرواية </w:t>
      </w:r>
    </w:p>
    <w:p>
      <w:pPr>
        <w:pStyle w:val="BookText"/>
        <w:rPr/>
      </w:pPr>
      <w:r>
        <w:rPr>
          <w:rFonts w:ascii="Amiri" w:hAnsi="Amiri" w:eastAsia="Amiri" w:cs="Amiri"/>
          <w:color w:val="111111"/>
          <w:sz w:val="28"/>
          <w:sz w:val="28"/>
          <w:szCs w:val="28"/>
          <w:rtl w:val="true"/>
          <w:lang w:bidi="ar-SA"/>
        </w:rPr>
        <w:t>بمجرّدها بعد قيام احتمال كون الإضافة بيانيّة، فإنّه لقوّته لو لم يكافئ الاحتمال الآخر حتّى يكون الإضافة لتردّدها بين المعنيين مجملة، فلا أقلّ من كونه مزاحما لدلالة الرواية على العموم المبني على الاحتمال الآخر، و موجبا لضعف تلك الدلالة، و معه لا محيص من الأخذ بالقدر المتيقّن من مدلولها، المشترك بين الاحتمالين، كما أنّه كذلك على تقدير إجمال الإضافة، نعم ترك الاستفصال بالقياس إلى اعتبار الجريان أو الكثرة و عدمه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فالمناقشة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فيها إشعارا بحصول الجريان، فلا دلالة فيها على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دلالتها موقوفة على نجاسة الخمر، و هي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الإشعار لو اريد به الظهور، بل و منعه أيضا مطلقا، و لو سلّم فاعتباره ممنوع و أنّ المحقّق نجاسة الخمر كما يأتي في محلّه، و لو سلّم فالرواية بنفسها تنهض دليلا عليها، كما تنبّه عليه في مجمع الفائدة</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سياق السؤال ممّا يشهد بتعرّض السؤال عن نجاسة الماء، و هو فرع على اعتقاد السائل بنجاسة الخمر، و احتمال كونه في صدد السؤال عن نجاسة الخمر ممّا يبعّده سياق السؤال، و لا يلائمه جلالة شأن السائل، كما أنّ احتمال كون شبهته في نجاسة الماء ناشئة عن الشبهة في نجاسة الخمر ممّا لا يلائمه جلالة شأنه، و علوّ رتبته في الفقه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الكلام في صحّة الاستناد إلى مثل هذا الاعتقاد، لجواز كونه مستحصلا له بطريق الاجتهاد، و لو عوّل على التقرير المتوهّم في المقام لم يكن في محلّه، لعدم احتواء المقام جميع مقدّماته لجواز الاكتفاء في الردع بما ذكره عليه السّلام في الجواب، إلاّ أن يدّعى قيام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نجاسة الخمر مفروغا عنها فيما بين السائل و المسئول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يوافق الصحيحة المذكورة في الدلالة على ما يوافق المذهب المشهور، و السكوت عن اعتبار الجريان و الكثرة الرواية الثانية، غير أنّه يشكل الحال في التمسّك بها وحدها، لما في سندها من القصور بجهالة عمرو بن الوليد، أو عمر بن الوليد على اختلاف النسخ، لعدم كونه مذكورا في الرجال فيما نعلم بشيء من العنوانين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يصحّ الاستناد عليه أيضا بالرواية الرابعة كما استند إليها في المنتهى</w:t>
      </w:r>
      <w:r>
        <w:rPr>
          <w:rStyle w:val="FootnoteAnchor"/>
          <w:rtl w:val="true"/>
        </w:rPr>
        <w:footnoteReference w:id="1860"/>
      </w:r>
      <w:r>
        <w:rPr>
          <w:rFonts w:ascii="Amiri" w:hAnsi="Amiri" w:eastAsia="Amiri" w:cs="Amiri"/>
          <w:color w:val="111111"/>
          <w:sz w:val="28"/>
          <w:sz w:val="28"/>
          <w:szCs w:val="28"/>
          <w:rtl w:val="true"/>
          <w:lang w:bidi="ar-SA"/>
        </w:rPr>
        <w:t>، سواء اعتبرناها صحيحة كما في الكتاب أو حسنة، و لا يقدح فيه اختصاص المورد بصورة الجريان بعد ملاحظة ما تقدّم في الصحيحة الاولى من العموم في تلك الجهة، نظرا إلى أنّ المورد بمجرّده لا ينهض دليلا على اختصاص الحكم، و لا أنّه صالح لتقييد الصحيحة، لعدم المنافاة بينهما في المقام و نظائره، و هي أيضا في عدم تناولها لغير حالة النزول كالصحيحة المذكورة، لمكان انصراف سيلان ماء المطر من الميزاب إليه في حال النزول،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لهم الاستناد بالرواية الثالثة لو لا قصورها بالإرسال، و ربّما يدّعى انجبارها بالشهرة و ليس بثابت، إذ العبرة في الانجبار بالشهرة بكونها استناديّة ليوجب الوثوق بصدور الرواية، و غاية ما هنالك انكشاف صدق مضمونها، و هو ليس من انكشاف صدق نفسها في شيء، و على هذا القياس الحال في الثامنة الواردة في طين المطر، بل هي ممّا لو حصل له جابر تدلّ على 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ماء المطر مطهّرا للأرض، نظرا إلى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المطر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لما كان نجسا قبل المطر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عاصما لغيره عن الانفعال،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يعلم أنّه قد نجّسه شيء بعد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التقييد ببعديّة المطر يقضي بأنّه لا ينجّسه شيء حال المطر، و على فرض تنجيسه فيقضي بالمطهّريّة أيضا، بل يقضي بها لو نجّسه قبل المطر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انفعاله بنفسه لو ورد عليه و هو نجس، ضرورة أنّ الطين ما يحصل بامتزاج الماء في الأجزاء الترابيّة، فلو فرض كون تلك الأجزاء نجسة قبل ورود الماء عليها مع كونه قابلا للانفعال بملاقاته إيّاها، فهو بعد امتزاجه باق على وصف النجاسة، و معه كيف يصحّ نفي البأس عن الممتزج فيه بإطلاقه، بل كونه مطهّرا له على بعض الفروض يستلزم طهارته، و لا يستقيم ذلك إلاّ على تقدير عدم قبوله الانفعال، إذ الضرورة قاضية بأنّ الامتزاج لا يفيده طهارة،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المطهّريّة لا يستلزم الطهارة، ممّا لا ينبغي الالتفات إليه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استند على المشهور بالصحيحة الخامسة كان بلا إشكال أيضا، لسلامتها عمّا يقدح فيها سندا و دلالة، لكن يبقى الكلام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علّل بها الحكم، </w:t>
      </w:r>
    </w:p>
    <w:p>
      <w:pPr>
        <w:pStyle w:val="BookText"/>
        <w:rPr/>
      </w:pPr>
      <w:r>
        <w:rPr>
          <w:rFonts w:ascii="Amiri" w:hAnsi="Amiri" w:eastAsia="Amiri" w:cs="Amiri"/>
          <w:color w:val="111111"/>
          <w:sz w:val="28"/>
          <w:sz w:val="28"/>
          <w:szCs w:val="28"/>
          <w:rtl w:val="true"/>
          <w:lang w:bidi="ar-SA"/>
        </w:rPr>
        <w:t>فإنّه ربّما يوهم اعتبار الكثرة بالمعنى المتقدّم سابقا، و لذا حكي الاحتجاج بتلك الرواية عن أهل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نهوض ذلك دليلا على هذا الحكم، لجواز 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 الإضافيّة بالقياس إلى البول، مرادا بها بيان أنّه لا داعي إلى ثبوت البأس في هذا الماء الّذي أصاب الثوب إلاّ كونه مستهلكا في جنب البول، و هو مفروض الانتفاء بقرينة كون الماء أكثر من البول بحسب المقدار، و كلّما كان كذلك فهو موجب لاستهلاك البول، و الأكثريّة بهذا المعنى كما ترى أعمّ من الكثرة النفسيّة حسبما اعتبره القائل، و العامّ لا يدلّ على الخاصّ، و كيف كان فهذه الرواية لا تصلح مستندة لهذا القول، بل دلالتها على المذهب المشهور أنسب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اتّضح ضعف هذا القول، و عدم جواز المصير إليه، حيث أنّه ممّا 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المعضل دفع القول باشتراط الجريان فعلا لقوّة دليله ظاهرا، فإنّ الشيخ في زيادات باب المياه من التهذيب</w:t>
      </w:r>
      <w:r>
        <w:rPr>
          <w:rStyle w:val="FootnoteAnchor"/>
          <w:rtl w:val="true"/>
        </w:rPr>
        <w:footnoteReference w:id="1861"/>
      </w:r>
      <w:r>
        <w:rPr>
          <w:rFonts w:ascii="Amiri" w:hAnsi="Amiri" w:eastAsia="Amiri" w:cs="Amiri"/>
          <w:color w:val="111111"/>
          <w:sz w:val="28"/>
          <w:sz w:val="28"/>
          <w:szCs w:val="28"/>
          <w:rtl w:val="true"/>
          <w:lang w:bidi="ar-SA"/>
        </w:rPr>
        <w:t>احتجّ عليه بالصحيحة السادسة،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يستقيم على تقدير عود الضمير في الشرط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 السائل، نظرا إلى ظهور الجريان المسند إلى الماء في سيلانه على الأرض و نحوها، كظهور الماء مضافا إلى المطر فيه بعد النزول من السماء كما هو واضح، و لعلّه موضع منع لقوّة احتمال عوده إلى المطر المذكور في كلام السائل أيضا سابقا على مائه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المطر ظاهر في ماء السماء حال نزوله خاصّة، كما أنّ الجريان المسند إليه ظاهر في وروده على الأرض، فيكون الشرطيّة مرادا بها نفي البأس عن ظهر البيت المتنجّس بالبول الّذي ورد عليه المطر، كما أنّه لا ريب أنّ إطلاق نفي البأس عن المحلّ النجس بورود المطر عليه يستلزم طهره و بقاء الماء الّذي فيه على طهارته الأصليّة، و هو المطلوب من عدم قبول ماء المطر للانفعال، و لا يلزم على هذا التقدير عدم مطابقة الجواب للسؤال، حيث إنّ الغرض الأصلي من السؤال استعلام حال التوضّي بالماء المفروض، بملاحظة أنّ شبهة السائل في جواز التوضّي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يرشد إليه ابتداء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نشأت عن شبهة طهر المحلّ الّذي ورد عليه المطر بعد المطر و طهارة الماء الملاقي له، و قد علم بذلك الإمام عليه السّلام فأجابه بما يرفع شبهته الّتي هي المنشأ، و لعلّ هذا المعنى هو الظاهر المنساق من الرواية بملاحظة ما ذكر، و كأنّه إليه يرجع ما في منتهى العلاّمة</w:t>
      </w:r>
      <w:r>
        <w:rPr>
          <w:rStyle w:val="FootnoteAnchor"/>
          <w:rtl w:val="true"/>
        </w:rPr>
        <w:footnoteReference w:id="1862"/>
      </w:r>
      <w:r>
        <w:rPr>
          <w:rFonts w:ascii="Amiri" w:hAnsi="Amiri" w:eastAsia="Amiri" w:cs="Amiri"/>
          <w:color w:val="111111"/>
          <w:sz w:val="28"/>
          <w:sz w:val="28"/>
          <w:szCs w:val="28"/>
          <w:rtl w:val="true"/>
          <w:lang w:bidi="ar-SA"/>
        </w:rPr>
        <w:t>و تبعه الجماعة في دفع احتجاج الشيخ بالرواية من حمل الجريان الوارد فيها على النزول من السماء، و يوافقها على هذا المعنى الرواية السابعة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عود الضمير المجرور إلى المكان المذكور في السؤال، الّذي يجري فيه المطر، مع ملاحظة ما أشرنا إليه من ظهور الجريان حيثما يسند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النزول و الورود، و لا ضير في موافقة الشرط المأخوذ في الشرطيّة الواردة في الجواب لما هو مفروض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نظائره أجنبيّة عن تأدية العبارة، لأنّ تعليق نفي البأس عليه إعطاء للحكم في موضوعه الّذي فرضه السائل، و هذا نظير ما لو قيل للطبيب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اليوم الهندباء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الهندباء أو إن أكلت الهندباء فنعم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في الباب لزوم عدم اعتبار المفهوم في مثله، و لا ضير في ذلك بعد قيام القرينة عليه، لما قرّر في محلّه من أنّ التعليق بالشرط إذا ورد لبيان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ماء فاشربه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مفهوم له، أو أنّ المفهوم إنّما يعتبر في الشرطيّة إذا لم يكن المسكوت عنه معلوما حكمه قبل الخطاب، و الظاهر أنّ مورد الرواية أقرب إلى هذه القاعدة، ضرورة أنّ ثبوت البأس في المكان المفروض في السؤال بلا جريان المطر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وروده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معلوما للسائل، و إنّما تعرّض للسؤال استعلاما لارتفاع ذلك البأس بالمطر و عدمه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هذه الرواية أقوى دلالة على المعنى المذكور من الصحيحة، غير أنّها غير صالحة إلاّ لتأييد هذا المعنى في الصحيحة، لمكان ما فيها من الإرسال بعدم معلوميّة سندها، و الغرض من التأييد بتلك الرواية استظهار كون إطلاق الجريان على نزول المطر من السماء صحيحا في عرفهم، و إن كان مطلقه ينصرف إلى السيلان من الأرض، ففرق بين الجريان المطلق و مطلق الجريان، و على قياس هذا المعنى ما في العلاوة الّتي عرفتها عن الوسائل عن </w:t>
      </w:r>
    </w:p>
    <w:p>
      <w:pPr>
        <w:pStyle w:val="BookText"/>
        <w:rPr/>
      </w:pPr>
      <w:r>
        <w:rPr>
          <w:rFonts w:ascii="Amiri" w:hAnsi="Amiri" w:eastAsia="Amiri" w:cs="Amiri"/>
          <w:color w:val="111111"/>
          <w:sz w:val="28"/>
          <w:sz w:val="28"/>
          <w:szCs w:val="28"/>
          <w:rtl w:val="true"/>
          <w:lang w:bidi="ar-SA"/>
        </w:rPr>
        <w:t>الحميري في قرب الأسناد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تعليق على شرط مذكور في السؤال، غير أنّه يقضي بكون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إضمار فاعل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عوده إلى ما يكفّ بعد إصابة المطر للكنيف فيصيب الثياب، مرادا به اعتبار كون الّذي يكفّ في موضوع حكم نفي البأس شيئا من ماء المطر لا ممّا هو في الكنيف، أو اعتبار كون الوكف الّذي لا بأس به لا بدّ و أن ينشأ من المطر، لا من قبل الكنيف نفسه، و لا من قبل أمر خارج عنه غير المطر، بناء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احتجاج الشيخ بالصحيحة المتقدّمة بوجوه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المعتبر</w:t>
      </w:r>
      <w:r>
        <w:rPr>
          <w:rStyle w:val="FootnoteAnchor"/>
          <w:rtl w:val="true"/>
        </w:rPr>
        <w:footnoteReference w:id="18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أنّه لا يدلّ على الاشتراط، لأنّه لو لم يكن طاهرا لما طهّر بالجريان، و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شرح الدروس للخوانساري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دلالة المفهوم إنّما تعتبر فيما لا فائدة فيه سوى الاشتراط، و ليس الأمر هاهنا كذلك، لجواز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لمّا كان متضمّنا للجريان، فأجاب على وفقه تحقيقا و تثبيتا لنفي البأس في هذه الحالة، و هو أيضا ضعيف لفساد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تبعه قوم، من أنّ البأس أعمّ من الحرمة و الكراهة، فيجوز أن يكون التوضّي به قبل الجريان مكروها، و هو لا يستلزم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أضعف من سابقيه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يدلّ على نجاسة ماء المطر بالملاقاة إذا لم يكن جاريا، لجواز أن يكون البأس حين عدم الجريان، بناء على عدم تطهيره للأرض بدون الجريان، و لمّا لم يطهّر الأرض و الغالب اختلاط أجزائها بماء المطر فلذلك يتحقّق البأس، فلم تظهر دلالته على الانفعال بالملاقاة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بعيد من حيث استلزامه عدم مطابقة الجواب للسؤال، لظهور السياق في أنّ الغرض الأصلي معرفة حكم الماء و الثوب، و إن خصّت الصلاة بعنوان الاستفهام، و النكتة في ذلك أنّ أثر نجاسة الماء </w:t>
      </w:r>
      <w:bookmarkStart w:id="649" w:name="pg16144_233431"/>
    </w:p>
    <w:p>
      <w:pPr>
        <w:pStyle w:val="BookText"/>
        <w:rPr/>
      </w:pPr>
      <w:bookmarkEnd w:id="649"/>
      <w:r>
        <w:rPr>
          <w:rFonts w:ascii="Amiri" w:hAnsi="Amiri" w:eastAsia="Amiri" w:cs="Amiri"/>
          <w:color w:val="111111"/>
          <w:sz w:val="28"/>
          <w:sz w:val="28"/>
          <w:szCs w:val="28"/>
          <w:rtl w:val="true"/>
          <w:lang w:bidi="ar-SA"/>
        </w:rPr>
        <w:t>و الثوب و طهارتهما إنّما يظهر في الصلاة و غيرها ممّا هو مشروط بالطهارة، فأجود الأجوبة ما نقلناه عن منتهى العلاّمة رحمه اللّه</w:t>
      </w:r>
      <w:r>
        <w:rPr>
          <w:rStyle w:val="FootnoteAnchor"/>
          <w:rtl w:val="true"/>
        </w:rPr>
        <w:footnoteReference w:id="1864"/>
      </w:r>
      <w:r>
        <w:rPr>
          <w:rFonts w:ascii="Amiri" w:hAnsi="Amiri" w:eastAsia="Amiri" w:cs="Amiri"/>
          <w:color w:val="111111"/>
          <w:sz w:val="28"/>
          <w:sz w:val="28"/>
          <w:szCs w:val="28"/>
          <w:rtl w:val="true"/>
          <w:lang w:bidi="ar-SA"/>
        </w:rPr>
        <w:t>بناء على التوجيه الّذي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أغمضنا و قلنا بظهور الجريان مطلقا فيما فهمه الشيخ، يتوهّن هذا الظهور بملاحظة مخالفته للشهرة القريبة من الإجماع، فإنّ الشهرة بمجرّدها و إن لم تصلح قرينة على صرف الظاهر عن الظهور، غير أنّها ربّما تكون موهنة له، فيشكل معه الأخذ به، فيبقى الروايات الاخر في المقام بالقياس إلى قضائها بعدم اشتراط الجريان سليمة عمّا يصلح لمعارضتها، و يؤيّدها أصالة عدم الاشتراط، فظهر بجميع ما تقرّر أنّ الأقوى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القاعدة، و عموم ما دلّ على طهارة الماء ما لم يتغيّر، و ضعفه بعد ملاحظة عموم قاعدة الانفعال ظاهر، و ربّما يستدلّ أيضا كما في المنتهى</w:t>
      </w:r>
      <w:r>
        <w:rPr>
          <w:rStyle w:val="FootnoteAnchor"/>
          <w:rtl w:val="true"/>
        </w:rPr>
        <w:footnoteReference w:id="1865"/>
      </w:r>
      <w:r>
        <w:rPr>
          <w:rFonts w:ascii="Amiri" w:hAnsi="Amiri" w:eastAsia="Amiri" w:cs="Amiri"/>
          <w:color w:val="111111"/>
          <w:sz w:val="28"/>
          <w:sz w:val="28"/>
          <w:szCs w:val="28"/>
          <w:rtl w:val="true"/>
          <w:lang w:bidi="ar-SA"/>
        </w:rPr>
        <w:t>بأنّه يشقّ الاحتراز عن ماء الغيث، فلو لا التخفيف بعدم انفعاله مطلقا لزم العسر و الحرج، و صغرى ذلك الدليل و إن كانت مسلّمة في الجملة و لكن كبراه لا يخلو عن مناقشة تظهر بأدنى تأمّل،</w:t>
      </w:r>
    </w:p>
    <w:p>
      <w:pPr>
        <w:pStyle w:val="Heading4"/>
        <w:numPr>
          <w:ilvl w:val="3"/>
          <w:numId w:val="1"/>
        </w:numPr>
        <w:rPr/>
      </w:pPr>
      <w:bookmarkStart w:id="650" w:name="__RefHeading___Toc1804848_1280447820"/>
      <w:bookmarkStart w:id="651" w:name="_Toc255"/>
      <w:bookmarkEnd w:id="650"/>
      <w:r>
        <w:rPr>
          <w:rtl w:val="true"/>
        </w:rPr>
        <w:t>و لنختم المقام بذكر امور مهمّة</w:t>
      </w:r>
      <w:r>
        <w:rPr>
          <w:rtl w:val="true"/>
        </w:rPr>
        <w:t>.</w:t>
      </w:r>
      <w:bookmarkEnd w:id="651"/>
    </w:p>
    <w:p>
      <w:pPr>
        <w:pStyle w:val="Heading5"/>
        <w:numPr>
          <w:ilvl w:val="4"/>
          <w:numId w:val="1"/>
        </w:numPr>
        <w:rPr/>
      </w:pPr>
      <w:bookmarkStart w:id="652" w:name="__RefHeading___Toc1804850_1280447820"/>
      <w:bookmarkStart w:id="653" w:name="_Toc256"/>
      <w:bookmarkEnd w:id="652"/>
      <w:r>
        <w:rPr>
          <w:rtl w:val="true"/>
        </w:rPr>
        <w:t>أوّلها</w:t>
      </w:r>
      <w:r>
        <w:rPr>
          <w:rtl w:val="true"/>
        </w:rPr>
        <w:t xml:space="preserve">: </w:t>
      </w:r>
      <w:r>
        <w:rPr>
          <w:rtl w:val="true"/>
        </w:rPr>
        <w:t>معنى اعتصام ماء المطر عن الانفعال حال التقاطر عدم قبول ما حصل في الأرض منه للانفعال بتقاطر ما بقي منه عليه،</w:t>
      </w:r>
      <w:bookmarkEnd w:id="653"/>
    </w:p>
    <w:p>
      <w:pPr>
        <w:pStyle w:val="BookText"/>
        <w:rPr/>
      </w:pPr>
      <w:r>
        <w:rPr>
          <w:rFonts w:ascii="Amiri" w:hAnsi="Amiri" w:eastAsia="Amiri" w:cs="Amiri"/>
          <w:color w:val="111111"/>
          <w:sz w:val="28"/>
          <w:sz w:val="28"/>
          <w:szCs w:val="28"/>
          <w:rtl w:val="true"/>
          <w:lang w:bidi="ar-SA"/>
        </w:rPr>
        <w:t>و إلاّ فالمتقاطر حال تقاطره ممّا لا يعقل فيه ملاقاة النجاسة عادة حتّى يلحقه حكم الاعتصام و عدمه، و ملخّص 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المطر المنقضي عنه مبدأ التقاطر لا ينفعل بورود ما تلبّس بذلك المبدأ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به غيره من المياه القليلة المتوقّف عدم قبولها الانفعال على وجود عاصم، من مياه الحياض و الغدران و القلّتان و الأواني و نحوها، على معنى اعتصامها بالمتقاطر من ماء المطر أوّلا؟ و المسألة موضع توقّف لخلوّ نصوص الباب عن التعرّض لهذا المطلب، فانحصر طريقه في الإجماع فإن أمكن تحصيله فهو، و إلاّ فلا مجال إلى رفع اليد عن قاعدة الانفعال، خلافا للخوانساري في شرح الدروس،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التقوّي، لعدم عموم انفعال القليل، مع أنّ الظاهر أنّه المشهور بين الأصحاب، و لو كان جاريا إليه من ميزاب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فالتقوّي ظاهر</w:t>
      </w:r>
      <w:r>
        <w:rPr>
          <w:rFonts w:eastAsia="Amiri" w:cs="Amiri" w:ascii="Amiri" w:hAnsi="Amiri"/>
          <w:color w:val="111111"/>
          <w:sz w:val="28"/>
          <w:szCs w:val="28"/>
          <w:rtl w:val="true"/>
          <w:lang w:bidi="ar-SA"/>
        </w:rPr>
        <w:t>»</w:t>
      </w:r>
      <w:r>
        <w:rPr>
          <w:rStyle w:val="FootnoteAnchor"/>
          <w:rtl w:val="true"/>
        </w:rPr>
        <w:footnoteReference w:id="18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ذلك على المشهور من جعل ماء المطر كالجاري </w:t>
      </w:r>
      <w:bookmarkStart w:id="654" w:name="pg16144_233432"/>
    </w:p>
    <w:p>
      <w:pPr>
        <w:pStyle w:val="BookText"/>
        <w:rPr/>
      </w:pPr>
      <w:bookmarkEnd w:id="654"/>
      <w:r>
        <w:rPr>
          <w:rFonts w:ascii="Amiri" w:hAnsi="Amiri" w:eastAsia="Amiri" w:cs="Amiri"/>
          <w:color w:val="111111"/>
          <w:sz w:val="28"/>
          <w:sz w:val="28"/>
          <w:szCs w:val="28"/>
          <w:rtl w:val="true"/>
          <w:lang w:bidi="ar-SA"/>
        </w:rPr>
        <w:t>مطلقا، و أمّا على اعتبار الجريان أو الكثرة فيناط بحصول أحدهما</w:t>
      </w:r>
      <w:r>
        <w:rPr>
          <w:rFonts w:eastAsia="Amiri" w:cs="Amiri" w:ascii="Amiri" w:hAnsi="Amiri"/>
          <w:color w:val="111111"/>
          <w:sz w:val="28"/>
          <w:szCs w:val="28"/>
          <w:rtl w:val="true"/>
          <w:lang w:bidi="ar-SA"/>
        </w:rPr>
        <w:t>»</w:t>
      </w:r>
      <w:r>
        <w:rPr>
          <w:rStyle w:val="FootnoteAnchor"/>
          <w:rtl w:val="true"/>
        </w:rPr>
        <w:footnoteReference w:id="18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الذخيرة بناء المسألة على الوفاق، و الخلاف في المسألة السابقة،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بطريق الجريان، فلا ريب في أنّه يفيده تقوّيا فيصير كالجاري، و إلاّ فيبنى على الخلاف في اشتراط الجريان و عدمه</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التقوّي مطلقا باستصحاب الطهارة، بناء على أنّه لا دليل يوجب رفع اليد عنه، و اتّضح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بالأولويّة،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المطر مطهّر للماء النجس و رافع عنه النجاسة، فكونه عاصما له عن قبول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كون الدفع أهون من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الأولويّة</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 و هو أوهن من بيت العنكبوت لعدم صلاحية الاعتبارات العقليّة وسطا للأحكام التعبّديّة، أ لا ترى أنّ الماء القليل يفيد تطهير النجس و لا يفيد تقوّيا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أنّ ماء المطر ممّا يطهّر غيره من المياه النجسة، أمكن المصير إلى طهارة القليل الملاقي للنجاسة لا لأنّه يفيد تقوّيا، بل لأنّ هذا الماء ينفعل بالملاقاة آنا ما و لو حال التقاطر ثمّ يزول انفعاله بلحوق تقاطر آخر، أخذا بموجب أنّه يطهّر غيره، إذ لا يفترق الحال في ذلك بين طروّ النجاسة للغير حال التقاطر أو قبله، و لكن ثبوت الطهارة له بتلك القاعدة لا يجدي نفعا في طهارة ما لو فرض تحقّق ملاقاة النجاسة له في آخر أزمنة التقاطر، على معنى انقطاع التقاطر في ثاني زمان الملاقاة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ثبوت قاعدة التقوّي يحكم عليه بالطهارة جزما، و أمّا لو تحقّقت الملاقاة حال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عروضها مقارنة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عليه بالطهارة على القاعدتين معا</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804852_1280447820"/>
      <w:bookmarkStart w:id="656" w:name="_Toc257"/>
      <w:bookmarkEnd w:id="655"/>
      <w:r>
        <w:rPr>
          <w:rtl w:val="true"/>
        </w:rPr>
        <w:t>و ثانيها</w:t>
      </w:r>
      <w:r>
        <w:rPr>
          <w:rtl w:val="true"/>
        </w:rPr>
        <w:t xml:space="preserve">: </w:t>
      </w:r>
      <w:r>
        <w:rPr>
          <w:rtl w:val="true"/>
        </w:rPr>
        <w:t>لا إشكال في كون ماء المطر حال التقاطر مطهّرا للأرض الّتي أصابها نجاسة قبل نزولها بل حال النزول أيضا،</w:t>
      </w:r>
      <w:bookmarkEnd w:id="65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تقدير تحقّق الاستيعاب لموضع النجاسة، و زوال عينها لو كانت عينيّة، بل لو قلنا بالعمل بمرسلة الكاهلي المتقدّمة كان مطهّرا عن كلّ متنجّس حتّى الأواني و الثياب،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يعزى ذلك إلى المشهور، بل قضيّة الشرطيّة المقتضية للسببيّة التامّة حصول الطهر بمجرّد الإصابة من دون اعتبار ما يعتبر في غسل الأواني و الثياب إذا حصل بغير المطر من عصر و إزالة غسالة، </w:t>
      </w:r>
      <w:bookmarkStart w:id="657" w:name="pg16144_233433"/>
    </w:p>
    <w:p>
      <w:pPr>
        <w:pStyle w:val="BookText"/>
        <w:rPr/>
      </w:pPr>
      <w:bookmarkEnd w:id="657"/>
      <w:r>
        <w:rPr>
          <w:rFonts w:ascii="Amiri" w:hAnsi="Amiri" w:eastAsia="Amiri" w:cs="Amiri"/>
          <w:color w:val="111111"/>
          <w:sz w:val="28"/>
          <w:sz w:val="28"/>
          <w:szCs w:val="28"/>
          <w:rtl w:val="true"/>
          <w:lang w:bidi="ar-SA"/>
        </w:rPr>
        <w:t>لكن لمّا لم يثبت عندنا جابر لإرسال تلك الرواية كان الواجب علينا الآن الاقتصار على مورد الدليل، و ليس إلاّ الأرض، و الّذي يدلّ عليه جملة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الاولى الواردة في المرور في ماء مطر، صبّ فيه خمر فأصاب الثوب، المحكوم على الصلاة فيه قبل الغسل بعدم البأس، مع التصريح بعدم وجوب غسل الثوب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ما دامت عينها باقية في الأرض توجب نجاستها جزما، و إن لم تتميّز أجزاؤها عن الماء في نظر الحسّ، فلو لا طهرها بسبب المطر لم يكن للحكم بعدم البأس و عدم وجوب الغسل معنى، ضرورة العلم العادي بأنّ ما أصاب الثوب من الماء كان مستصحبا للأجزاء الأرضيّة لا محالة، و هي باقية على ما كانت عليها من النجاسة، فتكون كافية في المنع عن الصلاة و وجوب غسل الثوب بل الرجل أيضا، ضرورة اشتمالها بواسطة الماء على الأجزاء الأرضيّة لا محالة، و المناقشة فيها بابتناء المطلب على نجاسة الخمر و هي ممنوعة، قد عرفت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الخامسة الواردة في السطح يبال عليه فيصيبه السماء، فيكفّ فيصيب الثوب، الحاكمة بعدم البأس، بتقريب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السادسة بهذا التقريب، و الكلام في قضيّة اشتراط الجريان فيها كما مرّ، و يدلّ عليه أيضا إطلاق المرسلة الثامنة، النافية للبأس عن طين المطر، غير أنّك قد عرفت الإشكال في جواز الاستناد إليها، لما فيها من الإرسال الّذي لا نعلم بجابر له</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804854_1280447820"/>
      <w:bookmarkStart w:id="659" w:name="_Toc258"/>
      <w:bookmarkEnd w:id="658"/>
      <w:r>
        <w:rPr>
          <w:rtl w:val="true"/>
        </w:rPr>
        <w:t>و ثالثها</w:t>
      </w:r>
      <w:r>
        <w:rPr>
          <w:rtl w:val="true"/>
        </w:rPr>
        <w:t xml:space="preserve">: </w:t>
      </w:r>
      <w:r>
        <w:rPr>
          <w:rtl w:val="true"/>
        </w:rPr>
        <w:t>ماء المطر كما أنّه مطهّر للأرض كذلك يطهّر الماء المتنجّس،</w:t>
      </w:r>
      <w:bookmarkEnd w:id="659"/>
    </w:p>
    <w:p>
      <w:pPr>
        <w:pStyle w:val="BookText"/>
        <w:rPr/>
      </w:pPr>
      <w:r>
        <w:rPr>
          <w:rFonts w:ascii="Amiri" w:hAnsi="Amiri" w:eastAsia="Amiri" w:cs="Amiri"/>
          <w:color w:val="111111"/>
          <w:sz w:val="28"/>
          <w:sz w:val="28"/>
          <w:szCs w:val="28"/>
          <w:rtl w:val="true"/>
          <w:lang w:bidi="ar-SA"/>
        </w:rPr>
        <w:t>و قد يدّعى الإجماع عليه إذا كان واردا عليه بطريق الجريان من الميزاب، و الشهرة إذا كان بطريق الجريان مطلقا أو الكثرة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الذخيرة</w:t>
      </w:r>
      <w:r>
        <w:rPr>
          <w:rStyle w:val="FootnoteAnchor"/>
          <w:rtl w:val="true"/>
        </w:rPr>
        <w:footnoteReference w:id="1870"/>
      </w:r>
      <w:r>
        <w:rPr>
          <w:rFonts w:ascii="Amiri" w:hAnsi="Amiri" w:eastAsia="Amiri" w:cs="Amiri"/>
          <w:color w:val="111111"/>
          <w:sz w:val="28"/>
          <w:sz w:val="28"/>
          <w:szCs w:val="28"/>
          <w:rtl w:val="true"/>
          <w:lang w:bidi="ar-SA"/>
        </w:rPr>
        <w:t xml:space="preserve">نفي الريب في تطهيره بمطلق الجريان و هذا الحكم على تقدير صحّة الاستناد إلى مرسلة الكاهلي واضح و عمومها يقتضي عدم اعتبار الجريان من الميزاب و غيره، و لا الكثرة و لا الامتزاج و لا استيعاب المطر لسطح الماء، لا بمعنى كفاية ورود قطرة واحدة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القول به عن بعض الفضلاء</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الماء </w:t>
      </w:r>
    </w:p>
    <w:p>
      <w:pPr>
        <w:pStyle w:val="BookText"/>
        <w:rPr/>
      </w:pPr>
      <w:r>
        <w:rPr>
          <w:rFonts w:ascii="Amiri" w:hAnsi="Amiri" w:eastAsia="Amiri" w:cs="Amiri"/>
          <w:color w:val="111111"/>
          <w:sz w:val="28"/>
          <w:sz w:val="28"/>
          <w:szCs w:val="28"/>
          <w:rtl w:val="true"/>
          <w:lang w:bidi="ar-SA"/>
        </w:rPr>
        <w:t>حوضا كبيرا، فإنّ ذلك غير معلوم الاندراج تحت المرسلة، بل بمعنى كفاية ما يسمّى في العرف و العادة مطرا، بأن يقع عليه المطر على النحو المتعارف، و إن فرض بقاء بعض من سطحه بحيث لم يقع عليه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لطهارة الماء بمجرّد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الماء مطهّرا للجزء الّذي يليه، و بعد الحكم بطهارته يتّصل بالجزء الثاني و هو متقوّ بالكرّ الّذي منه طهره فيطهّر الجزء الثاني و هكذا، و هذا ممّا لا يتمّ في مفروض المقام بعد عدم تحقّق ملاقاة المطر لبعض سطوح الماء، لعدم تحقّق اتّصال المطهّر بالقياس إلى هذا الجزء، لأنّ الاجتهاد في مقابلة النصّ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مناط الطهارة في مدلول النصّ إنّما هو رؤية المطر، و هذه قضيّة تصدق مع ورود ما يصدق عليه اسم المطر عرفا على الماء، و إن بقي من أجزاء السطح ما لم يتحقّق فيه ملاقاة المطر، فإنّه حينئذ غير قادح في صدق رؤية المطر لهذا الماء، لكن الإشكال في صحّة الاستناد إلى المرسلة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حينئذ الاستناد إلى الصحيحة الرابعة، الواردة في ميزابين سالا أحدهما بول و الآخر ماء المطر فاختلطا فأصاب ثوب رجل لم يضرّه ذلك، فإنّها منصرفة إلى حال التقاطر، لأنّه الغالب في سيلان ماء المطر من الميزاب، دالّة على كون المطر مطهّر للخمر</w:t>
      </w:r>
      <w:r>
        <w:rPr>
          <w:rStyle w:val="FootnoteAnchor"/>
          <w:rtl w:val="true"/>
        </w:rPr>
        <w:footnoteReference w:id="1872"/>
      </w:r>
      <w:r>
        <w:rPr>
          <w:rFonts w:ascii="Amiri" w:hAnsi="Amiri" w:eastAsia="Amiri" w:cs="Amiri"/>
          <w:color w:val="111111"/>
          <w:sz w:val="28"/>
          <w:sz w:val="28"/>
          <w:szCs w:val="28"/>
          <w:rtl w:val="true"/>
          <w:lang w:bidi="ar-SA"/>
        </w:rPr>
        <w:t>و لو بعد الاستهلاك، نظرا إلى أنّه ليس عبارة عن الانعدام بالمرّة، فأجزاؤها المنتشرة موجودة مع الماء، و إصابته تستلزم إصابة شيء من تلك الأجزاء و هي من الأعيان النجسة، فلو لا طهرها بالماء لم يكن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فإذا كان ماء المطر مطهّرا عن النجاسة الذاتيّة فكونه مطهّرا عن النجاسة العرضيّة بطريق أولى أولويّة قطعيّة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الاقتصار في ذلك على صورة الامتزاج جمودا بما هو مفروض في مورد الرواية من الاختلاط، و يمكن استفادة تطهير الماء بطريق الأولويّة عن الصحيحة الاولى و غيرها من المعتبرة المتقدّمة بالتقريب المتقدّم</w:t>
      </w:r>
      <w:r>
        <w:rPr>
          <w:rFonts w:eastAsia="Amiri" w:cs="Amiri" w:ascii="Amiri" w:hAnsi="Amiri"/>
          <w:color w:val="111111"/>
          <w:sz w:val="28"/>
          <w:szCs w:val="28"/>
          <w:rtl w:val="true"/>
          <w:lang w:bidi="ar-SA"/>
        </w:rPr>
        <w:t xml:space="preserve">. </w:t>
      </w:r>
      <w:bookmarkStart w:id="660" w:name="pg16144_233435"/>
    </w:p>
    <w:p>
      <w:pPr>
        <w:pStyle w:val="Heading3"/>
        <w:numPr>
          <w:ilvl w:val="2"/>
          <w:numId w:val="1"/>
        </w:numPr>
        <w:rPr/>
      </w:pPr>
      <w:bookmarkStart w:id="661" w:name="__RefHeading___Toc1804856_1280447820"/>
      <w:bookmarkStart w:id="662" w:name="_Toc259"/>
      <w:bookmarkEnd w:id="660"/>
      <w:bookmarkEnd w:id="661"/>
      <w:r>
        <w:rPr>
          <w:rtl w:val="true"/>
        </w:rPr>
        <w:t xml:space="preserve">ينبوع </w:t>
      </w:r>
      <w:r>
        <w:rPr>
          <w:rtl w:val="true"/>
        </w:rPr>
        <w:t>[</w:t>
      </w:r>
      <w:r>
        <w:rPr>
          <w:rtl w:val="true"/>
        </w:rPr>
        <w:t>في ماء البئر</w:t>
      </w:r>
      <w:r>
        <w:rPr>
          <w:rtl w:val="true"/>
        </w:rPr>
        <w:t>]</w:t>
      </w:r>
      <w:bookmarkEnd w:id="662"/>
    </w:p>
    <w:p>
      <w:pPr>
        <w:pStyle w:val="Heading4"/>
        <w:numPr>
          <w:ilvl w:val="3"/>
          <w:numId w:val="1"/>
        </w:numPr>
        <w:rPr/>
      </w:pPr>
      <w:bookmarkStart w:id="663" w:name="__RefHeading___Toc1804858_1280447820"/>
      <w:bookmarkStart w:id="664" w:name="_Toc260"/>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و من الموضوعات المخصوصة بالعنوان في كتب الأصحاب البئر، لاختصاصها بمزيد الأبحاث، و امتيازها بأحكام مختلفة ناشئة عن اختلاف مواردها و الأسباب المقتضية لها، و ينبغي قبل الخوض في البحث عن تلك الأحكام صرف النظر في معرفة البئر موضوعا، و هي كما ترى من المفاهيم العرفيّة الّتي لا يكاد يخفى أمرها على المتأمّل، و يقطع بعدم تغيّر العرف فيها، و اتّحاده فيها مع اللغة أو العرف القديم المتناول لعرف نفس الشارع، و لذلك أنّ القاموس</w:t>
      </w:r>
      <w:r>
        <w:rPr>
          <w:rStyle w:val="FootnoteAnchor"/>
          <w:rtl w:val="true"/>
        </w:rPr>
        <w:footnoteReference w:id="1873"/>
      </w:r>
      <w:r>
        <w:rPr>
          <w:rFonts w:ascii="IRNazanin" w:hAnsi="IRNazanin" w:eastAsia="IRNazanin"/>
          <w:color w:val="111111"/>
          <w:sz w:val="28"/>
          <w:sz w:val="28"/>
          <w:szCs w:val="28"/>
          <w:rtl w:val="true"/>
          <w:lang w:bidi="fa-IR"/>
        </w:rPr>
        <w:t>و المجمع</w:t>
      </w:r>
      <w:r>
        <w:rPr>
          <w:rStyle w:val="FootnoteAnchor"/>
          <w:rtl w:val="true"/>
        </w:rPr>
        <w:footnoteReference w:id="1874"/>
      </w:r>
      <w:r>
        <w:rPr>
          <w:rFonts w:ascii="Amiri" w:hAnsi="Amiri" w:eastAsia="Amiri" w:cs="Amiri"/>
          <w:color w:val="111111"/>
          <w:sz w:val="28"/>
          <w:sz w:val="28"/>
          <w:szCs w:val="28"/>
          <w:rtl w:val="true"/>
          <w:lang w:bidi="ar-SA"/>
        </w:rPr>
        <w:t xml:space="preserve">جعلاها معروفة، فكلّ ما يسمّى في العرف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لحقه أحكام البئر، و إن شكّ في التسمية لشبهة في المصداق أو الصدق فإن دخل في مسمّى الجاري لحقه حكمه، و إلاّ فيعتبر في انفعاله و عدم انفعاله ما هو معتبر في الواقف من الكرّيّة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يعرّف البئر كما عن الشهيد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مجمع ماء نابع من الأرض لا يتعدّاها غالبا، و لا يخرج عن مسمّاها عرفا،</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و عن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مجمع ماء تحت الأرض، ذي نبع بحيث يصعب الوصول إليه غالبا عرفا، و على حسب العادة</w:t>
      </w:r>
      <w:r>
        <w:rPr>
          <w:rFonts w:eastAsia="Amiri" w:cs="Amiri" w:ascii="Amiri" w:hAnsi="Amiri"/>
          <w:color w:val="111111"/>
          <w:sz w:val="28"/>
          <w:szCs w:val="28"/>
          <w:rtl w:val="true"/>
          <w:lang w:bidi="ar-SA"/>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الشيخ علي الاعتراض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القيد الأخير موجب لإجمال التعريف، لأنّ العرف الواقع لا يظهر أيّ عرف هو؟ أعرف زمانه صلّى اللّه عليه و آله أم عرف غيره؟ و على الثاني، فيراد العرف العامّ، أو الأعمّ منه و من الخاصّ؟</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يشكل إرادة عرف غيره صلّى اللّه عليه و آله و إلاّ لزم تغيّر الحكم بتغيير التسمية فيثبت في العين حكم البئر لو سمّيت باسمه، و بطلانه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يقتضيه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ثبت إطلاق البئر عليه في زمنه صلّى اللّه عليه و آله أو زمن أحد الأئمّة المعصومين عليهم السّلام، كالّتي في العراق و الحجاز، فثبوت الأحكام له واضح، و ما وقع فيه الشكّ فالأصل عدم تعلّق أحكام البئر به، و إن كان العمل بالاحتياط أولى</w:t>
      </w:r>
      <w:r>
        <w:rPr>
          <w:rFonts w:eastAsia="Amiri" w:cs="Amiri" w:ascii="Amiri" w:hAnsi="Amiri"/>
          <w:color w:val="111111"/>
          <w:sz w:val="28"/>
          <w:szCs w:val="28"/>
          <w:rtl w:val="true"/>
          <w:lang w:bidi="ar-SA"/>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موضوعات الأحكام بحكم الاشتراك في التكاليف لا بدّ و أن تكون مشترك الثبوت فيما بين زماننا و ما بعده و قبله، و زمان النبيّ صلّى اللّه عليه و آله و الأئمّة عليهم السّلام، فما ثبت اختصاصه بأهل أحد الزمانين لم يعقل ثبوت حكمه لأهل الزمان الآخر، إن ثبت له حكم خاصّ أو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يحصل الاشتباه في مسمّى اللفظ الوارد في الخطاب بالقياس إلى زمانه صلّى اللّه عليه و آله أو زمان أحد الأئمّة عليهم السّلام، فلا بدّ في الوصول إليه من وسط و ليس ذلك الوسط عندهم إلاّ العرف، المردّد بين كونه عرف المتشرّعة، أو عرف أهل اللغة، أو العرف الحاضر المعبّر عنه بالعرف العامّ،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البئر ليست من الموضوعات المحدثة الّتي لم تكن ثابتة في زمانه صلّى اللّه عليه و آله و لا من الموضوعات المنقطعة عن زمان غيره، بل هي ثابتة في جميع الأزمنة، فإذا طرأ اشتباه في مسمّاها الّذي أخذه الشارع موضوعا في خطابه لا بدّ في استعلامه من مراجعة العرف بأحد من الأقسام المذكورة، لعدم إمكان الوصول إلى عرف زمانه بدون ذلك، و المفروض أنّها ليست ممّا ثبت فيه تصرّف من الشارع ليرجع فيه إلى عرف المتشرّعة، و لا أنّها ممّا ثبت فيها من أهل اللغة نصّ خاصّ ليرجع إلى عرفهم، فيعيّن الرجوع فيها إلى العرف الحاضر، لا بوصف أنّه عرف غير زمانه صلّى اللّه عليه و آله، بل بعنوان أنّه مرآت و طريق إلى عرف زمانه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بالعرف المأخوذ في الحدّ عرف زمانه بالخصوص، ليرد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الوصول إليه غير ممكن فيكون التعريف به تعريفا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 المراد به غير عرف زمانه بوصف أنّه كذلك، ليرد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موضوعات الأحكام بما ثبت في عرفه صلّى اللّه عليه و آله دون غيره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به العرف العامّ لا بشيء من القيدين، نظرا إلى أنّ القيود المأخوذة في </w:t>
      </w:r>
    </w:p>
    <w:p>
      <w:pPr>
        <w:pStyle w:val="BookText"/>
        <w:rPr/>
      </w:pPr>
      <w:r>
        <w:rPr>
          <w:rFonts w:ascii="Amiri" w:hAnsi="Amiri" w:eastAsia="Amiri" w:cs="Amiri"/>
          <w:color w:val="111111"/>
          <w:sz w:val="28"/>
          <w:sz w:val="28"/>
          <w:szCs w:val="28"/>
          <w:rtl w:val="true"/>
          <w:lang w:bidi="ar-SA"/>
        </w:rPr>
        <w:t>الحدود إنّما تؤخذ باعتبار مفاهيمها لا باعتبار مصاديقها، حيث إنّها ترد للماهيّات بالماهيّات، فالترديد فيه بين أنّ المراد به عرف زمانه صلّى اللّه عليه و آله، أو عرف غيره في غاية السخافة، لكون مرجعه إلى اعتبار هذا القيد في الحدّ باعتبار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العرف العامّ باعتبار مفهومه الكلّي المتحقّق تارة في ضمن عرف زمانه، و اخرى في ضمن عرف زمان أئمّة اللغة، و ثالثة في ضمن عرف زماننا، إن ثبت في الخارج تحقّقه في ضمن عرف زمانه صلّى اللّه عليه و آله كان موضوعا للحكم بالاستقلال، فيتعدّى الحكم إلى الأزمنة المتأخّرة إلى زماننا هذا على تقدير ثبوت المسمّى، و إن تغيّر العرف و انقلبت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ثبت تحقّقه في ضمن عرف أهل اللغة، كان مرآتا لموضوع الحكم الثابت في زمانه صلّى اللّه عليه و آله، و موضوعا له بالاستقلال في زمان أهل اللغة، و موجبا لتعدّيه إلى زماننا على تقدير بقاء المسمّى و تغيّر العرف و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ثبت تحقّقه في ضمن العرف الحاضر كان مرآتا لموضوع الحكم الثابت في الأزمنة المتقدّمة إلى زمانه صلّى اللّه عليه و آله، و موضوعا له بالاستقلال في هذا الزمان، فلا يلزم في شيء من الصور إشكال، و لا تغيّر الحكم بتغيّر التسمية و لا ثبوت حكم البئر للعين لو سمّيت باسمه، لأنّ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كونها على وجه المجاز فعدم ثبوت حكم البئر لمسمّاها واضح، و كذلك لو فرض كونها على وجه الحقيقة و لكن بالوضع الجديد، و أمّا لو فرض كونها على وجه الحقيقة مع العلم بثبوتها في زمانه صلّى اللّه عليه و آله، أو مع احتمال ثبوتها أيضا، فأيّ إشكال في ثبوت أحكام البئر للمسمّى بها بعد تسليم كون العرف الحاضر مرآتا إلى عرف زمانه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تلك المتقدّمة لعلّه سدّ لباب الاستنباط، و خرق للإجماع، و هدم لبناء العرف في حكمهم بتشابه الأزمان في التسمية ما لم يثبت لهم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زمنه صلّى اللّه عليه و آله أو زمن أحد 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في العراق و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الأحكام له واضح، و ما وقع فيه الشكّ فالأصل عدم تعلّق أحكام البئر به، ممّا لا وجه له أصلا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بعدم الإطلاق في العرف الحاضر، أو شكّ في الإطلاق و العدم، أو علم بالإطلاق و شكّ في وصفه، أو علم بالوصف و أنّه على وجه المجاز أو على وجه </w:t>
      </w:r>
    </w:p>
    <w:p>
      <w:pPr>
        <w:pStyle w:val="BookText"/>
        <w:rPr/>
      </w:pPr>
      <w:r>
        <w:rPr>
          <w:rFonts w:ascii="Amiri" w:hAnsi="Amiri" w:eastAsia="Amiri" w:cs="Amiri"/>
          <w:color w:val="111111"/>
          <w:sz w:val="28"/>
          <w:sz w:val="28"/>
          <w:szCs w:val="28"/>
          <w:rtl w:val="true"/>
          <w:lang w:bidi="ar-SA"/>
        </w:rPr>
        <w:t xml:space="preserve">الحقيقة بوضع متأخّر مع عدم تبيّن حال زمانه صلّى اللّه عليه و آله، فلا تعلّق لأحكام البئر حينئذ، و لعلّه من أحد هذه الأقسام الآبار الغير النابعة، كما في 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 تحت الأرض كما في المشهد الغرويّ على ساكنه السلام، و لذا صرّح صاحب المدارك</w:t>
      </w:r>
      <w:r>
        <w:rPr>
          <w:rStyle w:val="FootnoteAnchor"/>
          <w:rtl w:val="true"/>
        </w:rPr>
        <w:footnoteReference w:id="1878"/>
      </w:r>
      <w:r>
        <w:rPr>
          <w:rFonts w:ascii="Amiri" w:hAnsi="Amiri" w:eastAsia="Amiri" w:cs="Amiri"/>
          <w:color w:val="111111"/>
          <w:sz w:val="28"/>
          <w:sz w:val="28"/>
          <w:szCs w:val="28"/>
          <w:rtl w:val="true"/>
          <w:lang w:bidi="ar-SA"/>
        </w:rPr>
        <w:t>فيهما بعدم تعلّق أحكام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الباب بعض العيون النابعة الّتي يخرج منها الماء إلى حدّ معيّن لا يتعدّاه إلى وجه الأرض على وجه يجري فيها، و بعض الآبار الّتي يكثر ماؤها حتّى يجري على وجه الأرض، فإنّها و 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يجري عليها أحكام البئر، كما هو المصرّح به في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لإخراج الآبار الغير النابعة،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عدم بروزه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العيون الجارية،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لإدخال ما ذكرناه من بعض الآبار، إن كان النظر في اعتبار الغلبة و الندرة إلى الأفراد، و إن كان النظر فيهما إلى الأزمان و الأحيان فلا بدّ من فرض الكلام في بئر يتعدّى ماؤها إلى وجه الأرض في بعض الفصول، فإنّها من أفراد الماهيّة و إن لم يجر عليها أحكام البئر حال جريانها،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الخروج عن المسمّى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بعض العيون حسبما فرضناه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ربّما يشكّ في حكمه، الآبار المتثاقبة الّتي تدخل الماء من بعضها إلى بعض بثقبات تحتها، من دون أن يجري على وجه الأرض، بل يدخل في صورة الشكّ بئر يكون ماؤها متّصلا بالكرّ أو الجاري، لكن هذا الشكّ ليس من جهة الشكّ في التسمية، بل من جهة الشكّ في شمول الأدلّة لمثل هذا الفرد، كما أنّ عدم جريان أحكام البئر لما تعدّى ماؤها إلى وجه الأرض من جهة الشكّ في شمول الأدلّة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يجدي في إثبات الشمول التعليل الوارد في رواية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 مادّة</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xml:space="preserve">، إمّا لظهور كونه لبيان الملازمة بين النزح و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في بحث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مجملا بتردّده بين كونه لبيان تلك الملازمة أو الملازمة بين ماء البئر و عدم إفساد شيء إيّاه، مع أنّه لو قلنا بنجاسة ماء البئر بالملاقاة لا يجدينا هذا التعليل رأسا، و إن قلنا برجوعه إلى الملازمة الثانية، لكون أصل الرواية متروكة الظاهر عند أهل القول بالنجاسة</w:t>
      </w:r>
      <w:r>
        <w:rPr>
          <w:rFonts w:eastAsia="Amiri" w:cs="Amiri" w:ascii="Amiri" w:hAnsi="Amiri"/>
          <w:color w:val="111111"/>
          <w:sz w:val="28"/>
          <w:szCs w:val="28"/>
          <w:rtl w:val="true"/>
          <w:lang w:bidi="ar-SA"/>
        </w:rPr>
        <w:t xml:space="preserve">. </w:t>
      </w:r>
      <w:bookmarkStart w:id="665" w:name="pg16144_233439"/>
    </w:p>
    <w:p>
      <w:pPr>
        <w:pStyle w:val="Heading4"/>
        <w:numPr>
          <w:ilvl w:val="3"/>
          <w:numId w:val="1"/>
        </w:numPr>
        <w:rPr/>
      </w:pPr>
      <w:bookmarkStart w:id="666" w:name="__RefHeading___Toc1804860_1280447820"/>
      <w:bookmarkStart w:id="667" w:name="_Toc261"/>
      <w:bookmarkEnd w:id="665"/>
      <w:bookmarkEnd w:id="666"/>
      <w:r>
        <w:rPr>
          <w:rtl w:val="true"/>
        </w:rPr>
        <w:t xml:space="preserve">و على أيّ حال كان فماء البئر </w:t>
      </w:r>
      <w:r>
        <w:rPr>
          <w:rtl w:val="true"/>
        </w:rPr>
        <w:t xml:space="preserve">- </w:t>
      </w:r>
      <w:r>
        <w:rPr>
          <w:rtl w:val="true"/>
        </w:rPr>
        <w:t xml:space="preserve">بالمعنى الّذي يكشف عنه العرف </w:t>
      </w:r>
      <w:r>
        <w:rPr>
          <w:rtl w:val="true"/>
        </w:rPr>
        <w:t xml:space="preserve">- </w:t>
      </w:r>
      <w:r>
        <w:rPr>
          <w:rtl w:val="true"/>
        </w:rPr>
        <w:t>إن تغيّر أحد أوصافه بالنجاسة الواقعة فيها نجس قولا واحدا نصّا و فتوى،</w:t>
      </w:r>
      <w:bookmarkEnd w:id="667"/>
    </w:p>
    <w:p>
      <w:pPr>
        <w:pStyle w:val="BookText"/>
        <w:rPr/>
      </w:pPr>
      <w:r>
        <w:rPr>
          <w:rFonts w:ascii="Amiri" w:hAnsi="Amiri" w:eastAsia="Amiri" w:cs="Amiri"/>
          <w:color w:val="111111"/>
          <w:sz w:val="28"/>
          <w:sz w:val="28"/>
          <w:szCs w:val="28"/>
          <w:rtl w:val="true"/>
          <w:lang w:bidi="ar-SA"/>
        </w:rPr>
        <w:t xml:space="preserve">و عليه الإجماعات المنقولة مستفيضة، و مع ذا كلّه فهو من مقتضى كون التغيّر علّة تامّة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في المباحث السابقة </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804862_1280447820"/>
      <w:bookmarkStart w:id="669" w:name="_Toc262"/>
      <w:bookmarkEnd w:id="668"/>
      <w:r>
        <w:rPr>
          <w:rtl w:val="true"/>
        </w:rPr>
        <w:t>و أمّا مع عدم تغيّر أحد أوصافه بالنجاسة الواقعة فيها ففي تنجّسه و العدم خلاف على أقوال</w:t>
      </w:r>
      <w:r>
        <w:rPr>
          <w:rtl w:val="true"/>
        </w:rPr>
        <w:t>:</w:t>
      </w:r>
      <w:bookmarkEnd w:id="669"/>
    </w:p>
    <w:p>
      <w:pPr>
        <w:pStyle w:val="Heading5"/>
        <w:numPr>
          <w:ilvl w:val="4"/>
          <w:numId w:val="1"/>
        </w:numPr>
        <w:rPr/>
      </w:pPr>
      <w:bookmarkStart w:id="670" w:name="__RefHeading___Toc1804864_1280447820"/>
      <w:bookmarkStart w:id="671" w:name="_Toc263"/>
      <w:bookmarkEnd w:id="670"/>
      <w:r>
        <w:rPr>
          <w:rtl w:val="true"/>
        </w:rPr>
        <w:t>أحدها</w:t>
      </w:r>
      <w:r>
        <w:rPr>
          <w:rtl w:val="true"/>
        </w:rPr>
        <w:t xml:space="preserve">: </w:t>
      </w:r>
      <w:r>
        <w:rPr>
          <w:rtl w:val="true"/>
        </w:rPr>
        <w:t>ما حكي عليه الشهرة بين قدماء أصحابنا من أنّه ينجّس بمجرّد ملاقاة النجاسة و لو كان كثيرا،</w:t>
      </w:r>
      <w:bookmarkEnd w:id="671"/>
    </w:p>
    <w:p>
      <w:pPr>
        <w:pStyle w:val="BookText"/>
        <w:rPr/>
      </w:pPr>
      <w:r>
        <w:rPr>
          <w:rFonts w:ascii="Amiri" w:hAnsi="Amiri" w:eastAsia="Amiri" w:cs="Amiri"/>
          <w:color w:val="111111"/>
          <w:sz w:val="28"/>
          <w:sz w:val="28"/>
          <w:szCs w:val="28"/>
          <w:rtl w:val="true"/>
          <w:lang w:bidi="ar-SA"/>
        </w:rPr>
        <w:t>كما عن الصدوقين</w:t>
      </w:r>
      <w:r>
        <w:rPr>
          <w:rStyle w:val="FootnoteAnchor"/>
          <w:rtl w:val="true"/>
        </w:rPr>
        <w:footnoteReference w:id="1880"/>
      </w:r>
      <w:r>
        <w:rPr>
          <w:rFonts w:ascii="Amiri" w:hAnsi="Amiri" w:eastAsia="Amiri" w:cs="Amiri"/>
          <w:color w:val="111111"/>
          <w:sz w:val="28"/>
          <w:sz w:val="28"/>
          <w:szCs w:val="28"/>
          <w:rtl w:val="true"/>
          <w:lang w:bidi="ar-SA"/>
        </w:rPr>
        <w:t>، و الشيخين</w:t>
      </w:r>
      <w:r>
        <w:rPr>
          <w:rStyle w:val="FootnoteAnchor"/>
          <w:rtl w:val="true"/>
        </w:rPr>
        <w:footnoteReference w:id="1881"/>
      </w:r>
      <w:r>
        <w:rPr>
          <w:rFonts w:ascii="Amiri" w:hAnsi="Amiri" w:eastAsia="Amiri" w:cs="Amiri"/>
          <w:color w:val="111111"/>
          <w:sz w:val="28"/>
          <w:sz w:val="28"/>
          <w:szCs w:val="28"/>
          <w:rtl w:val="true"/>
          <w:lang w:bidi="ar-SA"/>
        </w:rPr>
        <w:t>، بل المشايخ الثلاث و أتباعهم، و الحلّي</w:t>
      </w:r>
      <w:r>
        <w:rPr>
          <w:rStyle w:val="FootnoteAnchor"/>
          <w:rtl w:val="true"/>
        </w:rPr>
        <w:footnoteReference w:id="1882"/>
      </w:r>
      <w:r>
        <w:rPr>
          <w:rFonts w:ascii="Amiri" w:hAnsi="Amiri" w:eastAsia="Amiri" w:cs="Amiri"/>
          <w:color w:val="111111"/>
          <w:sz w:val="28"/>
          <w:sz w:val="28"/>
          <w:szCs w:val="28"/>
          <w:rtl w:val="true"/>
          <w:lang w:bidi="ar-SA"/>
        </w:rPr>
        <w:t>، و ابن سعيد</w:t>
      </w:r>
      <w:r>
        <w:rPr>
          <w:rStyle w:val="FootnoteAnchor"/>
          <w:rtl w:val="true"/>
        </w:rPr>
        <w:footnoteReference w:id="1883"/>
      </w:r>
      <w:r>
        <w:rPr>
          <w:rFonts w:ascii="Amiri" w:hAnsi="Amiri" w:eastAsia="Amiri" w:cs="Amiri"/>
          <w:color w:val="111111"/>
          <w:sz w:val="28"/>
          <w:sz w:val="28"/>
          <w:szCs w:val="28"/>
          <w:rtl w:val="true"/>
          <w:lang w:bidi="ar-SA"/>
        </w:rPr>
        <w:t>، و المحقّق في المصريّات</w:t>
      </w:r>
      <w:r>
        <w:rPr>
          <w:rStyle w:val="FootnoteAnchor"/>
          <w:rtl w:val="true"/>
        </w:rPr>
        <w:footnoteReference w:id="1884"/>
      </w:r>
      <w:r>
        <w:rPr>
          <w:rFonts w:ascii="Amiri" w:hAnsi="Amiri" w:eastAsia="Amiri" w:cs="Amiri"/>
          <w:color w:val="111111"/>
          <w:sz w:val="28"/>
          <w:sz w:val="28"/>
          <w:szCs w:val="28"/>
          <w:rtl w:val="true"/>
          <w:lang w:bidi="ar-SA"/>
        </w:rPr>
        <w:t>و الشهيدين</w:t>
      </w:r>
      <w:r>
        <w:rPr>
          <w:rStyle w:val="FootnoteAnchor"/>
          <w:rtl w:val="true"/>
        </w:rPr>
        <w:footnoteReference w:id="1885"/>
      </w:r>
      <w:r>
        <w:rPr>
          <w:rFonts w:ascii="Amiri" w:hAnsi="Amiri" w:eastAsia="Amiri" w:cs="Amiri"/>
          <w:color w:val="111111"/>
          <w:sz w:val="28"/>
          <w:sz w:val="28"/>
          <w:szCs w:val="28"/>
          <w:rtl w:val="true"/>
          <w:lang w:bidi="ar-SA"/>
        </w:rPr>
        <w:t>أيضا، و عن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w:t>
      </w:r>
      <w:r>
        <w:rPr>
          <w:rStyle w:val="FootnoteAnchor"/>
          <w:rtl w:val="true"/>
        </w:rPr>
        <w:footnoteReference w:id="1886"/>
      </w:r>
      <w:r>
        <w:rPr>
          <w:rFonts w:ascii="IRNazanin" w:hAnsi="IRNazanin" w:eastAsia="IRNazanin"/>
          <w:color w:val="111111"/>
          <w:sz w:val="28"/>
          <w:sz w:val="28"/>
          <w:szCs w:val="28"/>
          <w:rtl w:val="true"/>
          <w:lang w:bidi="fa-IR"/>
        </w:rPr>
        <w:t>، و عن الانتصار</w:t>
      </w:r>
      <w:r>
        <w:rPr>
          <w:rStyle w:val="FootnoteAnchor"/>
          <w:rtl w:val="true"/>
        </w:rPr>
        <w:footnoteReference w:id="1887"/>
      </w:r>
      <w:r>
        <w:rPr>
          <w:rFonts w:ascii="Amiri" w:hAnsi="Amiri" w:eastAsia="Amiri" w:cs="Amiri"/>
          <w:color w:val="111111"/>
          <w:sz w:val="28"/>
          <w:sz w:val="28"/>
          <w:szCs w:val="28"/>
          <w:rtl w:val="true"/>
          <w:lang w:bidi="ar-SA"/>
        </w:rPr>
        <w:t>و الغنية</w:t>
      </w:r>
      <w:r>
        <w:rPr>
          <w:rStyle w:val="FootnoteAnchor"/>
          <w:rtl w:val="true"/>
        </w:rPr>
        <w:footnoteReference w:id="1888"/>
      </w:r>
      <w:r>
        <w:rPr>
          <w:rFonts w:ascii="IRNazanin" w:hAnsi="IRNazanin" w:eastAsia="IRNazanin"/>
          <w:color w:val="111111"/>
          <w:sz w:val="28"/>
          <w:sz w:val="28"/>
          <w:szCs w:val="28"/>
          <w:rtl w:val="true"/>
          <w:lang w:bidi="fa-IR"/>
        </w:rPr>
        <w:t xml:space="preserve">و السرائر </w:t>
      </w:r>
      <w:r>
        <w:rPr>
          <w:rStyle w:val="FootnoteAnchor"/>
          <w:rtl w:val="true"/>
        </w:rPr>
        <w:footnoteReference w:id="1889"/>
      </w:r>
      <w:r>
        <w:rPr>
          <w:rFonts w:ascii="Amiri" w:hAnsi="Amiri" w:eastAsia="Amiri" w:cs="Amiri"/>
          <w:color w:val="111111"/>
          <w:sz w:val="28"/>
          <w:sz w:val="28"/>
          <w:szCs w:val="28"/>
          <w:rtl w:val="true"/>
          <w:lang w:bidi="ar-SA"/>
        </w:rPr>
        <w:t>و مصريّات</w:t>
      </w:r>
      <w:r>
        <w:rPr>
          <w:rStyle w:val="FootnoteAnchor"/>
          <w:rtl w:val="true"/>
        </w:rPr>
        <w:footnoteReference w:id="1890"/>
      </w:r>
      <w:r>
        <w:rPr>
          <w:rFonts w:ascii="Amiri" w:hAnsi="Amiri" w:eastAsia="Amiri" w:cs="Amiri"/>
          <w:color w:val="111111"/>
          <w:sz w:val="28"/>
          <w:sz w:val="28"/>
          <w:szCs w:val="28"/>
          <w:rtl w:val="true"/>
          <w:lang w:bidi="ar-SA"/>
        </w:rPr>
        <w:t>المحقّق نفي الخلاف عنه، و ربّما نسب ذلك إلى الشيخ في التهذيبين غير أنّا لم نقف من كلامه فيهما على ما يدلّ على ذلك صراحة و ظهورا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كاشف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فتوى الفقهاء من زمن النبيّ صلّى اللّه عليه و آله إلى يومنا هذا</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و عن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عمل الإماميّة في سائر الأعصار و الأمصار</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و عن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يكون إجماعا</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ذهب الجمهور إلى التنجيس </w:t>
      </w:r>
      <w:bookmarkStart w:id="672" w:name="pg16144_233440"/>
    </w:p>
    <w:p>
      <w:pPr>
        <w:pStyle w:val="BookText"/>
        <w:rPr/>
      </w:pPr>
      <w:bookmarkEnd w:id="672"/>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يعني بهم العامّة</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804866_1280447820"/>
      <w:bookmarkStart w:id="674" w:name="_Toc264"/>
      <w:bookmarkEnd w:id="673"/>
      <w:r>
        <w:rPr>
          <w:rtl w:val="true"/>
        </w:rPr>
        <w:t>و ثانيها</w:t>
      </w:r>
      <w:r>
        <w:rPr>
          <w:rtl w:val="true"/>
        </w:rPr>
        <w:t xml:space="preserve">: </w:t>
      </w:r>
      <w:r>
        <w:rPr>
          <w:rtl w:val="true"/>
        </w:rPr>
        <w:t>ما يظهر عن الشيخ أيضا، و لكن في التهذيبين من أنّه لا ينجّس ما لم يتغيّر،</w:t>
      </w:r>
      <w:bookmarkEnd w:id="674"/>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عن الشيخ أيضا، و لكن في التهذيبين</w:t>
      </w:r>
      <w:r>
        <w:rPr>
          <w:rStyle w:val="FootnoteAnchor"/>
          <w:rtl w:val="true"/>
        </w:rPr>
        <w:footnoteReference w:id="1895"/>
      </w:r>
      <w:r>
        <w:rPr>
          <w:rFonts w:ascii="Amiri" w:hAnsi="Amiri" w:eastAsia="Amiri" w:cs="Amiri"/>
          <w:color w:val="111111"/>
          <w:sz w:val="28"/>
          <w:sz w:val="28"/>
          <w:szCs w:val="28"/>
          <w:rtl w:val="true"/>
          <w:lang w:bidi="ar-SA"/>
        </w:rPr>
        <w:t>من أنّه لا ينجّس ما لم يتغيّر،</w:t>
      </w:r>
    </w:p>
    <w:p>
      <w:pPr>
        <w:pStyle w:val="BookText"/>
        <w:rPr/>
      </w:pPr>
      <w:r>
        <w:rPr>
          <w:rFonts w:ascii="Amiri" w:hAnsi="Amiri" w:eastAsia="Amiri" w:cs="Amiri"/>
          <w:color w:val="111111"/>
          <w:sz w:val="28"/>
          <w:sz w:val="28"/>
          <w:szCs w:val="28"/>
          <w:rtl w:val="true"/>
          <w:lang w:bidi="ar-SA"/>
        </w:rPr>
        <w:t>و إن أوجب فيه النزح المقدّر حسبما يأتي بيانه، و هو محكيّ عن جماعة من الأصحاب أيضا كالحسن بن أبي عقيل</w:t>
      </w:r>
      <w:r>
        <w:rPr>
          <w:rStyle w:val="FootnoteAnchor"/>
          <w:rtl w:val="true"/>
        </w:rPr>
        <w:footnoteReference w:id="1896"/>
      </w:r>
      <w:r>
        <w:rPr>
          <w:rFonts w:ascii="Amiri" w:hAnsi="Amiri" w:eastAsia="Amiri" w:cs="Amiri"/>
          <w:color w:val="111111"/>
          <w:sz w:val="28"/>
          <w:sz w:val="28"/>
          <w:szCs w:val="28"/>
          <w:rtl w:val="true"/>
          <w:lang w:bidi="ar-SA"/>
        </w:rPr>
        <w:t>، و الشيخ، و شيخه الحسين بن عبد اللّه الغضائري، و العلاّمة</w:t>
      </w:r>
      <w:r>
        <w:rPr>
          <w:rStyle w:val="FootnoteAnchor"/>
          <w:rtl w:val="true"/>
        </w:rPr>
        <w:footnoteReference w:id="1897"/>
      </w:r>
      <w:r>
        <w:rPr>
          <w:rFonts w:ascii="Amiri" w:hAnsi="Amiri" w:eastAsia="Amiri" w:cs="Amiri"/>
          <w:color w:val="111111"/>
          <w:sz w:val="28"/>
          <w:sz w:val="28"/>
          <w:szCs w:val="28"/>
          <w:rtl w:val="true"/>
          <w:lang w:bidi="ar-SA"/>
        </w:rPr>
        <w:t>، و شيخه مفيد الدين بن جهم</w:t>
      </w:r>
      <w:r>
        <w:rPr>
          <w:rStyle w:val="FootnoteAnchor"/>
          <w:rtl w:val="true"/>
        </w:rPr>
        <w:footnoteReference w:id="1898"/>
      </w:r>
      <w:r>
        <w:rPr>
          <w:rFonts w:ascii="Amiri" w:hAnsi="Amiri" w:eastAsia="Amiri" w:cs="Amiri"/>
          <w:color w:val="111111"/>
          <w:sz w:val="28"/>
          <w:sz w:val="28"/>
          <w:szCs w:val="28"/>
          <w:rtl w:val="true"/>
          <w:lang w:bidi="ar-SA"/>
        </w:rPr>
        <w:t>، و ولده فخر المحقّقين</w:t>
      </w:r>
      <w:r>
        <w:rPr>
          <w:rStyle w:val="FootnoteAnchor"/>
          <w:rtl w:val="true"/>
        </w:rPr>
        <w:footnoteReference w:id="1899"/>
      </w:r>
      <w:r>
        <w:rPr>
          <w:rFonts w:ascii="Amiri" w:hAnsi="Amiri" w:eastAsia="Amiri" w:cs="Amiri"/>
          <w:color w:val="111111"/>
          <w:sz w:val="28"/>
          <w:sz w:val="28"/>
          <w:szCs w:val="28"/>
          <w:rtl w:val="true"/>
          <w:lang w:bidi="ar-SA"/>
        </w:rPr>
        <w:t>على ما في المدارك</w:t>
      </w:r>
      <w:r>
        <w:rPr>
          <w:rStyle w:val="FootnoteAnchor"/>
          <w:rtl w:val="true"/>
        </w:rPr>
        <w:footnoteReference w:id="1900"/>
      </w:r>
      <w:r>
        <w:rPr>
          <w:rFonts w:ascii="Amiri" w:hAnsi="Amiri" w:eastAsia="Amiri" w:cs="Amiri"/>
          <w:color w:val="111111"/>
          <w:sz w:val="28"/>
          <w:sz w:val="28"/>
          <w:szCs w:val="28"/>
          <w:rtl w:val="true"/>
          <w:lang w:bidi="ar-SA"/>
        </w:rPr>
        <w:t>، 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ذهب عامّة المتأخّرين</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 و عزى إلى صاحب التنقيح</w:t>
      </w:r>
      <w:r>
        <w:rPr>
          <w:rStyle w:val="FootnoteAnchor"/>
          <w:rtl w:val="true"/>
        </w:rPr>
        <w:footnoteReference w:id="1902"/>
      </w:r>
      <w:r>
        <w:rPr>
          <w:rFonts w:ascii="IRNazanin" w:hAnsi="IRNazanin" w:eastAsia="IRNazanin"/>
          <w:color w:val="111111"/>
          <w:sz w:val="28"/>
          <w:sz w:val="28"/>
          <w:szCs w:val="28"/>
          <w:rtl w:val="true"/>
          <w:lang w:bidi="fa-IR"/>
        </w:rPr>
        <w:t>، و الموجز</w:t>
      </w:r>
      <w:r>
        <w:rPr>
          <w:rStyle w:val="FootnoteAnchor"/>
          <w:rtl w:val="true"/>
        </w:rPr>
        <w:footnoteReference w:id="1903"/>
      </w:r>
      <w:r>
        <w:rPr>
          <w:rFonts w:ascii="IRNazanin" w:hAnsi="IRNazanin" w:eastAsia="IRNazanin"/>
          <w:color w:val="111111"/>
          <w:sz w:val="28"/>
          <w:sz w:val="28"/>
          <w:szCs w:val="28"/>
          <w:rtl w:val="true"/>
          <w:lang w:bidi="fa-IR"/>
        </w:rPr>
        <w:t>، و جامع المقاصد</w:t>
      </w:r>
      <w:r>
        <w:rPr>
          <w:rStyle w:val="FootnoteAnchor"/>
          <w:rtl w:val="true"/>
        </w:rPr>
        <w:footnoteReference w:id="1904"/>
      </w:r>
      <w:r>
        <w:rPr>
          <w:rFonts w:ascii="Amiri" w:hAnsi="Amiri" w:eastAsia="Amiri" w:cs="Amiri"/>
          <w:color w:val="111111"/>
          <w:sz w:val="28"/>
          <w:sz w:val="28"/>
          <w:szCs w:val="28"/>
          <w:rtl w:val="true"/>
          <w:lang w:bidi="ar-SA"/>
        </w:rPr>
        <w:t>و المحقّق الميسي</w:t>
      </w:r>
      <w:r>
        <w:rPr>
          <w:rStyle w:val="FootnoteAnchor"/>
          <w:rtl w:val="true"/>
        </w:rPr>
        <w:footnoteReference w:id="1905"/>
      </w:r>
      <w:r>
        <w:rPr>
          <w:rFonts w:ascii="Amiri" w:hAnsi="Amiri" w:eastAsia="Amiri" w:cs="Amiri"/>
          <w:color w:val="111111"/>
          <w:sz w:val="28"/>
          <w:sz w:val="28"/>
          <w:szCs w:val="28"/>
          <w:rtl w:val="true"/>
          <w:lang w:bidi="ar-SA"/>
        </w:rPr>
        <w:t>، و ثاني الشهيدين في رسالة منفردة</w:t>
      </w:r>
      <w:r>
        <w:rPr>
          <w:rStyle w:val="FootnoteAnchor"/>
          <w:rtl w:val="true"/>
        </w:rPr>
        <w:footnoteReference w:id="1906"/>
      </w:r>
      <w:r>
        <w:rPr>
          <w:rFonts w:ascii="Amiri" w:hAnsi="Amiri" w:eastAsia="Amiri" w:cs="Amiri"/>
          <w:color w:val="111111"/>
          <w:sz w:val="28"/>
          <w:sz w:val="28"/>
          <w:szCs w:val="28"/>
          <w:rtl w:val="true"/>
          <w:lang w:bidi="ar-SA"/>
        </w:rPr>
        <w:t>له في تلك المسألة و جمهور المتأخّرين</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804868_1280447820"/>
      <w:bookmarkStart w:id="676" w:name="_Toc265"/>
      <w:bookmarkEnd w:id="675"/>
      <w:r>
        <w:rPr>
          <w:rtl w:val="true"/>
        </w:rPr>
        <w:t>و ثالثها</w:t>
      </w:r>
      <w:r>
        <w:rPr>
          <w:rtl w:val="true"/>
        </w:rPr>
        <w:t xml:space="preserve">: </w:t>
      </w:r>
      <w:r>
        <w:rPr>
          <w:rtl w:val="true"/>
        </w:rPr>
        <w:t>الفرق بين قليله فينجّس و كثيره فلا ينجّس،</w:t>
      </w:r>
      <w:bookmarkEnd w:id="676"/>
    </w:p>
    <w:p>
      <w:pPr>
        <w:pStyle w:val="BookText"/>
        <w:rPr/>
      </w:pPr>
      <w:r>
        <w:rPr>
          <w:rFonts w:ascii="Amiri" w:hAnsi="Amiri" w:eastAsia="Amiri" w:cs="Amiri"/>
          <w:color w:val="111111"/>
          <w:sz w:val="28"/>
          <w:sz w:val="28"/>
          <w:szCs w:val="28"/>
          <w:rtl w:val="true"/>
          <w:lang w:bidi="ar-SA"/>
        </w:rPr>
        <w:t>و في المدارك</w:t>
      </w:r>
      <w:r>
        <w:rPr>
          <w:rStyle w:val="FootnoteAnchor"/>
          <w:rtl w:val="true"/>
        </w:rPr>
        <w:footnoteReference w:id="1907"/>
      </w:r>
      <w:r>
        <w:rPr>
          <w:rFonts w:ascii="Amiri" w:hAnsi="Amiri" w:eastAsia="Amiri" w:cs="Amiri"/>
          <w:color w:val="111111"/>
          <w:sz w:val="28"/>
          <w:sz w:val="28"/>
          <w:szCs w:val="28"/>
          <w:rtl w:val="true"/>
          <w:lang w:bidi="ar-SA"/>
        </w:rPr>
        <w:t>ذهب إليه الشيخ أبو الحسن محمّد بن محمّد البصروي من المتقدّمين، و عن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حكاه عن جماعة</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و في المدارك</w:t>
      </w:r>
      <w:r>
        <w:rPr>
          <w:rStyle w:val="FootnoteAnchor"/>
          <w:rtl w:val="true"/>
        </w:rPr>
        <w:footnoteReference w:id="190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لازم للعلاّمة لأنّه يعتبر الكرّيّة في مطلق الجاري، و البئر من أنواعه، و تنظّر فيما ادّعاه من الملازمة جماعة، و هو في محلّه لتوجّه المنع إلى كون البئر من أنواع الجاري</w:t>
      </w:r>
      <w:r>
        <w:rPr>
          <w:rFonts w:eastAsia="Amiri" w:cs="Amiri" w:ascii="Amiri" w:hAnsi="Amiri"/>
          <w:color w:val="111111"/>
          <w:sz w:val="28"/>
          <w:szCs w:val="28"/>
          <w:rtl w:val="true"/>
          <w:lang w:bidi="ar-SA"/>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الذكرى عن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يعتبر فيه ذراعين في الأبعاد الثلاثة حتّى لا ينجّس</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bookmarkStart w:id="677" w:name="pg16144_233441"/>
    </w:p>
    <w:p>
      <w:pPr>
        <w:pStyle w:val="Heading5"/>
        <w:numPr>
          <w:ilvl w:val="4"/>
          <w:numId w:val="1"/>
        </w:numPr>
        <w:rPr/>
      </w:pPr>
      <w:bookmarkStart w:id="678" w:name="__RefHeading___Toc1804870_1280447820"/>
      <w:bookmarkStart w:id="679" w:name="_Toc266"/>
      <w:bookmarkEnd w:id="677"/>
      <w:bookmarkEnd w:id="678"/>
      <w:r>
        <w:rPr>
          <w:rtl w:val="true"/>
        </w:rPr>
        <w:t>و أوسط الأقوال أوسطها و احتجّ أهل القول به بوجوه، بين صحيحة و سقيمة</w:t>
      </w:r>
      <w:r>
        <w:rPr>
          <w:rtl w:val="true"/>
        </w:rPr>
        <w:t>.</w:t>
      </w:r>
      <w:bookmarkEnd w:id="679"/>
    </w:p>
    <w:p>
      <w:pPr>
        <w:pStyle w:val="Heading6"/>
        <w:numPr>
          <w:ilvl w:val="5"/>
          <w:numId w:val="1"/>
        </w:numPr>
        <w:rPr/>
      </w:pPr>
      <w:bookmarkStart w:id="680" w:name="__RefHeading___Toc1804872_1280447820"/>
      <w:bookmarkStart w:id="681" w:name="_Toc267"/>
      <w:bookmarkEnd w:id="680"/>
      <w:r>
        <w:rPr>
          <w:rtl w:val="true"/>
        </w:rPr>
        <w:t>أوّلها</w:t>
      </w:r>
      <w:r>
        <w:rPr>
          <w:rtl w:val="true"/>
        </w:rPr>
        <w:t xml:space="preserve">: </w:t>
      </w:r>
      <w:r>
        <w:rPr>
          <w:rtl w:val="true"/>
        </w:rPr>
        <w:t>الاستصحاب،</w:t>
      </w:r>
      <w:bookmarkEnd w:id="681"/>
    </w:p>
    <w:p>
      <w:pPr>
        <w:pStyle w:val="BookText"/>
        <w:rPr/>
      </w:pPr>
      <w:r>
        <w:rPr>
          <w:rFonts w:ascii="Amiri" w:hAnsi="Amiri" w:eastAsia="Amiri" w:cs="Amiri"/>
          <w:color w:val="111111"/>
          <w:sz w:val="28"/>
          <w:sz w:val="28"/>
          <w:szCs w:val="28"/>
          <w:rtl w:val="true"/>
          <w:lang w:bidi="ar-SA"/>
        </w:rPr>
        <w:t>أشار إليه العلاّمة في المختلف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لأنّه ماء محكوم بطهارته قبل ورود النجاسة عليه، فيتمّ بعده عملا بالاستصحاب السالم عن معارضة الانفعال بالتغيّر</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و هو ممّا لا يعقل له وجه، إذ لو اريد به أخذه دليلا إقناعيّا فهو بالقياس إلى الكثير من ماء البئر ممّا لا حاجة إلى أخذه وسطا، بل لا معنى له لكفاية الأصل الاجتهادي و عمومات الكرّ في ذلك، بل لا موضوع له مع وجودهما، و بالقياس إلى ما دون الكرّ منه ممّا لا ينفع في مقابلة عموم انفعال القليل، بل لا يعقل معه أيضا، و منع العموم في كلا المقامين فيه ما لا يخفى، بل هو ممّا لا يرضى به المستدلّ كما يظهر بالتتبّع في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أخذه دليلا إلزاميّا فهو لا يجدي نفعا في إلزام الخصم ما دام باقيا على مستنده و لا حاجة إليه بعد إلزامه بمنع مستنده، و إنهاضه طريقا إلى حكم المسألة بعد البناء على تساقط مستنده بمعارضة مستند أهل القول بالطهارة،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أوّلا</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804874_1280447820"/>
      <w:bookmarkStart w:id="683" w:name="_Toc268"/>
      <w:bookmarkEnd w:id="682"/>
      <w:r>
        <w:rPr>
          <w:rtl w:val="true"/>
        </w:rPr>
        <w:t>و ثانيها</w:t>
      </w:r>
      <w:r>
        <w:rPr>
          <w:rtl w:val="true"/>
        </w:rPr>
        <w:t xml:space="preserve">: </w:t>
      </w:r>
      <w:r>
        <w:rPr>
          <w:rtl w:val="true"/>
        </w:rPr>
        <w:t>العمومات الدالّة على أنّ مطلق الماء طهور،</w:t>
      </w:r>
      <w:bookmarkEnd w:id="683"/>
    </w:p>
    <w:p>
      <w:pPr>
        <w:pStyle w:val="BookText"/>
        <w:rPr/>
      </w:pPr>
      <w:r>
        <w:rPr>
          <w:rFonts w:ascii="Amiri" w:hAnsi="Amiri" w:eastAsia="Amiri" w:cs="Amiri"/>
          <w:color w:val="111111"/>
          <w:sz w:val="28"/>
          <w:sz w:val="28"/>
          <w:szCs w:val="28"/>
          <w:rtl w:val="true"/>
          <w:lang w:bidi="ar-SA"/>
        </w:rPr>
        <w:t>و تخصيصها بالماء القليل حال ملاقاة النجاسة لا يخرجه عن كونها حجّة، تمسّك به العلاّمة في المنتهى</w:t>
      </w:r>
      <w:r>
        <w:rPr>
          <w:rStyle w:val="FootnoteAnchor"/>
          <w:rtl w:val="true"/>
        </w:rPr>
        <w:footnoteReference w:id="1913"/>
      </w:r>
      <w:r>
        <w:rPr>
          <w:rFonts w:ascii="Amiri" w:hAnsi="Amiri" w:eastAsia="Amiri" w:cs="Amiri"/>
          <w:color w:val="111111"/>
          <w:sz w:val="28"/>
          <w:sz w:val="28"/>
          <w:szCs w:val="28"/>
          <w:rtl w:val="true"/>
          <w:lang w:bidi="ar-SA"/>
        </w:rPr>
        <w:t>، و كأنّ المراد به إثبات المطلب في الجملة و لو في ضمن الكرّ، قبالا للإيجاب الكلّي الّذي يدّعيه الخصم، و إلاّ فالعمومات لا تنهض دليلا على عموم المطلب بعد خروج الماء القليل عنها، لأنّ المقام منه إذا كان قليلا</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804876_1280447820"/>
      <w:bookmarkStart w:id="685" w:name="_Toc269"/>
      <w:bookmarkEnd w:id="684"/>
      <w:r>
        <w:rPr>
          <w:rtl w:val="true"/>
        </w:rPr>
        <w:t>و ثالثها</w:t>
      </w:r>
      <w:r>
        <w:rPr>
          <w:rtl w:val="true"/>
        </w:rPr>
        <w:t xml:space="preserve">: </w:t>
      </w:r>
      <w:r>
        <w:rPr>
          <w:rtl w:val="true"/>
        </w:rPr>
        <w:t>ما تمسّك به في المنتهى أيضا من أنّها</w:t>
      </w:r>
      <w:r>
        <w:rPr>
          <w:rtl w:val="true"/>
        </w:rPr>
        <w:t>: «</w:t>
      </w:r>
      <w:r>
        <w:rPr>
          <w:rtl w:val="true"/>
        </w:rPr>
        <w:t>لو نجست لما طهرت، و التالي باطل اتّفاقا،</w:t>
      </w:r>
      <w:bookmarkEnd w:id="685"/>
    </w:p>
    <w:p>
      <w:pPr>
        <w:pStyle w:val="BookText"/>
        <w:rPr/>
      </w:pPr>
      <w:r>
        <w:rPr>
          <w:rFonts w:ascii="IRNazanin" w:hAnsi="IRNazanin" w:eastAsia="IRNazanin"/>
          <w:color w:val="111111"/>
          <w:sz w:val="28"/>
          <w:sz w:val="28"/>
          <w:szCs w:val="28"/>
          <w:rtl w:val="true"/>
          <w:lang w:bidi="fa-IR"/>
        </w:rPr>
        <w:t>و لأنّه حرج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إليه إلاّ النزح، و إلاّ لزم إحداث الثالث، و ليس بصالح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يعهد في الشرع تطهير شيء بإعدام بعضه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غالبا يسقط من الدلو الأخير إلى البئر، فيلزم تنجيسها، و لا ينفكّ المكلّف من النزح و ذلك ضرر عظيم</w:t>
      </w:r>
      <w:r>
        <w:rPr>
          <w:rFonts w:eastAsia="Amiri" w:cs="Amiri" w:ascii="Amiri" w:hAnsi="Amiri"/>
          <w:color w:val="111111"/>
          <w:sz w:val="28"/>
          <w:szCs w:val="28"/>
          <w:rtl w:val="true"/>
          <w:lang w:bidi="ar-SA"/>
        </w:rPr>
        <w:t xml:space="preserve">. </w:t>
      </w:r>
      <w:bookmarkStart w:id="686" w:name="pg16144_233442"/>
    </w:p>
    <w:p>
      <w:pPr>
        <w:pStyle w:val="BookText"/>
        <w:rPr/>
      </w:pPr>
      <w:bookmarkEnd w:id="686"/>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الأخبار اضطربت في تقدير النزح، فتارة دلّت على التنصيص في التقديرات المختلفة، و تارة دلّت على الإطلاق، و ذلك ممّا لا يمكن أن يجعله الشارع طريقا إلى التطهير</w:t>
      </w:r>
      <w:r>
        <w:rPr>
          <w:rFonts w:eastAsia="Amiri" w:cs="Amiri" w:ascii="Amiri" w:hAnsi="Amiri"/>
          <w:color w:val="111111"/>
          <w:sz w:val="28"/>
          <w:szCs w:val="28"/>
          <w:rtl w:val="true"/>
          <w:lang w:bidi="ar-SA"/>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منع الملازمة، و ضعف الوجوه المقامة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المطهّر هو الإعدام، بل المطهّر في الحقيقة هو الماء المتجدّد من المادّة، و النزح اعتبر طريقا إلى تجدّده، و لو سلّم فأيّ مانع عن كون إعدام البعض مطهّرا إذا دلّ عليه الشرع، فإنّ الأحكام و لا سيّما أحكام البئر كلّها تعبّديّة متلقّاة من الشارع، فلا ينبغي قياسها بالعقول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سقوط القطرة من الدلو إلى البئر قادحا في طهرها بالنزح المقدّر له شرعا، لجواز كون تلك القطر مسلوب الأثر في نظر الشارع، صونا للمكلّف عن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ضعف ما قد يقرّر هذا الدليل بأنّها لو نجست لما طهرت، للزوم تنجّسها بعود الدلو و الرشا إليها، و الساقط من الدلو خصوصا الأخير، و اللازم باطل و ليس القول بالطهارة بعد النزح بأولى عن القول بعدم النجاسة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ضعف واضح فإنّ الأولويّة بعد ما قضى الشرع بهما ممّا لا يمكن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اختلاف الأخبار بالإطلاق و التقييد، أو الإجمال و البيان ممّا لا يعدّ من الاضطراب المخلّ، و إلاّ فكم من هذا القبيل، و ظاهر أنّ كيفيّات الخطاب تختلف بحسب اختلاف المقامات و أحوال المخاطبين، و مقتضيات الإطلاق و التقييد، أو الإجمال و البيان، فإنّ الخطاب ربّما يرد مطلقا و يحال تقييده إلى المقيّدات الخارجيّة، و قد يرد مجملا إذا لم يكن في موضع الحاجة فيؤخّر بيانه إلى وقتها، و قد يرد مقيّدا أو مبيّنا حيث كان وقت الحاجة حاضرا</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804878_1280447820"/>
      <w:bookmarkStart w:id="688" w:name="_Toc270"/>
      <w:bookmarkEnd w:id="687"/>
      <w:r>
        <w:rPr>
          <w:rtl w:val="true"/>
        </w:rPr>
        <w:t>و رابعها</w:t>
      </w:r>
      <w:r>
        <w:rPr>
          <w:rtl w:val="true"/>
        </w:rPr>
        <w:t xml:space="preserve">: </w:t>
      </w:r>
      <w:r>
        <w:rPr>
          <w:rtl w:val="true"/>
        </w:rPr>
        <w:t>أنّها لو نجست لزم الحرج الشديد،</w:t>
      </w:r>
      <w:bookmarkEnd w:id="68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في البلاد الّتي ينحصر ماؤهم </w:t>
      </w:r>
      <w:bookmarkStart w:id="689" w:name="pg16144_233443"/>
    </w:p>
    <w:p>
      <w:pPr>
        <w:pStyle w:val="BookText"/>
        <w:rPr/>
      </w:pPr>
      <w:bookmarkEnd w:id="689"/>
      <w:r>
        <w:rPr>
          <w:rFonts w:ascii="Amiri" w:hAnsi="Amiri" w:eastAsia="Amiri" w:cs="Amiri"/>
          <w:color w:val="111111"/>
          <w:sz w:val="28"/>
          <w:sz w:val="28"/>
          <w:szCs w:val="28"/>
          <w:rtl w:val="true"/>
          <w:lang w:bidi="ar-SA"/>
        </w:rPr>
        <w:t>في البئر، و عن كاشف الغطاء ما يرجع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لاحظ ذلك لم يحتج إلى النظر في الأخبار، عامّها و خاصّها</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و لعلّ المقصود بيان لزوم هذا المحذور على تقدير النجاسة، مع سائر لوازمها الّتي منها وجوب النزح بأعدادها المقدّرة، و على هذا فالإلزام عليه في محلّه، و المحذور وارد، و إلاّ فإن كان المراد بيان لزومه لمجرّد النجاسة الداعية إلى التجنّب، فلزومه بعد جعل النزح طريقا إلى تطهيره في محلّ المنع، كما لا يخفى</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804880_1280447820"/>
      <w:bookmarkStart w:id="691" w:name="_Toc271"/>
      <w:bookmarkEnd w:id="690"/>
      <w:r>
        <w:rPr>
          <w:rtl w:val="true"/>
        </w:rPr>
        <w:t>و خامسها</w:t>
      </w:r>
      <w:r>
        <w:rPr>
          <w:rtl w:val="true"/>
        </w:rPr>
        <w:t xml:space="preserve">: </w:t>
      </w:r>
      <w:r>
        <w:rPr>
          <w:rtl w:val="true"/>
        </w:rPr>
        <w:t>ما اعتمد عليه بعضهم من أنّه يلزم على التنجيس الحكم بنجاسة الكرّ المصاحب للنجاسة إذا القي في البئر مع نجاسة البئر،</w:t>
      </w:r>
      <w:bookmarkEnd w:id="691"/>
    </w:p>
    <w:p>
      <w:pPr>
        <w:pStyle w:val="BookText"/>
        <w:rPr/>
      </w:pPr>
      <w:r>
        <w:rPr>
          <w:rFonts w:ascii="Amiri" w:hAnsi="Amiri" w:eastAsia="Amiri" w:cs="Amiri"/>
          <w:color w:val="111111"/>
          <w:sz w:val="28"/>
          <w:sz w:val="28"/>
          <w:szCs w:val="28"/>
          <w:rtl w:val="true"/>
          <w:lang w:bidi="ar-SA"/>
        </w:rPr>
        <w:t>و الأدلّة تبطله، و الحكم بنجاسة البئر دون الكرّ مع فرض عدم تميّز أحدهما عن الآخر،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توجّه المنع إلى بطلان التالي، فإنّ الأدلّة المبطلة له إن اريد بها الأدلّة القاضية بكون الكرّيّة عاصمة عن الانفعال، فجريانها في الفرض المذكور ليس بأقوى من جريانها في الكرّ بل الكرور الّتي هي في نفس البئر، على أنّ بناء القول بالنجاسة على تخصيص تلك الأدلّة، فلا يفترق الحال في ذلك بين كون الكرّ الحاصل فيه أصليّا أو عارضيّا بوقوعه عليها من الخارج، و ظهور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النابع فيها لا يقدح في ذلك، بعد البناء على كون دليله عامّا، كما يرشد إلى الاعتراف به دعوى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ما عدا تلك الأدلّة فنطالبه ببيانه حتّى ننظر في حاله، كيف و لا دليل هنا سوى الاستبعاد الغير الصالح للتعويل عليه في استنباط الحكم الشرعي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ضعف ما استدلّ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يبعد كثيرا الحكم بنجاستها مع نبعها و اتّصالها بالمياه الكثيرة، بل بالبحر لو فرض، مع اشتمال الخارج على الكرور أيضا، و لو اخرج من مائها خارجها مقدار الكرّ لم ينجّس بالملاقاة، فإنّ الحكم عند القائل به من لوازم الخصوصيّة البئريّة، و لا يقدح فيها النبع و الاتّصال بالكثير، و يمكن منع الملازمة في تلك الصورة بالقياس إلى مسألة الاتصال بالكثير، لجواز كونه قائلا بالتقوّي في تلك الصورة، لكنّه يطالب بدليل التقوّي، فإنّه لا بدّ و أن يكون عامّا بحيث يشمل المفروض</w:t>
      </w:r>
      <w:r>
        <w:rPr>
          <w:rFonts w:eastAsia="Amiri" w:cs="Amiri" w:ascii="Amiri" w:hAnsi="Amiri"/>
          <w:color w:val="111111"/>
          <w:sz w:val="28"/>
          <w:szCs w:val="28"/>
          <w:rtl w:val="true"/>
          <w:lang w:bidi="ar-SA"/>
        </w:rPr>
        <w:t xml:space="preserve">. </w:t>
      </w:r>
      <w:bookmarkStart w:id="692" w:name="pg16144_233444"/>
    </w:p>
    <w:p>
      <w:pPr>
        <w:pStyle w:val="Heading6"/>
        <w:numPr>
          <w:ilvl w:val="5"/>
          <w:numId w:val="1"/>
        </w:numPr>
        <w:rPr/>
      </w:pPr>
      <w:bookmarkStart w:id="693" w:name="__RefHeading___Toc1804882_1280447820"/>
      <w:bookmarkStart w:id="694" w:name="_Toc272"/>
      <w:bookmarkEnd w:id="692"/>
      <w:bookmarkEnd w:id="693"/>
      <w:r>
        <w:rPr>
          <w:rtl w:val="true"/>
        </w:rPr>
        <w:t>و سادسها</w:t>
      </w:r>
      <w:r>
        <w:rPr>
          <w:rtl w:val="true"/>
        </w:rPr>
        <w:t xml:space="preserve">: </w:t>
      </w:r>
      <w:r>
        <w:rPr>
          <w:rtl w:val="true"/>
        </w:rPr>
        <w:t>ما أشار إليه في المنتهى من</w:t>
      </w:r>
      <w:r>
        <w:rPr>
          <w:rtl w:val="true"/>
        </w:rPr>
        <w:t>: «</w:t>
      </w:r>
      <w:r>
        <w:rPr>
          <w:rtl w:val="true"/>
        </w:rPr>
        <w:t>أنّه بجريانه من منابعه أشبه الماء الجاري، فيتساويان حكما</w:t>
      </w:r>
      <w:r>
        <w:rPr>
          <w:rtl w:val="true"/>
        </w:rPr>
        <w:t>»</w:t>
      </w:r>
      <w:bookmarkEnd w:id="694"/>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المنتهى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بجريانه من منابعه أشبه الماء الجاري، فيتساويان حكما</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و هو أوضح فسادا من جميع ما مرّ، مع أنّ قضيّة ذلك مع ملاحظة قوله باشتراط الكرّيّة في الجاري كونه قائلا هنا بالفرق، و لعلّه من هنا قد يستظهر منه في الكتاب المشار إليها المصير إلى هذا القول، و كيف كان فالملازمة ممنوعة، إذ لا مستند لها سوى القياس و هو ليس من مذهبه</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804884_1280447820"/>
      <w:bookmarkStart w:id="696" w:name="_Toc273"/>
      <w:bookmarkEnd w:id="695"/>
      <w:r>
        <w:rPr>
          <w:rtl w:val="true"/>
        </w:rPr>
        <w:t>و سابعها</w:t>
      </w:r>
      <w:r>
        <w:rPr>
          <w:rtl w:val="true"/>
        </w:rPr>
        <w:t xml:space="preserve">: </w:t>
      </w:r>
      <w:r>
        <w:rPr>
          <w:rtl w:val="true"/>
        </w:rPr>
        <w:t>الأخبار الخاصّة و هي العمدة في المقام</w:t>
      </w:r>
      <w:r>
        <w:rPr>
          <w:rtl w:val="true"/>
        </w:rPr>
        <w:t>.</w:t>
      </w:r>
      <w:bookmarkEnd w:id="69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الكافي، و التهذيب، و الاستبصار، عن محمّد بن إسماعيل بن بزيع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قال الشيخ في 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في هذا الخبر أنّه لا يفسده شيء إفسادا لا يجوز الانتفاع بشيء منه إلاّ بعد نزح جميعه، إلاّ ما غيّره، فأمّا ما لم يتغيّر فإنّه ينزح منه مقدار و ينتفع بالباقي</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و غرضه بهذا الكلام جعل الرواية بحيث لم تكن منافية لوجوب النزح بدون التغيّر الّذي يقول به تعبّدا، و إن كان لا يقول بنجاسة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الإفساد مع التغيّر إفسادا لا يجوز معه الانتفاع بشيء منه إلاّ بعد نزح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عن الانتفاع مع التغيّر يدور مع التغيّر وجودا و عدما، و إعدام التغيّر لا يستدعي نزح الجميع</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انحصار الانتفاع في مشروط بالطهارة، لحصوله بسقي الدوابّ و البساتين و نحوها، و مع ذلك فالمنع المتوقّف رفعه على زوال التغيّر المتوقّف على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مع عدم التغيّر أيضا، على ما يراه من وجوب النزح الّذي لا يتحقّق في كثير من صوره إلاّ في ضمن نزح الجميع، فما معنى الاستثناء الوارد في الرواية؟ و التأويل المذكور بعد الجمع بينه و بين قضيّة وجوب النزح موجب لاتّحاد </w:t>
      </w:r>
    </w:p>
    <w:p>
      <w:pPr>
        <w:pStyle w:val="BookText"/>
        <w:rPr/>
      </w:pPr>
      <w:r>
        <w:rPr>
          <w:rFonts w:ascii="Amiri" w:hAnsi="Amiri" w:eastAsia="Amiri" w:cs="Amiri"/>
          <w:color w:val="111111"/>
          <w:sz w:val="28"/>
          <w:sz w:val="28"/>
          <w:szCs w:val="28"/>
          <w:rtl w:val="true"/>
          <w:lang w:bidi="ar-SA"/>
        </w:rPr>
        <w:t>المستثنى مع المستثنى منه في الحكم فلغى الاستثناء،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كما تدلّ على عدم النجاسة مع عدم التغيّر دلالة واضحة، فكذلك تدلّ على عدم وجوب النزح أيضا، حيث أنّه خصّه بصورة التغيّر، كما تنبّه عليه صاحب المدارك في حاشية الاستبصار عند اعتراضه على الشيخ في التأويل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الشيخ من معنى الخبر بعيد جدّا، و مع ذلك فيتوجّه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الانتفاع بشيء من ماء البئر يتحقّق مع التغيّر في كثير من النجاسات عند القائلين بالتنجيس، كما أنّه قد يجوز الانتفاع بالباقي إذا زال التغيّر بنزح البعض، فإطلاق القول بعدم جواز الانتفاع بشيء منه مع التغيّر و جوازه مطلقا بدونه غير مستقيم، و هذه الرواية كما تدلّ على عدم انفعال البئر بالملاقاة كذا تدلّ على عدم وجوب النزح بدون التغيّر، لأنّه عليه السّلام اكتفى في تطهيره مع التغيّر بنزح ما يذهب الريح و يطيب الطعم، و لو وجب نزح المقادير المعيّنة لم يكن ذلك كافيا، إذ لا يحصل به استيفاء المقدّر، و يشهد لذلك الاختلاف الكثير الواقع في قدر النزح كما ستطلع عليه، فإنّه قرينة الاستحباب</w:t>
      </w:r>
      <w:r>
        <w:rPr>
          <w:rFonts w:eastAsia="Amiri" w:cs="Amiri" w:ascii="Amiri" w:hAnsi="Amiri"/>
          <w:color w:val="111111"/>
          <w:sz w:val="28"/>
          <w:szCs w:val="28"/>
          <w:rtl w:val="true"/>
          <w:lang w:bidi="ar-SA"/>
        </w:rPr>
        <w:t>»</w:t>
      </w:r>
      <w:r>
        <w:rPr>
          <w:rStyle w:val="FootnoteAnchor"/>
          <w:rtl w:val="true"/>
        </w:rPr>
        <w:footnoteReference w:id="19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في دلالة الخبر على عدم الانفعال مع عدم التغيّر، أنّ المراد بالإفساد الّذي حصره عليه السّلام في صورة التغيّر إنّما هو التنجيس، بقرينة الوصف بالسعة و استثناء صورة التغيّر، فإنّه موجب للتنجيس فيكون المنتفي عن المستثنى منه مع عدم التغيّر هو التنجيس أيضا، كما ذكره في أوّل الحاشية المذكورة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يراد بها السعة الحسّية، و هي الّتي تفرض بحسب المساحة طولا و عرضا و عمقا، فيكون في الخبر حينئذ إشعار باعتبار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يراد بها السعة المعنويّة، و هي القوّة العاصمة له عن الانفعال بدون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القوّة الغير القابلة للانفعال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بقرينة وصفها بعدم الإفساد، فإنّ هذا الوصف إمّا تفسير للسعة فلا يصلح إلاّ إذا اريد بها السعة المعنويّة، لأنّه وصف معنوي و من الواجب اتّحاد المفسّر و المفسّر، أو تقييد لها فلا يصلح وصفا للكرّيّة، لأنّ الكرّ مع عدم التغيّر لا ينقسم إلى ما يقبل منه الفساد و ما لا يقبله، بل الّذي ينقسم إليها الماء لا بشرط الكرّيّة و لا بشرط عدمها، فلا بدّ و أن يعتبر </w:t>
      </w:r>
    </w:p>
    <w:p>
      <w:pPr>
        <w:pStyle w:val="BookText"/>
        <w:rPr/>
      </w:pPr>
      <w:r>
        <w:rPr>
          <w:rFonts w:ascii="Amiri" w:hAnsi="Amiri" w:eastAsia="Amiri" w:cs="Amiri"/>
          <w:color w:val="111111"/>
          <w:sz w:val="28"/>
          <w:sz w:val="28"/>
          <w:szCs w:val="28"/>
          <w:rtl w:val="true"/>
          <w:lang w:bidi="ar-SA"/>
        </w:rPr>
        <w:t>الموصوف أمرا معنويّا و الوصف تفسيريّا و لا محذور، فتمّت بذلك دلالة الخبر على تمام مدّعى القائلين بعدم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الاعتراض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المعتبر</w:t>
      </w:r>
      <w:r>
        <w:rPr>
          <w:rStyle w:val="FootnoteAnchor"/>
          <w:rtl w:val="true"/>
        </w:rPr>
        <w:footnoteReference w:id="1920"/>
      </w:r>
      <w:r>
        <w:rPr>
          <w:rFonts w:ascii="Amiri" w:hAnsi="Amiri" w:eastAsia="Amiri" w:cs="Amiri"/>
          <w:color w:val="111111"/>
          <w:sz w:val="28"/>
          <w:sz w:val="28"/>
          <w:szCs w:val="28"/>
          <w:rtl w:val="true"/>
          <w:lang w:bidi="ar-SA"/>
        </w:rPr>
        <w:t>من أنّه مكاتبة يضعف دلالته، و من أنّ الفساد يحمل على فساد يوجب التعطيل، و من أنّه معارض برواية محمّد بن إسماعيل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بالعموم، و يخرج عنه بالأدلّة الخاصّة كما يخرج عن العمومات و عن الأصل بها، و بأنّه متروك الظاهر لثبوت التنجيس باللون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هذا الخبر مكاتبة، بل المكاتبة هو الخبر الآتي الّذي تمسّك به أهل القول بالنجاسة، و لذا قال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إشعار فيه بالكتابة سؤالا و جوابا، نعم المكاتبة بهذا المضمون رواها في التهذيب بطريق آخر عن المفيد، عن ابن قولويه، عن أبيه، عن سعد بن عبد اللّه،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الرضا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التقييد بما ذكر تأويل لا يصار إليه بلا ضرورة دعت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المعارضة تندفع بما يأتي من الوجوه الدافعة لاحتجاج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قيام أدلّة خاصّة تصلح رافعة للدلالة العامّة إن اريد بها العموم بالقياس إلى ملاقاة نجس لا يغيّره و ملاقاة غير النجس، مع منع العموم من تلك الجهة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استثناء صورة التغيّر فيما يكون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العموم بالقياس إلى الكرّيّة و عدمها،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الخاصّة إن اريد بها الأخبار الواردة في البئر الدالّة على التنجيس،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دلالتها عليه، منع كونها أخصّ من هذا الخبر، بل النسبة بينها و بينه هو التباين، و معه يجب الرجوع إلى المرجّحات، و الترجيح في جانبه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أدلّة انفعال القليل، ليكون مفاد الاعتراض لزوم اعتبار الكرّيّة في البئر أيضا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الانفعال منها ما لا يتناول البئر، لاختصاصها بموارد مخصوصة ليس البئر منها، و منها ما يتناول بعمومه البئر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لا ينجّسه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أخصّيّة المفهوم، بل النسبة بينه و بين الخبر عموم من وجه، لأنّ الخبر أعمّ من الكرّ و عدمه، و المفهوم أعمّ من ماء البئر و غيره، فيجب التخصيص في أحدهما، و هو في المفهوم أولى منه في الخبر، لكون دلالته منطوقيّة و المنطوق أقوى من المفهوم، و لا سيّما المنطوق المؤدّى بعبارة الحصر الّذي هو من أظهر الظواهر، و لا ريب أنّ الأظهر لا يترك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w:t>
      </w:r>
      <w:r>
        <w:rPr>
          <w:rStyle w:val="FootnoteAnchor"/>
          <w:rtl w:val="true"/>
        </w:rPr>
        <w:footnoteReference w:id="1922"/>
      </w:r>
      <w:r>
        <w:rPr>
          <w:rFonts w:ascii="Amiri" w:hAnsi="Amiri" w:eastAsia="Amiri" w:cs="Amiri"/>
          <w:color w:val="111111"/>
          <w:sz w:val="28"/>
          <w:sz w:val="28"/>
          <w:szCs w:val="28"/>
          <w:rtl w:val="true"/>
          <w:lang w:bidi="ar-SA"/>
        </w:rPr>
        <w:t>ترك ظهور الكلام في بعض فقراته كالمستثنى مثلا لدليل لا يقضي بضعف ظهوره بالقياس إلى الفقرة الاخرى و هي المستثنى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المستثنى بزيادة شيء عليه لا يقضي بتقييد المستثنى منه لغير جهة تلك الزيادة، و لا رفع اليد عن ظهوره بغير جهة التقييد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التهذيب عن عليّ بن جعفر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ماء وقع فيها زنبيل</w:t>
      </w:r>
      <w:r>
        <w:rPr>
          <w:rStyle w:val="FootnoteAnchor"/>
          <w:rtl w:val="true"/>
        </w:rPr>
        <w:footnoteReference w:id="1923"/>
      </w:r>
      <w:r>
        <w:rPr>
          <w:rFonts w:ascii="Amiri" w:hAnsi="Amiri" w:eastAsia="Amiri" w:cs="Amiri"/>
          <w:color w:val="111111"/>
          <w:sz w:val="28"/>
          <w:sz w:val="28"/>
          <w:szCs w:val="28"/>
          <w:rtl w:val="true"/>
          <w:lang w:bidi="ar-SA"/>
        </w:rPr>
        <w:t>من عذرة رطبة، أو يابسة، أو زنبيل من سرقين، أ يصلح الوضوء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في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العذرة و السرقين النجس، لأنّ الفقيه لا يسأل عن ملاقاة الطاهر</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في المدارك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الاعتراض على الخبر بأنّ العذرة و السرقين أعمّ من النجس فلا يدلّ عليه، لعدم دلالة العامّ على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العذرة لغة و عرفا فضلة الإنسان، و السرقين و إن كان أعمّ منه إلاّ أنّ المراد منه هنا النجس، لأنّ الفقيه لا يسأل عن الطاهر</w:t>
      </w:r>
      <w:r>
        <w:rPr>
          <w:rFonts w:eastAsia="Amiri" w:cs="Amiri" w:ascii="Amiri" w:hAnsi="Amiri"/>
          <w:color w:val="111111"/>
          <w:sz w:val="28"/>
          <w:szCs w:val="28"/>
          <w:rtl w:val="true"/>
          <w:lang w:bidi="ar-SA"/>
        </w:rPr>
        <w:t>»</w:t>
      </w:r>
      <w:r>
        <w:rPr>
          <w:rStyle w:val="FootnoteAnchor"/>
          <w:rtl w:val="true"/>
        </w:rPr>
        <w:footnoteReference w:id="19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بالقياس إلى السرقين لعلّه غير وجيه،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لغة في روث الدوابّ، و لا جهة فيه للعموم، و لا ينافي السؤال عنه لفقاهة السائل لجواز ابتنائه على توهّم النجاسة في روث الدوابّ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المحقّق البهبهاني في حاشية المدارك قائلا بما يرجع محصّله إلى 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المتعارف في السرقين مثل الحمار و البغل و الخيل و الأنعام، و سيجيء في </w:t>
      </w:r>
    </w:p>
    <w:p>
      <w:pPr>
        <w:pStyle w:val="BookText"/>
        <w:rPr/>
      </w:pPr>
      <w:r>
        <w:rPr>
          <w:rFonts w:ascii="Amiri" w:hAnsi="Amiri" w:eastAsia="Amiri" w:cs="Amiri"/>
          <w:color w:val="111111"/>
          <w:sz w:val="28"/>
          <w:sz w:val="28"/>
          <w:szCs w:val="28"/>
          <w:rtl w:val="true"/>
          <w:lang w:bidi="ar-SA"/>
        </w:rPr>
        <w:t>بحث النجاسات ما يدفع هذا الاستبعاد،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بنجاسة بول الدوابّ و احتمل السائل نجاسة سرقينهم أيضا، فسأل عن صلاحية الوضوء، و كونه فقيها بحيث لم يكن له إشكال أصلا في صلاحية الوضوء غير ثابت، مع أنّه إنّما حصل لهم و لنا الفقه من سؤالهم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من جهة العذرة و هي كافية،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الاستفصال يفيد العموم، لكن هذا فرع عدم كونه أظهر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r>
        <w:rPr>
          <w:rStyle w:val="FootnoteAnchor"/>
          <w:rtl w:val="true"/>
        </w:rPr>
        <w:footnoteReference w:id="19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بالخبر غير مبنيّ على ثبوت نجاسة السرقين عندنا، لما في نجاسة العذرة كفاية في ذلك، و بذلك يندفع الاعتراض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وصول الزنبيل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المذكور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وصول العذرة و السرقين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الاستلزام يثبت بحكم العادة،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يراد نفي البأس بعد نزح المقدّر، و حكي ذلك عن الشيخ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المراد لا بأس بعد نزح ثلاثين دلوا</w:t>
      </w:r>
      <w:r>
        <w:rPr>
          <w:rFonts w:eastAsia="Amiri" w:cs="Amiri" w:ascii="Amiri" w:hAnsi="Amiri"/>
          <w:color w:val="111111"/>
          <w:sz w:val="28"/>
          <w:szCs w:val="28"/>
          <w:rtl w:val="true"/>
          <w:lang w:bidi="ar-SA"/>
        </w:rPr>
        <w:t>»</w:t>
      </w:r>
      <w:r>
        <w:rPr>
          <w:rStyle w:val="FootnoteAnchor"/>
          <w:rtl w:val="true"/>
        </w:rPr>
        <w:footnoteReference w:id="1928"/>
      </w:r>
      <w:r>
        <w:rPr>
          <w:rFonts w:ascii="IRNazanin" w:hAnsi="IRNazanin" w:eastAsia="IRNazanin"/>
          <w:color w:val="111111"/>
          <w:sz w:val="28"/>
          <w:sz w:val="28"/>
          <w:szCs w:val="28"/>
          <w:rtl w:val="true"/>
          <w:lang w:bidi="fa-IR"/>
        </w:rPr>
        <w:t>و عنه</w:t>
      </w:r>
      <w:r>
        <w:rPr>
          <w:rStyle w:val="FootnoteAnchor"/>
          <w:rtl w:val="true"/>
        </w:rPr>
        <w:footnoteReference w:id="1929"/>
      </w:r>
      <w:r>
        <w:rPr>
          <w:rFonts w:ascii="Amiri" w:hAnsi="Amiri" w:eastAsia="Amiri" w:cs="Amiri"/>
          <w:color w:val="111111"/>
          <w:sz w:val="28"/>
          <w:sz w:val="28"/>
          <w:szCs w:val="28"/>
          <w:rtl w:val="true"/>
          <w:lang w:bidi="ar-SA"/>
        </w:rPr>
        <w:t>احتمال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بالبئر المصنع دون المعيّن، لأنّ هنا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فيها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الكثرة قرينة المصنع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كلّ ذلك بعيد عن الصواب، و خروج عن قانون الاجتهاد، حيث لا داعي إلى ارتكاب هذه الامور، و ظهر أنّ هذا الخبر أيضا تامّ الدلالة على تمام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المرويّة في التهذيبين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 لا تعاد الصلاة ممّا وقع في البئر إلاّ أن ينتن، فإن أنتن غسل الثوب، و أعاد الصلاة، و نزحت البئر</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و عن المحقّق في المعتبر المناقشة في سند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حمّادا في طريقه مشترك بين الثقة 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دلالته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النابعة و الغدير، فيجوز أن يكون السؤال عن بئر ماؤها </w:t>
      </w:r>
    </w:p>
    <w:p>
      <w:pPr>
        <w:pStyle w:val="BookText"/>
        <w:rPr/>
      </w:pPr>
      <w:r>
        <w:rPr>
          <w:rFonts w:ascii="IRNazanin" w:hAnsi="IRNazanin" w:eastAsia="IRNazanin"/>
          <w:color w:val="111111"/>
          <w:sz w:val="28"/>
          <w:sz w:val="28"/>
          <w:szCs w:val="28"/>
          <w:rtl w:val="true"/>
          <w:lang w:bidi="fa-IR"/>
        </w:rPr>
        <w:t>محقون</w:t>
      </w:r>
      <w:r>
        <w:rPr>
          <w:rFonts w:eastAsia="IRNazanin" w:cs="IRNazanin"/>
          <w:color w:val="111111"/>
          <w:sz w:val="28"/>
          <w:szCs w:val="28"/>
          <w:rtl w:val="true"/>
          <w:lang w:bidi="fa-IR"/>
        </w:rPr>
        <w:t>»</w:t>
      </w:r>
      <w:r>
        <w:rPr>
          <w:rStyle w:val="FootnoteAnchor"/>
          <w:rtl w:val="true"/>
        </w:rPr>
        <w:footnoteReference w:id="1931"/>
      </w:r>
      <w:r>
        <w:rPr>
          <w:rFonts w:ascii="Amiri" w:hAnsi="Amiri" w:eastAsia="Amiri" w:cs="Amiri"/>
          <w:color w:val="111111"/>
          <w:sz w:val="28"/>
          <w:sz w:val="28"/>
          <w:szCs w:val="28"/>
          <w:rtl w:val="true"/>
          <w:lang w:bidi="ar-SA"/>
        </w:rPr>
        <w:t>و دفعهما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بالقطع بأنّ حمّادا هذا هو ابن عيسى الثقة الصدوق، لرواية الحسين بن سعيد عنه، و روايته عن ابن عمّار و هذا السند متكرّر في كتب الأحاديث مع التصريح بأنّه ابن عيسى على وجه لا يحصل شكّ في أنّه المراد من الإطلاق كما يظهر للمتتبّع، و أنّ البئر حقيقة في النابعة، و لهذا حملت الأحكام كلّها عليها و اللفظ إنّما يحمل على حقيقته لا على مجازه</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رحمه اللّه تعالى فيما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الاخرى عن معاوية بن عمّار المرويّة في التهذيبين في طريق فيه سعد بن عبد اللّه، عن أحمد بن محمّد عن أبي طالب عبد اللّه بن الصلت عن عبد اللّه بن المغيرة عن معاوية بن عمّار،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تقع في البئر فيتوضّأ الرجل منها و يصلّي، و هو لا يعلم أ يعيد الصلاة و يغسل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و لا يغسل ثوبه</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و عن المحقّق الشيخ محمّد في شرح الاستبصار القدح في سند الرواية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 الراوي عن ابن الصلت هو أحمد بن أبي عبد اللّه لا ابن عيسى، و في أحمد ابن أبي عبد اللّه نوع كلام</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و مراده بأحمد ابن أبي عبد اللّه، أحمد بن محمّد بن خالد البرقي، و وجه الكلام فيه ما قيل في طعنه من أنّه أكثر الرواية عن الضعفاء و اعتمد المراسيل، و لأجل ذا كان أحمد بن محمّد ابن عيسى أبعده عن قم، ثمّ أعاده إليها و اعتذر إليه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فيما نقله عن الفهرست نظر، لأنّ أحمد بن محمّد بن عيسى أيضا يروي عن ابن الصلت كما نقل عن كتاب المشتركات</w:t>
      </w:r>
      <w:r>
        <w:rPr>
          <w:rStyle w:val="FootnoteAnchor"/>
          <w:rtl w:val="true"/>
        </w:rPr>
        <w:footnoteReference w:id="1935"/>
      </w:r>
      <w:r>
        <w:rPr>
          <w:rFonts w:ascii="Amiri" w:hAnsi="Amiri" w:eastAsia="Amiri" w:cs="Amiri"/>
          <w:color w:val="111111"/>
          <w:sz w:val="28"/>
          <w:sz w:val="28"/>
          <w:szCs w:val="28"/>
          <w:rtl w:val="true"/>
          <w:lang w:bidi="ar-SA"/>
        </w:rPr>
        <w:t>فهما معا يرويان عن ابن الصلت، كما أنّ سعد بن عبد اللّه يروي عنهما معا، غير أنّ ذلك لا يجدي في تعيين كون أحمد هنا هو ابن عيسى، لما عرفت من اشتراكهما في الوصف، و لعلّه غير قادح في صحّة الرواية و إن لم يتعيّن هذا الراوي، لأنّهما معا ثقتان، و لذا قيل في ترجمة ابن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ثقة في نفسه</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و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 عليه القمّيون و ليس الطعن فيه إنّما الطعن فيمن يروي عنه، فإنّه كان لا يبالي عمّن أخذ على طريقة أهل الأخبار</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 xml:space="preserve">و حينئذ فهذا السند صحيح جدّا، لكون ابن الصلت الّذي يروي عنه في هذا السند من الثقات، فلا </w:t>
      </w:r>
    </w:p>
    <w:p>
      <w:pPr>
        <w:pStyle w:val="BookText"/>
        <w:rPr/>
      </w:pPr>
      <w:r>
        <w:rPr>
          <w:rFonts w:ascii="Amiri" w:hAnsi="Amiri" w:eastAsia="Amiri" w:cs="Amiri"/>
          <w:color w:val="111111"/>
          <w:sz w:val="28"/>
          <w:sz w:val="28"/>
          <w:szCs w:val="28"/>
          <w:rtl w:val="true"/>
          <w:lang w:bidi="ar-SA"/>
        </w:rPr>
        <w:t xml:space="preserve">وجه للقدح في الرواية من حيث السند كما لا وجه للقدح فيها من حيث الدلالة، باحتمال وقوع الفأرة بعد الوضوء مع أنّه لا دلالة فيها على موتها فيها، فإنّ الاحتمال المذكور يأباه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فيتوضّأ الرجل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تقع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يندفع احتمال عدم موتها فيها، فإنّ مقتضى ظهور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وقوعها قبل الوضوء و الصلاة، و لا ريب أنّ العادة تأبى عن بقائها حيّة في الماء في هذا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معنى هذا الخبر موثّقة أبان بن عثمان</w:t>
      </w:r>
      <w:r>
        <w:rPr>
          <w:rStyle w:val="FootnoteAnchor"/>
          <w:rtl w:val="true"/>
        </w:rPr>
        <w:footnoteReference w:id="1938"/>
      </w:r>
      <w:r>
        <w:rPr>
          <w:rFonts w:ascii="Amiri" w:hAnsi="Amiri" w:eastAsia="Amiri" w:cs="Amiri"/>
          <w:color w:val="111111"/>
          <w:sz w:val="28"/>
          <w:sz w:val="28"/>
          <w:szCs w:val="28"/>
          <w:rtl w:val="true"/>
          <w:lang w:bidi="ar-SA"/>
        </w:rPr>
        <w:t>، و رواية</w:t>
      </w:r>
      <w:r>
        <w:rPr>
          <w:rStyle w:val="FootnoteAnchor"/>
          <w:rtl w:val="true"/>
        </w:rPr>
        <w:footnoteReference w:id="1939"/>
      </w:r>
      <w:r>
        <w:rPr>
          <w:rFonts w:ascii="Amiri" w:hAnsi="Amiri" w:eastAsia="Amiri" w:cs="Amiri"/>
          <w:color w:val="111111"/>
          <w:sz w:val="28"/>
          <w:sz w:val="28"/>
          <w:szCs w:val="28"/>
          <w:rtl w:val="true"/>
          <w:lang w:bidi="ar-SA"/>
        </w:rPr>
        <w:t xml:space="preserve">جعفر بن بشير عن أبي عيينة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في البئر، لا يعلم بها إلاّ بعد ما يتوضّأ منها، أ يعاد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الفأرة تقع في البئر، فلا يعلم بها أحد إلاّ بعد ما يتوضّأ منها، أ يعيد وضوءه و صلاته، و يغسل ما أصابه؟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زيد بن محمّد بن يونس أبي اسامة الشحّام، لأبان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الطير و الدجاجة و الفأرة فانزح منها 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وضوئنا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 ثيابنا؟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و المناقشة فيها باحتمال عدم تحقّق الموت ليست على ما ينبغي، لكونها دفعا للظاهر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المرويّة في التهذيب عن أحدهما عليهما السّلام في البئر يقع فيها الميتة،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ريح نزح منها عشرون 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الجنب البئر نزح منها سبع دلاء</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 xml:space="preserve">، و دلالتها بالمفهوم بناء على ما قيل من أنّ النزح لزوال الريح غالبا بالعشرين، فيدلّ على نفي النزح على تقدير عدم الريح، و لكنّه إنّما يستقيم على تقدير تذكير الضمير لعوده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النسخة الحاضرة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على تقدير تأنيث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 اخرى نقلها غير واحد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عوده إلى البئر، أو إلى الميتة، فلا دلالة فيها إذن على أنّ النزح إنّما هو لأجل التغيّر الّذي يزول غالبا بالعشرين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يقدح في دلالته على أنّه ليس لأجل النجاسة، بقرينة اعتبار نزح سبع دلاء لدخول الجنب، لأنّ الجنب بوصف دخوله في البئر لا يستلزم بدنه مباشرة النجاسة و الاشتمال عليها كما لا يخفى، فالرواية بعمومها الشامل لصورة عدم اشتماله عليها تدلّ على النزح، و هو لا يجامع 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يتوهّن ما 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لا تدلّ على أنّه إذا لم يكن لها ريح لم ينزح شيء، فإنّ دلالتها على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النجاسة فضلا عن توجّه المنع إلى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يعقوب بن عثيم بأبان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سام أبرص وجدناه قد تفسّخ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عليك أن تنزح منها سبع أدل</w:t>
      </w:r>
      <w:r>
        <w:rPr>
          <w:rStyle w:val="FootnoteAnchor"/>
          <w:rtl w:val="true"/>
        </w:rPr>
        <w:footnoteReference w:id="1944"/>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فثيابنا الّتي قد صلّينا فيها نغسلها و نعيد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التهذيب عقيب ذلك مرسلا عن جابر بن يزيد الجعفي، أنّه سأل أبا جعفر عليه السّلام عن السام أبرص في البئر</w:t>
      </w:r>
      <w:r>
        <w:rPr>
          <w:rStyle w:val="FootnoteAnchor"/>
          <w:rtl w:val="true"/>
        </w:rPr>
        <w:footnoteReference w:id="19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حرّك الماء بالدلو</w:t>
      </w:r>
      <w:r>
        <w:rPr>
          <w:rFonts w:eastAsia="Amiri" w:cs="Amiri" w:ascii="Amiri" w:hAnsi="Amiri"/>
          <w:color w:val="111111"/>
          <w:sz w:val="28"/>
          <w:szCs w:val="28"/>
          <w:rtl w:val="true"/>
          <w:lang w:bidi="ar-SA"/>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نهوض ذلك دليلا على عدم النجاسة، لتوجّه المنع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أبرص</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من ذوات الأنفس، لعارضناه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نهوض النزح الوارد في الأخبار دليلا على النجاسة لوروده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الموثّقة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الكريم بن عمرو الواقفي الثقة،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بئر يستقى منها، و توضّؤ به، و غسل منه الثياب، و عجن به، ثمّ علم أنّه كان </w:t>
      </w:r>
    </w:p>
    <w:p>
      <w:pPr>
        <w:pStyle w:val="BookText"/>
        <w:rPr/>
      </w:pPr>
      <w:r>
        <w:rPr>
          <w:rFonts w:ascii="Amiri" w:hAnsi="Amiri" w:eastAsia="Amiri" w:cs="Amiri"/>
          <w:color w:val="111111"/>
          <w:sz w:val="28"/>
          <w:sz w:val="28"/>
          <w:szCs w:val="28"/>
          <w:rtl w:val="true"/>
          <w:lang w:bidi="ar-SA"/>
        </w:rPr>
        <w:t>فيها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لا يغسل الثوب، و لا تعاد منه الصلاة</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الواردة في زيادات التهذيب،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يكون من شعر الخنزير، يستقى به الماء من البئر، أ يتوضّأ من ذلك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دلالته على المطلب مبنيّة على 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عن التوضّي به هو ما في البئر، بناء على أنّه لا ينفكّ عن ملاقاته الحبل عادة، و لا عن ملاقاة ما في الدلو له ثمّ سقوط القطرات منه إليها، و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روايات اخر ضعيفة الأسانيد بإرسال و نحوه دالّة على المطلب، كرواية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جلد الخنزير يجعل دلوا يستقى به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السياق و إن كان يقتضي كونه واردا لبيان حكم أصل الاستعمال تكليفا، لكونه استعمالا لنجس العين و انتفاعا به، إلاّ أنّ قضيّة منصب الإمامة و رجحان الدعاء إلى الخير أو وجوبه، أن تنبّه عليه السّلام على الانفعال لو كان ملاقاة النجاسة موجبة لانفعاله، لئلاّ يستعمل من مائه بلا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عليّ بن حديد،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 طريق مكّة فصرنا إلى بئر، فاستقى غلام أبي عبد اللّه عليه السّلام دلوا فخرج فيه فأرتان،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فاستقى آخر، فخرج فيه فأرة،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قال فاستقى الثالث فلم يخرج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فصبّه في الإناء</w:t>
      </w:r>
      <w:r>
        <w:rPr>
          <w:rFonts w:eastAsia="Amiri" w:cs="Amiri" w:ascii="Amiri" w:hAnsi="Amiri"/>
          <w:color w:val="111111"/>
          <w:sz w:val="28"/>
          <w:szCs w:val="28"/>
          <w:rtl w:val="true"/>
          <w:lang w:bidi="ar-SA"/>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 بن حديد رواه عن بعض أصحابنا و لم يسنده، و هذا ممّا يضعف الحديث، و يحتمل مع تسليمه أن يكون أراد بالبئر المصنع الّذي فيه من الماء ما يزيد مقداره على الكرّ، فلا يجب نزح شيء منه، ثمّ لم يقل أنّه توضّأ منه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جواز استعماله في الوضوء، و يجوز أن يكون إنّما أمره بالصبّ في الإناء للشرب، و هذا يجوز </w:t>
      </w:r>
    </w:p>
    <w:p>
      <w:pPr>
        <w:pStyle w:val="BookText"/>
        <w:rPr/>
      </w:pPr>
      <w:r>
        <w:rPr>
          <w:rFonts w:ascii="Amiri" w:hAnsi="Amiri" w:eastAsia="Amiri" w:cs="Amiri"/>
          <w:color w:val="111111"/>
          <w:sz w:val="28"/>
          <w:sz w:val="28"/>
          <w:szCs w:val="28"/>
          <w:rtl w:val="true"/>
          <w:lang w:bidi="ar-SA"/>
        </w:rPr>
        <w:t>عندنا عند الضرورة</w:t>
      </w:r>
      <w:r>
        <w:rPr>
          <w:rFonts w:eastAsia="Amiri" w:cs="Amiri" w:ascii="Amiri" w:hAnsi="Amiri"/>
          <w:color w:val="111111"/>
          <w:sz w:val="28"/>
          <w:szCs w:val="28"/>
          <w:rtl w:val="true"/>
          <w:lang w:bidi="ar-SA"/>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الوجهين الأخيرين من التكلّف، و إنّما دعاه إليه مصيره إلى وجوب النزح، مع ما في وجهه الأخيرين من إمكان المنع، لما عن المحقّق في المعتبر من أنّه ذكره و زاده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فصبّه فتوضّأ منه، و شرب</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في المدينة بئر وسط مزبلة، و كانت الريح تهبّ و تلقي فيها العذرة، و كان النبيّ صلّى اللّه عليه و آله يتوضّأ منها</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القاسم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 بين الكنيف خمس أذرع، أو أقلّ، أو 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 لا بعد، يتوضّأ منها و يغتسل ما لم يتغيّر الماء</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المعتبرة في هذا الباب موثّقة عمّار، قال سئل أبو عبد اللّه عليه السّلام عن البئر تقع فيها زنبيل عذرة يابسة أو رطبة،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وجه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الكثرة العرفيّة غير معتبرة في الماء إجماعا إلاّ للتحفّظ عن التغيّر، و لم يثبت الحقيقة الشرعيّة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الرواية دليلا على اعتبار الكرّيّة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روايات أكثرها معتبرة الأسانيد، واضحة الدلالات، عثرنا عليها في الباب تدلّ بإطلاقها على عدم انفعال ماء البئر بمجرّد الملاقاة، كرّا كان أو دونه، فهي بالقياس إلى الكرّ على طبق الأصل الثابت فيه، و بالقياس إلى ما دونه تنهض حاكمة على أدلّة انفعال القليل، إمّا لأنّه لا تعارض بينهما لعدم تناول أكثر تلك الأدلّة لماء البئر، أو لكون التأويل فيها أولى، إن كان النظر فيها إلى ما يعارض بعمومه أخبار الباب معارضة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إذن أنّ الأقوى في المسألة ما صار إليه معظم المتأخّرين، من عدم الانفعال مطلقا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يمكن أن يؤخذ دليلا على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الإشارة إليه </w:t>
      </w:r>
      <w:r>
        <w:rPr>
          <w:rFonts w:eastAsia="Amiri" w:cs="Amiri" w:ascii="Amiri" w:hAnsi="Amiri"/>
          <w:color w:val="111111"/>
          <w:sz w:val="28"/>
          <w:szCs w:val="28"/>
          <w:rtl w:val="true"/>
          <w:lang w:bidi="ar-SA"/>
        </w:rPr>
        <w:t xml:space="preserve">- </w:t>
      </w:r>
      <w:bookmarkStart w:id="697" w:name="pg16144_233454"/>
    </w:p>
    <w:p>
      <w:pPr>
        <w:pStyle w:val="BookText"/>
        <w:rPr/>
      </w:pPr>
      <w:bookmarkEnd w:id="697"/>
      <w:r>
        <w:rPr>
          <w:rFonts w:ascii="Amiri" w:hAnsi="Amiri" w:eastAsia="Amiri" w:cs="Amiri"/>
          <w:color w:val="111111"/>
          <w:sz w:val="28"/>
          <w:sz w:val="28"/>
          <w:szCs w:val="28"/>
          <w:rtl w:val="true"/>
          <w:lang w:bidi="ar-SA"/>
        </w:rPr>
        <w:t xml:space="preserve">أنّ النوع الواحد من النجاسة لا يعقل أن يختلف أفراده في اقتضاء بعضها من المطهّر ما يزيد على ما اقتضاه الآخر بمراتب شتّى، و لو فرضناها متساوية في الوصف و المقدار، و لازم قولهم بالانفعال هو الاختلاف، نظرا إلى ما سيأتي في ذيل مسائل النزح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محمولة عندهم على ما جرت العادة باستعماله في شخص البئر، و لا ريب أنّه يختلف في الصغر و الكبر، و قد اعتبر في النزح عن بول الرجل مثلا أربعون دلوا بما هو متعارف على البئر الّتي وقع فيها البول، و المطهّر إمّا الماء المتجدّد، أو نفس النزح، و على التقديرين يلزم الاختلاف لو فرضنا آبارا متعدّدة وقع في كلّ منها من أفراد بول الرجل ما هو بوصف واحد، و مقدار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يبلغ مجموع أربعين دلوا إلى الكرّ و ما فوقه، و قد يبلغ إلى نصف الكرّ، و قد يبلغ إلى ثلثه، و قد يبلغ إلى ربعه و هكذا، و منشأ ذلك الاختلاف إنّما هو اختلاف دلاء هذه الآبار في الكبر و الصغر، فرجع حكم النزح حينئذ إلى 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هذه البئر لا يطهّر إلاّ بكرّ من الماء، و ماء هذه الاخرى يطهّر بنصف الكرّ، و لا يطهّر بما دونه، و ماء هذه الثالثة يطهّر ثلثه و لا يطهّر بما دونه مع أنّ النجاسة الواقعة في الكلّ هو البول على مقدار واحد في وصف واحد، و مثل هذا الحكم حزازة لا ينبغي نسبتها إلى جاهل، فضلا عن الحكيم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أو يتّضح بملاحظة ما ذكرناه على الأوّل</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804886_1280447820"/>
      <w:bookmarkStart w:id="699" w:name="_Toc274"/>
      <w:bookmarkEnd w:id="698"/>
      <w:r>
        <w:rPr>
          <w:rtl w:val="true"/>
        </w:rPr>
        <w:t>و أمّا القول بالانفعال مطلقا</w:t>
      </w:r>
      <w:r>
        <w:rPr>
          <w:rtl w:val="true"/>
        </w:rPr>
        <w:t>:</w:t>
      </w:r>
      <w:bookmarkEnd w:id="699"/>
    </w:p>
    <w:p>
      <w:pPr>
        <w:pStyle w:val="Heading6"/>
        <w:numPr>
          <w:ilvl w:val="5"/>
          <w:numId w:val="1"/>
        </w:numPr>
        <w:rPr/>
      </w:pPr>
      <w:bookmarkStart w:id="700" w:name="__RefHeading___Toc1804888_1280447820"/>
      <w:bookmarkStart w:id="701" w:name="_Toc275"/>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فليس عليه إلاّ وجوه واضحة الدفع، غير واضحة الدلالة في أكثرها</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804890_1280447820"/>
      <w:bookmarkStart w:id="703" w:name="_Toc276"/>
      <w:bookmarkEnd w:id="702"/>
      <w:r>
        <w:rPr>
          <w:rtl w:val="true"/>
        </w:rPr>
        <w:t>منها</w:t>
      </w:r>
      <w:r>
        <w:rPr>
          <w:rtl w:val="true"/>
        </w:rPr>
        <w:t xml:space="preserve">: </w:t>
      </w:r>
      <w:r>
        <w:rPr>
          <w:rtl w:val="true"/>
        </w:rPr>
        <w:t>أنّه يقبل النجاسة بالانفعال فيقبلها بالملاقاة،</w:t>
      </w:r>
      <w:bookmarkEnd w:id="70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حكاه العلاّمة في المختلف</w:t>
      </w:r>
      <w:r>
        <w:rPr>
          <w:rStyle w:val="FootnoteAnchor"/>
          <w:rtl w:val="true"/>
        </w:rPr>
        <w:footnoteReference w:id="1959"/>
      </w:r>
      <w:r>
        <w:rPr>
          <w:rFonts w:ascii="Amiri" w:hAnsi="Amiri" w:eastAsia="Amiri" w:cs="Amiri"/>
          <w:color w:val="111111"/>
          <w:sz w:val="28"/>
          <w:sz w:val="28"/>
          <w:szCs w:val="28"/>
          <w:rtl w:val="true"/>
          <w:lang w:bidi="ar-SA"/>
        </w:rPr>
        <w:t>فأجاب عنه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قياس لا نقول به،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الفارق بين حالتي الانفعال و عدمه، فإنّ الماء حالة الانفعال مقهور بالنجاسة، فيبقى الحكم و هو الامتناع من استعماله ثابتا و في حالة عدم الانفعال كان الماء قاهرا فيبقى حكم الماء و هو استعماله ثابتا، و مع قيام الفرق بطل القياس،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المشترك غير صالح للعلّية، لوجوده في </w:t>
      </w:r>
      <w:bookmarkStart w:id="704" w:name="pg16144_233455"/>
    </w:p>
    <w:p>
      <w:pPr>
        <w:pStyle w:val="BookText"/>
        <w:rPr/>
      </w:pPr>
      <w:bookmarkEnd w:id="704"/>
      <w:r>
        <w:rPr>
          <w:rFonts w:ascii="Amiri" w:hAnsi="Amiri" w:eastAsia="Amiri" w:cs="Amiri"/>
          <w:color w:val="111111"/>
          <w:sz w:val="28"/>
          <w:sz w:val="28"/>
          <w:szCs w:val="28"/>
          <w:rtl w:val="true"/>
          <w:lang w:bidi="ar-SA"/>
        </w:rPr>
        <w:t>الواقف الكثير، مع تخلّف الحكم عنه</w:t>
      </w:r>
      <w:r>
        <w:rPr>
          <w:rFonts w:eastAsia="Amiri" w:cs="Amiri" w:ascii="Amiri" w:hAnsi="Amiri"/>
          <w:color w:val="111111"/>
          <w:sz w:val="28"/>
          <w:szCs w:val="28"/>
          <w:rtl w:val="true"/>
          <w:lang w:bidi="ar-SA"/>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1804892_1280447820"/>
      <w:bookmarkStart w:id="706" w:name="_Toc277"/>
      <w:bookmarkEnd w:id="705"/>
      <w:r>
        <w:rPr>
          <w:rtl w:val="true"/>
        </w:rPr>
        <w:t>و منها</w:t>
      </w:r>
      <w:r>
        <w:rPr>
          <w:rtl w:val="true"/>
        </w:rPr>
        <w:t xml:space="preserve">: </w:t>
      </w:r>
      <w:r>
        <w:rPr>
          <w:rtl w:val="true"/>
        </w:rPr>
        <w:t>ما حكاه في المختلف أيضا من</w:t>
      </w:r>
      <w:r>
        <w:rPr>
          <w:rtl w:val="true"/>
        </w:rPr>
        <w:t xml:space="preserve">: </w:t>
      </w:r>
      <w:r>
        <w:rPr>
          <w:rtl w:val="true"/>
        </w:rPr>
        <w:t>أنّ التيمّم سائغ عند الملاقاة للنجاسة و ليس بسائغ عند وجود الماء الطاهر،</w:t>
      </w:r>
      <w:bookmarkEnd w:id="70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المختلف</w:t>
      </w:r>
      <w:r>
        <w:rPr>
          <w:rStyle w:val="FootnoteAnchor"/>
          <w:rtl w:val="true"/>
        </w:rPr>
        <w:footnoteReference w:id="1961"/>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سائغ عند الملاقاة للنجاسة و ليس بسائغ عند وجود الماء الطاهر،</w:t>
      </w:r>
    </w:p>
    <w:p>
      <w:pPr>
        <w:pStyle w:val="BookText"/>
        <w:rPr/>
      </w:pPr>
      <w:r>
        <w:rPr>
          <w:rFonts w:ascii="Amiri" w:hAnsi="Amiri" w:eastAsia="Amiri" w:cs="Amiri"/>
          <w:color w:val="111111"/>
          <w:sz w:val="28"/>
          <w:sz w:val="28"/>
          <w:szCs w:val="28"/>
          <w:rtl w:val="true"/>
          <w:lang w:bidi="ar-SA"/>
        </w:rPr>
        <w:t>فالملاقاة للنجاسة توجب التنجيس، أمّا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رواه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الطيّب، فإنّ ربّ الماء ربّ الصعيد و لا تقع في البئر، و لا تفسد على القوم ماءهم</w:t>
      </w:r>
      <w:r>
        <w:rPr>
          <w:rFonts w:eastAsia="Amiri" w:cs="Amiri" w:ascii="Amiri" w:hAnsi="Amiri"/>
          <w:color w:val="111111"/>
          <w:sz w:val="28"/>
          <w:szCs w:val="28"/>
          <w:rtl w:val="true"/>
          <w:lang w:bidi="ar-SA"/>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يقرّر الاستدلال من 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بالتيمّم، المتوقّف على تنجيس البئر بالاغتسال فيها، و بالنهي عن الوقوع و الإفساد المترتّب عليه، الّذي يراد به النجاسة، كما سبق بيانه في صحيحة محمّد بن بزيع في جملة أدلّة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الملاقاة للنجاسة لو لم تكن سببا لنجاسة البئر لما ساغ التيمّم عند انحصار سبب الاغتسال فيها، و التالي باطل للصحيحة المذكورة و 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سبب الاغتسال في مورد الرواية في ملاقاة النجاسة للبئر، كيف و هو موقوف على فرض اشتمال بدن الجنب المفروض فيها على النجاسة، و هو ليس بلازم عقلي و لا غالبي له، فإطلاق النهي عن الوقوع في البئر يشمل صورتي الاشتمال و عدمه، فيكون أعمّ، و العامّ لا يدلّ على الخاصّ، و هو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الاشتمال عليها كان متحقّقا في خصوص المورد و قد علم به الإمام عليه السّلام، فنمنع الملازمة بينه و بين تنجيس البئر، كيف و هو مبنيّ على كون الإفساد المنهيّ عنه مرادا به التنجيس، و هو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الإفساد أعمّ من التنجيس، و العامّ لا يدلّ على الخاصّ، فلعلّ المراد به هنا كون الاغتسال في البئر مستتبعا للاستقذار و تنفّر الطباع عن مائها بعده، أو لإثارة الوحل و انكداره باستلزامه لامتزاج الأجزاء الوحليّة به، أو لصيرورته مستعملا في الحدث الأكبر، و هو ممّا يراه القوم رافعا لطهوريّته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يقاس ذلك على الإفساد الوارد في صحيحة ابن بزيع المحمول على التنجيس، </w:t>
      </w:r>
      <w:bookmarkStart w:id="707" w:name="pg16144_233456"/>
    </w:p>
    <w:p>
      <w:pPr>
        <w:pStyle w:val="BookText"/>
        <w:rPr/>
      </w:pPr>
      <w:bookmarkEnd w:id="707"/>
      <w:r>
        <w:rPr>
          <w:rFonts w:ascii="Amiri" w:hAnsi="Amiri" w:eastAsia="Amiri" w:cs="Amiri"/>
          <w:color w:val="111111"/>
          <w:sz w:val="28"/>
          <w:sz w:val="28"/>
          <w:szCs w:val="28"/>
          <w:rtl w:val="true"/>
          <w:lang w:bidi="ar-SA"/>
        </w:rPr>
        <w:t>لأنّ ذلك الحمل ثمّة إنّما هو بقرينة ما تقدّم من وصف الواسعيّة، و استثناء التغيّر الموجب للتنجيس لا محالة، المقتضي لكون الحكم المنفيّ في المستثنى منه هو التنجيس أو ما يعمّه، لئلاّ يلزم عدم ارتباط الاستثناء بسابقه، للزومه كون المنفيّ في المستثنى منه شيئا و المثبت في المستثنى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علّة المنع التنجيس، لكان التعليل باللغويّة و زيادة محذور النجاسة في البدن، و عدم تأتّي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زوال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التعليل بفساد الماء على القوم، الّذي علاجه سهل لزواله بالنزح المتعدّد، إذ المفروض أنّ الماء ينجّس بمجرّد الملاقاة فلا يفيد رفعا للحدث، و مع ذلك يفيد نجاسة البدن كلّه لملاقاته الماء النجس، و احتمال طهره بالانفصال عن الماء و بقاء الماء نجسا مبنيّ على عدم اشتراط ورود الماء على المحلّ النجس في تطهيره مطلقا، حتّى في البدن إذا غسل فيما ينفعل، و لعلّه ممنوع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تسليم كون المراد به التنجيس، فكونه هو التنجيس الواقعي الّذي يراه الشارع تنجيسا في حيّز المنع، لجواز كون المراد به ما هو التنجيس بحسب اعتقاد القوم و مذهبهم الفاسد، نظرا إلى أنّ المراد بهم الفرقة الغير المحقّة القائلين بالتنجيس، حيث قد عرفت كونه مذهبا 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العلاّمة</w:t>
      </w:r>
      <w:r>
        <w:rPr>
          <w:rStyle w:val="FootnoteAnchor"/>
          <w:rtl w:val="true"/>
        </w:rPr>
        <w:footnoteReference w:id="1964"/>
      </w:r>
      <w:r>
        <w:rPr>
          <w:rFonts w:ascii="Amiri" w:hAnsi="Amiri" w:eastAsia="Amiri" w:cs="Amiri"/>
          <w:color w:val="111111"/>
          <w:sz w:val="28"/>
          <w:sz w:val="28"/>
          <w:szCs w:val="28"/>
          <w:rtl w:val="true"/>
          <w:lang w:bidi="ar-SA"/>
        </w:rPr>
        <w:t xml:space="preserve">و وافقه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الراوي كان محشورا معهم، و كانت البئر متعلّقة بهم، و هم يزعمون الملاقاة للنجاسة سببا 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يومئ إلى إرادة هذا المعنى تعبيره عليه السلام بعدم افساده على القوم مائهم، فلو كان ذلك سببا للتنجيس في متن الواقع لكان الأولى التعبير بما يخصّ الراوي، أو بما يعمّه أيضا،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 الماء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يؤدّي مؤدّاه، فتأمّل</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804894_1280447820"/>
      <w:bookmarkStart w:id="709" w:name="_Toc278"/>
      <w:bookmarkEnd w:id="708"/>
      <w:r>
        <w:rPr>
          <w:rtl w:val="true"/>
        </w:rPr>
        <w:t>و منها</w:t>
      </w:r>
      <w:r>
        <w:rPr>
          <w:rtl w:val="true"/>
        </w:rPr>
        <w:t xml:space="preserve">: </w:t>
      </w:r>
      <w:r>
        <w:rPr>
          <w:rtl w:val="true"/>
        </w:rPr>
        <w:t>جملة من الأخبار</w:t>
      </w:r>
      <w:bookmarkEnd w:id="70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كصحيحة محمّد بن إسماعيل المرويّة في التهذيبين، و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الرضا عليه السّلام عن البئر يكون في المنزل للوضوء فيقطر فيها قطرات من بول أو دم، أو يسقط فيها شيء من عذرة كالبعرة و نحوها، ما الّذي يطهّرها حتّى يحلّ الوضوء منها للصلاة؟ فوقّع عليه السّلام في كتابي بخطّه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و لو كانت طاهرة لما حسن تقريره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بن يقطين المرويّة في التهذيبين، عن أبي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يقع فيها الحمامة، و الدجاجة، و الفأرة، أو الكلب أو الهرّة،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تنزح منها دلاء، فإنّ ذلك يطهّرها إن شاء اللّه</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 و لو كانت طاهرة لكان تعليل التطهير بالنزح تعليلا لحكم سابق بعلّة لاحقة،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ينزف كلّها، فإن غلب عليه الماء فلينزف يوما إلى الليل، ثمّ يقام عليها قوم يتراوحون اثنين اثنين، فينزفون يوما إلى الليل و قد طهرت</w:t>
      </w:r>
      <w:r>
        <w:rPr>
          <w:rFonts w:eastAsia="Amiri" w:cs="Amiri" w:ascii="Amiri" w:hAnsi="Amiri"/>
          <w:color w:val="111111"/>
          <w:sz w:val="28"/>
          <w:szCs w:val="28"/>
          <w:rtl w:val="true"/>
          <w:lang w:bidi="ar-SA"/>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حسنة زرارة، و محمّد بن مسلم، و أبي بصير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التهذيبين، و في الكافي اختلاف يسير في بعض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نتوضّأ منها يجري البول قريبا منها، أ ينجّسها؟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البئر في أعلى الوادي</w:t>
      </w:r>
      <w:r>
        <w:rPr>
          <w:rFonts w:eastAsia="Amiri" w:cs="Amiri" w:ascii="Amiri" w:hAnsi="Amiri"/>
          <w:color w:val="111111"/>
          <w:sz w:val="28"/>
          <w:szCs w:val="28"/>
          <w:rtl w:val="true"/>
          <w:lang w:bidi="ar-SA"/>
        </w:rPr>
        <w:t>»</w:t>
      </w:r>
      <w:r>
        <w:rPr>
          <w:rStyle w:val="FootnoteAnchor"/>
          <w:rtl w:val="true"/>
        </w:rPr>
        <w:footnoteReference w:id="1968"/>
      </w:r>
      <w:r>
        <w:rPr>
          <w:rFonts w:ascii="Amiri" w:hAnsi="Amiri" w:eastAsia="Amiri" w:cs="Amiri"/>
          <w:color w:val="111111"/>
          <w:sz w:val="28"/>
          <w:sz w:val="28"/>
          <w:szCs w:val="28"/>
          <w:rtl w:val="true"/>
          <w:lang w:bidi="ar-SA"/>
        </w:rPr>
        <w:t>و الوادي يجري فيه البول من تحتها، فكان بينهما قدر ثلاثة أذرع، أو أربعة أذرع لم ينجّس ذلك شيء، و إن كانت البئر في أسفل الوادي و يمرّ الماء عليها، و كان بين البئر و بينه سبعة أذرع لم ينجّسها، و ما كان أقلّ من ذلك لم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مجرى بلزقها</w:t>
      </w:r>
      <w:r>
        <w:rPr>
          <w:rStyle w:val="FootnoteAnchor"/>
          <w:rtl w:val="true"/>
        </w:rPr>
        <w:footnoteReference w:id="1969"/>
      </w:r>
      <w:r>
        <w:rPr>
          <w:rFonts w:ascii="Amiri" w:hAnsi="Amiri" w:eastAsia="Amiri" w:cs="Amiri"/>
          <w:color w:val="111111"/>
          <w:sz w:val="28"/>
          <w:sz w:val="28"/>
          <w:szCs w:val="28"/>
          <w:rtl w:val="true"/>
          <w:lang w:bidi="ar-SA"/>
        </w:rPr>
        <w:t>و كان لا يلبث</w:t>
      </w:r>
      <w:r>
        <w:rPr>
          <w:rStyle w:val="FootnoteAnchor"/>
          <w:rtl w:val="true"/>
        </w:rPr>
        <w:footnoteReference w:id="1970"/>
      </w:r>
      <w:r>
        <w:rPr>
          <w:rFonts w:ascii="IRNazanin" w:hAnsi="IRNazanin" w:eastAsia="IRNazanin"/>
          <w:color w:val="111111"/>
          <w:sz w:val="28"/>
          <w:sz w:val="28"/>
          <w:szCs w:val="28"/>
          <w:rtl w:val="true"/>
          <w:lang w:bidi="fa-IR"/>
        </w:rPr>
        <w:t>على الأرض فقال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له قرار فليس به بأس، و إن استقرّ منه قليل فإنّه لا يثقب الأرض و لا قعر له حتّى يبلغ إليه، و ليس على البئر منه بأس، فتوضّأ منه، إنّما ذلك إذا استنقع كلّه</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نسخة اخرى محكيّة عقيب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 شيء من ذلك، و إن كان أقلّ من ذلك نجّسها،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البئر في أسفل الوادي، و يمرّ الماء عليها، و كان بينه و بين البئر تسعة أذرع لم ينجّس، و ما كان أقلّ من ذلك فلا تتوضّأ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مجرى البول يلصقها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السائل معتقدا بالنجاسة حتّى يلاحظ فيه التقرير و عدمه، و إن عبّر في سؤاله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الموهم لذلك، لجواز كون عدم النجاسة معهودا فيما بينه و بين المسئول، معلوما له منه عليه السّلام، و أنّ النزح إنّما يجب تعبّدا، أو أنّه مستحبّ مع جهله بوظيفة الواجب التعبّدي، أو الاستحباب في مفروض السؤال، فسأل عنه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تورية و تحفّظا عن عثور المخالف على ما هو عليه من المذهب، فأجابه الإمام عليه السّلام على وفق غرضه من السؤال، لعلمه عليه السّلام به بما أفاده التخيير في مراتب الجمع المناسب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هذا الاحتمال بملاحظة أنّ السائل كان يعدّ من وزراء الخليفة، فدواعي التقيّة بالنسبة إليه كانت متحقّقة من جهات عديدة، مع ملاحظة أنّ المسألة فيما بينه و بين المسئول حصلت بطريق المكاتبة، و من الواضح أنّ المراسلة و إن ارسلت في خفية ممّا يظفر عليه الأعداء المستور عنهم كثيرا، خصوصا في حقّ من يكثر عنده تردّد المخالفين، و هو يعاشرهم ليلا و نهارا، و لا معنى لأصالة عدم التقيّة مع قيام هذه الدواعي و قوّة احتماله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أنّه كان معتقدا بالنجاسة، و لم يكن في سؤاله مظهرا للتقيّة مريدا به التورية، و لكن الجواب الصادر عن الإمام عليه السّلام إمّا ردع له عمّا اعتقده، أو إمساك عن الردع صريحا مع التنبيه على خطئه في اعتقاده و مخالفته للواقع، و ذلك لأنّ صيغة الجمع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يراد بها الماهيّة المطلقة الّتي مفادها التخيير بين مصاديقها المترتّبة الّتي منها أقلّ مراتب الجمع، أو مراد بها الإهمال الغير الملحوظ معه شيء من الإطلاق و التقييد، أو مراد بها المرتبة المعيّنة من مراتب الجمع مع عدم إفادته التعيين للسائل أصلا، أو تأخير بيانه إلى زمان آخر، أو إحالته في معرفة التعيين </w:t>
      </w:r>
    </w:p>
    <w:p>
      <w:pPr>
        <w:pStyle w:val="BookText"/>
        <w:rPr/>
      </w:pPr>
      <w:r>
        <w:rPr>
          <w:rFonts w:ascii="Amiri" w:hAnsi="Amiri" w:eastAsia="Amiri" w:cs="Amiri"/>
          <w:color w:val="111111"/>
          <w:sz w:val="28"/>
          <w:sz w:val="28"/>
          <w:szCs w:val="28"/>
          <w:rtl w:val="true"/>
          <w:lang w:bidi="ar-SA"/>
        </w:rPr>
        <w:t>إلى ما تقرّر منه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سبيل إلى الأخير بشيء من محتملاته، إذ مبنى الفرض على أنّ السائل بعد اعتقاده بأصل النجاسة، و أنّ زواله يفتقر إلى مطهّر لا محالة، تصدّى للسؤال عن تعيين المطهّر،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يطهّرها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على تقدير إصابة اعتقاده للواقع كان في مقام الحاجة إلى البيان، و لو كانت حاجته مجرّد العلم بحكم المسألة فلا يناسبه الإجمال، و لا تأخير البيان إلى غير زمن السؤال، و لا إحالته إلى ما هو مقرّر في الخارج، لأنّ ذلك يوجب خروج السؤال منه لغوا، حيث أنّه قبل السؤال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علمه بالنجاسة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مطهّرا معيّنا في الواقع مقرّرا في الخارج، و لو كان مجرّد ذلك كافيا له في استحصال التعيين لما تعرّض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اقتران الجواب بالبيان أيضا، أو بما يرشده إلى البيان الثابت في الخارج و قد اختفى ذلك علينا،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فتعيّن حينئذ أحد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الجواب على أوّلهما يفيد ردعا للسائل عن اعتقاده، لأنّ التخيير المطلق لا يلائم العدد المعيّن الّذي يعتبره أهل القول بالنجاسة، فيرجع مفاده إلى أنّ مورد السؤال لم يقرّر له في الشريعة مطهّر معيّن، لا لأنّه يحتاج إلى مطهّر معيّن و لم يبيّن مطهّره، فإنّ ذلك محال على الإمام عليه السّلام لكونه من أنحاء الجهل بالحكم الشرعي، بل لأنّه لا يفتقر إلى مطهّر فكيف يستحصل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هناك نزحا ثابتا بعنوان الوجوب، أو الاستحباب، و أنت مخيّر فيه بين الزائد و الناقص، و لا يعقل التخيير بينهما بالقياس إلى المطهّر الّذي هو من قبيل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إمكانه في التكليفيّات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من مقولة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واقعيّة لا تتغيّر باعتبار العلم و الجهل، و القصد و الإرادة، فلا يطرأها الاختلاف بالوجوه و الاعتبارات، فالناقص إن كان صالحا للتطهير فبمجرّد حصوله يترتّب عليه الأثر، و يبقى اعتبار الزيادة في الفرد الزائد لغوا، و قصد اختيار الزائد لا يعطيها التأثير و المدخليّة في الأثر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التكليفيّات فإنّها لقبولها التغيّر و الاختلاف بالوجوه و الاعتبارات، الّتي منها قصد المكلّف و نيّته، و منها اشتمال الناقص بوصف أنّه ناقص على مصلحة مشتركة بينه </w:t>
      </w:r>
    </w:p>
    <w:p>
      <w:pPr>
        <w:pStyle w:val="BookText"/>
        <w:rPr/>
      </w:pPr>
      <w:r>
        <w:rPr>
          <w:rFonts w:ascii="Amiri" w:hAnsi="Amiri" w:eastAsia="Amiri" w:cs="Amiri"/>
          <w:color w:val="111111"/>
          <w:sz w:val="28"/>
          <w:sz w:val="28"/>
          <w:szCs w:val="28"/>
          <w:rtl w:val="true"/>
          <w:lang w:bidi="ar-SA"/>
        </w:rPr>
        <w:t>و بين الزائد بوصف أنّه زائد، أمكن اعتبار التخيير فيها بينهما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مناط الفرديّة في كلّ منهما هو القصد و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وصفي الزيادة و النقصان من حيث إنّهما متقابلان تقابل الملكة و العدم، و قد لاحظهما الشارع و وجدهما مشتملتين معا على خصوصيّة معتبرة في أفراد المخيّر فيه المتشاركتين في المصلحة الداعية إلى إيجاب التخيير، كما فصّلناه في تحقيقاتنا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شيء يتكلّف على تقدير وجوب النزح، و إلاّ فعلى تقدير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شيء من التكلّف، لأنّ مراتب الاستحباب ممّا يقبل الاختلاف في زيادة الرجحان و نقصانه إلى أن يبلغ مرتبة رجحان الوجوب، و مع بلوغه له يسقط حكم التخيير فيما بين المراتب الباقية المندرجة تحت الرجحان الملزم، و إن أمكن اختلافها في القوّة و الضعف لو فرضنا المزيّة في ذي المزيّة بنفسها كافية في الإيجاب و الإلزام، فإنّ ذلك ممّا يقضي بإيجاب التعيين، و لا يقبل التخيير بينه و بين الفاقد لتلك المزيّة 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ثانيهما</w:t>
      </w:r>
      <w:r>
        <w:rPr>
          <w:rStyle w:val="FootnoteAnchor"/>
          <w:rtl w:val="true"/>
        </w:rPr>
        <w:footnoteReference w:id="1973"/>
      </w:r>
      <w:r>
        <w:rPr>
          <w:rFonts w:ascii="Amiri" w:hAnsi="Amiri" w:eastAsia="Amiri" w:cs="Amiri"/>
          <w:color w:val="111111"/>
          <w:sz w:val="28"/>
          <w:sz w:val="28"/>
          <w:szCs w:val="28"/>
          <w:rtl w:val="true"/>
          <w:lang w:bidi="ar-SA"/>
        </w:rPr>
        <w:t xml:space="preserve">إمساك عن بيان الواقع مع التنبيه الإجمالي على أنّ السؤال الكاشف عن الاعتقاد ليس على ما ينبغي، و هو كما ترى ممّا لا يستقيم إلاّ إذا لم يكن المقام مقتضيا لبيان الواقع، فلو لا السؤال على خلاف الواقع لم يعقل مانع عن بيان تفصيله، لموافقته ما عليه العامّة الّذين يكون التقيّة في مواردها من جهتهم، و أصالة عدم الخوف 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جريانها في المقام، مع ملاحظة ما ذكر سابقا من وجود دواعيها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أصالة عدم اقتران الخطاب بما يفيد بيان التعيين، لأنّ ذلك لا يجدي نفعا إلاّ على تقدير فرض السائل سائلا عن تعيين المطهّر، و كون الجواب متضمّنا لما يحصل به الغرض</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حمل الجواب على هذا الوجه الثاني،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أهمل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لداعي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الردع القائم في خصوص مورد هذا السؤال، مؤخّرا له إلى مقام يقتضيه بتجرّده عن دواعي الخوف، فردعه بما صحّ عنه من الرواية المتقدّمة الّتي هي أوّل روايات الطهارة في وقت آخر، إذ المفروض أنّ هذه الرواية مع ما استدلّ بها </w:t>
      </w:r>
    </w:p>
    <w:p>
      <w:pPr>
        <w:pStyle w:val="BookText"/>
        <w:rPr/>
      </w:pPr>
      <w:r>
        <w:rPr>
          <w:rFonts w:ascii="Amiri" w:hAnsi="Amiri" w:eastAsia="Amiri" w:cs="Amiri"/>
          <w:color w:val="111111"/>
          <w:sz w:val="28"/>
          <w:sz w:val="28"/>
          <w:szCs w:val="28"/>
          <w:rtl w:val="true"/>
          <w:lang w:bidi="ar-SA"/>
        </w:rPr>
        <w:t>على النجاسة صحّتا معا عن ابن بزيع، فليحمل كلام الإمام عليه السّلام في إحداهما على الإهمال الناشئ عن الخوف لوجود دواعيه حين صدوره، و في اخراهما على بيان الواقع المفيد للردع، لعراء مقام صدوره عن تلك الدواعي، و مع الغضّ عن جميع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الروايتين مع صحّتهما معا، و اتّحاد الطريق فيهما متعارضتان جزما، فلا بدّ إمّا من الجمع بينهما بإرجاع إحداهما إلى الاخرى باعتبار الدلالة، أو جهة الصدور، أو مراجعة الترجيح فيما بينهما، أو إرجاعهما إلى باب التعادل المقتضي للتخيير فيما بينهما، و على كلّ تقدير كان المتعيّن العمل بالرواية القاضية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بناء العمل على رواية النجاسة بجعلها حاكمة على رواية الطهارة يستلزم فساد الاستثناء الواقع فيها، لابتناء صحّة هذا الاستثناء على اعتبار المستثنى منه ملاقاة النجاسة أعمّ من المغيّرة و غير المغيّرة، فلو أخرجت الملاقاة المغيّرة بالاستثناء و الملاقاة الغير المغيّرة برواية النجاسة لزم كذب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نظير ذلك في عموم أدلّة التغيّر المتقدّمة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في تخصيصها بين الاستثناء الوارد فيها و أدلّة انفعال القليل، لأنّ مرجع هذين التخصيصين إلى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النجاسة المغيّرة باستثناء المذكور، و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 بموجب أدلّة انفعال القليل، و لا يلزم من ذلك محذور من حيث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الكرّ،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النجاسة المغيّرة و النجاسة الغير المغيّرة، و بعد ارتكاب التقييد مع التخصيص المذكورين يبقى تحت اللفظين الكرّ و ما زاد عليه مع النجاسة الغير المغيّرة، فصدق بذلك المستثنى منه جزما، و لا يتأتّى نظير هذا الفرض في المقام، لأنّ مبنى الاستدلال برواية النجاسة على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النجاسة و لو لم يكن مغيّرة، فلا يبقى تحت المستثنى منه شيء</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قدّرنا المستثنى عامّا بالقياس إلى ملاقاة النجاسة و عدم ملاقاتها لزم فساد آخر، و هو كون السلب الوارد فيه من باب السالبة المنتفية الموضوع، و لو قدّرناه عامّا بالقياس إلى ملاقاة النجاسة و ملاقاة ما عدا النجاسة لزم فساد ثالث، و هو حمل </w:t>
      </w:r>
    </w:p>
    <w:p>
      <w:pPr>
        <w:pStyle w:val="BookText"/>
        <w:rPr/>
      </w:pPr>
      <w:r>
        <w:rPr>
          <w:rFonts w:ascii="Amiri" w:hAnsi="Amiri" w:eastAsia="Amiri" w:cs="Amiri"/>
          <w:color w:val="111111"/>
          <w:sz w:val="28"/>
          <w:sz w:val="28"/>
          <w:szCs w:val="28"/>
          <w:rtl w:val="true"/>
          <w:lang w:bidi="ar-SA"/>
        </w:rPr>
        <w:t>المستثنى منه بعد الاستثناء و التخصيص على ملاقاة غير النجاسة، فيرجع مفاده إلى أنّ ملاقاة غير النجاسة لا يوجب فساد الماء، و هو كما ترى من باب توضيح الواضحات، و هو كما ترى ممّا لا ينبغي حمل كلام الحكيم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تطرّق التصرّف إلى رواية النجاسة، إمّا بحملها على التقيّة، أو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مع ضميمة التقرير على رفع الاستقذار و تنفّر الطبع، و ليس شيء من ذلك بعيدا في مقابلة المحاذير المذكورة، مع وجود ما يقرّبهما معا،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قيام دواعي التقيّة،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أنّ الترجيح في جانب رواية الطهارة لموافقتها الأصل، و العمومات القرآنيّة القاضية بطهارة الماء بحسب الخلقة الأصليّة، و مخالفتها لمذهب العامّة، و كونها بعضا من مجموع الأخبار المتقدّمة الّتي أكثرها معتبرة فيما بين صحاح و موثّقات، فإنّ المعارضة في الحقيقة فيما بين مجموع تلك الأخبار و الأخبار المذكورة للقول بالنجاسة، و لا ريب أنّ الكثرة من المرجّحات، و ليس في جانب تلك الأخبار إلاّ الإجماعات المنقولة و الشهرة العظيمة، و هي موهونة بقوّة المخالف، و العلم باستنادها إلى أدلّة ضعيفة غير واضحة الدلالة، الغير السليمة عن قصور جهة صدورها، و لا ينبغي اعتبار الكثرة فيها بضمّ أوامر النزح الواردة في أنواع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يأتي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فرع سلامة تلك الأوامر عمّا يزاحمها ممّا يقتضي حملها على الاستحباب، و ستعرف قيام ذلك في المقام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الثالث</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من جزئيّات التعادل، لما عرفت من وجوه المرجّح من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لاختيار كلّ من المتعارضين، فلم لا يختار أخبار الطهارة، مع أنّ العمل بها عمل بالأصل، و عمومات الطهارة، و الأدلّة النافية للعسر و الحرج، و عمومات السمحة السهلة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بجميع ما قرّرناه في الوجه الأخير من البداية إلى تلك النهاية ينقدح الجواب عن الأخبار الاخر، فإنّ طريق الاستدلال بها واحد، و إن كان بعضها أظهر في الدلالة على الانفعال من البعض الآخر فيكون طريق الجواب أيضا واحد، و إن كان لا يجري بالنسبة </w:t>
      </w:r>
      <w:bookmarkStart w:id="710" w:name="pg16144_233463"/>
    </w:p>
    <w:p>
      <w:pPr>
        <w:pStyle w:val="BookText"/>
        <w:rPr/>
      </w:pPr>
      <w:bookmarkEnd w:id="710"/>
      <w:r>
        <w:rPr>
          <w:rFonts w:ascii="Amiri" w:hAnsi="Amiri" w:eastAsia="Amiri" w:cs="Amiri"/>
          <w:color w:val="111111"/>
          <w:sz w:val="28"/>
          <w:sz w:val="28"/>
          <w:szCs w:val="28"/>
          <w:rtl w:val="true"/>
          <w:lang w:bidi="ar-SA"/>
        </w:rPr>
        <w:t>إليها الوجهان الأوّلان ممّا ذكرناه بالقياس إلى الصحيحة الاولى،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العمل بأخبار الطهارة عملا بأخبار النجاسة خلاف الإنصاف، و خلاف طريقة الاجتهاد و قواعد الاستنباط، و قوانين فهم الألفاظ، و ليس لهذا القول بعد ذلك ممّا يصلح الاستناد إليه إلاّ الإجماعات المنقولة المعتضدة بالشهرة العظيمة، و الأخبار المتضمّنة للنزح كما حكي الاستدلال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بما ذكر من قيام ما يوهنها، فلا يمكن التعويل عليها، و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دلالتها على الوجوب أوّلا، لقيام ما يزاحمها في تلك الدلالة ممّا يصرفها إلى الاستحباب أوّلا</w:t>
      </w:r>
      <w:r>
        <w:rPr>
          <w:rStyle w:val="FootnoteAnchor"/>
          <w:rtl w:val="true"/>
        </w:rPr>
        <w:footnoteReference w:id="1976"/>
      </w:r>
      <w:r>
        <w:rPr>
          <w:rFonts w:ascii="Amiri" w:hAnsi="Amiri" w:eastAsia="Amiri" w:cs="Amiri"/>
          <w:color w:val="111111"/>
          <w:sz w:val="28"/>
          <w:sz w:val="28"/>
          <w:szCs w:val="28"/>
          <w:rtl w:val="true"/>
          <w:lang w:bidi="ar-SA"/>
        </w:rPr>
        <w:t xml:space="preserve">، و منع الملازمة بين وجوب النزح و النجاسة، بعد قيام قوّة احتمال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ملاحظة كون الحمل عليه طريق جمع بينها و بين أخبار الطهارة، مع كثرتها و اعتبارها سندا و قوّتها دلالة، مضافا إلى ورود النزح في أشياء طاهرة كما ستعرف</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804896_1280447820"/>
      <w:bookmarkStart w:id="712" w:name="_Toc279"/>
      <w:bookmarkEnd w:id="711"/>
      <w:r>
        <w:rPr>
          <w:rtl w:val="true"/>
        </w:rPr>
        <w:t>و أمّا القول بالفرق بين الكرّ و ما دونه</w:t>
      </w:r>
      <w:r>
        <w:rPr>
          <w:rtl w:val="true"/>
        </w:rPr>
        <w:t>:</w:t>
      </w:r>
      <w:bookmarkEnd w:id="712"/>
    </w:p>
    <w:p>
      <w:pPr>
        <w:pStyle w:val="Heading6"/>
        <w:numPr>
          <w:ilvl w:val="5"/>
          <w:numId w:val="1"/>
        </w:numPr>
        <w:rPr/>
      </w:pPr>
      <w:bookmarkStart w:id="713" w:name="__RefHeading___Toc1804898_1280447820"/>
      <w:bookmarkStart w:id="714" w:name="_Toc280"/>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فحكي الاحتجاج له بوجوه</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804900_1280447820"/>
      <w:bookmarkStart w:id="716" w:name="_Toc281"/>
      <w:bookmarkEnd w:id="715"/>
      <w:r>
        <w:rPr>
          <w:rtl w:val="true"/>
        </w:rPr>
        <w:t>أحدها</w:t>
      </w:r>
      <w:r>
        <w:rPr>
          <w:rtl w:val="true"/>
        </w:rPr>
        <w:t xml:space="preserve">: </w:t>
      </w:r>
      <w:r>
        <w:rPr>
          <w:rtl w:val="true"/>
        </w:rPr>
        <w:t>رواية الحسن بن صالح الثوري المرويّة في التهذيبين</w:t>
      </w:r>
      <w:bookmarkEnd w:id="71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1804902_1280447820"/>
      <w:bookmarkStart w:id="718" w:name="_Toc282"/>
      <w:bookmarkEnd w:id="717"/>
      <w:r>
        <w:rPr>
          <w:rtl w:val="true"/>
        </w:rPr>
        <w:t>و ثانيها</w:t>
      </w:r>
      <w:r>
        <w:rPr>
          <w:rtl w:val="true"/>
        </w:rPr>
        <w:t xml:space="preserve">: </w:t>
      </w:r>
      <w:r>
        <w:rPr>
          <w:rtl w:val="true"/>
        </w:rPr>
        <w:t>ما عن الفقه الرضوي</w:t>
      </w:r>
      <w:bookmarkEnd w:id="718"/>
    </w:p>
    <w:p>
      <w:pPr>
        <w:pStyle w:val="BookText"/>
        <w:rPr/>
      </w:pP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بئر عمق مائها ثلاثة أشبار و نصف في مثلها، فسبيلها سبيل الماء الجاري، إلاّ أن يتغيّر لونها أو ريحها</w:t>
      </w:r>
      <w:r>
        <w:rPr>
          <w:rFonts w:eastAsia="Amiri" w:cs="Amiri" w:ascii="Amiri" w:hAnsi="Amiri"/>
          <w:color w:val="111111"/>
          <w:sz w:val="28"/>
          <w:szCs w:val="28"/>
          <w:rtl w:val="true"/>
          <w:lang w:bidi="ar-SA"/>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1804904_1280447820"/>
      <w:bookmarkStart w:id="720" w:name="_Toc283"/>
      <w:bookmarkEnd w:id="719"/>
      <w:r>
        <w:rPr>
          <w:rtl w:val="true"/>
        </w:rPr>
        <w:t>و ثالثها</w:t>
      </w:r>
      <w:r>
        <w:rPr>
          <w:rtl w:val="true"/>
        </w:rPr>
        <w:t xml:space="preserve">: </w:t>
      </w:r>
      <w:r>
        <w:rPr>
          <w:rtl w:val="true"/>
        </w:rPr>
        <w:t>موثّقة عمّار</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أبي عبد اللّه عليه السّلام عن البئر يقع فيها زنبيل من عذرة يابسة أو رطبة،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1804906_1280447820"/>
      <w:bookmarkStart w:id="722" w:name="_Toc284"/>
      <w:bookmarkEnd w:id="721"/>
      <w:r>
        <w:rPr>
          <w:rtl w:val="true"/>
        </w:rPr>
        <w:t>و رابعها</w:t>
      </w:r>
      <w:r>
        <w:rPr>
          <w:rtl w:val="true"/>
        </w:rPr>
        <w:t xml:space="preserve">: </w:t>
      </w:r>
      <w:r>
        <w:rPr>
          <w:rtl w:val="true"/>
        </w:rPr>
        <w:t>عموم ما دلّ من الأخبار على اشتراط الكرّيّة في عدم الانفعال</w:t>
      </w:r>
      <w:r>
        <w:rPr>
          <w:rtl w:val="true"/>
        </w:rPr>
        <w:t>.</w:t>
      </w:r>
      <w:bookmarkEnd w:id="722"/>
    </w:p>
    <w:p>
      <w:pPr>
        <w:pStyle w:val="BookText"/>
        <w:rPr/>
      </w:pPr>
      <w:r>
        <w:rPr>
          <w:rFonts w:ascii="Amiri" w:hAnsi="Amiri" w:eastAsia="Amiri" w:cs="Amiri"/>
          <w:color w:val="111111"/>
          <w:sz w:val="28"/>
          <w:sz w:val="28"/>
          <w:szCs w:val="28"/>
          <w:rtl w:val="true"/>
          <w:lang w:bidi="ar-SA"/>
        </w:rPr>
        <w:t>و أجاب الشيخ</w:t>
      </w:r>
      <w:r>
        <w:rPr>
          <w:rStyle w:val="FootnoteAnchor"/>
          <w:rtl w:val="true"/>
        </w:rPr>
        <w:footnoteReference w:id="1979"/>
      </w:r>
      <w:r>
        <w:rPr>
          <w:rFonts w:ascii="Amiri" w:hAnsi="Amiri" w:eastAsia="Amiri" w:cs="Amiri"/>
          <w:color w:val="111111"/>
          <w:sz w:val="28"/>
          <w:sz w:val="28"/>
          <w:szCs w:val="28"/>
          <w:rtl w:val="true"/>
          <w:lang w:bidi="ar-SA"/>
        </w:rPr>
        <w:t>عن الأوّل بوجهين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بالركيّ المصنع الّذي لا يكون له مادّة بالنبع، دون الآبار </w:t>
      </w:r>
      <w:bookmarkStart w:id="723" w:name="pg16144_233464"/>
    </w:p>
    <w:p>
      <w:pPr>
        <w:pStyle w:val="BookText"/>
        <w:rPr/>
      </w:pPr>
      <w:bookmarkEnd w:id="723"/>
      <w:r>
        <w:rPr>
          <w:rFonts w:ascii="Amiri" w:hAnsi="Amiri" w:eastAsia="Amiri" w:cs="Amiri"/>
          <w:color w:val="111111"/>
          <w:sz w:val="28"/>
          <w:sz w:val="28"/>
          <w:szCs w:val="28"/>
          <w:rtl w:val="true"/>
          <w:lang w:bidi="ar-SA"/>
        </w:rPr>
        <w:t>الّتي لها مادّة، فإنّ ذلك هو الّذي يراعى فيه الاعتبار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ورد مورد التقيّة، لأنّ من الفقهاء من سوّى بين الآبار و الغدران في قلّتها و كثرتها، فيجوز أن يكون الخبر ورد موافقا لهم، و الّذي يبيّن ذلك أنّ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بتري، متروك الحديث فيما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الإشارة إليه من عدم ثبوت الحقيقة الشرعيّة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 على الكثرة العرفيّة، و هي غير معتبرة في عدم انفعال الماء إجماعا، فيجب كونها معتبرة للتحفّظ عن التغيّر، و لو سلّم فهي محتملة للتقيّة كما عرفت في كلام الشيخ، و مع هذا كلّه فهي معرض عنها الأصحاب بأجمعهم و كان القول بموجبها خرق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السند، و على فرض الاعتبار يتوهّن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عمومات الكرّ تخصّص بما عدا البئر، تحكيما لعمومات البئر عليها، و إن كان بينهما عموم من وجه حسبما عرفت سابقا مع وجه التحكيم،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الاحتجاج بذلك على وجه لا يتوجّه إليه ما ذكر من التحكيم، و هو عموم أدلّة انفعال القليل، و لا يعارضها عموم أدلّة طهارة ماء البئر لانصراف ما فيها من الإطلاق إلى ما يبلغ الكرّ، بملاحظة أنّه الغالب في الآبار، و لذا ترى أنّهم عليهم السّلام أمروا أحيانا بنزح مائة دلو و سبعين دلوا، و الكرّ، من غير تقييد بكون الماء كثيرا تعويلا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مخصّصة بما دلّ على طهارة البئر عند التغيّر، بنزحها حتّى يزول التغيّر، فلو لا اعتصام الماء لا نفعل ما يخرج منها بملاقاة المتغيّر،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النزح مطهّرا تعبّديّا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إعراض الأصحاب عن هذا القول أمكن المصير إليه، لقوّة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على مستنده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804908_1280447820"/>
      <w:bookmarkStart w:id="725" w:name="_Toc285"/>
      <w:bookmarkEnd w:id="724"/>
      <w:r>
        <w:rPr>
          <w:rtl w:val="true"/>
        </w:rPr>
        <w:t>ثمّ على المختار فهل النزح الوارد في الأخبار المستفيضة واجب أو لا؟</w:t>
      </w:r>
      <w:bookmarkEnd w:id="72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فعن المشهور القول باستحبابه، و صرّح الشيخ في التهذيبين</w:t>
      </w:r>
      <w:r>
        <w:rPr>
          <w:rStyle w:val="FootnoteAnchor"/>
          <w:rtl w:val="true"/>
        </w:rPr>
        <w:footnoteReference w:id="1980"/>
      </w:r>
      <w:r>
        <w:rPr>
          <w:rFonts w:ascii="Amiri" w:hAnsi="Amiri" w:eastAsia="Amiri" w:cs="Amiri"/>
          <w:color w:val="111111"/>
          <w:sz w:val="28"/>
          <w:sz w:val="28"/>
          <w:szCs w:val="28"/>
          <w:rtl w:val="true"/>
          <w:lang w:bidi="ar-SA"/>
        </w:rPr>
        <w:t xml:space="preserve">بوجوبه، و هو صريح </w:t>
      </w:r>
    </w:p>
    <w:p>
      <w:pPr>
        <w:pStyle w:val="BookText"/>
        <w:rPr/>
      </w:pPr>
      <w:r>
        <w:rPr>
          <w:rFonts w:ascii="Amiri" w:hAnsi="Amiri" w:eastAsia="Amiri" w:cs="Amiri"/>
          <w:color w:val="111111"/>
          <w:sz w:val="28"/>
          <w:sz w:val="28"/>
          <w:szCs w:val="28"/>
          <w:rtl w:val="true"/>
          <w:lang w:bidi="ar-SA"/>
        </w:rPr>
        <w:t>العلاّمة في المنتهى</w:t>
      </w:r>
      <w:r>
        <w:rPr>
          <w:rStyle w:val="FootnoteAnchor"/>
          <w:rtl w:val="true"/>
        </w:rPr>
        <w:footnoteReference w:id="1981"/>
      </w:r>
      <w:r>
        <w:rPr>
          <w:rFonts w:ascii="Amiri" w:hAnsi="Amiri" w:eastAsia="Amiri" w:cs="Amiri"/>
          <w:color w:val="111111"/>
          <w:sz w:val="28"/>
          <w:sz w:val="28"/>
          <w:szCs w:val="28"/>
          <w:rtl w:val="true"/>
          <w:lang w:bidi="ar-SA"/>
        </w:rPr>
        <w:t>و يشكل ذلك من حيث إنّه في الكتاب المذكور صرّح بكون النزح الوارد عن الأئمّة عليهم السّلام تعبّدا، مع تصريحه عند الفراغ عن بحث المنزوحات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يجب النيّة في النزح، و يجوز أن يتولّى النزح البالغ و غيره، و المسلم و غيره مع عدم المباشرة، للمقتضي و هو النزح السالم عن معارضة اشتراط النيّة</w:t>
      </w:r>
      <w:r>
        <w:rPr>
          <w:rFonts w:eastAsia="Amiri" w:cs="Amiri" w:ascii="Amiri" w:hAnsi="Amiri"/>
          <w:color w:val="111111"/>
          <w:sz w:val="28"/>
          <w:szCs w:val="28"/>
          <w:rtl w:val="true"/>
          <w:lang w:bidi="ar-SA"/>
        </w:rPr>
        <w:t>»</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خلاف المعنى المصطلح عليه في الواجب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التعبّد هنا ليس باعتبار المعنى المصطلح عليه،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يلتزمه المكلّف و يثبت عليه و يستقرّ في ذمّته لأجل ما فيه من وصف العبوديّة، كما صرّح به الفاضل عند الاستدلال على ما ادّعاه من عدم وجوب النيّة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الدالّ‌</w:t>
      </w:r>
      <w:r>
        <w:rPr>
          <w:rStyle w:val="FootnoteAnchor"/>
          <w:rtl w:val="true"/>
        </w:rPr>
        <w:footnoteReference w:id="1983"/>
      </w:r>
      <w:r>
        <w:rPr>
          <w:rFonts w:ascii="Amiri" w:hAnsi="Amiri" w:eastAsia="Amiri" w:cs="Amiri"/>
          <w:color w:val="111111"/>
          <w:sz w:val="28"/>
          <w:sz w:val="28"/>
          <w:szCs w:val="28"/>
          <w:rtl w:val="true"/>
          <w:lang w:bidi="ar-SA"/>
        </w:rPr>
        <w:t>على الوجوب، و لأنّه ليس في نفسه عبادة مطلوبة، بل معنى وجوب النزح عدم جواز الاستعمال إلاّ به، لأنّه مستقرّ في الذمّة فجرى مجرى إزالة النجاسات</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و قضيّة هذه العبارة كون النزح المعتبر على حدّ الواجبات التوصليّة، الّتي لا يتوقّف الخروج عنها على المباشرة النفسيّة و لا نيّة القربة، بل قضيّة العبارة أنّ إطلاق الوجوب هنا أيضا ليس على معناه المصطلح عليه، و هو الطلب الحتمي الّذي يستتبع مخالفته استحقاق الذّم و العقوبة، بمعنى أنّه ليس هناك طلب حتمي متعلّق بالنزح نفسه ليكون بنفسه مطلوبا لذاته أو للغير، بل معنى وجوبه أنّه يحرم استعمال الماء بدونه، فهو ممّا يتوقّف عليه إباحة الاستعمال و ارتفاع الحرمة، فيكون شرطا للإباحة، و هو المراد بكونه مستقرّا في الذمّة، على معنى أنّ من أراد استعمال الماء على وجه مباح و هو لا يتأتّى إلاّ بعد النزح، فذمّته مشغولة بالنزح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كونه جاريا مجرى إزالة النجاسات، أنّه نظيرها في اشتغال الذمّة المتوقّف رفعه على حصول المشتغل به في الخارج كيفما اتّفق، لا أنّه نظيرها في جميع الجهات، و إلاّ فهي مع ما ذكر واجبة بالمعنى المصطلح عليه و إن كان وجوبها للغير، و هو الأمر النفسي مشروط بالطهارة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المدّعى هنا ليس هو الوجوب النفسي التعبّدي، و لا الوجوب النفسي التوصّلي كدفن الميّت و مواراته، و لا الوجوب التوصّلي الغيري </w:t>
      </w:r>
    </w:p>
    <w:p>
      <w:pPr>
        <w:pStyle w:val="BookText"/>
        <w:rPr/>
      </w:pPr>
      <w:r>
        <w:rPr>
          <w:rFonts w:ascii="Amiri" w:hAnsi="Amiri" w:eastAsia="Amiri" w:cs="Amiri"/>
          <w:color w:val="111111"/>
          <w:sz w:val="28"/>
          <w:sz w:val="28"/>
          <w:szCs w:val="28"/>
          <w:rtl w:val="true"/>
          <w:lang w:bidi="ar-SA"/>
        </w:rPr>
        <w:t>كإزالة النجاسة عن الثوب و البدن، لأنّ كلّ ذلك يتضمّن الطلب الحتمي و هو منتف في المقام، و هذا المعنى من الوجوب قد يسمّى عندهم بالوجوب الشرطي قبالا للنفسي و الغيري، و إن كان إطلاق الوجوب عليه باعتبار المعنى المصطلح عليه مجازا، و لا يخفى أنّ الوجوب بهذا المعنى يصحّ إطلاقه على كلّ ما هو شرط لإباحة شيء محرّم، كاستئذان المالك مثلا عند إرادة التصرّف في ملكه، فإنّه محرّم بدون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المعنى يحمل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للنافلة، و لمسّ كتابة القرآن، و يجب الغسل لدخول المساجد، و قراءة العزائم و نحو ذلك، و ممّن صرّح بثبوت هذا الإطلاق و ثبوت التسمية المذكورة عندهم صاحب المدارك في أوّل الكتاب عند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من الوضوء ما كان 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قيّد الصلاة بالواجبة، لعدم وجوب الوضوء للنافلة، و إن كان شرطا فيها، إذ لا يتصوّر وجوب الشرط لمشروط غير واجب، و لأنّه يجوز تركه لا إلى بدل، و لا شيء من الواجب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 من لا تحقيق له وجوب الوضوء للنافلة، لتوجّه الذمّ إلى تاركه إذا أتى بالنافلة في تلك الحال، و هو خطأ، فإنّ الذمّ إنّما يتوجّه إلى الفعل المذكور لا الترك، و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 على هذا النوع من الندب اسم الواجب تجوّزا، لمشابهة الواجب في أنّه لا بدّ منه بالنسبة إلى المشروط، و إن كان في حدّ ذاته مندوبا، و يعبّر عنه بالوجوب الشرطي إشارة إلى علاقة التجوّز</w:t>
      </w:r>
      <w:r>
        <w:rPr>
          <w:rFonts w:eastAsia="Amiri" w:cs="Amiri" w:ascii="Amiri" w:hAnsi="Amiri"/>
          <w:color w:val="111111"/>
          <w:sz w:val="28"/>
          <w:szCs w:val="28"/>
          <w:rtl w:val="true"/>
          <w:lang w:bidi="ar-SA"/>
        </w:rPr>
        <w:t>»</w:t>
      </w:r>
      <w:r>
        <w:rPr>
          <w:rStyle w:val="FootnoteAnchor"/>
          <w:rtl w:val="true"/>
        </w:rPr>
        <w:footnoteReference w:id="19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فاستعمال الماء قبل النزح يستتبع استحقاق العقوبة بالنسبة إلى فعل المحرّم لا بالنسبة إلى ترك الواجب، و لا يخلّ ذلك في صحّة ما استعمل فيه ذلك الماء كالطهارة لمشروط بها ما لم يندرج في مسألة اجتماع الأمر و النهي المستحيل عندنا، و لا أنّه يفيد تحريما في فعل متوقّف على استعمال الماء فيه مشروط بطهارة ذلك الماء كما في المأكول، نعم يفيد تحريما في استعمال المشروب لا بعنوان أنّه شرب للماء، بل بعنوان أنّه استعمال لما لا يجوز استعماله بدون الشرط المذكور، كما أنّ أكل مال الغير حرام لا بعنوان أنّه أكل، بل بعنوان أنّه إتلاف لمال الغير بدون إذن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يستفاد هذا المعنى مع جميع ما ذكر من معنى الوجوب هنا و غيره من الشيخ في التهذيب، حيث إنّه بعد ما نقل عبارة شيخه المفيد قدّس سرّه في المقنعة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 أن ندلّ على وجوب تطهير مياه الآبار، و أنّ من استعملها قبل تطهيره يجب عليه إعادة ما استعمله فيه إن وضوءا فوضوءا، و إن غسلا فغسلا و إن كان غسل الثياب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هذا إذا كان قد غيّر ما وقع فيه من النجاسة أحد أوصاف الماء، إمّا ريحه أو طعمه أو لونه، فأمّا إذا لم يتغيّر شيئا من ذلك فلا يجب إعادة شيء من ذلك، و إن كان لا يجوز استعماله إلاّ بعد تطهيره</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ذلك بأنّه إذا كان أصل الاستعمال حراما فكيف يعقل صحّة الوضوء أو الغسل معه و إن لم يكن الماء نجسا، فإنّ اجتماع الأمر و النهي غير جائز عقلا و لو كان الأمر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قوله بالصحّة مبنيّ على تجويزه الاجتماع بينهما مطلقا، أو إذا كان الأمر غيريّا، و كيف كان فمراد أهل القول بوجوب النزح تعبّدا كونه شرطا لإباحة استعمال الماء، و هو لا يستلزم نجاسته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وقع لما اورد</w:t>
      </w:r>
      <w:r>
        <w:rPr>
          <w:rStyle w:val="FootnoteAnchor"/>
          <w:rtl w:val="true"/>
        </w:rPr>
        <w:footnoteReference w:id="1987"/>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أنّهم إن أرادوا به الوجوب الشرطي لما يشترط فيه الطهارة من الشرب، و الاستعمال في المأكول، و الطهارة به من الحدث و الخبث، بمعنى عدم جواز هذه الامور قبل النزح، فليس النجاسة إلاّ ما منع استعماله في هذه الامور، فإذا تحقّق المنع عن هذه الامور تحقّقت النجاسة، و يلزمها نجاسة الملاقي له، فلا يرد أنّ الثمرة تظهر في عدم تنجّس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الوجوب النفسي ففي غاية البعد عن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1988"/>
      </w:r>
      <w:r>
        <w:rPr>
          <w:rFonts w:ascii="Amiri" w:hAnsi="Amiri" w:eastAsia="Amiri" w:cs="Amiri"/>
          <w:color w:val="111111"/>
          <w:sz w:val="28"/>
          <w:sz w:val="28"/>
          <w:szCs w:val="28"/>
          <w:rtl w:val="true"/>
          <w:lang w:bidi="ar-SA"/>
        </w:rPr>
        <w:t>النجاسة وصف وجوديّ هو منشأ للمنع عن الامور المذكورة لا أنّها نفس المنع عنها، و لا ريب أنّ منشأ المنع أعمّ من النجاسة، و لذا ترى المنع عنها ثابتا في الماء المغصوب أيضا،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نجاسة، فالثمرة المذكورة في محلّها، و لعلّ الأمر بالتأمّل في كلامه إشارة إلى المعنى الّذي قرّرناه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 في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قولكم بوجوب النزح بالمعنى المذكور نشأ عن </w:t>
      </w:r>
    </w:p>
    <w:p>
      <w:pPr>
        <w:pStyle w:val="BookText"/>
        <w:rPr/>
      </w:pPr>
      <w:r>
        <w:rPr>
          <w:rFonts w:ascii="Amiri" w:hAnsi="Amiri" w:eastAsia="Amiri" w:cs="Amiri"/>
          <w:color w:val="111111"/>
          <w:sz w:val="28"/>
          <w:sz w:val="28"/>
          <w:szCs w:val="28"/>
          <w:rtl w:val="true"/>
          <w:lang w:bidi="ar-SA"/>
        </w:rPr>
        <w:t>توهّم كونه طريق جمع بين الروايات القاضية بطهارة ماء البئر الملاقي للنجاسة و الأخبار الآمرة بالنزح، فالقول بالطهارة مع وجوب النزح تعبّدا جمع بينهما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الوجوب عبارة عن 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حمل الأوامر و الجمل الخبريّة الواردتين في أخبار النزح على كونها للإرشاد إلى الواقع، المفيد لشرطيّة النزح لجواز الاستعمال، المستلزمة لحرمته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 إمكان حملها على الاستحباب الغير المستلزم لحرمة الاستعمال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اختيار الأوّل دون الثاني لا بدّ له من شاهد خارجي، و أيّ شيء في المقام ينهض شاهدا بذلك، مع ما فيه من استلزامه حرمة الاستعمال الّتي هي مخالفة للأصل، إذ المفروض أنّها لم تثبت بدليل منفصل عن تلك الأخبار، و إنّما تثبت بعد حمل أوامرها مع جملها الخبريّة على بيان الشرطيّة من باب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ترجيح الثاني عليه بشهادة نفس الأخبار القاضية بالطهارة، بملاحظة ما في أكثرها من إطلاق نفي البأس، و لا ريب أنّ وجوب النزح بالمعنى المصطلح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به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الاستعمال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يلزم على هذا القول من تجويز المعصوم عليه السّلام لاجتماع الأمر و النهي في الأخبار النافية للبأس عن استعمال الماء المفروض قبل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الوضوء و الغسل بهذا الماء قبله كما هو مقالتهم المتقدّمة، إذ مبنى ذلك على جعل إطلاق نفي البأس الوارد فيها شاملا لصورتي العلم بملاقاة النجاسة و الجهل بها إلى ما بعد الاستعمال، و إن اختصّ موردها بصورة الجهل كما لا يخفى، نظرا إلى أنّ خصوصيّة مورد السؤال لا تصلح مخصّصة لعموم الجواب أو إطلاقه، فيرجع مفاد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بالماء المفروض، أو باستعماله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بأس به سواء كان في صورة العلم أو الجهل، و لا ريب أنّ نفي البأس عنه في صورة العلم مع قصد صحّة العمل تصريح بجواز اجتماع الأمر و النهي، و هو على خلاف مقتضي العقل القاطع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تناول الجواب لصورة العلم أيضا، بل إطلاقه ينزّل إلى مورد السؤال كما هو الأظهر، بل لا إطلاق في جملة منها لصراحتها في صورة الجهل حين الاستعمال كما لا يخفى، فنفي البأس عن الاستعمال المذكور في صورة الجهل المتضمّن </w:t>
      </w:r>
    </w:p>
    <w:p>
      <w:pPr>
        <w:pStyle w:val="BookText"/>
        <w:rPr/>
      </w:pPr>
      <w:r>
        <w:rPr>
          <w:rFonts w:ascii="Amiri" w:hAnsi="Amiri" w:eastAsia="Amiri" w:cs="Amiri"/>
          <w:color w:val="111111"/>
          <w:sz w:val="28"/>
          <w:sz w:val="28"/>
          <w:szCs w:val="28"/>
          <w:rtl w:val="true"/>
          <w:lang w:bidi="ar-SA"/>
        </w:rPr>
        <w:t>لتصحيح العمل لا ينافي حرمته في صورة التذكّر، المستلزمة لبطلان العمل، حذرا عن اجتماع الأمر و النهي، فصحّة العمل في صورة التذكّر لا تستفاد من تلك الأخبار، فهي ساكتة عن إفادة استحباب النزح كما هي ساكتة عن إفادة حرمة الاستعمال قبله، فحينئذ لا بدّ في تعيين أحد المعنيين من ملاحظة روايات النزح و تحصيل الشاهد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هذا التنزيل، بل جملة من تلك الأخبار صريحة في صورة العلم، كصحيحة عليّ بن جعفر</w:t>
      </w:r>
      <w:r>
        <w:rPr>
          <w:rStyle w:val="FootnoteAnchor"/>
          <w:rtl w:val="true"/>
        </w:rPr>
        <w:footnoteReference w:id="1989"/>
      </w:r>
      <w:r>
        <w:rPr>
          <w:rFonts w:ascii="Amiri" w:hAnsi="Amiri" w:eastAsia="Amiri" w:cs="Amiri"/>
          <w:color w:val="111111"/>
          <w:sz w:val="28"/>
          <w:sz w:val="28"/>
          <w:szCs w:val="28"/>
          <w:rtl w:val="true"/>
          <w:lang w:bidi="ar-SA"/>
        </w:rPr>
        <w:t>، و صحيحة زرارة</w:t>
      </w:r>
      <w:r>
        <w:rPr>
          <w:rStyle w:val="FootnoteAnchor"/>
          <w:rtl w:val="true"/>
        </w:rPr>
        <w:footnoteReference w:id="1990"/>
      </w:r>
      <w:r>
        <w:rPr>
          <w:rFonts w:ascii="Amiri" w:hAnsi="Amiri" w:eastAsia="Amiri" w:cs="Amiri"/>
          <w:color w:val="111111"/>
          <w:sz w:val="28"/>
          <w:sz w:val="28"/>
          <w:szCs w:val="28"/>
          <w:rtl w:val="true"/>
          <w:lang w:bidi="ar-SA"/>
        </w:rPr>
        <w:t>، و مرسلة عليّ بن حديد</w:t>
      </w:r>
      <w:r>
        <w:rPr>
          <w:rStyle w:val="FootnoteAnchor"/>
          <w:rtl w:val="true"/>
        </w:rPr>
        <w:footnoteReference w:id="1991"/>
      </w:r>
      <w:r>
        <w:rPr>
          <w:rFonts w:ascii="Amiri" w:hAnsi="Amiri" w:eastAsia="Amiri" w:cs="Amiri"/>
          <w:color w:val="111111"/>
          <w:sz w:val="28"/>
          <w:sz w:val="28"/>
          <w:szCs w:val="28"/>
          <w:rtl w:val="true"/>
          <w:lang w:bidi="ar-SA"/>
        </w:rPr>
        <w:t>، و جملة اخرى مطلقة بالقياس إلى صورتي العلم و الجهل، كصحيحة معاوية بن عمّار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 لا تعاد الصلاة ممّا وقع في البئر، إلاّ أن ينتن</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 و موثّقة زيد بن أبي اسامة الشحّام</w:t>
      </w:r>
      <w:r>
        <w:rPr>
          <w:rStyle w:val="FootnoteAnchor"/>
          <w:rtl w:val="true"/>
        </w:rPr>
        <w:footnoteReference w:id="1993"/>
      </w:r>
      <w:r>
        <w:rPr>
          <w:rFonts w:ascii="Amiri" w:hAnsi="Amiri" w:eastAsia="Amiri" w:cs="Amiri"/>
          <w:color w:val="111111"/>
          <w:sz w:val="28"/>
          <w:sz w:val="28"/>
          <w:szCs w:val="28"/>
          <w:rtl w:val="true"/>
          <w:lang w:bidi="ar-SA"/>
        </w:rPr>
        <w:t>، و لا ريب أنّه لا داعي فيها إلى التنزيل المذكور، فإذا كانت هي بصراحتها أو إطلاقها شاملة لصورة العلم بالملاقاة مع تضمّنها لصحّة الوضوء و نحوه، فكما لا يمكن القول في مواردها بالنجاسة، فكذلك لا يمكن القول بحرمة الاستعمال حذرا عن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روايات النزح مخصّصة لها بما بعد النزح،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موجب لحمل كلام المعصوم عليه السّلام على ما لا حاجة له إلى البيان، من حيث إنّ الصحّة و عدم البأس ممّا يعلمه كلّ أحد حتّى على تقدير النجاسة الّتي ترتفع بالنزح، أنّ أخبار النزح بناء على صلوحها للتخصيص لا تنافي كون اعتبار النزح لأجل التطهير و إزالة النجاسة، و ليست بظاهرة الدلالة على أنّه لأجل حرمة الاستعمال قبله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الطهارة بأدلّة اخرى خارجة عنها، فكما أنّها محتملة لإفادة شرطيّة النزح المستلزمة لحرمة الاستعمال بدونه، فكذلك محتملة لاستحبابه، فلا تنافي بينها و بين أخبار الطهارة القاضية بصحّة العمل بدون النزح، و معه لا تصلح مخصّصة، و حيث إنّ هذا الاحتمال قائم فيها مع الاحتمال الأوّل فلم يثبت فيها عنوان المخصّصيّة، </w:t>
      </w:r>
    </w:p>
    <w:p>
      <w:pPr>
        <w:pStyle w:val="BookText"/>
        <w:rPr/>
      </w:pPr>
      <w:r>
        <w:rPr>
          <w:rFonts w:ascii="Amiri" w:hAnsi="Amiri" w:eastAsia="Amiri" w:cs="Amiri"/>
          <w:color w:val="111111"/>
          <w:sz w:val="28"/>
          <w:sz w:val="28"/>
          <w:szCs w:val="28"/>
          <w:rtl w:val="true"/>
          <w:lang w:bidi="ar-SA"/>
        </w:rPr>
        <w:t>لأنّه مبنيّ على الاحتمال الأوّل و المفروض كونه مشغولا بالمعارض المساوي، إن لم نقل بكونه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هذه الأخبار متعارضة بنفسها، لتضمّنها باختلافها تقديرات متعدّدة لنجاسة واحدة، بحيث لا يمكن الأخذ بكلّ من هذه التقديرات بعنوان أنّه شرط، نظرا إلى أنّه أمر واقعي و الواقع لا يقبل الاختلاف، مع ما في أكثرها من القصور في أسانيدها، فلا تنهض دليلا على إثبات الحكم المخالف للأصل، فلا بدّ من حملها على الاستحباب، لأنّه الّذي يتسامح في أدلّته، و هو الّذي لا يقبل الاختلاف بحسب مراتبه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النزح إن اعتبر مطهّرا للبئر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بالنجاسة، أو في صورة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سقوطه بقيام غيره مقامه ممّا هو مطهّر لغيرها، من إلقاء الكرّ، أو إجراء الماء الجاري عليها، أو وقوع المطر عليها، نوع كلام بين الأصحاب يأتي التعرّض له عند البحث عن المنزوحات، و أمّا على المختار من استحباب النزح، و على القول بوجوبه تعبّدا، فمقتضى القاعدة عدم سقوطه بالغير ما دام صدق اسم البئر باقيا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ذلك يرجع ما فصّله بعضهم من أنّ النزح لو كان للنجاسة فالظاهر حينئذ سقوطه، و إن كان للتعبّد فإن حصل الامتزاج بالجاري أو الكثير فالظاهر أيضا السقوط، لأنّ النزح إنّما تعلّق به في حال البقاء على حقيقته، و عند الاستهلاك يصير في حكم المعدوم، و إن حصل الاتّصال فالظاهر عدم السقوط لعدم خروجه عن حقيقته</w:t>
      </w:r>
      <w:r>
        <w:rPr>
          <w:rFonts w:eastAsia="Amiri" w:cs="Amiri" w:ascii="Amiri" w:hAnsi="Amiri"/>
          <w:color w:val="111111"/>
          <w:sz w:val="28"/>
          <w:szCs w:val="28"/>
          <w:rtl w:val="true"/>
          <w:lang w:bidi="ar-SA"/>
        </w:rPr>
        <w:t>.</w:t>
      </w:r>
      <w:bookmarkStart w:id="726" w:name="pg16144_233471"/>
    </w:p>
    <w:p>
      <w:pPr>
        <w:pStyle w:val="Heading3"/>
        <w:numPr>
          <w:ilvl w:val="2"/>
          <w:numId w:val="1"/>
        </w:numPr>
        <w:rPr/>
      </w:pPr>
      <w:bookmarkStart w:id="727" w:name="__RefHeading___Toc1804910_1280447820"/>
      <w:bookmarkStart w:id="728" w:name="_Toc286"/>
      <w:bookmarkEnd w:id="726"/>
      <w:bookmarkEnd w:id="727"/>
      <w:r>
        <w:rPr>
          <w:rtl w:val="true"/>
        </w:rPr>
        <w:t xml:space="preserve">ينبوع </w:t>
      </w:r>
      <w:r>
        <w:rPr>
          <w:rtl w:val="true"/>
        </w:rPr>
        <w:t>[</w:t>
      </w:r>
      <w:r>
        <w:rPr>
          <w:rtl w:val="true"/>
        </w:rPr>
        <w:t>في عدم جواز استعمال الماء النجس</w:t>
      </w:r>
      <w:r>
        <w:rPr>
          <w:rtl w:val="true"/>
        </w:rPr>
        <w:t>]</w:t>
      </w:r>
      <w:bookmarkEnd w:id="728"/>
    </w:p>
    <w:p>
      <w:pPr>
        <w:pStyle w:val="Heading4"/>
        <w:numPr>
          <w:ilvl w:val="3"/>
          <w:numId w:val="1"/>
        </w:numPr>
        <w:rPr/>
      </w:pPr>
      <w:bookmarkStart w:id="729" w:name="__RefHeading___Toc1804912_1280447820"/>
      <w:bookmarkStart w:id="730" w:name="_Toc287"/>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 xml:space="preserve">كلّ ماء حكم بنجاسته شرعا من جهة التغيّر، أو الملاقاة للنجاسة، أو قيام أمارة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استعماله في الطهارة حدثا و خبثا، و في مشروط بالطهارة غير الطهارة أكلا و شربا، شرعا إلاّ عند الضرورة، و يتوقّف الجواز على تطهيره بما هو مطهّر له شرعا، و حيث إنّ العنوان مشتمل على أحكام فلا بدّ من إيراد البحث في مقاصد</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804914_1280447820"/>
      <w:bookmarkStart w:id="732" w:name="_Toc288"/>
      <w:bookmarkEnd w:id="731"/>
      <w:r>
        <w:rPr>
          <w:rtl w:val="true"/>
        </w:rPr>
        <w:t>المقصد الأوّل</w:t>
      </w:r>
      <w:r>
        <w:rPr>
          <w:rtl w:val="true"/>
        </w:rPr>
        <w:t xml:space="preserve">: </w:t>
      </w:r>
      <w:r>
        <w:rPr>
          <w:rtl w:val="true"/>
        </w:rPr>
        <w:t>في عدم جواز استعماله في الطهارة و لو كانت عن خبث مطلقا،</w:t>
      </w:r>
      <w:bookmarkEnd w:id="732"/>
    </w:p>
    <w:p>
      <w:pPr>
        <w:pStyle w:val="BookText"/>
        <w:rPr/>
      </w:pPr>
      <w:r>
        <w:rPr>
          <w:rFonts w:ascii="Amiri" w:hAnsi="Amiri" w:eastAsia="Amiri" w:cs="Amiri"/>
          <w:color w:val="111111"/>
          <w:sz w:val="28"/>
          <w:sz w:val="28"/>
          <w:szCs w:val="28"/>
          <w:rtl w:val="true"/>
          <w:lang w:bidi="ar-SA"/>
        </w:rPr>
        <w:t>و الظاهر أنّ هذا الحكم إجماعيّ في الجملة، و فتاوي الفقهاء متظافرة عليه،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الماء النجس في رفع الحدث، و لا في إزالة النجاسة</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حكم بنجاسة الماء لم يجز استعماله في الطهارة مطلقا، و لا في الأكل و الشرب إلاّ عند الضرورة</w:t>
      </w:r>
      <w:r>
        <w:rPr>
          <w:rFonts w:eastAsia="Amiri" w:cs="Amiri" w:ascii="Amiri" w:hAnsi="Amiri"/>
          <w:color w:val="111111"/>
          <w:sz w:val="28"/>
          <w:szCs w:val="28"/>
          <w:rtl w:val="true"/>
          <w:lang w:bidi="ar-SA"/>
        </w:rPr>
        <w:t>»</w:t>
      </w:r>
      <w:r>
        <w:rPr>
          <w:rStyle w:val="FootnoteAnchor"/>
          <w:rtl w:val="true"/>
        </w:rPr>
        <w:footnoteReference w:id="1995"/>
      </w:r>
      <w:r>
        <w:rPr>
          <w:rFonts w:ascii="Amiri" w:hAnsi="Amiri" w:eastAsia="Amiri" w:cs="Amiri"/>
          <w:color w:val="111111"/>
          <w:sz w:val="28"/>
          <w:sz w:val="28"/>
          <w:szCs w:val="28"/>
          <w:rtl w:val="true"/>
          <w:lang w:bidi="ar-SA"/>
        </w:rPr>
        <w:t>و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حكم بنجاسته لم يجز استعماله، و لو اضطرّ معه إلى الطهارة يتيمّم</w:t>
      </w:r>
      <w:r>
        <w:rPr>
          <w:rFonts w:eastAsia="Amiri" w:cs="Amiri" w:ascii="Amiri" w:hAnsi="Amiri"/>
          <w:color w:val="111111"/>
          <w:sz w:val="28"/>
          <w:szCs w:val="28"/>
          <w:rtl w:val="true"/>
          <w:lang w:bidi="ar-SA"/>
        </w:rPr>
        <w:t>»</w:t>
      </w:r>
      <w:r>
        <w:rPr>
          <w:rStyle w:val="FootnoteAnchor"/>
          <w:rtl w:val="true"/>
        </w:rPr>
        <w:footnoteReference w:id="1996"/>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استعمال الماء النجس، و المشتبه به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شربه للضرورة</w:t>
      </w:r>
      <w:r>
        <w:rPr>
          <w:rFonts w:eastAsia="Amiri" w:cs="Amiri" w:ascii="Amiri" w:hAnsi="Amiri"/>
          <w:color w:val="111111"/>
          <w:sz w:val="28"/>
          <w:szCs w:val="28"/>
          <w:rtl w:val="true"/>
          <w:lang w:bidi="ar-SA"/>
        </w:rPr>
        <w:t>»</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مفهومه عدم جواز الشرب لغير الضرورة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عليه ناقلا حكايته عن النهاية</w:t>
      </w:r>
      <w:r>
        <w:rPr>
          <w:rStyle w:val="FootnoteAnchor"/>
          <w:rtl w:val="true"/>
        </w:rPr>
        <w:footnoteReference w:id="1998"/>
      </w:r>
      <w:r>
        <w:rPr>
          <w:rFonts w:ascii="Amiri" w:hAnsi="Amiri" w:eastAsia="Amiri" w:cs="Amiri"/>
          <w:color w:val="111111"/>
          <w:sz w:val="28"/>
          <w:sz w:val="28"/>
          <w:szCs w:val="28"/>
          <w:rtl w:val="true"/>
          <w:lang w:bidi="ar-SA"/>
        </w:rPr>
        <w:t>أيضا، مع التصريح بعدم الفرق بين حالتي الاختيار و الاضطرار</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 كما تشير إليه قيد الإطلاق في عبارة الشرائع، و صرّح بالإجماع أيضا في الرياض</w:t>
      </w:r>
      <w:r>
        <w:rPr>
          <w:rStyle w:val="FootnoteAnchor"/>
          <w:rtl w:val="true"/>
        </w:rPr>
        <w:footnoteReference w:id="2000"/>
      </w:r>
      <w:r>
        <w:rPr>
          <w:rFonts w:ascii="Amiri" w:hAnsi="Amiri" w:eastAsia="Amiri" w:cs="Amiri"/>
          <w:color w:val="111111"/>
          <w:sz w:val="28"/>
          <w:sz w:val="28"/>
          <w:szCs w:val="28"/>
          <w:rtl w:val="true"/>
          <w:lang w:bidi="ar-SA"/>
        </w:rPr>
        <w:t>و في الحدائق</w:t>
      </w:r>
      <w:r>
        <w:rPr>
          <w:rStyle w:val="FootnoteAnchor"/>
          <w:rtl w:val="true"/>
        </w:rPr>
        <w:footnoteReference w:id="2001"/>
      </w:r>
      <w:r>
        <w:rPr>
          <w:rFonts w:ascii="Amiri" w:hAnsi="Amiri" w:eastAsia="Amiri" w:cs="Amiri"/>
          <w:color w:val="111111"/>
          <w:sz w:val="28"/>
          <w:sz w:val="28"/>
          <w:szCs w:val="28"/>
          <w:rtl w:val="true"/>
          <w:lang w:bidi="ar-SA"/>
        </w:rPr>
        <w:t>نفى الخلاف، و في شرح الدروس للخوانساري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إجماعي</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 xml:space="preserve">، و حكي إطلاق المنع في الطهارة </w:t>
      </w:r>
    </w:p>
    <w:p>
      <w:pPr>
        <w:pStyle w:val="BookText"/>
        <w:rPr/>
      </w:pPr>
      <w:r>
        <w:rPr>
          <w:rFonts w:ascii="Amiri" w:hAnsi="Amiri" w:eastAsia="Amiri" w:cs="Amiri"/>
          <w:color w:val="111111"/>
          <w:sz w:val="28"/>
          <w:sz w:val="28"/>
          <w:szCs w:val="28"/>
          <w:rtl w:val="true"/>
          <w:lang w:bidi="ar-SA"/>
        </w:rPr>
        <w:t>و اختصاصه بالاختيار في الشرب، كما في المناهل</w:t>
      </w:r>
      <w:r>
        <w:rPr>
          <w:rStyle w:val="FootnoteAnchor"/>
          <w:rtl w:val="true"/>
        </w:rPr>
        <w:footnoteReference w:id="2003"/>
      </w:r>
      <w:r>
        <w:rPr>
          <w:rFonts w:ascii="Amiri" w:hAnsi="Amiri" w:eastAsia="Amiri" w:cs="Amiri"/>
          <w:color w:val="111111"/>
          <w:sz w:val="28"/>
          <w:sz w:val="28"/>
          <w:szCs w:val="28"/>
          <w:rtl w:val="true"/>
          <w:lang w:bidi="ar-SA"/>
        </w:rPr>
        <w:t>عن النهاية</w:t>
      </w:r>
      <w:r>
        <w:rPr>
          <w:rStyle w:val="FootnoteAnchor"/>
          <w:rtl w:val="true"/>
        </w:rPr>
        <w:footnoteReference w:id="2004"/>
      </w:r>
      <w:r>
        <w:rPr>
          <w:rFonts w:ascii="IRNazanin" w:hAnsi="IRNazanin" w:eastAsia="IRNazanin"/>
          <w:color w:val="111111"/>
          <w:sz w:val="28"/>
          <w:sz w:val="28"/>
          <w:szCs w:val="28"/>
          <w:rtl w:val="true"/>
          <w:lang w:bidi="fa-IR"/>
        </w:rPr>
        <w:t>، و السرائر</w:t>
      </w:r>
      <w:r>
        <w:rPr>
          <w:rStyle w:val="FootnoteAnchor"/>
          <w:rtl w:val="true"/>
        </w:rPr>
        <w:footnoteReference w:id="2005"/>
      </w:r>
      <w:r>
        <w:rPr>
          <w:rFonts w:ascii="IRNazanin" w:hAnsi="IRNazanin" w:eastAsia="IRNazanin"/>
          <w:color w:val="111111"/>
          <w:sz w:val="28"/>
          <w:sz w:val="28"/>
          <w:szCs w:val="28"/>
          <w:rtl w:val="true"/>
          <w:lang w:bidi="fa-IR"/>
        </w:rPr>
        <w:t>، و المعتبر</w:t>
      </w:r>
      <w:r>
        <w:rPr>
          <w:rStyle w:val="FootnoteAnchor"/>
          <w:rtl w:val="true"/>
        </w:rPr>
        <w:footnoteReference w:id="2006"/>
      </w:r>
      <w:r>
        <w:rPr>
          <w:rFonts w:ascii="IRNazanin" w:hAnsi="IRNazanin" w:eastAsia="IRNazanin"/>
          <w:color w:val="111111"/>
          <w:sz w:val="28"/>
          <w:sz w:val="28"/>
          <w:szCs w:val="28"/>
          <w:rtl w:val="true"/>
          <w:lang w:bidi="fa-IR"/>
        </w:rPr>
        <w:t>، و القواعد</w:t>
      </w:r>
      <w:r>
        <w:rPr>
          <w:rStyle w:val="FootnoteAnchor"/>
          <w:rtl w:val="true"/>
        </w:rPr>
        <w:footnoteReference w:id="2007"/>
      </w:r>
      <w:r>
        <w:rPr>
          <w:rFonts w:ascii="Amiri" w:hAnsi="Amiri" w:eastAsia="Amiri" w:cs="Amiri"/>
          <w:color w:val="111111"/>
          <w:sz w:val="28"/>
          <w:sz w:val="28"/>
          <w:szCs w:val="28"/>
          <w:rtl w:val="true"/>
          <w:lang w:bidi="ar-SA"/>
        </w:rPr>
        <w:t>، و التحرير</w:t>
      </w:r>
      <w:r>
        <w:rPr>
          <w:rStyle w:val="FootnoteAnchor"/>
          <w:rtl w:val="true"/>
        </w:rPr>
        <w:footnoteReference w:id="2008"/>
      </w:r>
      <w:r>
        <w:rPr>
          <w:rFonts w:ascii="Amiri" w:hAnsi="Amiri" w:eastAsia="Amiri" w:cs="Amiri"/>
          <w:color w:val="111111"/>
          <w:sz w:val="28"/>
          <w:sz w:val="28"/>
          <w:szCs w:val="28"/>
          <w:rtl w:val="true"/>
          <w:lang w:bidi="ar-SA"/>
        </w:rPr>
        <w:t>، و الذكرى</w:t>
      </w:r>
      <w:r>
        <w:rPr>
          <w:rStyle w:val="FootnoteAnchor"/>
          <w:rtl w:val="true"/>
        </w:rPr>
        <w:footnoteReference w:id="2009"/>
      </w:r>
      <w:r>
        <w:rPr>
          <w:rFonts w:ascii="Amiri" w:hAnsi="Amiri" w:eastAsia="Amiri" w:cs="Amiri"/>
          <w:color w:val="111111"/>
          <w:sz w:val="28"/>
          <w:sz w:val="28"/>
          <w:szCs w:val="28"/>
          <w:rtl w:val="true"/>
          <w:lang w:bidi="ar-SA"/>
        </w:rPr>
        <w:t>، و الجعفريّة</w:t>
      </w:r>
      <w:r>
        <w:rPr>
          <w:rStyle w:val="FootnoteAnchor"/>
          <w:rtl w:val="true"/>
        </w:rPr>
        <w:footnoteReference w:id="2010"/>
      </w:r>
      <w:r>
        <w:rPr>
          <w:rFonts w:ascii="Amiri" w:hAnsi="Amiri" w:eastAsia="Amiri" w:cs="Amiri"/>
          <w:color w:val="111111"/>
          <w:sz w:val="28"/>
          <w:sz w:val="28"/>
          <w:szCs w:val="28"/>
          <w:rtl w:val="true"/>
          <w:lang w:bidi="ar-SA"/>
        </w:rPr>
        <w:t>، و مجمع الفائدة</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تقرّب إلى اللّه تعالى، و هو لا يحصل بالنجاسة، و لا يخفى ما فيه من المصادرة، فإنّ عدم حصول القرب بتلك الطهارة مبنيّ على ثبوت المنع الشرعي عن استعمال هذا الماء فيها، و هو لا يثبت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w:t>
      </w:r>
      <w:r>
        <w:rPr>
          <w:rStyle w:val="FootnoteAnchor"/>
          <w:rtl w:val="true"/>
        </w:rPr>
        <w:footnoteReference w:id="2012"/>
      </w:r>
      <w:r>
        <w:rPr>
          <w:rFonts w:ascii="Amiri" w:hAnsi="Amiri" w:eastAsia="Amiri" w:cs="Amiri"/>
          <w:color w:val="111111"/>
          <w:sz w:val="28"/>
          <w:sz w:val="28"/>
          <w:szCs w:val="28"/>
          <w:rtl w:val="true"/>
          <w:lang w:bidi="ar-SA"/>
        </w:rPr>
        <w:t>الاستدلال عليه بالنسبة إلى إزالة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الماء منفعل بها، فكيف يعدمها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رفع الحدث بصحيحتي حريز، و الفضل المتقدّمتين في أخبار انفعال القليل، ففي أولاهما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و تغيّر الطعم فلا توضّأ منه، و لا تشرب</w:t>
      </w:r>
      <w:r>
        <w:rPr>
          <w:rFonts w:eastAsia="Amiri" w:cs="Amiri" w:ascii="Amiri" w:hAnsi="Amiri"/>
          <w:color w:val="111111"/>
          <w:sz w:val="28"/>
          <w:szCs w:val="28"/>
          <w:rtl w:val="true"/>
          <w:lang w:bidi="ar-SA"/>
        </w:rPr>
        <w:t>»</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أكثر ما تقدّم من روايات الباب المذكور، و أصل الحكم واضح لا حاجة له إلى الاستدلال، لتظافر الأخبار المفيدة للقطع باشتراط الطهارة في ماء الوضوء و الغسل، مع قضاء العقل القاطع بعدم صلوح النجس لرفع النجاسة، بل هو لا يفيد إلاّ تأكّد نجاسة المحلّ، و قضيّة ذلك عدم كون استعماله فيها مجزيا، فعدم الإجزاء ممّا لا إشكال فيه، بل الإشكال في أنّه هل يحرم بحيث يترتّب عليه الإثم و استحقاق العقوبة؟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منشؤه أنّ فتاوي الأصحاب تضمّنت في عناوين المسألة للتعبير عن الحكم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الآراء الناظرة فيها في المعنى المراد من اللفظين، لاحتمالهما إرادة مجرّد البطلان و عدم الإجزاء، أو المعنى المتعارف المستتبع للإثم، 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بعدم الجواز هنا معناه المتعارف و هو التحريم،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في </w:t>
      </w:r>
    </w:p>
    <w:p>
      <w:pPr>
        <w:pStyle w:val="BookText"/>
        <w:rPr/>
      </w:pP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استعماله فيهما محرّم قطعا</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 و عزى ذلك إلى المحقّق الثاني في شرح القواعد</w:t>
      </w:r>
      <w:r>
        <w:rPr>
          <w:rStyle w:val="FootnoteAnchor"/>
          <w:rtl w:val="true"/>
        </w:rPr>
        <w:footnoteReference w:id="2016"/>
      </w:r>
      <w:r>
        <w:rPr>
          <w:rFonts w:ascii="Amiri" w:hAnsi="Amiri" w:eastAsia="Amiri" w:cs="Amiri"/>
          <w:color w:val="111111"/>
          <w:sz w:val="28"/>
          <w:sz w:val="28"/>
          <w:szCs w:val="28"/>
          <w:rtl w:val="true"/>
          <w:lang w:bidi="ar-SA"/>
        </w:rPr>
        <w:t>، و ثاني الشهيدين في الروضة</w:t>
      </w:r>
      <w:r>
        <w:rPr>
          <w:rStyle w:val="FootnoteAnchor"/>
          <w:rtl w:val="true"/>
        </w:rPr>
        <w:footnoteReference w:id="2017"/>
      </w:r>
      <w:r>
        <w:rPr>
          <w:rFonts w:ascii="Amiri" w:hAnsi="Amiri" w:eastAsia="Amiri" w:cs="Amiri"/>
          <w:color w:val="111111"/>
          <w:sz w:val="28"/>
          <w:sz w:val="28"/>
          <w:szCs w:val="28"/>
          <w:rtl w:val="true"/>
          <w:lang w:bidi="ar-SA"/>
        </w:rPr>
        <w:t>، و عنه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حرام مع اعتقاد شرعيّته أمّا بدونه فلا</w:t>
      </w:r>
      <w:r>
        <w:rPr>
          <w:rFonts w:eastAsia="Amiri" w:cs="Amiri" w:ascii="Amiri" w:hAnsi="Amiri"/>
          <w:color w:val="111111"/>
          <w:sz w:val="28"/>
          <w:szCs w:val="28"/>
          <w:rtl w:val="true"/>
          <w:lang w:bidi="ar-SA"/>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العلاّمة في النهاية إرادة المعنى الأوّل،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بالتحريم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نعني بالتحريم حصول الإثم بذلك، بل نعني عدم الاعتداد به في رفع الحدث</w:t>
      </w:r>
      <w:r>
        <w:rPr>
          <w:rFonts w:eastAsia="Amiri" w:cs="Amiri" w:ascii="Amiri" w:hAnsi="Amiri"/>
          <w:color w:val="111111"/>
          <w:sz w:val="28"/>
          <w:szCs w:val="28"/>
          <w:rtl w:val="true"/>
          <w:lang w:bidi="ar-SA"/>
        </w:rPr>
        <w:t>»</w:t>
      </w:r>
      <w:r>
        <w:rPr>
          <w:rStyle w:val="FootnoteAnchor"/>
          <w:rtl w:val="true"/>
        </w:rPr>
        <w:footnoteReference w:id="2019"/>
      </w:r>
      <w:r>
        <w:rPr>
          <w:rFonts w:ascii="Amiri" w:hAnsi="Amiri" w:eastAsia="Amiri" w:cs="Amiri"/>
          <w:color w:val="111111"/>
          <w:sz w:val="28"/>
          <w:sz w:val="28"/>
          <w:szCs w:val="28"/>
          <w:rtl w:val="true"/>
          <w:lang w:bidi="ar-SA"/>
        </w:rPr>
        <w:t>، و احتمله صاحب المدارك أخيرا في عبارة الشرائع، و احتجّ على الاحتمال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استعمال المكلّف النجس فيما يعدّه طهارة في نظر الشارع، أو إزالة للنجاسة يتضمّن إدخال ما ليس من الشرع فيه، فيكون حراما لا محالة</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و حكي مثل هذا الاحتجاج عن المحقّق 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استعمال المكلّف الماء النجس في الطهارة و إزالة النجاسة، إدخال لما ليس من الشرع فيه، فيكون حراما لا محالة</w:t>
      </w:r>
      <w:r>
        <w:rPr>
          <w:rFonts w:eastAsia="Amiri" w:cs="Amiri" w:ascii="Amiri" w:hAnsi="Amiri"/>
          <w:color w:val="111111"/>
          <w:sz w:val="28"/>
          <w:szCs w:val="28"/>
          <w:rtl w:val="true"/>
          <w:lang w:bidi="ar-SA"/>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جميع ما ذكر أنّ القائلين بإرادة الحرمة الشرعيّة مرادهم بها الحرمة التشريعيّة و الظاهر أنّ العلاّمة في النهاية لا ينكر الحرمة بهذا المعنى، بل الّذي نفاه إنّما هو الحرمة الذاتيّة، كما أنّ ظاهر الآخرين أنّهم لا ينكرون الحرمة بمعنى عدم الإجزاء، كيف و الحرمة التشريعيّة ممّا لا يعقل الالتزام بها إلاّ مع الاعتراف بعدم الإجزاء في نظر الشارع، لأنّه الّذي يحقّق موضوع التشريع و يثبته مع علم المكلّف به، و أمّا الحرمة الذاتيّة فلم نقف على قائل بها بعنوان الجزم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عن المحقّق الخوانساري في شرح الدروس توهّم احتمالها، حيث أنّه بعد ما تنظّر في احتجاج المحقّق الثاني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إذ كونه من قبيل الإدخال الّذي يكون حراما ممنوع لا بدّ له من دليل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الاستدلال على الحرمة بالمعنى المتعارف في استعمال الماء النجس في الطهارة، بما ورد كثيرا في أكثر الروايات من النهي عن التوضّي و الغسل بالمياه النجسة، مثل ما ورد في الماء المتغيّر بالنجاسة و غيره، بحيث يفضي احصاؤه إلى تطويل </w:t>
      </w:r>
    </w:p>
    <w:p>
      <w:pPr>
        <w:pStyle w:val="BookText"/>
        <w:rPr/>
      </w:pP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Style w:val="FootnoteAnchor"/>
          <w:rtl w:val="true"/>
        </w:rPr>
        <w:footnoteReference w:id="2022"/>
      </w:r>
      <w:r>
        <w:rPr>
          <w:rFonts w:ascii="Amiri" w:hAnsi="Amiri" w:eastAsia="Amiri" w:cs="Amiri"/>
          <w:color w:val="111111"/>
          <w:sz w:val="28"/>
          <w:sz w:val="28"/>
          <w:szCs w:val="28"/>
          <w:rtl w:val="true"/>
          <w:lang w:bidi="ar-SA"/>
        </w:rPr>
        <w:t xml:space="preserve">، و لا ريب أنّ هذه النواهي على تقدير بقائها على ظواهر لا تقضي إلاّ بالحرمة الذاتيّة، لأنّ الحرمة التشريعيّة لا تنعقد إلاّ بعد ما كان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موردها خارجا عن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و لا يعلم به إلاّ من تلك النواهي على تقدير كونها لبيان الواقع، و إرشاد المكلّف إلى مانعيّة النجاسة عن الصحّة، و كون المأتيّ به المتضمّن لها خارجا عن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الحمل عليه لا يجامع الحمل على المعنى المتعارف، و إن كان الحمل على هذا المعنى يستلزم انعقاد موضوع التشريع، بناء على أنّ النهي ممّا يقتضي الفساد، لكن حكم التشريع لا يتأتّى من هذا المعنى و إلاّ لزم الدور، لأنّ انعقاده متأخّر عن انعقاد موضوعه، و هو متأخّر عن انعقاد المعنى المتعارف، فلو كان ذلك المعنى هو حكم التشريع بعينه لزم تقدّم الشيء على نفسه و أنّه محال، فلا يبقى إلاّ أنّ الحرمة المستفادة منها هو 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يضعف هذا الاستدلال، و استفادة هذا المعنى من تلك النواهي، بملاحظة ما قرّرناه في بحث انفعال القليل من ظهورها بملاحظة المقام في إثبات شرطيّة الطهارة و مانعيّة النجاسة، على حدّ سائر النواهي المتعلّقة بالعبادات و المعاملات على ما قرّرناه في محلّه، و صرّح به هنا غير واحد من الأعاظم، و محصّل مفادها يرجع إلى دفع توهّم الاجتزاء في الطهارة بالماء النجس، الناشئ عن توهّم إطلاق الأوامر الواردة بالطهارات من الوضوء و الغسل و نحوه، و معه فلا يستفاد منها إلاّ البطلان و عدم الإجزاء</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الحرمة إن اريد بها الذاتيّة فلا دليل عليها و لا قائل بها أيضا، و إن اريد بها التشريعيّة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بدليل العقل، الّذي يستدعي بيانه التعرّض لبيان تفصيل موضوعها،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إذا أتى بما ليس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ليس من المأمور به المشروع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يأتي به باعتقاد أنّه ليس من الشرع، أو يأتي به باعتقاد أنّه من الشرع، أو يأتي به مع الشكّ في أنّه من الشرع أم ليس من الشرع، و على الأخير فإمّا أن يأتي به لرجاء كونه من الشرع، أو يأتي به على 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يقصد 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على الأوّل إمّا أن يأتي به بقصد أنّه من الشرع و لغرض الامتثال بما </w:t>
      </w:r>
    </w:p>
    <w:p>
      <w:pPr>
        <w:pStyle w:val="BookText"/>
        <w:rPr/>
      </w:pPr>
      <w:r>
        <w:rPr>
          <w:rFonts w:ascii="Amiri" w:hAnsi="Amiri" w:eastAsia="Amiri" w:cs="Amiri"/>
          <w:color w:val="111111"/>
          <w:sz w:val="28"/>
          <w:sz w:val="28"/>
          <w:szCs w:val="28"/>
          <w:rtl w:val="true"/>
          <w:lang w:bidi="ar-SA"/>
        </w:rPr>
        <w:t>أمر به، أو يأتي به لغرض آخر من تعليم أو تعلّم أو تعود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أتى به على أنّه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لغرض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 أنّه منه، الحاصل من الاجتهاد أو التعويل على ما أفاد له ذلك الاعتقاد من الطرق الغير الاجتهاديّة، فلا شبهة في خروجه عن موضوع التشريع، و لا قبح فيه ذاتا و لا عرضا إن لم نقل بأنّ فيه حسنا، بل ربّما يقبح تركه في نظر العقل من جهة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عرفته عن ثاني الشهيدين</w:t>
      </w:r>
      <w:r>
        <w:rPr>
          <w:rStyle w:val="FootnoteAnchor"/>
          <w:rtl w:val="true"/>
        </w:rPr>
        <w:footnoteReference w:id="2023"/>
      </w:r>
      <w:r>
        <w:rPr>
          <w:rFonts w:ascii="Amiri" w:hAnsi="Amiri" w:eastAsia="Amiri" w:cs="Amiri"/>
          <w:color w:val="111111"/>
          <w:sz w:val="28"/>
          <w:sz w:val="28"/>
          <w:szCs w:val="28"/>
          <w:rtl w:val="true"/>
          <w:lang w:bidi="ar-SA"/>
        </w:rPr>
        <w:t xml:space="preserve">من اعتباره اعتقاد الشرعيّة في موضوع الحرمة التشريعيّة لا بدّ من تنزيله إلى غير تلك الصورة بحمل الاعتقاد المذكور على قصد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امتثال المشروع بما ليس بمشروع مع اعتقاد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اعتقاد الشرعيّة على معناه الظاهر إن اعتبر مع اعتقاد عدم المشروعيّة أو الشكّ فيها فهو فرض محال، و إن اعتبر لا مع اعتقاده و لا الشكّ فيه فأيّ شيء يقضي بحرمته، و بأيّ وجه يدخل في التشريع المحرّم، خصوصا إذا كان اعتقاد الشرعيّة حاصلا له بالاجتهاد، مع ملاحظة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المخطئ معذور و لا إثم عليه، بل 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أتى به لرجاء المشروعيّة مع الشكّ فيها، فهو أيضا خارج عن عنوان التشريع جزما، بل العقل فيه مستقلّ بحسنه، و هذا هو معنى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الحرمة التشريعيّة لا تمنع عن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أتى به لغرض آخر معتقدا عدم مشروعيّته فهو أيضا ليس من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أتى به على أنّه مشروع مع اعتقاد عدم المشروعيّة فهو التشريع المحرّم الّذي يستقلّ العقل بقبحه، و دونه في القبح ما لو أتى به على أنّه مشروع مع الشكّ في المشروعيّة، فإنّ الإتيان بغير المشروع أو ما يشكّ في مشروعيّته بقصد الامتثال ممّا يعدّ في نظر العقلاء استهزاء، و ينبغي تنزيل إطلاق ما تقدّم من الاحتجاج عن المدارك</w:t>
      </w:r>
      <w:r>
        <w:rPr>
          <w:rStyle w:val="FootnoteAnchor"/>
          <w:rtl w:val="true"/>
        </w:rPr>
        <w:footnoteReference w:id="2024"/>
      </w:r>
      <w:r>
        <w:rPr>
          <w:rFonts w:ascii="IRNazanin" w:hAnsi="IRNazanin" w:eastAsia="IRNazanin"/>
          <w:color w:val="111111"/>
          <w:sz w:val="28"/>
          <w:sz w:val="28"/>
          <w:szCs w:val="28"/>
          <w:rtl w:val="true"/>
          <w:lang w:bidi="fa-IR"/>
        </w:rPr>
        <w:t>و شرح القواعد</w:t>
      </w:r>
      <w:r>
        <w:rPr>
          <w:rStyle w:val="FootnoteAnchor"/>
          <w:rtl w:val="true"/>
        </w:rPr>
        <w:footnoteReference w:id="2025"/>
      </w:r>
      <w:r>
        <w:rPr>
          <w:rFonts w:ascii="Amiri" w:hAnsi="Amiri" w:eastAsia="Amiri" w:cs="Amiri"/>
          <w:color w:val="111111"/>
          <w:sz w:val="28"/>
          <w:sz w:val="28"/>
          <w:szCs w:val="28"/>
          <w:rtl w:val="true"/>
          <w:lang w:bidi="ar-SA"/>
        </w:rPr>
        <w:t>بل كلّ من فسّر التشريع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هاتين الصورتين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فصّلناه تبيّن أنّ ما عرفت عن الخوانساري</w:t>
      </w:r>
      <w:r>
        <w:rPr>
          <w:rStyle w:val="FootnoteAnchor"/>
          <w:rtl w:val="true"/>
        </w:rPr>
        <w:footnoteReference w:id="2026"/>
      </w:r>
      <w:r>
        <w:rPr>
          <w:rFonts w:ascii="Amiri" w:hAnsi="Amiri" w:eastAsia="Amiri" w:cs="Amiri"/>
          <w:color w:val="111111"/>
          <w:sz w:val="28"/>
          <w:sz w:val="28"/>
          <w:szCs w:val="28"/>
          <w:rtl w:val="true"/>
          <w:lang w:bidi="ar-SA"/>
        </w:rPr>
        <w:t>من إطلاق منع كون الطهارة بالماء النجس من الإدخال المحرّم ليس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قضيّة إطلاق ما تقدّم من الأخبار المشار إليها و فتاوي الفقهاء و تخصيصهم الأكل و الشرب باستثناء حال الضرورة، عدم الفرق في عدم جواز استعمال الماء النجس في الطهارة بين حالتي الاختيار و الاضطرار، بل هو المصرّح به في كلام غير واحد، مصرّحين بانتقال التكليف مع الاضطرار إلى التيمّم، بل لم نقف في ذلك على مشكّك و لا مصرّح بالجواز مع الاضطرار، عدا الخوانساري في نفيه البعد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لا شكّ في أنّ الاحتياط في عدم التطهّر به في أكثر الصور، نعم في بعض الصور النادرة كما إذا لم يكن إلاّ الماء النجس و يعلم المكلّف أنّ بعد التطهّر به يمكن أن يصل إلى ماء طاهر، و لكن لا يتيسّر له إلاّ تطهير أعضائه الّتي لاقاها الماء النجس لا الطهارة، لا يبعد أن يكون الاحتياط في الطهارة بالماء النجس، ثمّ يطهّر الأعضاء، ثمّ التيمّم، خصوصا إذا كان نجاسة الماء بما يختلف فيه لا بالمتّفق عليه</w:t>
      </w:r>
      <w:r>
        <w:rPr>
          <w:rFonts w:eastAsia="Amiri" w:cs="Amiri" w:ascii="Amiri" w:hAnsi="Amiri"/>
          <w:color w:val="111111"/>
          <w:sz w:val="28"/>
          <w:szCs w:val="28"/>
          <w:rtl w:val="true"/>
          <w:lang w:bidi="ar-SA"/>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ممّا يخالف الاصول و القواعد و النصوص، و لا يشهد له شيء من العقل و النقل، نعم ربّما يؤيّده ما تقدّم في جملة الأخبار المستدلّ بها على عدم انفعال القليل بالملاقاة، من صحيحة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اليهودي و النصراني يدخل يده في الماء أ يتوضّأ منه للصلاة؟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يضطرّ إليه</w:t>
      </w:r>
      <w:r>
        <w:rPr>
          <w:rStyle w:val="FootnoteAnchor"/>
          <w:rtl w:val="true"/>
        </w:rPr>
        <w:footnoteReference w:id="2028"/>
      </w:r>
      <w:r>
        <w:rPr>
          <w:rFonts w:ascii="Amiri" w:hAnsi="Amiri" w:eastAsia="Amiri" w:cs="Amiri"/>
          <w:color w:val="111111"/>
          <w:sz w:val="28"/>
          <w:sz w:val="28"/>
          <w:szCs w:val="28"/>
          <w:rtl w:val="true"/>
          <w:lang w:bidi="ar-SA"/>
        </w:rPr>
        <w:t>، و صحيحة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الوضوء ممّا ولغ الكلب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 منه أو يغتسل؟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تجد غيره</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و صحيحة ابن بزيع 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من يسأله عن الغدير، يجتمع فيه ماء السماء، و يستقى فيه من بئر، فيستنجي فيه الإنسان من بول، أو يغتسل فيه الجنب، ما حدّه الّذي لا يجوز؟ قال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من مثل هذا إلاّ من ضرورة إليه</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 xml:space="preserve">، و دلالة هذه الروايات على ما توهّمه من الجواز واضحة، لكن لا على التفصيل الّذي ذكره، و لو لا مخالفة الإجماع و إعراض الأصحاب عنها لما كان المصير إليها بعيدا، فهي حينئذ مطروحة أو مؤوّلة، لقوّة احتمال أن يراد بالضرورة و الاضطراب موجب التقيّة كما تقدّم بيانه في الباب المشار إليه، مع انطباق </w:t>
      </w:r>
      <w:bookmarkStart w:id="733" w:name="pg16144_233477"/>
    </w:p>
    <w:p>
      <w:pPr>
        <w:pStyle w:val="BookText"/>
        <w:rPr/>
      </w:pPr>
      <w:bookmarkEnd w:id="733"/>
      <w:r>
        <w:rPr>
          <w:rFonts w:ascii="Amiri" w:hAnsi="Amiri" w:eastAsia="Amiri" w:cs="Amiri"/>
          <w:color w:val="111111"/>
          <w:sz w:val="28"/>
          <w:sz w:val="28"/>
          <w:szCs w:val="28"/>
          <w:rtl w:val="true"/>
          <w:lang w:bidi="ar-SA"/>
        </w:rPr>
        <w:t>الأخيرة على محلّ البحث بناء على ما سبق من طهارة ماء الاستنجاء و عدم اشتمال السؤال على ملاقاة النجاسة صريحا، و كيف كان فالقول المذكور في غاية الضعف</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804916_1280447820"/>
      <w:bookmarkStart w:id="735" w:name="_Toc289"/>
      <w:bookmarkEnd w:id="734"/>
      <w:r>
        <w:rPr>
          <w:rtl w:val="true"/>
        </w:rPr>
        <w:t>المقصد الثاني</w:t>
      </w:r>
      <w:r>
        <w:rPr>
          <w:rtl w:val="true"/>
        </w:rPr>
        <w:t xml:space="preserve">: </w:t>
      </w:r>
      <w:r>
        <w:rPr>
          <w:rtl w:val="true"/>
        </w:rPr>
        <w:t>في عدم جواز استعماله في الشرب و غيره ممّا يتوقّف على الماء من أنواع المآكل،</w:t>
      </w:r>
      <w:bookmarkEnd w:id="735"/>
    </w:p>
    <w:p>
      <w:pPr>
        <w:pStyle w:val="BookText"/>
        <w:rPr/>
      </w:pPr>
      <w:r>
        <w:rPr>
          <w:rFonts w:ascii="Amiri" w:hAnsi="Amiri" w:eastAsia="Amiri" w:cs="Amiri"/>
          <w:color w:val="111111"/>
          <w:sz w:val="28"/>
          <w:sz w:val="28"/>
          <w:szCs w:val="28"/>
          <w:rtl w:val="true"/>
          <w:lang w:bidi="ar-SA"/>
        </w:rPr>
        <w:t xml:space="preserve">ما لم تدع إليه ضرورة مبيحة لعامّة المحذورات عدا ما خرج، و الظاهر أنّ هذين الحكمين أيضا إجماعيّ، و ما تقدّم من الفتاوى مصرّحة بهما، و الأخبار المستفيضة المتقدّمة في الباب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بأوّلهما، كما أنّ الظاهر أنّ الحرمة الذاتيّة هنا ممّا لا إشكال فيه، لكن ظاهر الفتاوى مع النصوص المشار إليها اختصاص المنع بالشرب و ما يلحق به دون سائر الانتفاعات من سقي الدوابّ و الأشجار و البساتين و المزارع و الأبنية، باستعماله في الطين و الجصّ و عجن الحناء و غيره من الأصباغ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الشيخ في المبسوط</w:t>
      </w:r>
      <w:r>
        <w:rPr>
          <w:rStyle w:val="FootnoteAnchor"/>
          <w:rtl w:val="true"/>
        </w:rPr>
        <w:footnoteReference w:id="2031"/>
      </w:r>
      <w:r>
        <w:rPr>
          <w:rFonts w:ascii="IRNazanin" w:hAnsi="IRNazanin" w:eastAsia="IRNazanin"/>
          <w:color w:val="111111"/>
          <w:sz w:val="28"/>
          <w:sz w:val="28"/>
          <w:szCs w:val="28"/>
          <w:rtl w:val="true"/>
          <w:lang w:bidi="fa-IR"/>
        </w:rPr>
        <w:t>عدم جواز استعماله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القول في ذلك يستدعي النظر في كون الأصل في المتنجّسات جواز الانتفاع بها مطلقا إلاّ ما خرج بالدليل، أو عدم جوازه إلاّ ما ثبت بالدليل؟</w:t>
      </w:r>
    </w:p>
    <w:p>
      <w:pPr>
        <w:pStyle w:val="BookText"/>
        <w:rPr/>
      </w:pPr>
      <w:r>
        <w:rPr>
          <w:rFonts w:ascii="Amiri" w:hAnsi="Amiri" w:eastAsia="Amiri" w:cs="Amiri"/>
          <w:color w:val="111111"/>
          <w:sz w:val="28"/>
          <w:sz w:val="28"/>
          <w:szCs w:val="28"/>
          <w:rtl w:val="true"/>
          <w:lang w:bidi="ar-SA"/>
        </w:rPr>
        <w:t xml:space="preserve">و ظاهر أنّ المراد بالأصل المطلوب هنا هو الأصل الثانوي، و إلاّ فمقتضى الأصل الأوّلي المستفاد من عموم خَلَقَ لَكُمْ مٰا فِي اَلْأَرْضِ جَمِيعاً </w:t>
      </w:r>
      <w:r>
        <w:rPr>
          <w:rStyle w:val="FootnoteAnchor"/>
          <w:rtl w:val="true"/>
        </w:rPr>
        <w:footnoteReference w:id="2032"/>
      </w:r>
      <w:r>
        <w:rPr>
          <w:rFonts w:ascii="Amiri" w:hAnsi="Amiri" w:eastAsia="Amiri" w:cs="Amiri"/>
          <w:color w:val="111111"/>
          <w:sz w:val="28"/>
          <w:sz w:val="28"/>
          <w:szCs w:val="28"/>
          <w:rtl w:val="true"/>
          <w:lang w:bidi="ar-SA"/>
        </w:rPr>
        <w:t>الجواز مطلقا، ضرورة اندراج المتنجّس قبل طروّ النجاسة له تحت ذلك العامّ، و طروّ النجاسة أوجب الشكّ في كون الطارئ مانعا و عدمه، فالمقتضي للجواز موجود و الشكّ في مانعيّة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كون الأصل هو الجواز مطلقا، لكنّ الكلام في انقلاب هذا الأصل إلى أصل ثانوي مستفاد من عموم الدليل و عدمه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الخلاف في ذلك بين أصحابنا رضوان اللّه عليهم فعن القدماء و مشهور المتأخّرين كالشيخين في المقنعة</w:t>
      </w:r>
      <w:r>
        <w:rPr>
          <w:rStyle w:val="FootnoteAnchor"/>
          <w:rtl w:val="true"/>
        </w:rPr>
        <w:footnoteReference w:id="2033"/>
      </w:r>
      <w:r>
        <w:rPr>
          <w:rFonts w:ascii="Amiri" w:hAnsi="Amiri" w:eastAsia="Amiri" w:cs="Amiri"/>
          <w:color w:val="111111"/>
          <w:sz w:val="28"/>
          <w:sz w:val="28"/>
          <w:szCs w:val="28"/>
          <w:rtl w:val="true"/>
          <w:lang w:bidi="ar-SA"/>
        </w:rPr>
        <w:t>و النهاية</w:t>
      </w:r>
      <w:r>
        <w:rPr>
          <w:rStyle w:val="FootnoteAnchor"/>
          <w:rtl w:val="true"/>
        </w:rPr>
        <w:footnoteReference w:id="2034"/>
      </w:r>
      <w:r>
        <w:rPr>
          <w:rFonts w:ascii="IRNazanin" w:hAnsi="IRNazanin" w:eastAsia="IRNazanin"/>
          <w:color w:val="111111"/>
          <w:sz w:val="28"/>
          <w:sz w:val="28"/>
          <w:szCs w:val="28"/>
          <w:rtl w:val="true"/>
          <w:lang w:bidi="fa-IR"/>
        </w:rPr>
        <w:t>و الخلاف</w:t>
      </w:r>
      <w:r>
        <w:rPr>
          <w:rStyle w:val="FootnoteAnchor"/>
          <w:rtl w:val="true"/>
        </w:rPr>
        <w:footnoteReference w:id="2035"/>
      </w:r>
      <w:r>
        <w:rPr>
          <w:rFonts w:ascii="IRNazanin" w:hAnsi="IRNazanin" w:eastAsia="IRNazanin"/>
          <w:color w:val="111111"/>
          <w:sz w:val="28"/>
          <w:sz w:val="28"/>
          <w:szCs w:val="28"/>
          <w:rtl w:val="true"/>
          <w:lang w:bidi="fa-IR"/>
        </w:rPr>
        <w:t>و المبسوط</w:t>
      </w:r>
      <w:r>
        <w:rPr>
          <w:rStyle w:val="FootnoteAnchor"/>
          <w:rtl w:val="true"/>
        </w:rPr>
        <w:footnoteReference w:id="2036"/>
      </w:r>
      <w:r>
        <w:rPr>
          <w:rFonts w:ascii="Amiri" w:hAnsi="Amiri" w:eastAsia="Amiri" w:cs="Amiri"/>
          <w:color w:val="111111"/>
          <w:sz w:val="28"/>
          <w:sz w:val="28"/>
          <w:szCs w:val="28"/>
          <w:rtl w:val="true"/>
          <w:lang w:bidi="ar-SA"/>
        </w:rPr>
        <w:t>و السلاّر</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و الحلّي</w:t>
      </w:r>
      <w:r>
        <w:rPr>
          <w:rStyle w:val="FootnoteAnchor"/>
          <w:rtl w:val="true"/>
        </w:rPr>
        <w:footnoteReference w:id="2038"/>
      </w:r>
      <w:r>
        <w:rPr>
          <w:rFonts w:ascii="Amiri" w:hAnsi="Amiri" w:eastAsia="Amiri" w:cs="Amiri"/>
          <w:color w:val="111111"/>
          <w:sz w:val="28"/>
          <w:sz w:val="28"/>
          <w:szCs w:val="28"/>
          <w:rtl w:val="true"/>
          <w:lang w:bidi="ar-SA"/>
        </w:rPr>
        <w:t>، و ابن الزهرة في الغنية</w:t>
      </w:r>
      <w:r>
        <w:rPr>
          <w:rStyle w:val="FootnoteAnchor"/>
          <w:rtl w:val="true"/>
        </w:rPr>
        <w:footnoteReference w:id="2039"/>
      </w:r>
      <w:r>
        <w:rPr>
          <w:rFonts w:ascii="Amiri" w:hAnsi="Amiri" w:eastAsia="Amiri" w:cs="Amiri"/>
          <w:color w:val="111111"/>
          <w:sz w:val="28"/>
          <w:sz w:val="28"/>
          <w:szCs w:val="28"/>
          <w:rtl w:val="true"/>
          <w:lang w:bidi="ar-SA"/>
        </w:rPr>
        <w:t>، و العلاّمة</w:t>
      </w:r>
      <w:r>
        <w:rPr>
          <w:rStyle w:val="FootnoteAnchor"/>
          <w:rtl w:val="true"/>
        </w:rPr>
        <w:footnoteReference w:id="2040"/>
      </w:r>
      <w:r>
        <w:rPr>
          <w:rFonts w:ascii="Amiri" w:hAnsi="Amiri" w:eastAsia="Amiri" w:cs="Amiri"/>
          <w:color w:val="111111"/>
          <w:sz w:val="28"/>
          <w:sz w:val="28"/>
          <w:szCs w:val="28"/>
          <w:rtl w:val="true"/>
          <w:lang w:bidi="ar-SA"/>
        </w:rPr>
        <w:t>و الشهيد</w:t>
      </w:r>
      <w:r>
        <w:rPr>
          <w:rStyle w:val="FootnoteAnchor"/>
          <w:rtl w:val="true"/>
        </w:rPr>
        <w:footnoteReference w:id="2041"/>
      </w:r>
      <w:r>
        <w:rPr>
          <w:rFonts w:ascii="Amiri" w:hAnsi="Amiri" w:eastAsia="Amiri" w:cs="Amiri"/>
          <w:color w:val="111111"/>
          <w:sz w:val="28"/>
          <w:sz w:val="28"/>
          <w:szCs w:val="28"/>
          <w:rtl w:val="true"/>
          <w:lang w:bidi="ar-SA"/>
        </w:rPr>
        <w:t>في قواعديهما، و الفاضل المقداد في التنقيح،</w:t>
      </w:r>
      <w:r>
        <w:rPr>
          <w:rStyle w:val="FootnoteAnchor"/>
          <w:rtl w:val="true"/>
        </w:rPr>
        <w:footnoteReference w:id="2042"/>
      </w:r>
      <w:r>
        <w:rPr>
          <w:rFonts w:ascii="IRNazanin" w:hAnsi="IRNazanin" w:eastAsia="IRNazanin"/>
          <w:color w:val="111111"/>
          <w:sz w:val="28"/>
          <w:sz w:val="28"/>
          <w:szCs w:val="28"/>
          <w:rtl w:val="true"/>
          <w:lang w:bidi="fa-IR"/>
        </w:rPr>
        <w:t>انقلاب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الأخير دعوى الإجماع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عدم جواز بيع الأعيان النجسة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ممّا لا يجوز الانتفاع بها، و كلّ ما لا يجوز الانتفاع بها لا يجوز 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المعتضد بفتاوي الأصحاب من القدماء و أكثر المتأخّرين</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 و عن فخر الإسلام في شرح الإرشاد</w:t>
      </w:r>
      <w:r>
        <w:rPr>
          <w:rStyle w:val="FootnoteAnchor"/>
          <w:rtl w:val="true"/>
        </w:rPr>
        <w:footnoteReference w:id="2044"/>
      </w:r>
      <w:r>
        <w:rPr>
          <w:rFonts w:ascii="Amiri" w:hAnsi="Amiri" w:eastAsia="Amiri" w:cs="Amiri"/>
          <w:color w:val="111111"/>
          <w:sz w:val="28"/>
          <w:sz w:val="28"/>
          <w:szCs w:val="28"/>
          <w:rtl w:val="true"/>
          <w:lang w:bidi="ar-SA"/>
        </w:rPr>
        <w:t>أيضا عليه الإجماع، و نحوه محكيّ عن الشيخ في المبسوط</w:t>
      </w:r>
      <w:r>
        <w:rPr>
          <w:rStyle w:val="FootnoteAnchor"/>
          <w:rtl w:val="true"/>
        </w:rPr>
        <w:footnoteReference w:id="2045"/>
      </w:r>
      <w:r>
        <w:rPr>
          <w:rFonts w:ascii="Amiri" w:hAnsi="Amiri" w:eastAsia="Amiri" w:cs="Amiri"/>
          <w:color w:val="111111"/>
          <w:sz w:val="28"/>
          <w:sz w:val="28"/>
          <w:szCs w:val="28"/>
          <w:rtl w:val="true"/>
          <w:lang w:bidi="ar-SA"/>
        </w:rPr>
        <w:t>، و عن المحقّق الأردبيلي</w:t>
      </w:r>
      <w:r>
        <w:rPr>
          <w:rStyle w:val="FootnoteAnchor"/>
          <w:rtl w:val="true"/>
        </w:rPr>
        <w:footnoteReference w:id="2046"/>
      </w:r>
      <w:r>
        <w:rPr>
          <w:rFonts w:ascii="Amiri" w:hAnsi="Amiri" w:eastAsia="Amiri" w:cs="Amiri"/>
          <w:color w:val="111111"/>
          <w:sz w:val="28"/>
          <w:sz w:val="28"/>
          <w:szCs w:val="28"/>
          <w:rtl w:val="true"/>
          <w:lang w:bidi="ar-SA"/>
        </w:rPr>
        <w:t>المصير إلى الثاني، و قبله المحقّق في المعتبر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النجس لا يجوز استعماله في رفع حدث و لا إزالة خبث مطلقا، و لا في الأكل و الشرب إلاّ عند الضرورة، و أطلق الشيخ رحمه اللّه المنع من استعماله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الدليل جواز الاستعمال، ترك العمل به فيما ذكرنا بالاتّفاق و النقل و بقي الباقي على الأصل</w:t>
      </w:r>
      <w:r>
        <w:rPr>
          <w:rFonts w:eastAsia="Amiri" w:cs="Amiri" w:ascii="Amiri" w:hAnsi="Amiri"/>
          <w:color w:val="111111"/>
          <w:sz w:val="28"/>
          <w:szCs w:val="28"/>
          <w:rtl w:val="true"/>
          <w:lang w:bidi="ar-SA"/>
        </w:rPr>
        <w:t>»</w:t>
      </w:r>
      <w:r>
        <w:rPr>
          <w:rStyle w:val="FootnoteAnchor"/>
          <w:rtl w:val="true"/>
        </w:rPr>
        <w:footnoteReference w:id="20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اختياره إلى الشيخ جعفر</w:t>
      </w:r>
      <w:r>
        <w:rPr>
          <w:rStyle w:val="FootnoteAnchor"/>
          <w:rtl w:val="true"/>
        </w:rPr>
        <w:footnoteReference w:id="2048"/>
      </w:r>
      <w:r>
        <w:rPr>
          <w:rFonts w:ascii="Amiri" w:hAnsi="Amiri" w:eastAsia="Amiri" w:cs="Amiri"/>
          <w:color w:val="111111"/>
          <w:sz w:val="28"/>
          <w:sz w:val="28"/>
          <w:szCs w:val="28"/>
          <w:rtl w:val="true"/>
          <w:lang w:bidi="ar-SA"/>
        </w:rPr>
        <w:t>من متأخّري متأخّرينا، بل هو ظاهر كلّ من اقتصر في المنع على ذكر الشرب فقط أو مع الأكل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w:t>
      </w:r>
      <w:r>
        <w:rPr>
          <w:rStyle w:val="FootnoteAnchor"/>
          <w:rtl w:val="true"/>
        </w:rPr>
        <w:footnoteReference w:id="2049"/>
      </w:r>
      <w:r>
        <w:rPr>
          <w:rFonts w:ascii="Amiri" w:hAnsi="Amiri" w:eastAsia="Amiri" w:cs="Amiri"/>
          <w:color w:val="111111"/>
          <w:sz w:val="28"/>
          <w:sz w:val="28"/>
          <w:szCs w:val="28"/>
          <w:rtl w:val="true"/>
          <w:lang w:bidi="ar-SA"/>
        </w:rPr>
        <w:t>من وافق الأوّلين، و منهم</w:t>
      </w:r>
      <w:r>
        <w:rPr>
          <w:rStyle w:val="FootnoteAnchor"/>
          <w:rtl w:val="true"/>
        </w:rPr>
        <w:footnoteReference w:id="2050"/>
      </w:r>
      <w:r>
        <w:rPr>
          <w:rFonts w:ascii="Amiri" w:hAnsi="Amiri" w:eastAsia="Amiri" w:cs="Amiri"/>
          <w:color w:val="111111"/>
          <w:sz w:val="28"/>
          <w:sz w:val="28"/>
          <w:szCs w:val="28"/>
          <w:rtl w:val="true"/>
          <w:lang w:bidi="ar-SA"/>
        </w:rPr>
        <w:t>من اختار الثاني و هو الأقوى، إذ ليس للأوّل إلاّ وجوه واضحة الدفع و العمدة منها أمران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المشار إليها المعتضدة بفتوى الشيخ في النهاية، المنزّلة منزلة </w:t>
      </w:r>
      <w:bookmarkStart w:id="736" w:name="pg16144_233479"/>
    </w:p>
    <w:p>
      <w:pPr>
        <w:pStyle w:val="BookText"/>
        <w:rPr/>
      </w:pPr>
      <w:bookmarkEnd w:id="736"/>
      <w:r>
        <w:rPr>
          <w:rFonts w:ascii="Amiri" w:hAnsi="Amiri" w:eastAsia="Amiri" w:cs="Amiri"/>
          <w:color w:val="111111"/>
          <w:sz w:val="28"/>
          <w:sz w:val="28"/>
          <w:szCs w:val="28"/>
          <w:rtl w:val="true"/>
          <w:lang w:bidi="ar-SA"/>
        </w:rPr>
        <w:t>الرواية المرسلة، لما قيل عنه من أنّه لا يذكر فيها إلاّ متون الروايات من دون اختلاف، أو مع اختلاف يسير غير مخلّ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المنقولة عن تحف العقول</w:t>
      </w:r>
      <w:r>
        <w:rPr>
          <w:rStyle w:val="FootnoteAnchor"/>
          <w:rtl w:val="true"/>
        </w:rPr>
        <w:footnoteReference w:id="2051"/>
      </w:r>
      <w:r>
        <w:rPr>
          <w:rFonts w:ascii="Amiri" w:hAnsi="Amiri" w:eastAsia="Amiri" w:cs="Amiri"/>
          <w:color w:val="111111"/>
          <w:sz w:val="28"/>
          <w:sz w:val="28"/>
          <w:szCs w:val="28"/>
          <w:rtl w:val="true"/>
          <w:lang w:bidi="ar-SA"/>
        </w:rPr>
        <w:t>مرسلة؛ و عن الوسائل</w:t>
      </w:r>
      <w:r>
        <w:rPr>
          <w:rStyle w:val="FootnoteAnchor"/>
          <w:rtl w:val="true"/>
        </w:rPr>
        <w:footnoteReference w:id="2052"/>
      </w:r>
      <w:r>
        <w:rPr>
          <w:rFonts w:ascii="Amiri" w:hAnsi="Amiri" w:eastAsia="Amiri" w:cs="Amiri"/>
          <w:color w:val="111111"/>
          <w:sz w:val="28"/>
          <w:sz w:val="28"/>
          <w:szCs w:val="28"/>
          <w:rtl w:val="true"/>
          <w:lang w:bidi="ar-SA"/>
        </w:rPr>
        <w:t>مسندة بسند غير نقيّ، و هي رواية طويلة و موضع الحاجة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وجوه الحرام من البيع و الشراء فكلّ أمر يكون فيه الفساد ممّا هو منهيّ عنه من جهة أكله أو شربه أو كسبه أو نكاحه أو ملكه أو إمساكه أو هبته أو عاريته، أو شيء يكون فيه وجه من وجوه الفساد نظير البيع بالربا أو البيع للميتة أو الدم أو لحم الخنزير أو لحوم السباع من صنوف سباع الوحش، أو الطير أو جلودها أو الخمر أو شيء من وجوه النجس، فهذا كلّه حرام و محرّم، لأنّ ذلك كلّه منهيّ عن أكله و شربه و لبسه و ملكه و إمساكه و التقلّب فيه، فجميع تقلّبه في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القدح في سند الرواية المشتمل على الحسن بن عليّ بن أبي حمزة، و أبيه عليّ بن أبي حمزة المجروحين في كلام أهل الرجال</w:t>
      </w:r>
      <w:r>
        <w:rPr>
          <w:rStyle w:val="FootnoteAnchor"/>
          <w:rtl w:val="true"/>
        </w:rPr>
        <w:footnoteReference w:id="2053"/>
      </w:r>
      <w:r>
        <w:rPr>
          <w:rFonts w:ascii="Amiri" w:hAnsi="Amiri" w:eastAsia="Amiri" w:cs="Amiri"/>
          <w:color w:val="111111"/>
          <w:sz w:val="28"/>
          <w:sz w:val="28"/>
          <w:szCs w:val="28"/>
          <w:rtl w:val="true"/>
          <w:lang w:bidi="ar-SA"/>
        </w:rPr>
        <w:t xml:space="preserve">مع عدم العلم بجابر له، منع الدلالة على وجه يتناول محلّ البحث، من حيث 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فيها عبارة عن الذوات المأخوذة عنوانا لحكم النجاسة الّتي هي بأنفسها مقتضية لها، بعد تسليم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بانفرادها تشمل المتنجّس أيضا، و لا ريب أنّ محلّ البحث ليس من هذا القبيل لكون النجاسة في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الإجماعات المنقولة فعلى فرض تناولها لمحلّ الكلام، فموهونة بمصير المتأخّرين كلاّ أم جلاّ إلى عدم انقلاب الأصل الأوّلي، كما يظهر للمتتبّع في كلماتهم في باب المكاسب؛ و أمّا باقي الوجوه المستدلّ بها على انقلاب الأصل مع أجوبتها فتطلب من الباب المذكور، فإذن كان الأصل الأوّلي المشار إليه المعتضد بأصلي البراءة و الإباحة على حاله</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804918_1280447820"/>
      <w:bookmarkStart w:id="738" w:name="_Toc290"/>
      <w:bookmarkEnd w:id="737"/>
      <w:r>
        <w:rPr>
          <w:rtl w:val="true"/>
        </w:rPr>
        <w:t>المقصد الثالث</w:t>
      </w:r>
      <w:r>
        <w:rPr>
          <w:rtl w:val="true"/>
        </w:rPr>
        <w:t xml:space="preserve">: </w:t>
      </w:r>
      <w:r>
        <w:rPr>
          <w:rtl w:val="true"/>
        </w:rPr>
        <w:t>في كيفيّة تطهير المياه المتوقّف عليها إباحة الاستعمال</w:t>
      </w:r>
      <w:r>
        <w:rPr>
          <w:rtl w:val="true"/>
        </w:rPr>
        <w:t>.</w:t>
      </w:r>
      <w:bookmarkEnd w:id="738"/>
    </w:p>
    <w:p>
      <w:pPr>
        <w:pStyle w:val="Heading5"/>
        <w:numPr>
          <w:ilvl w:val="4"/>
          <w:numId w:val="1"/>
        </w:numPr>
        <w:rPr/>
      </w:pPr>
      <w:bookmarkStart w:id="739" w:name="__RefHeading___Toc1804920_1280447820"/>
      <w:bookmarkStart w:id="740" w:name="_Toc291"/>
      <w:bookmarkEnd w:id="739"/>
      <w:r>
        <w:rPr>
          <w:rtl w:val="true"/>
        </w:rPr>
        <w:t>اشارة</w:t>
      </w:r>
      <w:bookmarkEnd w:id="74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كما أنّ عروض النجاسة لما يكون طاهرا بحسب ذاته و أصله على </w:t>
      </w:r>
    </w:p>
    <w:p>
      <w:pPr>
        <w:pStyle w:val="BookText"/>
        <w:rPr/>
      </w:pPr>
      <w:r>
        <w:rPr>
          <w:rFonts w:ascii="Amiri" w:hAnsi="Amiri" w:eastAsia="Amiri" w:cs="Amiri"/>
          <w:color w:val="111111"/>
          <w:sz w:val="28"/>
          <w:sz w:val="28"/>
          <w:szCs w:val="28"/>
          <w:rtl w:val="true"/>
          <w:lang w:bidi="ar-SA"/>
        </w:rPr>
        <w:t>خلاف الأصل، فلا يصار إليه إلاّ بدلالة الشرع عليه، فكذلك زوال تلك النجاسة العارضة بعد العلم بعروضها على خلاف الأصل، فلا يصار إليه إلاّ بدلالة الشرع عليه، و قضيّة ذلك وجوب البناء على النجاسة فيما لو شكّ في طهارته بعد تيقّن النجاسة، من غير فرق فيه بين كون الشكّ من جهة حصول الرافع المعلوم كونه رافعا، أو في رافعيّة الحاصل لأمر راجع إليه نفسه في شبهة موضوعيّة أو حكميّة لعدم تعيّنه بحسب الشرع، أو للشكّ في مدخليّة شيء فيه؛ أو لأمر راجع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فيما سبق أنّ الأصل في اقتضاء ترتّب جميع أحكام النجاسة على المحلّ كالعلم، على معنى أنّه يقوم مقامه ما لم يحصل ما يرفعه، فالماء المحكوم عليه بالنجاسة إذا شكّ في زوال نجاسته، لا كلام فيه إذا كان الشكّ ناشئا عن حصول المزيل، أو عن الشبهة الموضوعيّة في الحاصل، كما لو ثبت شرعا أنّ الكرّ من الماء رافع لنجاسة القليل المتنجّس، و مطهّر له، فالقي عليه مقدار كرّ متردّد بين كونه ماء أو مضافا، فإنّ المرجع في مثل ذلك هو الأصل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الغرض المهمّ في المقام، استعلام حال الشكّ إذا كان في رافعيّة الحاصل لشبهة حكميّة راجعة إلى المحلّ، كما لو شككنا في كونه قابلا للطهارة كالثياب، أو غير قابل لها كالأدهان المتنجّسة، أو إلى الرافع بعد إحراز القابليّة للمحلّ، إمّا من حيث تعيين أصله المردّد بين كونه ماء أو غيره، كزوال التغيّر مثلا في الكرّ المتغيّر بالنجاسة، أو من حيث مدخليّة ما يشكّ في مدخليّة فيه، كالدفعة و الامتزاج و غيره ممّا ستعرفه من موارد الخلاف، فلا بدّ في الخروج عن ذلك الشكّ من الدلالة الشرعيّة نصّا أو إجماعا، غير أنّ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تلك الدلالة كما اعترف به غير واحد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أردنا من الدلالة من جهة النصّ ما يكون دلالة صريحة مستقلّة، و إلاّ أمكن إثبات الدلالة التزاما تبعيّا، بملاحظة النصوص الواردة في البئر المتغيّر ماؤها بالنجاسة، الدالّة على طهرها بالنزح المزيل للتغيّر، بناء على ما نستظهر منها كون المطهّر في الحقيقة هو الماء المتجدّد من المادّة لا النزح، و لا مجرّد زوال التغيّر أو هو مع الزوال، فإنّ ذلك مع ملاحظة ما دلّ من الأخبار، على عدم انفعال البئر بمجرّد الملاقاة، ممّا يمكن أخذه دليلا على الملازمة المجمع عليها الّتي ستعرف الكلام في إثباتها هذا</w:t>
      </w:r>
      <w:r>
        <w:rPr>
          <w:rFonts w:eastAsia="Amiri" w:cs="Amiri" w:ascii="Amiri" w:hAnsi="Amiri"/>
          <w:color w:val="111111"/>
          <w:sz w:val="28"/>
          <w:szCs w:val="28"/>
          <w:rtl w:val="true"/>
          <w:lang w:bidi="ar-SA"/>
        </w:rPr>
        <w:t xml:space="preserve">. </w:t>
      </w:r>
      <w:bookmarkStart w:id="741" w:name="pg16144_233481"/>
    </w:p>
    <w:p>
      <w:pPr>
        <w:pStyle w:val="BookText"/>
        <w:rPr/>
      </w:pPr>
      <w:bookmarkEnd w:id="741"/>
      <w:r>
        <w:rPr>
          <w:rFonts w:ascii="Amiri" w:hAnsi="Amiri" w:eastAsia="Amiri" w:cs="Amiri"/>
          <w:color w:val="111111"/>
          <w:sz w:val="28"/>
          <w:sz w:val="28"/>
          <w:szCs w:val="28"/>
          <w:rtl w:val="true"/>
          <w:lang w:bidi="ar-SA"/>
        </w:rPr>
        <w:t xml:space="preserve">و أمّا عمومات طهوريّة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لشيء منها بشيء ممّا ذكر، لكونها ساكتة عن التعرّض لكيفيّة التطهير و محلّه، و ما يقبله من المتنجّسات، و لا ينافيه ورودها كلاّ أم بعضا مورد الامتنان، لحصول الامتنان بمجرّد كون الماء بنوعه قابلا لتطهير الغير، و لا يقتضي أزيد من ذلك، و لو سلّم اقتضاؤه الزيادة و هو كون هذا الحكم ثابتا لجميع أفراد النوع، فلا يقتضي حكما بالقياس إلى موارده من حيث القابليّة للتطهّر، كما أنّه لا يقتضي حكما بالقياس إلى كيفيّة التطهير من جهة ما يعتبر فيه و ما لا يعتبر من الشرائط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ستسمعه عن غير واحد من التمسّك بإطلاق تلك الأدلّة أو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تفاصيل محلّ البحث و فروعه الآتيتين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إذ التمسّك بالإطلاق عند عدم القيد المفيد للاشتراط، فرع ثبوت إطلاق في اللفظ يساعد عليه متفاهم العرف، و هو مع عدم تعرّض الدليل للكيفيّة الراجعة إلى الشرائط نفيا و إثباتا غير معقول، نعم قيام الدلالة من جهة الإجماع الكاشف عن رأي الحجّة ثابت في المقام جزما، فإنّهم مجمعون على أنّ الماء المتنجّس بجميع أقسامه قابل للتطهير، و على أنّ مطهّره لا يكون إلاّ ماء طاهرا في الجملة، لكن هذا الإجماع الثاني قد طرأه إجمال في معقده من جهة الشبهة في مدخليّة بعض في حصول التطهير ممّا تقدّم إليه الإشارة، و من هنا وقع الخلاف بينهم في اعتبار هذه الامور نفيا و إثباتا، غير أنّه على تقدير عدم قيام الدلالة على الخروج عن هذه الشبهة لا يورث ذلك إشكالا لا يحصل التفصّي عنه، لتعيّن مراجعة الأصل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يقع الإشكال في أنّ هذا المرجع هل هو الأصل المقتضي للنجاسة، و هو استصحاب الحالة السابقة، أو الأصل المقتضي للطهارة و هو أصالة عدم الشرطيّة؟ فإنّ فيه أيضا خلافا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تحقيقات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حجج النافين لشرطيّة لامتزاج، و لمّا كان موضوع المسألة الّذي هو معقد للإجماع المذكور ممّا يختلف أحكامه باعتبار اختلاف أنواعه،</w:t>
      </w:r>
    </w:p>
    <w:p>
      <w:pPr>
        <w:pStyle w:val="Heading5"/>
        <w:numPr>
          <w:ilvl w:val="4"/>
          <w:numId w:val="1"/>
        </w:numPr>
        <w:rPr/>
      </w:pPr>
      <w:bookmarkStart w:id="742" w:name="__RefHeading___Toc1804922_1280447820"/>
      <w:bookmarkStart w:id="743" w:name="_Toc292"/>
      <w:bookmarkEnd w:id="742"/>
      <w:r>
        <w:rPr>
          <w:rtl w:val="true"/>
        </w:rPr>
        <w:t>فلا بدّ من إيراد البحث عنه في مراحل</w:t>
      </w:r>
      <w:r>
        <w:rPr>
          <w:rtl w:val="true"/>
        </w:rPr>
        <w:t>:</w:t>
      </w:r>
      <w:bookmarkEnd w:id="743"/>
    </w:p>
    <w:p>
      <w:pPr>
        <w:pStyle w:val="Heading6"/>
        <w:numPr>
          <w:ilvl w:val="5"/>
          <w:numId w:val="1"/>
        </w:numPr>
        <w:rPr/>
      </w:pPr>
      <w:bookmarkStart w:id="744" w:name="__RefHeading___Toc1804924_1280447820"/>
      <w:bookmarkStart w:id="745" w:name="_Toc293"/>
      <w:bookmarkEnd w:id="744"/>
      <w:r>
        <w:rPr>
          <w:rtl w:val="true"/>
        </w:rPr>
        <w:t>المرحلة الاولى</w:t>
      </w:r>
      <w:r>
        <w:rPr>
          <w:rtl w:val="true"/>
        </w:rPr>
        <w:t xml:space="preserve">: </w:t>
      </w:r>
      <w:r>
        <w:rPr>
          <w:rtl w:val="true"/>
        </w:rPr>
        <w:t>في تطهير الماء القليل المتنجّس متغيّرا أو غيره،</w:t>
      </w:r>
      <w:bookmarkEnd w:id="745"/>
    </w:p>
    <w:p>
      <w:pPr>
        <w:pStyle w:val="Heading6"/>
        <w:numPr>
          <w:ilvl w:val="5"/>
          <w:numId w:val="1"/>
        </w:numPr>
        <w:rPr/>
      </w:pPr>
      <w:bookmarkStart w:id="746" w:name="__RefHeading___Toc1804926_1280447820"/>
      <w:bookmarkStart w:id="747" w:name="_Toc294"/>
      <w:bookmarkEnd w:id="746"/>
      <w:r>
        <w:rPr>
          <w:rtl w:val="true"/>
        </w:rPr>
        <w:t>اشارة</w:t>
      </w:r>
      <w:bookmarkEnd w:id="74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فيه أنّه يطهّر بإلقاء كرّ عليه دفعة كما في الشرائع</w:t>
      </w:r>
      <w:r>
        <w:rPr>
          <w:rStyle w:val="FootnoteAnchor"/>
          <w:rtl w:val="true"/>
        </w:rPr>
        <w:footnoteReference w:id="2054"/>
      </w:r>
      <w:r>
        <w:rPr>
          <w:rFonts w:ascii="Amiri" w:hAnsi="Amiri" w:eastAsia="Amiri" w:cs="Amiri"/>
          <w:color w:val="111111"/>
          <w:sz w:val="28"/>
          <w:sz w:val="28"/>
          <w:szCs w:val="28"/>
          <w:rtl w:val="true"/>
          <w:lang w:bidi="ar-SA"/>
        </w:rPr>
        <w:t xml:space="preserve">، هذا إذا لم يكن متغيّرا أو كان و زال تغيّره </w:t>
      </w:r>
    </w:p>
    <w:p>
      <w:pPr>
        <w:pStyle w:val="BookText"/>
        <w:rPr/>
      </w:pPr>
      <w:r>
        <w:rPr>
          <w:rFonts w:ascii="Amiri" w:hAnsi="Amiri" w:eastAsia="Amiri" w:cs="Amiri"/>
          <w:color w:val="111111"/>
          <w:sz w:val="28"/>
          <w:sz w:val="28"/>
          <w:szCs w:val="28"/>
          <w:rtl w:val="true"/>
          <w:lang w:bidi="ar-SA"/>
        </w:rPr>
        <w:t>بالواحد، و إلاّ فكرّ آخر، و هكذا إلى أن يزول التغيّر فيطهّر، فاعتبار الزيادة إنّما هو حيث لم يزل التغيّر بدونها لا لتوقّف الطهر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الكرّيّة معتبرة في الطهر مع التغيّر و مع عدمه عند أهل القول بانفعال القليل بالملاقاة بلا خلاف، و وجهه واضح من حيث إنّ ما دونه ينفعل بمجرّد الملاقاة، من غير فرق فيه عندهم بين ملاقاة النجس أو المتنجّس، فكيف يصلح مطهّرا للغير، و قد يدّعى عليه الوفاق على الإطلاق، غير أنّه يشكل ذلك على مذهب العماني و من تبعه، بل عن فخر الإسلام في شرح الإرشاد</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و في هامش الأصل بخطّ مصنّفه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مطهّر القليل بإلقاء الكرّ يتصوّر أحوال كثيرة، بعضها متّفق على كونه شرطا في التطهير و بعضها مختلف في شرطيّته و بعضها يتوهّم كونه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فكالكرّيّة و طهارته و استلزامه و زوال التغيّر و ملاقاته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فكالدفعة و الامتزاج و علوّ المطهّر أو مساواته إن كان به قول محقّق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فالعلوّ و المساواة على تقدير عدم القول به صريحا، لأنّه ما يوهمه أكثر عناوينهم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كورود المطهّر على المتنجّس على ما يوهمه عبارة الشيخ في الخلاف و يأتي ذكره، و كالزيادة على الكرّيّة على ما يوهمه عبارة المحقّق الثاني فيما يأتي، و كاستهلاك المتنجّس على ما يوهمه بعض استدلالاتهم المتضمّنة لهذا اللفظ و ستعرفه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ينافي إطلاق هذه الدعوى، حيث أنّه بعد حكاية هذا المذهب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محكيّة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يتفرّع عليه أنّه لو تغيّر بعض أقلّ من الكرّ ثمّ زال التغيّر من قبل نفسه طهر عند العماني و 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هذا التفريع أنّه لا يعتبر الكرّيّة في الرفع كما أنّه لا يعتبرها في الدفع، فلو تغيّر ما دون الكرّ على هذا فالقي عليه طاهر أقلّ من الكرّ موجب لزوال تغيّره، لزم انقلابه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التفريع المذكور أنّ كلّ معلول يدور وجودا و عدما مع علّته، فيرتفع بارتفاع العلّة، و حيث أنّه لا تأثير لمجرّد الملاقاة عند أهل هذا المذهب فانحصر علّة النجاسة عندهم في التغيّر، فإذا زال بغير الكرّ وجب زوال النجاسة أيضا، و قضيّة ذلك حينئذ طهره أيضا بزوال التغيّر بنفسه من غير حاجة إلى إلقاء الماء الطاهر و لو قليلا، و هو كما ترى في غاية البعد، و لم يعهد القول بذلك عن أهل هذا القول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لغيرهم في مسألة الكرّ المتغيّر إذا زال تغيّره بنفسه أو بعلاج كلام يأتي </w:t>
      </w:r>
    </w:p>
    <w:p>
      <w:pPr>
        <w:pStyle w:val="BookText"/>
        <w:rPr/>
      </w:pPr>
      <w:r>
        <w:rPr>
          <w:rFonts w:ascii="Amiri" w:hAnsi="Amiri" w:eastAsia="Amiri" w:cs="Amiri"/>
          <w:color w:val="111111"/>
          <w:sz w:val="28"/>
          <w:sz w:val="28"/>
          <w:szCs w:val="28"/>
          <w:rtl w:val="true"/>
          <w:lang w:bidi="ar-SA"/>
        </w:rPr>
        <w:t>التعرّض له، و ستعرف أنّ المشهور في تلك المسألة عدم كفاية ذلك، بل لم يسند المخالفة إلاّ إلى يحيى بن سعيد، و جعله بعضهم لازما لقول كلّ من يقول بطهارة القليل المتنجّس بإتمامه كرّا، مع ما فيه من المناقشة و منع الملازمة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قائل هنا بكفاية زوال التغيّر مطلقا أو مع تلبّسه بإلقاء الماء القليل، و التفريع المذكور لعلّه اجتهاد من قائله من دون وقوع التصريح به في كلام الجماعة، فيردّه حينئذ منع الملازمة بين مقامي الدفع و الرفع، و قضيّة العلّيّة على نحو ما ذكرناه أمر نظري عقلي، و كون العلّة المبقية غير العلّة المحدثة على فرض افتقار الباقي في بقائه إلى العلّة احتمال قائم في المقام، و معه لا دافع لاستصحاب النجاسة كما لا رافع للنجاسة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التفريع المذكور مبنيّا على توهّم امتناع كون الماء الواحد بعضه طاهرا لمكان عدم انفعال الجزء الغير المتغيّر و بعضه الآخر نجسا و هو الجزء المتغيّر، 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لمجرّد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بحالة التغيّر، فإنّه لا يخرج الماء الواحد عن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الجزء المتنجّس تابعا للجزء الطاهر في صيرورته طاهرا بمجرّد زوال التغيّر فرارا عن المحذور، ليس بأولى من جعل الجزء الطاهر تابعا للجزء المتنجّس بمجرّد عروض التغيّر في صيرورته متنجّسا، و الاستصحاب كما أنّه يجري بالقياس إلى الجزء الطاهر كذلك يجري بالقياس إلى الجزء المتنجّس، و شمول دلالة الشرع على عدم قبول القليل الانفعال بمجرّد الملاقاة بعد تسليمها لتلك الصورة غير معلوم، لو قيل بأنّ شمول دليل علّيّة التغيّر للانفعال لما بعد زوال التغيّر غير معلوم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امتناع تبعّض الماء في وصفي الطهارة و النجاسة عقلا، إذ لا مانع منه من جهة العقل و الشرع، و عدم امتياز الجزءين في نظر الحسّ لا يقضي بعدم امتيازهما في علم اللّه سبحانه، غاية الأمر أنّ الطهارة و النجاسة وصفان لا يجتمعان في محلّ واحد، لكن مجرّد صدق الوحدة على الماءين في نظر العرف لا يستلزم وحدة محلّ الوصفين في متن الواقع و إن فرضناهما مختلطين بالامتزاج، نظرا إلى أنّه لا يخرج الأجزاء المتواصلة عمّا هي عليها ذاتا و وصفا سيّما بناء على عدم تداخل الأجسام، و إن أوجب </w:t>
      </w:r>
    </w:p>
    <w:p>
      <w:pPr>
        <w:pStyle w:val="BookText"/>
        <w:rPr/>
      </w:pPr>
      <w:r>
        <w:rPr>
          <w:rFonts w:ascii="Amiri" w:hAnsi="Amiri" w:eastAsia="Amiri" w:cs="Amiri"/>
          <w:color w:val="111111"/>
          <w:sz w:val="28"/>
          <w:sz w:val="28"/>
          <w:szCs w:val="28"/>
          <w:rtl w:val="true"/>
          <w:lang w:bidi="ar-SA"/>
        </w:rPr>
        <w:t>فيها طريان مفارقة البعض عن بعض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حينئذ عدم جواز استعمال الطاهر الموجود هنا فيما يشترط فيه الطهارة، لاشتمال كلّ جزء منه بعد الامتزاج على جزء من المتنجّس و هذا في معنى نجاسة الكلّ، إذ لا يجوز على الفرض شربه و لا التوضّي و لا تطهير الثوب و البدن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جهة قيام مانع عرضي لا من جهة فقد المقتضي كما في الشبهة المحصورة، فلا ملازمة بين منع الاستعمال من جهة الاشتباه و بين كونه لأجل النجاسة في الجميع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الصورة أو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الكرّ الملقى على المتنجّس، بناء على عدم تأثيره في طهره و لا تأثّره عنه بقبول النجاسة لمكان كرّ غير 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ارتمس فيه مرتمس ارتفعت جنابته باشتمال الماء الطاهر عليه، و إن كان يتنجّس بدنه من حين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الغرابة و البعد عن قواعد الشرع؛ فإنّ الجنابة لا ترتفع إلاّ بطهارة الماء المستعمل فيها بجميع أجزائه، و العلم باشتمال البدن في الصورة المفروضة على الماء الطاهر ليس من العلم بطهارة الماء المشتمل عليه بجميع أجزائه، و معه فأيّ شيء ينهض رافعا للحدث المتيقّن و دافعا لاستصحابه؟ و كيف كان فمذهب العمّاني و موافقيه في تلك المسألة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القدح في إطلاق دعوى الإجماع على اشتراط الكرّيّة في المطهّر، و الإجماع على كون الكرّ مطهّرا ليس من الإجماع على أنّ الطهر لا يحصل إلاّ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المختار من انفعال القليل بالملاقاة لا إشكال في اعتبار الكرّيّة، و كأنّ إطلاق نقل الإجماعات منزّل على هذا التقدير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إنّا و إن منعنا بطلان تبعّض الماء الواحد في الطهارة و النجاسة من جهة العقل، و لكنّه لا نمنعه من جهة الإجماع، مضافا إلى ما أشرنا إليه من قيام الدلالة التبعيّة عليه فيما دلّ من النصوص على طهر البئر المتغيّر بالنزح إلى أن يزول التغيّر، بناء على ما تقدّم الإشارة إليه مع ما سيأتي من تفصيل ذلك، غير أنّ العمدة هو الإجماع و هو قائم جزما، كيف و هو قضيّة إجماعهم على أنّ الكرّ أو غيره ممّا سيأتي </w:t>
      </w:r>
    </w:p>
    <w:p>
      <w:pPr>
        <w:pStyle w:val="BookText"/>
        <w:rPr/>
      </w:pPr>
      <w:r>
        <w:rPr>
          <w:rFonts w:ascii="Amiri" w:hAnsi="Amiri" w:eastAsia="Amiri" w:cs="Amiri"/>
          <w:color w:val="111111"/>
          <w:sz w:val="28"/>
          <w:sz w:val="28"/>
          <w:szCs w:val="28"/>
          <w:rtl w:val="true"/>
          <w:lang w:bidi="ar-SA"/>
        </w:rPr>
        <w:t>مطهّر عن القليل المتنجّس، و ستعرف في مسألة الامتزاج عن كاشف اللثام</w:t>
      </w:r>
      <w:r>
        <w:rPr>
          <w:rStyle w:val="FootnoteAnchor"/>
          <w:rtl w:val="true"/>
        </w:rPr>
        <w:footnoteReference w:id="2056"/>
      </w:r>
      <w:r>
        <w:rPr>
          <w:rFonts w:ascii="Amiri" w:hAnsi="Amiri" w:eastAsia="Amiri" w:cs="Amiri"/>
          <w:color w:val="111111"/>
          <w:sz w:val="28"/>
          <w:sz w:val="28"/>
          <w:szCs w:val="28"/>
          <w:rtl w:val="true"/>
          <w:lang w:bidi="ar-SA"/>
        </w:rPr>
        <w:t xml:space="preserve">دعوى الإجماع عليه بالخصوص، فعندهم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ملازمتان قطعيّتان أثبتهما النصوص و الإجماع، و ملازمة ثالثة أثبتها الإجماع خاصّة أو هو مع ما أشرنا إليه من الدلالة التبعيّة في نصوص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فإحداهما أنّ الماء الملقى على المتنجّس إذا كان ذا قوّة عاصمة كالكرّيّة مثلا لم ينفعل بملاقاته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عرا عن تلك القوّة ينفعل بتلك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بقاء الماء الملقى على وصف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الملازمة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لزوال النجاسة عن الماء المتنجّس و إلاّ لزم تبعّض الماء الواحد في الطهارة و النجاسة و هو منفيّ بالإجماع، و مرجع هذه الملازمة إلى اعتبار التبعيّة فيما بين الماءين بعد حصول التلاقي بينهما، فلا بدّ على طريقة الانفصال الحقيقي إمّا و أن يتبع الماء الطاهر لما القي عليه في وصف النجاسة، أو يتبع الماء المتنجّس لما القي عليه في وصف الطهارة، فحينئذ لو القي على الماء المتنجّس مقدار كرّ من الماء الطاهر فلا يخلو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الملقي كالملقى عليه أو بالعكس؛ أو ببقاء كلّ على حكمه الأوّل، و الأوّل منفي بحكم الملازمة الاولى، كما أنّ الثالث منفي بحكم الملازمة الثالثة، فتعيّن الثاني إذ لا احتمال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القي عليه ما دون كرّ من الماء فإمّا أن يقال بطهارتهما معا، أو بنجاستهما كذلك، أو ببقاء كلّ على حكمه، و الأوّل منفي بحكم الملازمة الثانية، كما أنّ الأخير منفي بحكم الملازمة الثالثة، فتعيّن الثاني إذ لا احتمال سواه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المعنى يرجع ما في كلامهم من الاحتجاج على حكم المطهّريّة كما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الواقف إنّما يطهّر بإلقاء كرّ عليه دفعة من المطلق بحيث يزول تغيّره، و إن لم يزل فبإلقاء كرّ آخر عليه و هكذا، لأنّ الطاري غير قابل للنجاسة لكثرته، و المتغيّر مستهلك فيه فيطهّر</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 xml:space="preserve">بناء على أنّ مراده بالاستهلاك زوال امتياز التغيّر عن الكرّ بما يتحقّق بينهما من الوحدة، و ذكر نظير هذا الاستدلال في الجاري المتغيّر أيضا </w:t>
      </w:r>
    </w:p>
    <w:p>
      <w:pPr>
        <w:pStyle w:val="BookText"/>
        <w:rPr/>
      </w:pPr>
      <w:r>
        <w:rPr>
          <w:rFonts w:ascii="Amiri" w:hAnsi="Amiri" w:eastAsia="Amiri" w:cs="Amiri"/>
          <w:color w:val="111111"/>
          <w:sz w:val="28"/>
          <w:sz w:val="28"/>
          <w:szCs w:val="28"/>
          <w:rtl w:val="true"/>
          <w:lang w:bidi="ar-SA"/>
        </w:rPr>
        <w:t>المحكوم عليه بأنّه إنّما يطهّر بإكثار الماء المتدافع حتّى يزول التغيّر، و أمّا تطهير القليل الّذي أورده بعدهما و إن لم يستدلّ فيه بمثل ما ذكر غير أنّه جار فيه أيضا، و كأنّه تركه هنا اكتفاء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ينبغي أن يعلم أنّ الملازمة الأخيرة موضوعها الماء الواحد، فلا بدّ في الاستدلال بها من إحراز الوحدة أوّلا، و كأنّ اختلافهم الآتي في الشروط الآتية من الدفعة و الممازجة و نحوها ناش عن طلب إحراز الوحدة، فمن يراها كلاّ أم بعضا شرطا يرى أنّ الوحدة لا تصدق إلاّ معها، و من لا يعتبرها يراها صادقة بدونها، و عليه لا يكون شيء من تلك الشروط أمرا تعبّديّا صرفا، و بذلك ربّما يرتفع الحاجة في إثبات اعتبار شيء منها أو نفي اعتباره إلى التمسّك بالأصل، من استصحاب أو أصالة عدم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المتقدّم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حينئذ منوطا بالوحدة و صدقها و هو أمر عرفي لا يرجع فيه إلى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علم بذلك وجه الاختلاف الّذي وقع بين العلاّمة و المحقّق في المنتهى و المعتبر في غديرين أحدهما أقلّ من الكرّ فلاقته نجاسة ثمّ وصل بالآخر البالغ كرّا، حيث إنّ العلاّمة قال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وصل بين الغديرين بساقية اتّحدا، و اعتبر الكرّيّة فيهما مع الساقية جميعا، أمّا لو كان أحدهما أقلّ من كرّ و لاقته نجاسة فوصل بغدير بالغ كرّا،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بقاؤه على النجاسة، لأنّه ممتاز عن الطاهر، مع أنّه لو مازجه و قهره لنجّسه، و عندي فيه نظر فإنّ الاتّفاق واقع على أنّ تطهير ما نقص عن الكرّ بإلقاء كرّ عليه، و لا شكّ أنّ المداخلة ممتنعة، فالمعتبر إذن الاتّصال الموجود هنا</w:t>
      </w:r>
      <w:r>
        <w:rPr>
          <w:rFonts w:eastAsia="Amiri" w:cs="Amiri" w:ascii="Amiri" w:hAnsi="Amiri"/>
          <w:color w:val="111111"/>
          <w:sz w:val="28"/>
          <w:szCs w:val="28"/>
          <w:rtl w:val="true"/>
          <w:lang w:bidi="ar-SA"/>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مراده ببعض الأصحاب هو المحقّق، لما حكي عنه في المعتبر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الغديران الطاهران إذا وصل بينهما بساقية صارا كالماء الواحد، فلو وقع في أحدهما نجاسة لم ينجّس، و لو نقص كلّ واحد منهما عن الكرّ إذا كان مجموعهما مع الساقية كرّا فصاعدا،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الغدير عن كرّ فنجس فوصل بغدير فيه كرّ ففي طهارته تردّد، و الأشبه بقاؤه على النجاسة لأنّه ممتاز عن الطاهر، و النجس لو غلب على الطاهر نجّسه مع ممازجته فكيف مع مباينته</w:t>
      </w:r>
      <w:r>
        <w:rPr>
          <w:rFonts w:eastAsia="Amiri" w:cs="Amiri" w:ascii="Amiri" w:hAnsi="Amiri"/>
          <w:color w:val="111111"/>
          <w:sz w:val="28"/>
          <w:szCs w:val="28"/>
          <w:rtl w:val="true"/>
          <w:lang w:bidi="ar-SA"/>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شئت صدق مقالتنا في دعوى رجوع ذلك إلى الخلاف في صدق الوحدة و عدمه؛ فانظر في كلاميهما تجدهما مشتملين نفيا و إثباتا على إناطة الحكم بصدق الوحدة و عدم صدقه، لتصريح العلاّمة بصدقها في المسألة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المسألة الثانية أيضا على قياسها، و تصريح المحقّق بعدم صدقها بعنوان الحقيقة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صارا كالماء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التأدية بأداة التشبيه تقتضي كون الماءين مع عدم اتّحادهما حقيقة في حكم الماء الواحد البالغ كرّا في عدم انفعاله بمجرّد الملاقاة، و على قياسها المسألة الثانية فإنّ الوحدة الحقيقيّة إذا لم تكن متحقّقة بمجرّد الوصل بساقية لم يكن مجرّد الوصل كافيا في التطهير، على خلاف الحكم في المسألة الاولى و هو الكفاية في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تدور مدار عناوينها المأخوذة في الأدلّة، و الماء الواحد من حيث أنّه ماء واحد لم يؤخذ عنوانا في حكم عدم الانفعال بملاقاة النجاسة، بل المأخوذ عنوانا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في بحث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عنوان الكرّيّة و ما فوقها، و صدق هذا العنوان لا يتوقّف على وحدة الماء حقيقة بل يكفي فيه مجرّد الاتّصال بين الماءين كما لا يخفى على المتأمّل؛ بخلاف حكم التطهير فإنّه معلّق على عنوان الوحدة الّذي لا يتأتّى بمجرّد الاتّصال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وجّهناه في الفرق بين المسألتين يندفع المنافاة المتوهّمة بين الكلامين، فظهر أنّ النزاع بينهما راجع إلى الصغرى، فالعلاّمة يرى مجرّد هذا الاتّصال كافيا في صدق عنوان الوحدة، و المحقّق لا يراه كافيا لتصريحه بأنّه ممتاز عن الطاهر، بل يراه متوقّفا على حصول الممازجة كما فهمه العلاّمة من كلامه و ردّه بأنّ المداخلة ممتنعة، و استظهره منه أيضا جماعة، و يرشد إليه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الثاني ممّا استدلّ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النجس لو غلب على الطاهر نجّسه مع ممازجته، فكيف مع مباينته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فكيف يطهّر مع مفارقته عن الطاهر البالغ كرّا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الكرّ معلّقة على غلبة النجس عليه و تغيّره بسببه، و هي لا تتأتّى إلاّ مع الممازجة، ضرورة أنّ النجس لو كان مفارقا عن الكرّ لم يصدق عليه أنّه غلبه، كما أنّ طهر النجس معلّق على صيرورته مع الكرّ ماء واحدا، و لا يتأتّى ذلك إلاّ مع الممازجة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في كلّ من تأثّره عن النجس و تأثيره فيه موقوف على الممازجة،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تأثّره منه يتوقّف على غلبته عليه، و لا يتأتّى الغلبة إلاّ مع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تأثيره فيه يتوقّف على الوحدة، و لا يتأتّى الوحدة إلاّ مع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على دعوى كون العبرة في مقام التطهير بالوحدة الرافعة للتمييز بين الماءين الغير المتحقّقة بمجرّد الوصل بينهما عبارة الشهيد المحكيّة عن الذكرى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يطهّر القليل بمطهّر الكثير ممازجا، فلو وصل بكرّ مماسّة لم يطهّر للتمييز المقتضي لاختصاص كلّ بحكمه، و لو كان الملاقاة بعد الاتّصال و لو بساقية لم ينجّس القليل مع مساواة السطحين أو علوّ الكثير كماء الحمّام، و لو نبع الكثير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فامتزج طهّره لصيرورتهما ماء واحدا، أمّا لو كان ترشّحا لم يطهّر لعدم الكثرة الفعليّة</w:t>
      </w:r>
      <w:r>
        <w:rPr>
          <w:rFonts w:eastAsia="Amiri" w:cs="Amiri" w:ascii="Amiri" w:hAnsi="Amiri"/>
          <w:color w:val="111111"/>
          <w:sz w:val="28"/>
          <w:szCs w:val="28"/>
          <w:rtl w:val="true"/>
          <w:lang w:bidi="ar-SA"/>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بالكثرة الفعليّة الكرّيّة الفعليّة الّتي هي مناط التطهير؛ و لا ريب أنّها غير متحقّقة مع الرشح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مع المحقّق بالنظر إلى إطلاق كلاميهما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ذكرتماه إنّما يستقيم على فرض تسليمه فيما لو كان الوصل بين الغديرين بساقية، خصوصا إذا كانت الساقية خفيّة، و إلاّ فلو كان هنا حوضان أحدهما كرّ دون الآخر مفصول بينهما بفاصل يساويها في الأبعاد الثلاث و كان ما دون الكرّ نجسا، ثمّ رفع الفاصل بحيث صارا حوضا واحدا فإنّه لا شبهة حينئذ في صدق الوحدة صدقا حقيقيّا، إذا كان المراد بها الوحدة العرفيّة كما هو الظاهر المصرّح به في جملة من العبائر، و ظنّي أنّ هذا الفرض لا يندرج في معقد كلاميهما كما يفصح عنه التصريح بالساقية في كلام المحقّق المتضمّن لقضيّة الوصل بين الماءين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الإشكال إلى إطلاق كلام العلاّمة في دعوى الاتّحاد، فإنّ حصوله لو اريد به اتّحاد الماءين في جميع صور المسألة حتّى ما لو كان الوصل بينهما بساقية خفيّة في غاية الإشكال، و الاكتفاء بنحو هذا الاتّصال في نهاية الصعوبة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يومئ إلى أنّ محطّ كلامهم هنا اعتبار الوحدة عبارة الشيخ في المبسوط الّتي حكاها العلاّمة في المنتهى موردا عليه في بعض محتملاته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الشيخ في </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أن يكون الطاري نابعا من تحته أو يجري إليه أو يغلب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بالنابع ما يكون نبعا من الأرض، ففيه إشكال من حيث إنّه ينجّس بالملاقاة فلا يكون مطهّرا، و إن أراد به ما يوصل إليه من تحته فهو حقّ</w:t>
      </w:r>
      <w:r>
        <w:rPr>
          <w:rFonts w:eastAsia="Amiri" w:cs="Amiri" w:ascii="Amiri" w:hAnsi="Amiri"/>
          <w:color w:val="111111"/>
          <w:sz w:val="28"/>
          <w:szCs w:val="28"/>
          <w:rtl w:val="true"/>
          <w:lang w:bidi="ar-SA"/>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الشيخ يرى الوحدة صادقة في جميع التقادير، و العلاّمة يراها متوقّفة على كون النبع وصلا للكثير إليه من تحته، و وجه استشكاله على هذا التقدير لو كان المراد بالنابع ما ينبع من الأرض إمّا لأنّ الجاري مطلقا ليس عنده من ذوات القوّة العاصمة فيكون إشارة إلى الملازمة الثانية ممّا تقدّم، أو أنّ العبرة في التطهير بحصول الكثير في الماء فعلا و لا يتأتّى ذلك إلاّ بالوصل إليه دفعة، و لا يكفي فيه مجرّد النبع كيفما اتّفق، لأنّه عبارة عن خروج الماء جزء فجزء فهو ما لم ينبع لم يحصل في المتنجّس و بالنبع خرج عن كونه جزءا من المطهّر، لأنّه يوجب اتّحاده مع المتنجّس؛ و مثل هذا الاتّحاد لا يجدي لأنّ العبرة فيه باتّحاد المطهّر معه، و الجزء المنفصل عنه المتّحد مع المتنجّس ليس بمطهّر بنفسه، لعدم كونه ذا القوّة العاصمة فينجّس بالملاقاة؛ و على هذا يكون ذلك أيضا إشارة إلى الملازمة الثانية؛ و موافقا لما عرفته عن الشهيد فيما يخرج إليه بالرشح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ينظر ما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هذا أشبه بالمذهب، لأنّ النابع ينجّس بملاقاة النجاسة، و إن أراد بالنابع ما يوصل إليه من تحته لا أن يكون من الأرض فهو صواب</w:t>
      </w:r>
      <w:r>
        <w:rPr>
          <w:rFonts w:eastAsia="Amiri" w:cs="Amiri" w:ascii="Amiri" w:hAnsi="Amiri"/>
          <w:color w:val="111111"/>
          <w:sz w:val="28"/>
          <w:szCs w:val="28"/>
          <w:rtl w:val="true"/>
          <w:lang w:bidi="ar-SA"/>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عن الخلاف</w:t>
      </w:r>
      <w:r>
        <w:rPr>
          <w:rStyle w:val="FootnoteAnchor"/>
          <w:rtl w:val="true"/>
        </w:rPr>
        <w:footnoteReference w:id="2063"/>
      </w:r>
      <w:r>
        <w:rPr>
          <w:rFonts w:ascii="Amiri" w:hAnsi="Amiri" w:eastAsia="Amiri" w:cs="Amiri"/>
          <w:color w:val="111111"/>
          <w:sz w:val="28"/>
          <w:sz w:val="28"/>
          <w:szCs w:val="28"/>
          <w:rtl w:val="true"/>
          <w:lang w:bidi="ar-SA"/>
        </w:rPr>
        <w:t>في ردّ الشافعي القائل بكفاية النبع، من أنّ الطهارة بالنبع حكم مختصّ بالبئر، و 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الشيخ بالنبع في العبارة المتقدّمة عن المبسوط هو ثاني ما ذكره العلاّمة في توجيهها، و معه لا يتوجّه إليه ما ذكره من الترديد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ما ذكر تعرف أنّ اشتراط الدفعة في كلامهم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لإحراز عنوان الوحدة، إذ بدونها لا يتأتّى الوحدة فيما بين المطهّر و المتنجّس، بل إنّما تتأتّى فيما بينه و بين جزء من المطهّر، و هو ليس بذي القوّة العاصمة فينفعل بحكم الملازمة الثانية، فورود الكرّ بل الأكرار عليه تدريجا لا يكفي في التطهير، سواء تخلّل الفصل بين الدفعات المتدرّجة أو لا، و ستعرف تفصيل القول فيه و في سائر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مناط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عدم اشتراطه بعلوّ المطهّر و لا مساواته في السطح، لعدم توقّف صدق الوحدة على شيء من الوصفين، ضرورة أنّها تحصل بعد الملاقاة و الاتّصال سواء نزل إليه من عال، أو ورد عليه من مساو، أو اتّصل به من تحت بشرط كون الاتّصال حاصلا بينه و بين تمام الكرّ، كما لو كان هناك فيما بينهما حاجز فرفع، فلو جرى إليه من فوّارة و نحوها لا يكفي في الطهر لفقده ما هو مناط التطهير و هو الوحدة الحاصلة بالنسبة إلى تمام المطهّر لا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يفصّل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 كان من فوّارة بحيث يكون مستعليا على الماء النجس حصل التطهّر به، إن كان استعلاؤه بحيث لا يمسّ الماء النجس إلاّ بعد نزوله، و إن كان لا من فوّارة بل إنّما ينبع ملاقيا للماء النجس فبناء على الاكتفاء بالاتّصال في التطهير بمثله، أو على تسليم الملازمة في أنّه ليس لنا ماء واحد بعضه طاهر و بعضه نجس مع القول بعدم اشتراط الكرّيّة في الجاري، اتّجه القول بالطهارة أيضا، و إلاّ أمكن المناقشة فيه لاستصحاب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عدم حصول الطهر في كلّ من الصورتين لانتفاء الدفعة الّتي عليها مدار الوحدة، و هو صريح المحكيّ عن العلاّمة في نهاية الإحكام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نبع من تحت فإن كان على التدريج لم يطهّره و إلاّ طهّره</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الاستعلاء أو المساواة في المطهّر خال عن الوجه، بل لم نقف عليه بقائل تحصيلا و لا نقلا، بل العبارات المتقدّمة عن فحول فقهائنا كالشيخ و العلاّمة مصرّحة في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عن تعبيرهم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كرّ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شرطيّة العلوّ أيضا، و دونه في الإشعار بذلك ما في الروضة أيضا من أنّ المشهور اشتراط طهر القليل بالكرّ بوقوعه عليه دفعة</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تذكرة العلاّمة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نشترط في المطهّر وقوع كرّ دفعة،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نبع الماء من تحته لما يطهّر، و إن أزال التغيّر خلافا للشافعي، لأنّا نشترط في المطهّر وقوعه كرّا دفعة</w:t>
      </w:r>
      <w:r>
        <w:rPr>
          <w:rFonts w:eastAsia="Amiri" w:cs="Amiri" w:ascii="Amiri" w:hAnsi="Amiri"/>
          <w:color w:val="111111"/>
          <w:sz w:val="28"/>
          <w:szCs w:val="28"/>
          <w:rtl w:val="true"/>
          <w:lang w:bidi="ar-SA"/>
        </w:rPr>
        <w:t>»</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الشيخ في الخلاف</w:t>
      </w:r>
      <w:r>
        <w:rPr>
          <w:rStyle w:val="FootnoteAnchor"/>
          <w:rtl w:val="true"/>
        </w:rPr>
        <w:footnoteReference w:id="2068"/>
      </w:r>
      <w:r>
        <w:rPr>
          <w:rFonts w:ascii="Amiri" w:hAnsi="Amiri" w:eastAsia="Amiri" w:cs="Amiri"/>
          <w:color w:val="111111"/>
          <w:sz w:val="28"/>
          <w:sz w:val="28"/>
          <w:szCs w:val="28"/>
          <w:rtl w:val="true"/>
          <w:lang w:bidi="ar-SA"/>
        </w:rPr>
        <w:t xml:space="preserve">من أنّه يشترط في تطهير الكرّ الورود، و أنت بعد التأمّل في ما تقدّم من عباراتهم المصرّحة بعدم الفرق أو الظاهرة فيه تعرف أنّ هذا الاستظهار ليس في محلّه، كيف و المقصود من هذه العبارات إفادة اعتبار القيد من الكرّيّة و الدفعة دون المقيّد، كما يرشد إليه ورود بعضها في ردّ الشافعي القائل بكفاية النبع، و معه فلو بني على الأخذ بمثل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ينافيه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لاتّجه اعتبار امور اخر غير الاستعلاء الّتي منها قصد التطهير، لكون الإلقاء من الأفعال الاختياريّة المنوطة بالقصد و النيّة،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التعبير بالإلقاء و الوقوع و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وقع من جهة أنّ الغالب في تطهير المياه القليلة الباقية في الحياض المنفعلة بالملاقاة كون المطهّر ماء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من وقعت منه مثل هذه العبارات إنّما هو في مقابلة الشيخ القائل بكفاية التطهير بالنبع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بالنبع ما يكون من الأرض على حدّ ما في الجاري فقد عرفت من عبارة الخلاف المتقدّمة</w:t>
      </w:r>
      <w:r>
        <w:rPr>
          <w:rStyle w:val="FootnoteAnchor"/>
          <w:rtl w:val="true"/>
        </w:rPr>
        <w:footnoteReference w:id="2069"/>
      </w:r>
      <w:r>
        <w:rPr>
          <w:rFonts w:ascii="Amiri" w:hAnsi="Amiri" w:eastAsia="Amiri" w:cs="Amiri"/>
          <w:color w:val="111111"/>
          <w:sz w:val="28"/>
          <w:sz w:val="28"/>
          <w:szCs w:val="28"/>
          <w:rtl w:val="true"/>
          <w:lang w:bidi="ar-SA"/>
        </w:rPr>
        <w:t>أنّ الشيخ أيضا لا يقول بالاكتفاء به، و إن اريد به وصل الكثير إليه من قعره فقد تبيّن أنّه لا يخالفه غيره كالمحقّق و العلاّمة في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بما ذكرناه من عدم اعتبارهم ظهور الألفاظ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الاتّفاق الّذي ادّعاه العلاّمة في المنتهى في مسألة الغديرين الموصول بينهما بساقية عند دفع كلام المحقّق المصرّح بعدم كفاية مجرّد الاتّصال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عن عبارة الشيخ في الخلاف المعبّرة باشتراط الورود توقّف الطهر على ورود المطهّر، فلو عكس بإيراد المتنجّس على الكرّ الطاهر لم يؤثّر في الطهر، و قضيّة إطلاق الآخرين عدم الفرق و هو الأقرب أخذا بالملازمة الثالثة المتقدّم ذكرها، المنوطة بصدق الوحدة الحاصلة في صورة العكس أيضا، بل حصولها فيه أظهر و أبين كما لا يخفى، إلاّ أن يكون ذلك في نظره شرطا تعبّديّا كالكرّيّة، غير أنّه يحتاج إلى دليل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الثمرة فيما لو القي الماء النجس في الكثير فيطهّر على ما ذكرناه، من غير فرق </w:t>
      </w:r>
      <w:bookmarkStart w:id="748" w:name="pg16144_233492"/>
    </w:p>
    <w:p>
      <w:pPr>
        <w:pStyle w:val="BookText"/>
        <w:rPr/>
      </w:pPr>
      <w:bookmarkEnd w:id="748"/>
      <w:r>
        <w:rPr>
          <w:rFonts w:ascii="Amiri" w:hAnsi="Amiri" w:eastAsia="Amiri" w:cs="Amiri"/>
          <w:color w:val="111111"/>
          <w:sz w:val="28"/>
          <w:sz w:val="28"/>
          <w:szCs w:val="28"/>
          <w:rtl w:val="true"/>
          <w:lang w:bidi="ar-SA"/>
        </w:rPr>
        <w:t>بين كونه من فوق أو من تحت، كما لو كان في إناء ثمّ كسر الإناء في قعر الحوض البالغ كرّا</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1804928_1280447820"/>
      <w:bookmarkStart w:id="750" w:name="_Toc295"/>
      <w:bookmarkEnd w:id="749"/>
      <w:r>
        <w:rPr>
          <w:rtl w:val="true"/>
        </w:rPr>
        <w:t>و إذا تمهّد جميع ما بيّنّاه فتنقيح المسألة يستدعي رسم امور</w:t>
      </w:r>
      <w:r>
        <w:rPr>
          <w:rtl w:val="true"/>
        </w:rPr>
        <w:t>:</w:t>
      </w:r>
      <w:bookmarkEnd w:id="750"/>
    </w:p>
    <w:p>
      <w:pPr>
        <w:pStyle w:val="Heading6"/>
        <w:numPr>
          <w:ilvl w:val="5"/>
          <w:numId w:val="1"/>
        </w:numPr>
        <w:rPr/>
      </w:pPr>
      <w:bookmarkStart w:id="751" w:name="__RefHeading___Toc1804930_1280447820"/>
      <w:bookmarkStart w:id="752" w:name="_Toc296"/>
      <w:bookmarkEnd w:id="751"/>
      <w:r>
        <w:rPr>
          <w:rtl w:val="true"/>
        </w:rPr>
        <w:t>أحدها</w:t>
      </w:r>
      <w:r>
        <w:rPr>
          <w:rtl w:val="true"/>
        </w:rPr>
        <w:t xml:space="preserve">: </w:t>
      </w:r>
      <w:r>
        <w:rPr>
          <w:rtl w:val="true"/>
        </w:rPr>
        <w:t>النظر في اعتبار الدفعة و عدمه،</w:t>
      </w:r>
      <w:bookmarkEnd w:id="752"/>
    </w:p>
    <w:p>
      <w:pPr>
        <w:pStyle w:val="BookText"/>
        <w:rPr/>
      </w:pPr>
      <w:r>
        <w:rPr>
          <w:rFonts w:ascii="Amiri" w:hAnsi="Amiri" w:eastAsia="Amiri" w:cs="Amiri"/>
          <w:color w:val="111111"/>
          <w:sz w:val="28"/>
          <w:sz w:val="28"/>
          <w:szCs w:val="28"/>
          <w:rtl w:val="true"/>
          <w:lang w:bidi="ar-SA"/>
        </w:rPr>
        <w:t>فإنّه ممّا اختلفت فيه عبائر الأصحاب فصريح أكثر العبائر المتقدّمة اعتبارها؛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المشهور بين المتأخّرين</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و في الروضة التصريح بالشهرة</w:t>
      </w:r>
      <w:r>
        <w:rPr>
          <w:rStyle w:val="FootnoteAnchor"/>
          <w:rtl w:val="true"/>
        </w:rPr>
        <w:footnoteReference w:id="2071"/>
      </w:r>
      <w:r>
        <w:rPr>
          <w:rFonts w:ascii="Amiri" w:hAnsi="Amiri" w:eastAsia="Amiri" w:cs="Amiri"/>
          <w:color w:val="111111"/>
          <w:sz w:val="28"/>
          <w:sz w:val="28"/>
          <w:szCs w:val="28"/>
          <w:rtl w:val="true"/>
          <w:lang w:bidi="ar-SA"/>
        </w:rPr>
        <w:t>، و عن ظاهر آخرين بل صريح بعضهم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يشتبه المراد بالدفعة هنا فيذكر فيه وجوه، و ذلك لأنّ الكرّيّة إمّا أن تكون محرزة فيما يلقى قبل الإلقاء أو لا، بل يلقى عليه من الماء القليل مرّات إلى أن يبلغ المجموع الملقى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يلقى بعضا فبعضا على وجه يحصل الانقطاع فيما بين الأبعاض الملقاة من حين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يلقى ثلثه فقطع، ثمّ يلقى الثلث الثاني فقطع، ثمّ يلقى الثلث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بل يلقى المجموع بلا انقطاع فيما بين الأبعاض، و عليه فإمّا أن يتحقّق وقوع المجموع عليه في آنات متعدّدة على نحو التدريج كما لو أجرى الكرّ عليه بساقية ضيّقة، أو يتحقّق وقوعه في آن واحد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حقيقي كما هو المنفيّ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يكون المراد بها هنا ما يقابل المعنى الأوّل، و لا ما يقابل المعنى الثاني، لأنّ اعتبارها بكلّ من المعنيين ليس أمرا وراء اعتبار الكرّيّة، فلا معنى للخلاف فيه حينئذ لو كان الخلاف محقّقا، مع أنّ اعتبار الكرّيّة تغني عن اعتبارها، لظهور اعتبار الكرّيّة في كون المحرز للإلقاء و المعدّ له كرّا في الواقع واقعا على المتنجّس بوصف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المراد ما يقابل المعنى الثالث، و هو المعنى الرابع بعينه كما صرّح به غير واحد، منهم صاحب المدارك 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بالدفعة هنا وقوع جميع أجزاء الكرّ على الماء النجس في آن عرفي</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و قريب منه ما في الحدائق</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إرادته أيضا التقييد بالعرفي في بعض كلماتهم، بل ما تقدّم عن العلاّمة في النهاية و التذكرة أيضا في ردّ الشافعي القائل بكفاية النبع من تحته شاهد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 في وجه اعتبار الدفعة بهذا المعنى،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ذلك لأجل تحصيل الامتزاج، فإنّ الوقوع دفعة يوجب ذلك غالبا بل دائما، و عن حاشية الروضة لجمال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صورة إلقاء الكرّ دفعة يتحقّق الممازجة، و إنّما الخلاف في اشتراط الممازجة فيما يلق دفعة</w:t>
      </w:r>
      <w:r>
        <w:rPr>
          <w:rFonts w:eastAsia="Amiri" w:cs="Amiri" w:ascii="Amiri" w:hAnsi="Amiri"/>
          <w:color w:val="111111"/>
          <w:sz w:val="28"/>
          <w:szCs w:val="28"/>
          <w:rtl w:val="true"/>
          <w:lang w:bidi="ar-SA"/>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اعتبارها مختصّا بصورة الإلقاء دون الاتّصال الّذي يحصل فيما بين الغديرين المتواصلين، تحرّزا عن اختلاف سطوح المطهّر فينفعل السافل منه بالملاقاة و لا يتقوّى الجزء العالي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ذلك لاستصحاب النجاسة و لزوم الاحتياط في إزالتها بعد ذهاب جماعة إلى الدفعة، و عن حاشية الروضة</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الوجه فيه ما ذكره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ورود النصّ بالدفعة و تصريح الأصحاب بها</w:t>
      </w:r>
      <w:r>
        <w:rPr>
          <w:rFonts w:eastAsia="Amiri" w:cs="Amiri" w:ascii="Amiri" w:hAnsi="Amiri"/>
          <w:color w:val="111111"/>
          <w:sz w:val="28"/>
          <w:szCs w:val="28"/>
          <w:rtl w:val="true"/>
          <w:lang w:bidi="ar-SA"/>
        </w:rPr>
        <w:t>»</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هو غاية ما يمكن الاستناد فيه إليه، و أمّا ما في المدارك من المناقشة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لم نعثر عليه في كتب الحديث، و لا نقله ناقل في كتب الاستدلال</w:t>
      </w:r>
      <w:r>
        <w:rPr>
          <w:rFonts w:eastAsia="Amiri" w:cs="Amiri" w:ascii="Amiri" w:hAnsi="Amiri"/>
          <w:color w:val="111111"/>
          <w:sz w:val="28"/>
          <w:szCs w:val="28"/>
          <w:rtl w:val="true"/>
          <w:lang w:bidi="ar-SA"/>
        </w:rPr>
        <w:t>»</w:t>
      </w:r>
      <w:r>
        <w:rPr>
          <w:rStyle w:val="FootnoteAnchor"/>
          <w:rtl w:val="true"/>
        </w:rPr>
        <w:footnoteReference w:id="2077"/>
      </w:r>
      <w:r>
        <w:rPr>
          <w:rFonts w:ascii="Amiri" w:hAnsi="Amiri" w:eastAsia="Amiri" w:cs="Amiri"/>
          <w:color w:val="111111"/>
          <w:sz w:val="28"/>
          <w:sz w:val="28"/>
          <w:szCs w:val="28"/>
          <w:rtl w:val="true"/>
          <w:lang w:bidi="ar-SA"/>
        </w:rPr>
        <w:t>فغير قادح في الاعتبار، إذ عدم الوجدان لا يقضي بعدم الوجود، و نسبته إلى تصريح الأصحاب مع ما في الحدائق</w:t>
      </w:r>
      <w:r>
        <w:rPr>
          <w:rStyle w:val="FootnoteAnchor"/>
          <w:rtl w:val="true"/>
        </w:rPr>
        <w:footnoteReference w:id="2078"/>
      </w:r>
      <w:r>
        <w:rPr>
          <w:rFonts w:ascii="Amiri" w:hAnsi="Amiri" w:eastAsia="Amiri" w:cs="Amiri"/>
          <w:color w:val="111111"/>
          <w:sz w:val="28"/>
          <w:sz w:val="28"/>
          <w:szCs w:val="28"/>
          <w:rtl w:val="true"/>
          <w:lang w:bidi="ar-SA"/>
        </w:rPr>
        <w:t>من نسبته إلى المشهور بين المتأخّرين جابران لهذا المرسل، مع أنّ استصحاب النجاسة محكّم و لا بيان لكيفيّة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التأييد بأنّ مع التدريج ينجّس كلّ جزء يصل إلى الماء النجس لعدم تقوّي السافل بالعالي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هذه الوجوه من الوهن الواضح</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النسبة بين الدفعة و 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التأمّل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يجتمعان في مادّة و يفترقان في اخريين، و لذا ترى أنّ العلاّمة </w:t>
      </w:r>
    </w:p>
    <w:p>
      <w:pPr>
        <w:pStyle w:val="BookText"/>
        <w:rPr/>
      </w:pPr>
      <w:r>
        <w:rPr>
          <w:rFonts w:ascii="Amiri" w:hAnsi="Amiri" w:eastAsia="Amiri" w:cs="Amiri"/>
          <w:color w:val="111111"/>
          <w:sz w:val="28"/>
          <w:sz w:val="28"/>
          <w:szCs w:val="28"/>
          <w:rtl w:val="true"/>
          <w:lang w:bidi="ar-SA"/>
        </w:rPr>
        <w:t>في المنتهى مع أنّه صرّح باعتبار الدفعة</w:t>
      </w:r>
      <w:r>
        <w:rPr>
          <w:rStyle w:val="FootnoteAnchor"/>
          <w:rtl w:val="true"/>
        </w:rPr>
        <w:footnoteReference w:id="2079"/>
      </w:r>
      <w:r>
        <w:rPr>
          <w:rFonts w:ascii="Amiri" w:hAnsi="Amiri" w:eastAsia="Amiri" w:cs="Amiri"/>
          <w:color w:val="111111"/>
          <w:sz w:val="28"/>
          <w:sz w:val="28"/>
          <w:szCs w:val="28"/>
          <w:rtl w:val="true"/>
          <w:lang w:bidi="ar-SA"/>
        </w:rPr>
        <w:t xml:space="preserve">أنكر على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على ما هو ظاهر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الممازجة، مصرّحا في الغديرين المتواصلين بكفاية الاتّصال الموجود هنا</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عرفت عن جمال المحقّقين من أنّ في صورة إلقاء الكرّ دفعة يتحقّق الممازجة في حيّز المنع؛ لعدم الملازمة بينهما كما لو وضع على الماء المتنجّس كرّ محرز في إناء على وجه يتحقّق معه المماسّة بين سطحيهما بدون مداخلة، و على فرض تسليم استلزامه المداخلة لا محالة فهي ليست من الممازجة المقصودة هنا، بل هي مداخلة في الجملة فتكون 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تقييد في إطلاق كلامهم من وجهين؛ فالتقييد الأوّل ينافي إطلاق اشتراطهم الدفعة كالمحقّق و العلاّمة في المعتبر</w:t>
      </w:r>
      <w:r>
        <w:rPr>
          <w:rStyle w:val="FootnoteAnchor"/>
          <w:rtl w:val="true"/>
        </w:rPr>
        <w:footnoteReference w:id="2081"/>
      </w:r>
      <w:r>
        <w:rPr>
          <w:rFonts w:ascii="IRNazanin" w:hAnsi="IRNazanin" w:eastAsia="IRNazanin"/>
          <w:color w:val="111111"/>
          <w:sz w:val="28"/>
          <w:sz w:val="28"/>
          <w:szCs w:val="28"/>
          <w:rtl w:val="true"/>
          <w:lang w:bidi="fa-IR"/>
        </w:rPr>
        <w:t>و المنتهى</w:t>
      </w:r>
      <w:r>
        <w:rPr>
          <w:rStyle w:val="FootnoteAnchor"/>
          <w:rtl w:val="true"/>
        </w:rPr>
        <w:footnoteReference w:id="2082"/>
      </w:r>
      <w:r>
        <w:rPr>
          <w:rFonts w:ascii="Amiri" w:hAnsi="Amiri" w:eastAsia="Amiri" w:cs="Amiri"/>
          <w:color w:val="111111"/>
          <w:sz w:val="28"/>
          <w:sz w:val="28"/>
          <w:szCs w:val="28"/>
          <w:rtl w:val="true"/>
          <w:lang w:bidi="ar-SA"/>
        </w:rPr>
        <w:t>، كما أنّ التقييد الثاني ينافي إطلاقهم في عدم انفعال الكرّ بالملاقاة، المقتضي لعدم الفرق بين استواء السطوح و اختلافها، المستلزم لأن يكون كلّ من الأعلى و الأسفل متقوّيا بالآخر كما في الكتابين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مرادهم بالدفعة ما يعمّ إلقاء تمام الكرّ عليه في آن واحد عرفي، و وصله إليه إذا كان في غدير يمكن وصله إليه، و منه مسألة الغديرين المتواصلين، لأنّ مناط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الملازمة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عنوان الوحدة فيما بين الماءين من حين اللقاء و لا يتأتّى ذلك إلاّ بأحد الوجهين، هذا مضافا إلى ما ستعرف في الاعتراض على ما يأتي عن صاحب المدارك و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المقصود من اعتبار الدفعة إحراز شرط لا حاجة له عند التحقيق إليها و هو الوحدة بين الماءين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 المدّعى وروده ممّا لا أثر له أصلا، و إلاّ كانت العادة قاضية بنقله إلينا و ضبطه في الكتب لعموم البلوى به و من هنا أنكره في المدارك</w:t>
      </w:r>
      <w:r>
        <w:rPr>
          <w:rStyle w:val="FootnoteAnchor"/>
          <w:rtl w:val="true"/>
        </w:rPr>
        <w:footnoteReference w:id="2083"/>
      </w:r>
      <w:r>
        <w:rPr>
          <w:rFonts w:ascii="Amiri" w:hAnsi="Amiri" w:eastAsia="Amiri" w:cs="Amiri"/>
          <w:color w:val="111111"/>
          <w:sz w:val="28"/>
          <w:sz w:val="28"/>
          <w:szCs w:val="28"/>
          <w:rtl w:val="true"/>
          <w:lang w:bidi="ar-SA"/>
        </w:rPr>
        <w:t xml:space="preserve">، و لو سلّم فهو مرسل لا جابر له، إذ ما تقدّم ممّا ادّعي كونه جابرا لا يصلح جابرا كما هو </w:t>
      </w:r>
    </w:p>
    <w:p>
      <w:pPr>
        <w:pStyle w:val="BookText"/>
        <w:rPr/>
      </w:pPr>
      <w:r>
        <w:rPr>
          <w:rFonts w:ascii="Amiri" w:hAnsi="Amiri" w:eastAsia="Amiri" w:cs="Amiri"/>
          <w:color w:val="111111"/>
          <w:sz w:val="28"/>
          <w:sz w:val="28"/>
          <w:szCs w:val="28"/>
          <w:rtl w:val="true"/>
          <w:lang w:bidi="ar-SA"/>
        </w:rPr>
        <w:t>واضح، مع إمكان كون مراد من ادّعاه به غير معناه المصطلح عليه على أن يكون عطف تصريح الأصحاب عليه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فتحقيق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الدفعة إن اريد بها ما يكون شرطا تعبّديّا فالمتّجه منع اعتبارها، لانتفاء الدلالة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بها ما يكون مقدّمة لإحراز الوحدة بين الماءين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و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الرافعة للتمييز بينهما، فاعتبارها ممّا لا محيص عنه، بناء على ما تقدّم من الملازمة المتوقّفة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يراد بالدفعة حينئذ ما يعمّ الإلقاء في آن واحد، و إيجاد الاتّصال بين الكرّ و المتنجّس في موضع عدم إمكان الإلقاء، كما لو كانا في حوضين أو غديرين فوصل بينهما على وجه صارا حوضا أو غديرا واحدا، و ذلك ممّا لا يقتضي ممازجة و لا مداخلة، و لا يكفي فيه إجراء الكرّ إليه على وجه يدخل فيه جزء فجزء و إن لم يحصل الانقطاع في الأثناء، إذ لا يتحقّق معه الوحدة بينه و بين تمام الكرّ؛ و الوحدة الحاصلة بينه و بين أجزاء الكرّ ليست من الوحدة بينه و بين الكرّ، و ذلك يوجب انفعال كلّ جزء منه يدخل فيه و يتّحد معه، لا لأنّ الكرّ يشترط في عدم انفعاله مساواة السطوح، بل لأنّ الجزء المفروض بمجرّد اتّحاده مع الماء المتنجّس يخرج عن كونه جزء من الكرّ و يدخل في عنوان الجزئيّة للماء المتنجّس، و المفروض أنّه بنفسه غير معتصم فينفعل لا محالة، بل لو دخل فيه كرور كثيرة بهذا الوجه انفعل المجموع بانفعال أجزائها المجتمعة فيه المتّحدة معه، كما لو القي عليه مياه قليلة بدفعات 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ذكرنا من كفاية الاتّصال الحاصل في بعض الصور ينظر ما نسب إلى الشهيد في الذكرى؛ و إن كان لا يوافق ما تقدّم عنه فيه</w:t>
      </w:r>
      <w:r>
        <w:rPr>
          <w:rStyle w:val="FootnoteAnchor"/>
          <w:rtl w:val="true"/>
        </w:rPr>
        <w:footnoteReference w:id="2084"/>
      </w:r>
      <w:r>
        <w:rPr>
          <w:rFonts w:ascii="Amiri" w:hAnsi="Amiri" w:eastAsia="Amiri" w:cs="Amiri"/>
          <w:color w:val="111111"/>
          <w:sz w:val="28"/>
          <w:sz w:val="28"/>
          <w:szCs w:val="28"/>
          <w:rtl w:val="true"/>
          <w:lang w:bidi="ar-SA"/>
        </w:rPr>
        <w:t>أيضا سابقا من الاكتفاء بإلقاء كرّ عليه متّصل مع عدم اشتراط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مراده بالاتّصال هنا اتّصال أجزاء الكرّ الملقى بعضها ببعض، احترازا عمّا القي بدفعات متكرّرة على وجه يتحقّق الانفصال فيما بينها؛ و الاتّصال بهذا المعنى أحد المعاني المتقدّمة للدفعة، فالقول بأنّه لم يشترط الدفعة بإطلاقه في غير محلّه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أنّه لا وقع لما عن المحقّق الشيخ عليّ من الاعتراض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فيه </w:t>
      </w:r>
    </w:p>
    <w:p>
      <w:pPr>
        <w:pStyle w:val="BookText"/>
        <w:rPr/>
      </w:pPr>
      <w:r>
        <w:rPr>
          <w:rFonts w:ascii="Amiri" w:hAnsi="Amiri" w:eastAsia="Amiri" w:cs="Amiri"/>
          <w:color w:val="111111"/>
          <w:sz w:val="28"/>
          <w:sz w:val="28"/>
          <w:szCs w:val="28"/>
          <w:rtl w:val="true"/>
          <w:lang w:bidi="ar-SA"/>
        </w:rPr>
        <w:t>تسامحا لأنّ وصول أوّل جزء منه إلى النجس يقتضي نقصانه عن الكرّ، فلا يطهّر حينئذ و لورود النصّ بالدفعة، و تصريح الأصحاب بها</w:t>
      </w:r>
      <w:r>
        <w:rPr>
          <w:rFonts w:eastAsia="Amiri" w:cs="Amiri" w:ascii="Amiri" w:hAnsi="Amiri"/>
          <w:color w:val="111111"/>
          <w:sz w:val="28"/>
          <w:szCs w:val="28"/>
          <w:rtl w:val="true"/>
          <w:lang w:bidi="ar-SA"/>
        </w:rPr>
        <w:t>»</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وجه الاعتراض إن كان أنّه أهمل الدفعة بالمرّة و لم يعتبرها،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الّذي صرّح به أحد معاني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أنّه لم يعتبر الزيادة على الكرّ في مقام التطهير لئلاّ يخرج عند الاتّصال عن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خروجه عنها باتّصال أوّل جزء منه بالماء المتنجّس، لأنّ مجرّد اتّصاله به بواسطة هذا الجزء يوجب تحقّق الوحدة فيما بينهما الّتي هي مناط حكم التطهير و موضوع الملازمة المتقدّمة المجمع عليها، فإنّ في آن الاتّصال يحصل الوحدة و يقارنها طهره عند ذلك بلا تراخي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كون الوحدة شرطا مأخوذا في موضوع الملازمة فلا بدّ من تقدّمها على الطهر، ضرورة تقدّم الشرط على مشروطه فكيف يقارنها الطهر في آن واحد، لأنّ أقصى ما يقتضيه عنوان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سائر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التقدّم بحسب الذات و هو حاصل في المقام، و لا ينافيه المقارنة بحسب الزمان،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للاعتراض المذكور في شيء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منه هو الاحتمال الأوّل، لكن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بمعنى الدفعة بالمعنى المذكور ليست من الدفعة الّتي هي المقصودة في المقام اللازم اعتبارها، لشموله ما لو دخل فيه الكرّ الواحد على سبيل التدريج و المفروض أنّه غير كاف على التحقيق، فحينئذ كانت الاعتراض بنفسه متّجها غير أنّ صدر العبارة تأبى عن إرادة هذا المعنى؛ و إنّما هو ظاهر في دعوى اعتبار الزيادة على الكرّ، إلاّ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صدرا و ذيلا تتضمّن دعوى 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الكرّ، و قد أشار إليه بصدر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بالمعنى المبحوث عنه، فأشار إليه بدعوى ورود النصّ و التصريح</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 في اعتبار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وصول الجزء إلى النجس لو كان </w:t>
      </w:r>
    </w:p>
    <w:p>
      <w:pPr>
        <w:pStyle w:val="BookText"/>
        <w:rPr/>
      </w:pPr>
      <w:r>
        <w:rPr>
          <w:rFonts w:ascii="Amiri" w:hAnsi="Amiri" w:eastAsia="Amiri" w:cs="Amiri"/>
          <w:color w:val="111111"/>
          <w:sz w:val="28"/>
          <w:sz w:val="28"/>
          <w:szCs w:val="28"/>
          <w:rtl w:val="true"/>
          <w:lang w:bidi="ar-SA"/>
        </w:rPr>
        <w:t>مقتضيا للنقصان لما كانت الزيادة مجدية في رفع المحذور، لأنّ ذلك الاقتضاء لا يستقيم إلاّ مع سبق الجزء على الكلّ في الوصول إليه، فلو فرض الإلقاء على نحو يستلزم سبق بعض الأجزاء على بعض في الوصول فهذا المعنى يتحقّق بالنسبة إلى ما يلحق الجزء الأوّل، فإنّه أيضا سابق بالقياس إلى لاحقه و هكذا إلى أن ينتهي إلى النقصان بل إلى آخر الأجزاء، فيلزم أن لا يطهّر أبدا و لو بإلقاء كرور على هذا الوجه، و 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اعتبارهم الدفعة و تقييدهم إيّاها بالعرفيّة في معنى اعتبار عدم سبق بعض أجزاء الكرّ على بعض آخر في الملاقاة إذا اريد بالسبق وجودا و عدما ما يكون عرفيّا، فإنّ عدم السبق العرفي متحقّق مع الدفعة العرفيّة جزما، و إذا اريد به ما يكون عقليّا فلا يتحقّق الشرط أبدا فيلزم محذور عدم حصول الطهر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يرشد إلى 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الاتّصال بالمعنى الّذي اكتفينا به بالنسبة إلى الغديرين أو الحوضين المتواصلين داخل في الدفعة المشترطة ما في منتهى العلاّمة من تقييد العنوان بالدفعة</w:t>
      </w:r>
      <w:r>
        <w:rPr>
          <w:rStyle w:val="FootnoteAnchor"/>
          <w:rtl w:val="true"/>
        </w:rPr>
        <w:footnoteReference w:id="2087"/>
      </w:r>
      <w:r>
        <w:rPr>
          <w:rFonts w:ascii="Amiri" w:hAnsi="Amiri" w:eastAsia="Amiri" w:cs="Amiri"/>
          <w:color w:val="111111"/>
          <w:sz w:val="28"/>
          <w:sz w:val="28"/>
          <w:szCs w:val="28"/>
          <w:rtl w:val="true"/>
          <w:lang w:bidi="ar-SA"/>
        </w:rPr>
        <w:t>، مع ما عرفت منه من التصريح بكفاية الاتّصال الموجود في الغديرين المتواصلين</w:t>
      </w:r>
      <w:r>
        <w:rPr>
          <w:rStyle w:val="FootnoteAnchor"/>
          <w:rtl w:val="true"/>
        </w:rPr>
        <w:footnoteReference w:id="2088"/>
      </w:r>
      <w:r>
        <w:rPr>
          <w:rFonts w:ascii="Amiri" w:hAnsi="Amiri" w:eastAsia="Amiri" w:cs="Amiri"/>
          <w:color w:val="111111"/>
          <w:sz w:val="28"/>
          <w:sz w:val="28"/>
          <w:szCs w:val="28"/>
          <w:rtl w:val="true"/>
          <w:lang w:bidi="ar-SA"/>
        </w:rPr>
        <w:t xml:space="preserve">، و لا ينبغي أن يكون مراده بالدفعة هنا مجرّد الاتّصال بين أجزاء الكرّ احترازا عمّا يلقى متفرّقة الأجزاء كما فهمه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في شرح الدروس </w:t>
      </w:r>
      <w:r>
        <w:rPr>
          <w:rFonts w:eastAsia="Amiri" w:cs="Amiri" w:ascii="Amiri" w:hAnsi="Amiri"/>
          <w:color w:val="111111"/>
          <w:sz w:val="28"/>
          <w:szCs w:val="28"/>
          <w:rtl w:val="true"/>
          <w:lang w:bidi="ar-SA"/>
        </w:rPr>
        <w:t>-</w:t>
      </w:r>
      <w:r>
        <w:rPr>
          <w:rStyle w:val="FootnoteAnchor"/>
          <w:rtl w:val="true"/>
        </w:rPr>
        <w:footnoteReference w:id="2089"/>
      </w:r>
      <w:r>
        <w:rPr>
          <w:rFonts w:ascii="Amiri" w:hAnsi="Amiri" w:eastAsia="Amiri" w:cs="Amiri"/>
          <w:color w:val="111111"/>
          <w:sz w:val="28"/>
          <w:sz w:val="28"/>
          <w:szCs w:val="28"/>
          <w:rtl w:val="true"/>
          <w:lang w:bidi="ar-SA"/>
        </w:rPr>
        <w:t>لأنّ ذلك مناف لما سمعت عنه في دفع كلام الشيخ في المبسوط</w:t>
      </w:r>
      <w:r>
        <w:rPr>
          <w:rStyle w:val="FootnoteAnchor"/>
          <w:rtl w:val="true"/>
        </w:rPr>
        <w:footnoteReference w:id="2090"/>
      </w:r>
      <w:r>
        <w:rPr>
          <w:rFonts w:ascii="Amiri" w:hAnsi="Amiri" w:eastAsia="Amiri" w:cs="Amiri"/>
          <w:color w:val="111111"/>
          <w:sz w:val="28"/>
          <w:sz w:val="28"/>
          <w:szCs w:val="28"/>
          <w:rtl w:val="true"/>
          <w:lang w:bidi="ar-SA"/>
        </w:rPr>
        <w:t>و ما حكي عنه في التذكرة</w:t>
      </w:r>
      <w:r>
        <w:rPr>
          <w:rStyle w:val="FootnoteAnchor"/>
          <w:rtl w:val="true"/>
        </w:rPr>
        <w:footnoteReference w:id="2091"/>
      </w: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لصاحب المعالم رحمه اللّه تفصيلا في المقام، محكيّا عنه في كلام غير واحد من الأعلام، قائلا في معالمه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في ذلك أنّه لا يخلو إمّا أن يعتبر في عدم انفعال مقدار الكرّ استواء سطحه أو لا، و على الثاني إمّا أن يشترط في التطهير حصول الامتزاج أو لا، و على تقدير عدم الاشتراط إمّا أن يكون حصول النجاسة عن مجرّد الملاقاة أو مع التغيّر، فهاهنا صور أربع</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في عدم انفعال الكرّ استواء السطح، و المتّجه حينئذ اشتراط الدفعة في الإلقاء، لأنّ وقوعه تدريجا يقتضي خروجه عن المساواة فينفعل الأجزاء الّتي </w:t>
      </w:r>
    </w:p>
    <w:p>
      <w:pPr>
        <w:pStyle w:val="BookText"/>
        <w:rPr/>
      </w:pPr>
      <w:r>
        <w:rPr>
          <w:rFonts w:ascii="Amiri" w:hAnsi="Amiri" w:eastAsia="Amiri" w:cs="Amiri"/>
          <w:color w:val="111111"/>
          <w:sz w:val="28"/>
          <w:sz w:val="28"/>
          <w:szCs w:val="28"/>
          <w:rtl w:val="true"/>
          <w:lang w:bidi="ar-SA"/>
        </w:rPr>
        <w:t>يصيبها الماء النجس، و ينقص الطاهر عن الكرّ فلا يصلح لإفادة الطهارة، و لا فرق في ذلك بين المتغيّر و غيره لاشتراك الكلّ في التأثير في القليل، و المفروض صيرورة الأجزاء بعدم المساواة في معنى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يهمل اعتبار المساواة و لكن يشترط الامتزاج، و الوجه حينئذ عدم اعتبار الدفعة بل ما يحصل به ممازجة الطاهر بالنجس و استهلاكه، حتّى لو فرض حصول ذلك قبل إلقاء تمام الكرّ لم يحتج إلى الباقي، و لم يفرّق هنا أيضا بين المتغيّر و غيره، لكن يعتبر في المتغيّر مع الممازجة زوال تغيّره، فيجب أن يلقى عليه من مقدار الكرّ ما يحصل به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قوّة المتغيّر بحيث يلزم منه تغيّر شيء من أجزاء الكرّ حال وقوعها عليه وجب مراعاة ما يؤمن معه ذلك الأمر بتكثّر الأجزاء أو بإلقاء الجميع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يشترط الممازجة و لا يعتبر المساواة و يكون نجاسة الماء بمجرّد الملاقاة، و المتّجه حينئذ الاكتفاء بمجرّد الاتّصال، فإذا حصل بأقلّ مسمّاه كفى و لم يحتج إلى الزيادة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لكن كان النجاسة للتغيّر، و المعتبر حينئذ اندفاع التغيّر كما في صورة اشتراط الامتزاج، و حينئذ لو فرض تأثير المتغيّر في بعض الأجزاء يتعيّن الدفعة و ما جرى مجراها كما ذكر، و حيث قد تقدّم منّا الميل إلى اعتبار المساواة فاعتبار الدفعة متعيّن</w:t>
      </w:r>
      <w:r>
        <w:rPr>
          <w:rFonts w:eastAsia="Amiri" w:cs="Amiri" w:ascii="Amiri" w:hAnsi="Amiri"/>
          <w:color w:val="111111"/>
          <w:sz w:val="28"/>
          <w:szCs w:val="28"/>
          <w:rtl w:val="true"/>
          <w:lang w:bidi="ar-SA"/>
        </w:rPr>
        <w:t>»</w:t>
      </w:r>
      <w:r>
        <w:rPr>
          <w:rStyle w:val="FootnoteAnchor"/>
          <w:rtl w:val="true"/>
        </w:rPr>
        <w:footnoteReference w:id="20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ما في هذا التفصيل من الخروج عن السداد، و العدول في جميع صوره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ما حقّقه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ابتناء اعتبار الدفعة هنا على اشتراط مساواة السطوح في عدم انفعال الكرّ، فإنّ القول باشتراط المساواة إنّما نشأ عن توهّم توقّف اعتصام الكرّ عن الانفعال على صدق عنوان الوحدة على ما يصدق عليه عنوان الكرّيّة، و لا يتأتّى ذلك إلاّ مع مساواة السطوح</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اعتصام الكرّ عن الانفعال يتوقّف على صدق الوحدة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طهر الماء النجس بإلقاء الكرّ يتوقّف على صدق عنوان الوحدة على المجموع منه و من الكرّ الملقى عليه و لا يتأتّى ذلك إلاّ مع الدفعة، إذ الوحدة الحاصلة مع التدريج حاصلة بينه و بين أبعاض الكرّ لا بينه و بين الكرّ، و لازمه انفعال الأبعاض بمجرّد الملاقاة، سواء قلنا باشتراط المساواة في الاعتصام عن الانفعال في غير الصورة المفروضة أو لم نقل، فلا معنى لتفريع اشتراط الدفعة على أحد القولين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باشتراط المساواة فالمقتضي لانفعال الأجزاء ليس هو صيرورتها من جهة عدم المساواة في معنى القليل، بل خروجها بمجرّد الدخول في الماء المتنجّس عن جزئيّة الكرّ و اتّحادها مع النجس؛ بناء على الملازمة الثانية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جميعا انقدح ضعف ما ذكره في الصورة الثانية من اعتبار ما يحصل به الممازجة دون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الإهمال في اعتبار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غير كاف جزما؛ هذا مضافا إلى بطلان ما ذكره من عدم الاحتياج إلى القاء تمام الكرّ لو فرض استهلاك الماء النجس بالطاهر قبل إلقاء التمام، فإنّ الحكم معلّق على عنوان الكرّيّة مع تحقّق الوحدة بين الماءين كما عرفت؛ و كيف يجتمع هذا العنوان قبل إلقاء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الاستهلاك لو اريد به مجرّد زوال الامتياز في نظر الحسّ فهو معتبر بالقياس إلى نفس الكرّ لا مجرّد ما حصل منه الممازجة بينه و بين النجس، و لو اريد به مقهوريّة النجس في جنب الطاهر الممازج معه فهو 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بين ما لو كان الطاهر الملقى قريبا من الكرّ، بل كثيرا غير بالغ حدّ الكرّيّة و كان النجس بالقياس إليه أقلّ قليل، فبناء على عدم الحاجة إلى إلقاء تمام الكرّ على تقدير حصول الاستهلاك يلزم حصول الطهر في تلك الصورة أيضا، لأنّ وجود ما لا يحتاج إلى إلقائه بمنزلة عدمه؛ فأين اعتبار الكرّيّة المجمع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التمام إنّما هو لحفظ المطهّر عن الانفعال، لكنّه لا يجدي في دفع محذور عدم اعتبار الكرّيّة في مسألة التطهير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أيضا عدم كون ما ذكره في حكم الصورة الثالثة على ما ينبغي؛ فإنّ مسمّى الاتّصال غير كاف جزما حيث لم يرد فيه نصّ لفظي؛ و لا أنّ الاتّصال مأخوذ عنوانا في الأدلّة اللفظيّة حتّى يكتفى بمسمّاه بناء على الإطلاق، و إنّما الحكم مستفاد من الإجماع </w:t>
      </w:r>
      <w:bookmarkStart w:id="753" w:name="pg16144_233500"/>
    </w:p>
    <w:p>
      <w:pPr>
        <w:pStyle w:val="BookText"/>
        <w:rPr/>
      </w:pPr>
      <w:bookmarkEnd w:id="753"/>
      <w:r>
        <w:rPr>
          <w:rFonts w:ascii="Amiri" w:hAnsi="Amiri" w:eastAsia="Amiri" w:cs="Amiri"/>
          <w:color w:val="111111"/>
          <w:sz w:val="28"/>
          <w:sz w:val="28"/>
          <w:szCs w:val="28"/>
          <w:rtl w:val="true"/>
          <w:lang w:bidi="ar-SA"/>
        </w:rPr>
        <w:t xml:space="preserve">معلّق على وصفي الكرّيّة و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الاتّصال بقدر ما يجمع معه الوصفان؛ على معنى أن يصدق الوحدة عرفا على الماء النجس مع الكرّ الملقى عليه و غيره، و لو مع القول بعدم اشتراط الممازجة و لا المساواة في عدم انفعال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الضعف في حكم الصورة الرابعة، فإنّ مجرّد الزوال غير كاف في الطهر لو فرض حصوله بما دون الكرّ أو ببعضه، لما تبيّن سابقا من أنّ الكرّيّة إنّما اعتبرت لا لزوال التغيّر، و اعتبار زوال التغيّر المصرّح به في كلامهم ليس من جهة أنّه بنفسه مقتض للطهر كما قيل به في الكرّ أو الجاري المتغيّر؛ بل من جهة أنّ وجوده و بقاءه مانع عن حصول الطهر بالكرّ؛ و إذ قد عرفت أنّ الكرّ بشرط اتّحاده مع النجس مناط للحكم فلا بدّ من اعتبار الدفعة أو الاتّصال الرافعين للتمييز بين الماءين، سواء زال التغيّر بدون ذلك أو لا، و سواء أهملنا اعتبار الممازجة و المساواة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محصّل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الدفعة بالمعنى الشامل للاتّصال الرافع للتمييز ممّا لا محيص عنه في كلّ التقادير؛ و من هنا وردت الفتاوى في اعتبار الدفعة مطلقة، و لا يقدح في اعتبارها من جهة الإجماع على الملازمة الثالثة عدم ورود اعتبارها في كلام بعضهم، أو تصريحه بعدم الاعتبار، لأنّ ذلك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تحقّقها و استقرارها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أمر صغروي و هو أنّ الوحدة ربّما تحصل بدون الدفعة، فإنّا أيضا نوافق على هذه الدعوى على تقدير صدق الفرض و صحّته؛ ضرورة أنّ الدفعة إنّما نعتبرها توصّلا إلى إحراز الوحدة لا تعبّدا</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804932_1280447820"/>
      <w:bookmarkStart w:id="755" w:name="_Toc297"/>
      <w:bookmarkEnd w:id="754"/>
      <w:r>
        <w:rPr>
          <w:rtl w:val="true"/>
        </w:rPr>
        <w:t>و ثانيها</w:t>
      </w:r>
      <w:r>
        <w:rPr>
          <w:rtl w:val="true"/>
        </w:rPr>
        <w:t xml:space="preserve">: </w:t>
      </w:r>
      <w:r>
        <w:rPr>
          <w:rtl w:val="true"/>
        </w:rPr>
        <w:t>النظر في اعتبار الامتزاج و عدمه،</w:t>
      </w:r>
      <w:bookmarkEnd w:id="755"/>
    </w:p>
    <w:p>
      <w:pPr>
        <w:pStyle w:val="Heading6"/>
        <w:numPr>
          <w:ilvl w:val="5"/>
          <w:numId w:val="1"/>
        </w:numPr>
        <w:rPr/>
      </w:pPr>
      <w:bookmarkStart w:id="756" w:name="__RefHeading___Toc1804934_1280447820"/>
      <w:bookmarkStart w:id="757" w:name="_Toc298"/>
      <w:bookmarkEnd w:id="756"/>
      <w:r>
        <w:rPr>
          <w:rtl w:val="true"/>
        </w:rPr>
        <w:t>اشارة</w:t>
      </w:r>
      <w:bookmarkEnd w:id="757"/>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أيضا ممّا اختلفت فيه كلمة الأصحاب، و قد عرفت عن العلاّمة في المنتهى</w:t>
      </w:r>
      <w:r>
        <w:rPr>
          <w:rStyle w:val="FootnoteAnchor"/>
          <w:rtl w:val="true"/>
        </w:rPr>
        <w:footnoteReference w:id="2093"/>
      </w:r>
      <w:r>
        <w:rPr>
          <w:rFonts w:ascii="Amiri" w:hAnsi="Amiri" w:eastAsia="Amiri" w:cs="Amiri"/>
          <w:color w:val="111111"/>
          <w:sz w:val="28"/>
          <w:sz w:val="28"/>
          <w:szCs w:val="28"/>
          <w:rtl w:val="true"/>
          <w:lang w:bidi="ar-SA"/>
        </w:rPr>
        <w:t>التصريح بكفاية الاتّصال في مسألة الغديرين عند دفع كلام المحقّق، و عزى إليه أيضا في التحرير</w:t>
      </w:r>
      <w:r>
        <w:rPr>
          <w:rStyle w:val="FootnoteAnchor"/>
          <w:rtl w:val="true"/>
        </w:rPr>
        <w:footnoteReference w:id="2094"/>
      </w:r>
      <w:r>
        <w:rPr>
          <w:rFonts w:ascii="Amiri" w:hAnsi="Amiri" w:eastAsia="Amiri" w:cs="Amiri"/>
          <w:color w:val="111111"/>
          <w:sz w:val="28"/>
          <w:sz w:val="28"/>
          <w:szCs w:val="28"/>
          <w:rtl w:val="true"/>
          <w:lang w:bidi="ar-SA"/>
        </w:rPr>
        <w:t>و النهاية</w:t>
      </w:r>
      <w:r>
        <w:rPr>
          <w:rStyle w:val="FootnoteAnchor"/>
          <w:rtl w:val="true"/>
        </w:rPr>
        <w:footnoteReference w:id="2095"/>
      </w:r>
      <w:r>
        <w:rPr>
          <w:rFonts w:ascii="Amiri" w:hAnsi="Amiri" w:eastAsia="Amiri" w:cs="Amiri"/>
          <w:color w:val="111111"/>
          <w:sz w:val="28"/>
          <w:sz w:val="28"/>
          <w:szCs w:val="28"/>
          <w:rtl w:val="true"/>
          <w:lang w:bidi="ar-SA"/>
        </w:rPr>
        <w:t>، و هو محكيّ عن المحقّق و الشهيد الثانيين</w:t>
      </w:r>
      <w:r>
        <w:rPr>
          <w:rStyle w:val="FootnoteAnchor"/>
          <w:rtl w:val="true"/>
        </w:rPr>
        <w:footnoteReference w:id="2096"/>
      </w:r>
      <w:r>
        <w:rPr>
          <w:rFonts w:ascii="Amiri" w:hAnsi="Amiri" w:eastAsia="Amiri" w:cs="Amiri"/>
          <w:color w:val="111111"/>
          <w:sz w:val="28"/>
          <w:sz w:val="28"/>
          <w:szCs w:val="28"/>
          <w:rtl w:val="true"/>
          <w:lang w:bidi="ar-SA"/>
        </w:rPr>
        <w:t>، و هو ظاهر المحقّق في الشرائع</w:t>
      </w:r>
      <w:r>
        <w:rPr>
          <w:rStyle w:val="FootnoteAnchor"/>
          <w:rtl w:val="true"/>
        </w:rPr>
        <w:footnoteReference w:id="2097"/>
      </w:r>
      <w:r>
        <w:rPr>
          <w:rFonts w:ascii="Amiri" w:hAnsi="Amiri" w:eastAsia="Amiri" w:cs="Amiri"/>
          <w:color w:val="111111"/>
          <w:sz w:val="28"/>
          <w:sz w:val="28"/>
          <w:szCs w:val="28"/>
          <w:rtl w:val="true"/>
          <w:lang w:bidi="ar-SA"/>
        </w:rPr>
        <w:t xml:space="preserve">حيث أطلق إلقاء </w:t>
      </w:r>
    </w:p>
    <w:p>
      <w:pPr>
        <w:pStyle w:val="BookText"/>
        <w:rPr/>
      </w:pPr>
      <w:r>
        <w:rPr>
          <w:rFonts w:ascii="Amiri" w:hAnsi="Amiri" w:eastAsia="Amiri" w:cs="Amiri"/>
          <w:color w:val="111111"/>
          <w:sz w:val="28"/>
          <w:sz w:val="28"/>
          <w:szCs w:val="28"/>
          <w:rtl w:val="true"/>
          <w:lang w:bidi="ar-SA"/>
        </w:rPr>
        <w:t>الكرّ دفعة خلافا لجماعة،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بالامتزاج لم يعرف ممّن قبل المحقّق في المعتبر</w:t>
      </w:r>
      <w:r>
        <w:rPr>
          <w:rStyle w:val="FootnoteAnchor"/>
          <w:rtl w:val="true"/>
        </w:rPr>
        <w:footnoteReference w:id="2098"/>
      </w:r>
      <w:r>
        <w:rPr>
          <w:rFonts w:ascii="Amiri" w:hAnsi="Amiri" w:eastAsia="Amiri" w:cs="Amiri"/>
          <w:color w:val="111111"/>
          <w:sz w:val="28"/>
          <w:sz w:val="28"/>
          <w:szCs w:val="28"/>
          <w:rtl w:val="true"/>
          <w:lang w:bidi="ar-SA"/>
        </w:rPr>
        <w:t xml:space="preserve">، و ربّما عزى إلى الشيخ في الخلاف مستشهدا بأنّه في الاستدلال على طهر الكثير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يرد عليه من الكثير ما يزيل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البالغ الوارد لو وقع فيه عين النجاسة لم ينجّس؛ و الماء المتنجّس ليس بأكثر من عين النجاسة</w:t>
      </w:r>
      <w:r>
        <w:rPr>
          <w:rFonts w:eastAsia="Amiri" w:cs="Amiri" w:ascii="Amiri" w:hAnsi="Amiri"/>
          <w:color w:val="111111"/>
          <w:sz w:val="28"/>
          <w:szCs w:val="28"/>
          <w:rtl w:val="true"/>
          <w:lang w:bidi="ar-SA"/>
        </w:rPr>
        <w:t>»</w:t>
      </w:r>
      <w:r>
        <w:rPr>
          <w:rStyle w:val="FootnoteAnchor"/>
          <w:rtl w:val="true"/>
        </w:rPr>
        <w:footnoteReference w:id="2099"/>
      </w:r>
      <w:r>
        <w:rPr>
          <w:rFonts w:ascii="Amiri" w:hAnsi="Amiri" w:eastAsia="Amiri" w:cs="Amiri"/>
          <w:color w:val="111111"/>
          <w:sz w:val="28"/>
          <w:sz w:val="28"/>
          <w:szCs w:val="28"/>
          <w:rtl w:val="true"/>
          <w:lang w:bidi="ar-SA"/>
        </w:rPr>
        <w:t>، ثمّ ذكر في القليل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يطهّر إلاّ بورود كرّ عليه لما ذكرنا من الدليل</w:t>
      </w:r>
      <w:r>
        <w:rPr>
          <w:rFonts w:eastAsia="Amiri" w:cs="Amiri" w:ascii="Amiri" w:hAnsi="Amiri"/>
          <w:color w:val="111111"/>
          <w:sz w:val="28"/>
          <w:szCs w:val="28"/>
          <w:rtl w:val="true"/>
          <w:lang w:bidi="ar-SA"/>
        </w:rPr>
        <w:t>»</w:t>
      </w:r>
      <w:r>
        <w:rPr>
          <w:rStyle w:val="FootnoteAnchor"/>
          <w:rtl w:val="true"/>
        </w:rPr>
        <w:footnoteReference w:id="21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في وجه الاستشهاد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تمسّكه بأولويّة المتنجّس بالطهارة من عين النجاسة لا يصحّ إلاّ مع امتزاجه بالكرّ و استهلاكه؛ إذ مع الامتياز لا يطهر عين النجاسة حتّى يقاس عليه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الاشتباه الواضح، فإنّ الأولويّة المشار إليها هنا مدّعاة في عدم انفعال الكثير الملقى على المتنجّس لتطهيره، لا في طهر المتنجّس و زوال نجاسته، و أحدهما ليس بعين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إليه الإشارة من الملازمة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إذا القي على المتنجّس فلا محالة إمّا أن يتأثّر هو من المتنجّس فينجس، أو يتأثّر المتنجّس منه فيطهر، و الأوّل ممّا لا سبيل إليه، لأنّ الكثير من حكمه أن لا ينجس بمجرّد ملاقاة عين النجاسة فكيف بالمتنجّس و هو أهون من العين، فإنّه أولى بعدم التأثير لعرضيّة نجاسته، فتعيّن الثاني لبطلان الواسطة بالإجماع على الملازمة، و هذا المعنى على ما هو صريح العبارة ممّا لا ربط له بما ذكر و لا فيه إشعار باعتبار الممازجة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يستظهر القول بالامتزاج من كلّ من ذكر في الجاري المتغيّر أنّه يطهّر بتدافع الماء من المادّة و تكاثره حتّى يزول التغيّر، كما في المقنعة</w:t>
      </w:r>
      <w:r>
        <w:rPr>
          <w:rStyle w:val="FootnoteAnchor"/>
          <w:rtl w:val="true"/>
        </w:rPr>
        <w:footnoteReference w:id="2101"/>
      </w:r>
      <w:r>
        <w:rPr>
          <w:rFonts w:ascii="IRNazanin" w:hAnsi="IRNazanin" w:eastAsia="IRNazanin"/>
          <w:color w:val="111111"/>
          <w:sz w:val="28"/>
          <w:sz w:val="28"/>
          <w:szCs w:val="28"/>
          <w:rtl w:val="true"/>
          <w:lang w:bidi="fa-IR"/>
        </w:rPr>
        <w:t>و المبسوط</w:t>
      </w:r>
      <w:r>
        <w:rPr>
          <w:rStyle w:val="FootnoteAnchor"/>
          <w:rtl w:val="true"/>
        </w:rPr>
        <w:footnoteReference w:id="2102"/>
      </w:r>
      <w:r>
        <w:rPr>
          <w:rFonts w:ascii="IRNazanin" w:hAnsi="IRNazanin" w:eastAsia="IRNazanin"/>
          <w:color w:val="111111"/>
          <w:sz w:val="28"/>
          <w:sz w:val="28"/>
          <w:szCs w:val="28"/>
          <w:rtl w:val="true"/>
          <w:lang w:bidi="fa-IR"/>
        </w:rPr>
        <w:t xml:space="preserve">و السرائر </w:t>
      </w:r>
      <w:r>
        <w:rPr>
          <w:rStyle w:val="FootnoteAnchor"/>
          <w:rtl w:val="true"/>
        </w:rPr>
        <w:footnoteReference w:id="2103"/>
      </w:r>
      <w:r>
        <w:rPr>
          <w:rFonts w:ascii="Amiri" w:hAnsi="Amiri" w:eastAsia="Amiri" w:cs="Amiri"/>
          <w:color w:val="111111"/>
          <w:sz w:val="28"/>
          <w:sz w:val="28"/>
          <w:szCs w:val="28"/>
          <w:rtl w:val="true"/>
          <w:lang w:bidi="ar-SA"/>
        </w:rPr>
        <w:t>و الوسيلة؛</w:t>
      </w:r>
      <w:r>
        <w:rPr>
          <w:rStyle w:val="FootnoteAnchor"/>
          <w:rtl w:val="true"/>
        </w:rPr>
        <w:footnoteReference w:id="2104"/>
      </w:r>
      <w:r>
        <w:rPr>
          <w:rFonts w:ascii="Amiri" w:hAnsi="Amiri" w:eastAsia="Amiri" w:cs="Amiri"/>
          <w:color w:val="111111"/>
          <w:sz w:val="28"/>
          <w:sz w:val="28"/>
          <w:szCs w:val="28"/>
          <w:rtl w:val="true"/>
          <w:lang w:bidi="ar-SA"/>
        </w:rPr>
        <w:t xml:space="preserve">فإنّ اعتبار زوال التغيّر بالتدافع و التكاثر لا يكون إلاّ لاعتبار الامتزاج، إذ لو </w:t>
      </w:r>
    </w:p>
    <w:p>
      <w:pPr>
        <w:pStyle w:val="BookText"/>
        <w:rPr/>
      </w:pPr>
      <w:r>
        <w:rPr>
          <w:rFonts w:ascii="Amiri" w:hAnsi="Amiri" w:eastAsia="Amiri" w:cs="Amiri"/>
          <w:color w:val="111111"/>
          <w:sz w:val="28"/>
          <w:sz w:val="28"/>
          <w:szCs w:val="28"/>
          <w:rtl w:val="true"/>
          <w:lang w:bidi="ar-SA"/>
        </w:rPr>
        <w:t>كفى الاتّصال كان الطهر بمجرّد زوال التغيّر كما في اللمعة</w:t>
      </w:r>
      <w:r>
        <w:rPr>
          <w:rStyle w:val="FootnoteAnchor"/>
          <w:rtl w:val="true"/>
        </w:rPr>
        <w:footnoteReference w:id="2105"/>
      </w:r>
      <w:r>
        <w:rPr>
          <w:rFonts w:ascii="Amiri" w:hAnsi="Amiri" w:eastAsia="Amiri" w:cs="Amiri"/>
          <w:color w:val="111111"/>
          <w:sz w:val="28"/>
          <w:sz w:val="28"/>
          <w:szCs w:val="28"/>
          <w:rtl w:val="true"/>
          <w:lang w:bidi="ar-SA"/>
        </w:rPr>
        <w:t>و الجعفريّة</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أيضا بمكان من الوهن، فإنّ إفراد الجاري المتغيّر بهذا التعبير و جعل اعتبار الوصفين مغيّا بغاية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استلزامهما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كون ذلك لتوقّف الطهر عليه، مع ملاحظة أنّ توقّف زوال التغيّر في الغالب عليهما أمر حسّي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هذا التعبير في الجاري المتغيّر نظير تعبيرهم في القليل المتغيّر بأنّه يطهّر بإلقاء كرّ عليه فما زاد كما في الشرائع</w:t>
      </w:r>
      <w:r>
        <w:rPr>
          <w:rStyle w:val="FootnoteAnchor"/>
          <w:rtl w:val="true"/>
        </w:rPr>
        <w:footnoteReference w:id="2107"/>
      </w:r>
      <w:r>
        <w:rPr>
          <w:rFonts w:ascii="Amiri" w:hAnsi="Amiri" w:eastAsia="Amiri" w:cs="Amiri"/>
          <w:color w:val="111111"/>
          <w:sz w:val="28"/>
          <w:sz w:val="28"/>
          <w:szCs w:val="28"/>
          <w:rtl w:val="true"/>
          <w:lang w:bidi="ar-SA"/>
        </w:rPr>
        <w:t>و غيره؛ مع إجماعهم على أنّ الزيادة على الكرّيّة لا تعتبر إلاّ حيث يتوقّف عليها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الواقف إنّما يطهّر بإلقاء كرّ عليه دفعة من المطلق بحيث يزول تغيّره، و إن لم يزل فبإلقاء كرّ آخر عليه و هكذا</w:t>
      </w:r>
      <w:r>
        <w:rPr>
          <w:rFonts w:eastAsia="Amiri" w:cs="Amiri" w:ascii="Amiri" w:hAnsi="Amiri"/>
          <w:color w:val="111111"/>
          <w:sz w:val="28"/>
          <w:szCs w:val="28"/>
          <w:rtl w:val="true"/>
          <w:lang w:bidi="ar-SA"/>
        </w:rPr>
        <w:t>»</w:t>
      </w:r>
      <w:r>
        <w:rPr>
          <w:rStyle w:val="FootnoteAnchor"/>
          <w:rtl w:val="true"/>
        </w:rPr>
        <w:footnoteReference w:id="2108"/>
      </w:r>
      <w:r>
        <w:rPr>
          <w:rFonts w:ascii="Amiri" w:hAnsi="Amiri" w:eastAsia="Amiri" w:cs="Amiri"/>
          <w:color w:val="111111"/>
          <w:sz w:val="28"/>
          <w:sz w:val="28"/>
          <w:szCs w:val="28"/>
          <w:rtl w:val="true"/>
          <w:lang w:bidi="ar-SA"/>
        </w:rPr>
        <w:t>و قال أيضا بعد ذلك بقليل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و إن لم يتغيّر بالنجاسة فطريق تطهيره بإلقاء كرّ عليه أيضا دفعة، فإن زال تغيّره فقد طهر إجماعا، و إن لم يزل وجب إلقاء كرّ آخر و هكذا إلى أن يزول التغيّر</w:t>
      </w:r>
      <w:r>
        <w:rPr>
          <w:rFonts w:eastAsia="Amiri" w:cs="Amiri" w:ascii="Amiri" w:hAnsi="Amiri"/>
          <w:color w:val="111111"/>
          <w:sz w:val="28"/>
          <w:szCs w:val="28"/>
          <w:rtl w:val="true"/>
          <w:lang w:bidi="ar-SA"/>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فاعتبار التدافع و التكاثر في كلامهم ليس إلاّ من حيث توقّف زوال التغيّر عليهما، و لذا أنّ العلاّمة في المنتهى صدر منه العبارة المذكورة بعينها مع أنّ ظاهره فيه بل صريحه في بعض مواضع منه كفاية مجرّد الاتّصال و عدم اعتبار الامتزاج، فما عن جامع المقاصد </w:t>
      </w:r>
      <w:r>
        <w:rPr>
          <w:rStyle w:val="FootnoteAnchor"/>
          <w:rtl w:val="true"/>
        </w:rPr>
        <w:footnoteReference w:id="2110"/>
      </w:r>
      <w:r>
        <w:rPr>
          <w:rFonts w:ascii="Amiri" w:hAnsi="Amiri" w:eastAsia="Amiri" w:cs="Amiri"/>
          <w:color w:val="111111"/>
          <w:sz w:val="28"/>
          <w:sz w:val="28"/>
          <w:szCs w:val="28"/>
          <w:rtl w:val="true"/>
          <w:lang w:bidi="ar-SA"/>
        </w:rPr>
        <w:t>أيضا من جعله التعبير بتلك العبارة مبنيّا على اعتبار الامتزاج،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صريحا لم يثبت إلاّ من المحقّق و العلاّمة و الشهيد في المعتبر و التذكرة و الذكرى، فعن المعتبر في مسألة الغديرين المتواصلين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نقص الغدير عن كرّ فوصل بغدير آخر فيه كرّ ففي طهارته تردّد؛ و الأشبه بقاؤه على النجاسة لأنّه ممتاز عن الطاهر، و النجس لو غلب الطاهر ينجّسه مع ممازجته فكيف مع مباينته</w:t>
      </w:r>
      <w:r>
        <w:rPr>
          <w:rFonts w:eastAsia="Amiri" w:cs="Amiri" w:ascii="Amiri" w:hAnsi="Amiri"/>
          <w:color w:val="111111"/>
          <w:sz w:val="28"/>
          <w:szCs w:val="28"/>
          <w:rtl w:val="true"/>
          <w:lang w:bidi="ar-SA"/>
        </w:rPr>
        <w:t>»</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يستظهر ذلك من كلامه الآخر فيه،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طهارة القليل النجس بورود كرّ من الماء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الوارد لا يقبل النجاسة و النجس مستهلك</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فإنّه كالصريح في اعتبار الامتزاج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ضعفه واضح بعد ملاحظة ما ذكرناه في المسألة المتقدّمة من ظهور كون الاستهلاك بالنسبة إلى النجس مرادا به فوات التمييز بينه و بين الكرّ، و هذا كما ترى يحصل بغير الامتزاج أيضا، كيف لا مع أنّ الاستهلاك بالمعنى الّذي يحصل من المداخلة و الامتزاج في كثير من صور المسألة متساوي إلى الطاهر و النجس، كما لو كان النجس أقلّ من الكرّ الطاهر بيسير، فالقول بتحقّق الاستهلاك في مثل ذلك بالنسبة إلى النجس ليس بأولى من القول بتحقّقه بالنسبة إلى الكرّ الطاهر؛ فلو لا أنّ المناط حينئذ انتفاء التمايز بينهما الموجب لجريان الملازمة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إليها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لاتّجه الحكم بنجاسة الطاهر لمكان الاستهلاك الموجب للنجاسة عندهم،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وصل بين الغديرين بساقية اتّحدا إن اعتدل الماء، و إلاّ ففي حقّ السافل، فلو نقص الأعلى عن الكرّ انفعل بالملاقاة؛ فلو كان أحدهما نجسا فالأقرب بقاؤه على حكمه مع الاتّصال، و انتقاله إلى الطهارة مع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النجس لو غلب على الطاهر نجّسه مع الممازجة فمع التمييز يبقى على النجاسة</w:t>
      </w:r>
      <w:r>
        <w:rPr>
          <w:rFonts w:eastAsia="Amiri" w:cs="Amiri" w:ascii="Amiri" w:hAnsi="Amiri"/>
          <w:color w:val="111111"/>
          <w:sz w:val="28"/>
          <w:szCs w:val="28"/>
          <w:rtl w:val="true"/>
          <w:lang w:bidi="ar-SA"/>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 القليل بمطهّر الكثير ممازجا، فلو وصل بكرّ مماسّة لم يطهّر، للتمييز المقتضي لاختصاص كلّ بحكمه</w:t>
      </w:r>
      <w:r>
        <w:rPr>
          <w:rStyle w:val="FootnoteAnchor"/>
          <w:rtl w:val="true"/>
        </w:rPr>
        <w:footnoteReference w:id="211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يستظهر ذلك عن كلامه الآخر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نبع الكثير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فامتزج طهّره، لصيرورتهما ماء واحدا، أمّا لو كان رشحا لم يطهّر لعدم الكثرة الفعليّة</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نظرا إلى أنّ مراده من الكثرة الفعليّة ما يحصل به الامتزاج لا بلوغ الكرّ، إذ لا يعتبر عنده الكرّيّة في النابع، و لو فرض النابع في كلامه بئرا أو كونه قائلا بانفعال مطلق النابع القليل كان اللازم تعليل الحكم بنجاسة النابع بالملاقاة كما في المعتبر</w:t>
      </w:r>
      <w:r>
        <w:rPr>
          <w:rStyle w:val="FootnoteAnchor"/>
          <w:rtl w:val="true"/>
        </w:rPr>
        <w:footnoteReference w:id="2116"/>
      </w:r>
      <w:r>
        <w:rPr>
          <w:rFonts w:ascii="IRNazanin" w:hAnsi="IRNazanin" w:eastAsia="IRNazanin"/>
          <w:color w:val="111111"/>
          <w:sz w:val="28"/>
          <w:sz w:val="28"/>
          <w:szCs w:val="28"/>
          <w:rtl w:val="true"/>
          <w:lang w:bidi="fa-IR"/>
        </w:rPr>
        <w:t>و المنتهى</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أيضا بما فيه من الخروج عن استقامة السليقة، فإنّه فرض النبع في الكثير إذا تحقّق من تحت النجس كالفوّارة، فليس مراده به النابع المصطلح عليه في الجاري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يقول بانفعال قليله، و من المعلوم أنّ مطهّر القليل اتّحاده مع </w:t>
      </w:r>
    </w:p>
    <w:p>
      <w:pPr>
        <w:pStyle w:val="BookText"/>
        <w:rPr/>
      </w:pPr>
      <w:r>
        <w:rPr>
          <w:rFonts w:ascii="Amiri" w:hAnsi="Amiri" w:eastAsia="Amiri" w:cs="Amiri"/>
          <w:color w:val="111111"/>
          <w:sz w:val="28"/>
          <w:sz w:val="28"/>
          <w:szCs w:val="28"/>
          <w:rtl w:val="true"/>
          <w:lang w:bidi="ar-SA"/>
        </w:rPr>
        <w:t xml:space="preserve">الكرّ الفعلي، بأن يتّحد مع نفس الكرّ دون ما يرشّح منه شيئا فشيئا، فمراده بعدم الكثرة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الإشارة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الفعليّة فيما يحصل الاتّحاد بينه و بين المتنجّس الّتي هي مناط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فالعبارات المذكورة من هؤلاء الأساطين صريحة في اعتبار الممازجة، غير أنّه لا يتحقّق بمجرّد ذلك إجماع و لا شهرة في الاعتبار، فلا ندري أنّ دعوى الشهرة أو الأشهريّة من أين حصلت؟ مع أنّها معارضة بعباراتهم الاخر الّتي هي بين صريحة و ظاهرة في عدم الاعتبار كما عرفته عن العلاّمة في كتبه المتقدّم إليها الإشارة؛</w:t>
      </w:r>
      <w:r>
        <w:rPr>
          <w:rStyle w:val="FootnoteAnchor"/>
          <w:rtl w:val="true"/>
        </w:rPr>
        <w:footnoteReference w:id="2118"/>
      </w:r>
      <w:r>
        <w:rPr>
          <w:rFonts w:ascii="Amiri" w:hAnsi="Amiri" w:eastAsia="Amiri" w:cs="Amiri"/>
          <w:color w:val="111111"/>
          <w:sz w:val="28"/>
          <w:sz w:val="28"/>
          <w:szCs w:val="28"/>
          <w:rtl w:val="true"/>
          <w:lang w:bidi="ar-SA"/>
        </w:rPr>
        <w:t>و عن ظاهر الشرائع و هو المحكيّ عن اللمعة، فيحتمل حينئذ رجوعهم عمّا بنوا عليه الأمر أوّلا من اعتبار الممازجة، مع أنّ التعليلات الواردة في عباراتهم المتقدّمة تقضي بأنّه ليس بشرط تعبّدي، و إنّما هو معتبر لإحراز الوحدة بين الماءين و رفع التمييز الّذي يوجب لأن يلحق كلّ واحد حكمه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مناط الحكم هو هذا،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يتأتّى مع عدم الممازجة أيضا، فقضيّة ذلك إناطة الحكم بالوحدة الرافعة للتمييز، و جعل الممازجة و غيرها كالدفعة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بنينا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لها، فيقال باعتبار كلّ في موضع التوقّف عليه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ينقل في المقام قول ثالث، و هو التفصيل بين الجاري و ماء الحمّام و بين غيرهما، فيشترط الامتزاج في الأوّلين، و نسب إلى ظاهر المنتهى و النهاية و التحرير و الموجز و شرحه</w:t>
      </w:r>
      <w:r>
        <w:rPr>
          <w:rStyle w:val="FootnoteAnchor"/>
          <w:rtl w:val="true"/>
        </w:rPr>
        <w:footnoteReference w:id="2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نهاية الإحكام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الموجز 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الالتباس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إنّهم حكموا بالطهارة بتواصل الغديرين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عبّروا في الجاري بأنّه يطهّر بالتدافع و 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اعتبروا في طهارة ماء الحمّام استيلاء الماء من المادّة عليه 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عدم تساوي سطح الطاهر و النجس كما في الأخيرين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في توجيه ما ذكروه في الجاري يظهر ضعف هذا الاستظهار بالنسبة إلى الجاري من العبارة المذكورة؛ و أمّا بالنسبة إلى ماء الحمّام فقد قيل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بظهور </w:t>
      </w:r>
    </w:p>
    <w:p>
      <w:pPr>
        <w:pStyle w:val="BookText"/>
        <w:rPr/>
      </w:pPr>
      <w:r>
        <w:rPr>
          <w:rFonts w:ascii="Amiri" w:hAnsi="Amiri" w:eastAsia="Amiri" w:cs="Amiri"/>
          <w:color w:val="111111"/>
          <w:sz w:val="28"/>
          <w:sz w:val="28"/>
          <w:szCs w:val="28"/>
          <w:rtl w:val="true"/>
          <w:lang w:bidi="ar-SA"/>
        </w:rPr>
        <w:t>عدم قائل بكون ماء الحمّام أغلظ حكما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ما عن الموجز و شرحه</w:t>
      </w:r>
      <w:r>
        <w:rPr>
          <w:rStyle w:val="FootnoteAnchor"/>
          <w:rtl w:val="true"/>
        </w:rPr>
        <w:footnoteReference w:id="2120"/>
      </w:r>
      <w:r>
        <w:rPr>
          <w:rFonts w:ascii="Amiri" w:hAnsi="Amiri" w:eastAsia="Amiri" w:cs="Amiri"/>
          <w:color w:val="111111"/>
          <w:sz w:val="28"/>
          <w:sz w:val="28"/>
          <w:szCs w:val="28"/>
          <w:rtl w:val="true"/>
          <w:lang w:bidi="ar-SA"/>
        </w:rPr>
        <w:t>من أنّ صريحهما عدم الفرق بين ماء الحمّام و غيره من الحياض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يحكى</w:t>
      </w:r>
      <w:r>
        <w:rPr>
          <w:rStyle w:val="FootnoteAnchor"/>
          <w:rtl w:val="true"/>
        </w:rPr>
        <w:footnoteReference w:id="2121"/>
      </w:r>
      <w:r>
        <w:rPr>
          <w:rFonts w:ascii="Amiri" w:hAnsi="Amiri" w:eastAsia="Amiri" w:cs="Amiri"/>
          <w:color w:val="111111"/>
          <w:sz w:val="28"/>
          <w:sz w:val="28"/>
          <w:szCs w:val="28"/>
          <w:rtl w:val="true"/>
          <w:lang w:bidi="ar-SA"/>
        </w:rPr>
        <w:t xml:space="preserve">هذا الفصل بعكس ما ذكر من أنّ الامتزاج يختصّ بغير الجاري و ماء الحمّام تعويلا على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Style w:val="FootnoteAnchor"/>
          <w:rtl w:val="true"/>
        </w:rPr>
        <w:footnoteReference w:id="2122"/>
      </w:r>
      <w:r>
        <w:rPr>
          <w:rFonts w:ascii="Amiri" w:hAnsi="Amiri" w:eastAsia="Amiri" w:cs="Amiri"/>
          <w:color w:val="111111"/>
          <w:sz w:val="28"/>
          <w:sz w:val="28"/>
          <w:szCs w:val="28"/>
          <w:rtl w:val="true"/>
          <w:lang w:bidi="ar-SA"/>
        </w:rPr>
        <w:t>المعلّلة بوجود المادّة، و مرسلة الكاهلي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2124"/>
      </w:r>
      <w:r>
        <w:rPr>
          <w:rFonts w:ascii="Amiri" w:hAnsi="Amiri" w:eastAsia="Amiri" w:cs="Amiri"/>
          <w:color w:val="111111"/>
          <w:sz w:val="28"/>
          <w:sz w:val="28"/>
          <w:szCs w:val="28"/>
          <w:rtl w:val="true"/>
          <w:lang w:bidi="ar-SA"/>
        </w:rPr>
        <w:t>، و مستنده على فرض ثبوته ضعيف كما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بالاعتبار مطلقا فلا مستند له إلاّ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بعض تعليلاتهم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صدق عنوان الوحدة و زوال امتياز الماءين على الممازجة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مرارا من منع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ربّما يشكل ذلك لو كان الحكم المجمع عليه منوطا بزوال الامتياز، بدعوى</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المانع عن الطهر هو الامتياز كما سمعته في عبارتي المعتبر</w:t>
      </w:r>
      <w:r>
        <w:rPr>
          <w:rStyle w:val="FootnoteAnchor"/>
          <w:rtl w:val="true"/>
        </w:rPr>
        <w:footnoteReference w:id="2125"/>
      </w:r>
      <w:r>
        <w:rPr>
          <w:rFonts w:ascii="Amiri" w:hAnsi="Amiri" w:eastAsia="Amiri" w:cs="Amiri"/>
          <w:color w:val="111111"/>
          <w:sz w:val="28"/>
          <w:sz w:val="28"/>
          <w:szCs w:val="28"/>
          <w:rtl w:val="true"/>
          <w:lang w:bidi="ar-SA"/>
        </w:rPr>
        <w:t>و الذكرى</w:t>
      </w:r>
      <w:r>
        <w:rPr>
          <w:rStyle w:val="FootnoteAnchor"/>
          <w:rtl w:val="true"/>
        </w:rPr>
        <w:footnoteReference w:id="2126"/>
      </w:r>
      <w:r>
        <w:rPr>
          <w:rFonts w:ascii="Amiri" w:hAnsi="Amiri" w:eastAsia="Amiri" w:cs="Amiri"/>
          <w:color w:val="111111"/>
          <w:sz w:val="28"/>
          <w:sz w:val="28"/>
          <w:szCs w:val="28"/>
          <w:rtl w:val="true"/>
          <w:lang w:bidi="ar-SA"/>
        </w:rPr>
        <w:t xml:space="preserve">لإمكان الفرق بين الوحدة و عدم الامتياز بنحو ما يفرّق به بين العامّ و الخاصّ المطلقين، لإمكان فرض الوحدة مفارقة عن عدم الامتياز كما في وصل الغديرين أحدهما إلى الآخر على وجه يفرض بينهما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الخارج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فاصل، كما لو علّم موضع تلاقيهما من خارج حيّزيهما، فالمجموع بملاحظة ما حصل بينهما من الاتّصال الحسّي ماء واحد، و كلّ واحد بملاحظة الحدّ الفاصل أو الموضع المعلّم ماء ممتاز عن صاحبه، و حينئذ فلم يثبت كون معقد الإجماع هو الوحدة فقط، و مع مانعيّة الامتياز لا محيص عن اعتبار الامتزاج إحرازا لرفع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 كون اعتبار الامتياز وجودا و عدما، و التعليل به في صورة الحكم بعدم الطهر وارد في كلامهم أيضا لتوهّم كونه مساوقا لعدم الوحدة، و كون زواله مساوقا للوحدة و إلاّ فالحكم منوط بالوحدة، أ لا ترى أنّ الشهيد في أوّل كلامه في العبارة المتقدّمة منه في الذكرى علّل الحكم بعدم الطهر لمجرّد الوصل بالتمييز، المقتضي لاختصاص كلّ بحكمه؛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نبع الكثير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فامتزج طهّره لصيرورتهما ماء واحدا</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و هذا كالصريح في أنّ اعتبار الامتزاج و إن كان لإحراز عدم التمييز بين الماءين غير أنّ عدم التمييز مساوق للوحدة الّتي هي مناط الحكم، و إلاّ لزم كون تعليله بصيرورتهما ماء واحدا تعليلا للحكم المعلّق على الخاصّ بالعامّ كما لا يخفى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المسألة السابقة عن المحقّق أنّ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ممتاز عن الطاهر</w:t>
      </w:r>
      <w:r>
        <w:rPr>
          <w:rFonts w:eastAsia="Amiri" w:cs="Amiri" w:ascii="Amiri" w:hAnsi="Amiri"/>
          <w:color w:val="111111"/>
          <w:sz w:val="28"/>
          <w:szCs w:val="28"/>
          <w:rtl w:val="true"/>
          <w:lang w:bidi="ar-SA"/>
        </w:rPr>
        <w:t>»</w:t>
      </w:r>
      <w:r>
        <w:rPr>
          <w:rStyle w:val="FootnoteAnchor"/>
          <w:rtl w:val="true"/>
        </w:rPr>
        <w:footnoteReference w:id="2128"/>
      </w:r>
      <w:r>
        <w:rPr>
          <w:rFonts w:ascii="Amiri" w:hAnsi="Amiri" w:eastAsia="Amiri" w:cs="Amiri"/>
          <w:color w:val="111111"/>
          <w:sz w:val="28"/>
          <w:sz w:val="28"/>
          <w:szCs w:val="28"/>
          <w:rtl w:val="true"/>
          <w:lang w:bidi="ar-SA"/>
        </w:rPr>
        <w:t>إنّما هو في موضع حكم فيه على الماء بكونه كالماء الواحد، المقتضي بظاهر التشبيه انتفاء الوحدة الحقيقيّة؛ فغرضه من اعتبار الممازجة الّتي لا تتأتّى مع الامتياز إنّما هو إحراز كون الماءين ماء واحدا بعنوان الحقيقة، لعدم كفاية مجرّد كونهما كالماء الواحد هنا كما كان كافيا في حكم عدم الانفعال المنوط بصدق عنوان الكرّيّة دون صدق عنوان الوحدة الحقيقيّة، كما تقدّم شرحه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عبارة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عن التذكرة </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ما ربّما يوهم كون الحكم بعدم الطهارة مع عدم الممازجة واردا فيما يعمّ صورتي صدق الوحدة و عدمه؛ 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أحدهما نجسا فالأقرب بقاؤه على حكمه مع الاتّصال؛ و انتقاله إلى الطهارة مع 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 في مسألة الغديرين الموصول بينهما بساقية شامل لكلتا صورتي اعتدال الماء و مساواة سطحه، المقتضي لاتّحاد الماءين، و عدمهما المقتضي لعدم الاتّحاد وارد على خلاف حكم التقوّي و الاعتصام عن الانفعال الّذي فصّل فيه بين صورتي الاعتدال المقتضي لكون كلّ من الغديرين متقوّيا بالآخر فلا يطرؤهما الانفعال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عدمه المقتضي لاختصاص التقوّي بالأسفل دون الأعلى الّذي يلزم منه انفعال الأعلى بملاقاته النجاسة لو نقص عن الكرّ، فإطلاق الحكم ببقاء النجس على حاله عند عدم الممازجة من غير تفصيل الشامل للصورتين معا ممّا ينفي كون العبرة في مسألة التطهير </w:t>
      </w:r>
    </w:p>
    <w:p>
      <w:pPr>
        <w:pStyle w:val="BookText"/>
        <w:rPr/>
      </w:pPr>
      <w:r>
        <w:rPr>
          <w:rFonts w:ascii="Amiri" w:hAnsi="Amiri" w:eastAsia="Amiri" w:cs="Amiri"/>
          <w:color w:val="111111"/>
          <w:sz w:val="28"/>
          <w:sz w:val="28"/>
          <w:szCs w:val="28"/>
          <w:rtl w:val="true"/>
          <w:lang w:bidi="ar-SA"/>
        </w:rPr>
        <w:t>بمجرّد الوحدة، و يقضي بإناطة الحكم بالممازجة الّتي هي أخصّ من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كون قوله هذا، كقوله المتقدّم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نقص الأعلى عن الكرّ انفعل بالملاقاة</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من فروع صورة عدم اعتدال الماء و اختلاف سطوحه فيكون كلّ من الحكمين في نظره مستندا إلى عدم الاتّحاد الّذي لا يتأتّى في تلك الصورة بمجرّد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نفهم من كلماتهم إلاّ إناطة الحكم بالوحدة الّتي قد تتأتّى بدون الممازجة، و إن كان بعض عباراتهم يقضي بتوهّم توقّفها عليها فيعود النزاع صغرويّا، لكن فيه بعد شيء يتبيّن وجهه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العمدة المعوّل عليه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فحول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النجاسة و عدم الدليل على الطهارة إلاّ بالممازجة، لضعف ما تمسّكوا به على الطهارة بدونها، و هذا كما ترى تتضمّن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النجاسة تقتضي ثبوتها إلى أن يثبت ما 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قائم على الطهارة مع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القول بالطهارة مع عدم الممازجة ضعيفة، و هذه المقدّمة مسلّمة في الجملة لا شبهة فيها لما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 فستعرف أيضا حالها من صحّة أو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 فيستند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الكرّ الممتزج بالنجس مطهّر له كما ادّعي؛ و هو كما ترى لا يقضي بأزيد من حصول الطهر به، و إلاّ فالمجمع عليه المتوقّف عليه الطهر حقيقة هو الكرّ المتّحد مع المتنجّس، فيكون فرض الامتزاج معه مع عدم مدخليّته في الحكم كالحجر الموضوع في جنب الإنسان، إلاّ على توهّم توقّف الاتّحاد عليه لكن لا مطلقا بل بالمعنى الّذي سنقرّره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 إذا فرض عدم قبوله الانفعال بالملاقاة و امتزج مع المتنجّس فإن طهّره فهو المطلوب و إلاّ فإن تنجّس به لزم خلاف الفرض؛ و إن اختصّ بالطهارة لزم </w:t>
      </w:r>
    </w:p>
    <w:p>
      <w:pPr>
        <w:pStyle w:val="BookText"/>
        <w:rPr/>
      </w:pPr>
      <w:r>
        <w:rPr>
          <w:rFonts w:ascii="Amiri" w:hAnsi="Amiri" w:eastAsia="Amiri" w:cs="Amiri"/>
          <w:color w:val="111111"/>
          <w:sz w:val="28"/>
          <w:sz w:val="28"/>
          <w:szCs w:val="28"/>
          <w:rtl w:val="true"/>
          <w:lang w:bidi="ar-SA"/>
        </w:rPr>
        <w:t>تعدّد حكم الماءين الممتزج أحدهما بالآخر، بل يلزم عدم جواز استعمال الكرّ فيما يشترط فيه الطهارة، لاشتمال كلّ جزء منه على جزء من المتنجّس و هذا في الحقيقة في معنى انفعاله، إذ لا يجوز شربه و لا التوضّؤ منه و لا تطهير الثوب به، و قد تبيّن في صدر المسألة ضعف ذلك بجميع فقراته، إلاّ إذا استند في دعوى عدم جواز تعدّد حكم الماءين الممتزج أحدهما بالآخر إلى الإجماع، ليرجع إلى ما تقدّم من الملازمة الثالثة، لكن يبقى المناقشة في كون الامتزاج مأخوذا في موضوع تلك الملازمة على جهة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طهارة نجس العين بالاستهلاك، كرواية العلاء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باب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2131"/>
      </w:r>
      <w:r>
        <w:rPr>
          <w:rFonts w:ascii="Amiri" w:hAnsi="Amiri" w:eastAsia="Amiri" w:cs="Amiri"/>
          <w:color w:val="111111"/>
          <w:sz w:val="28"/>
          <w:sz w:val="28"/>
          <w:szCs w:val="28"/>
          <w:rtl w:val="true"/>
          <w:lang w:bidi="ar-SA"/>
        </w:rPr>
        <w:t>فإنّ وقوع النجاسة العينيّة يستلزم تغيّر ما اكتنفتها من أجزاء الماء فينجّس، و قد حكم الشارع بنفي البأس عن ذلك و ليس إلاّ لامتزاجه بباقي أجزاء الكرّ، فدلّ على حصول الطهارة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الرواية على تحقّق الممازجة و الاستهلاك، و لو سلّم فكونهما مؤثّرين في الحكم في موضع المنع؛ و لو سلّم فلعلّه حكم مختصّ بعين النجاسة حيث إنّها لا تنتقل إلى الطهارة إلاّ بانقلاب الماهيّة و تبدّل العنوان الغير المعقولين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الحاصلين في غير صورة الاستهلاك الّذي هو فوق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الدلالة على الامتزاج بالمعنى المتنازع فيه على جهة الاعتبار، فلعلّه لكونه مقدّمة لزوال التغيّر عن الأجزاء المكتنفة من الماء بالنجس المغيّر لها حسبما فرضه المستدلّ؛ و الحاصل كون اعتباره على فرض الدلالة عليه لأجل مدخليّته في الطهر دون زوال التغيّر المقتضي للنجاسة موضع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يكون طاهرا و وصل دخل تحت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نجسا لاشتراط كون ذلك الماء طاهرا و إلاّ لم يكن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داخلا لكن لا نقول بمقتضاها، كما سيظهر في مسألة إتمام القليل المتنجّس 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بظاهره كما ترى لا ينتج شيئا إلاّ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الماء النجس إذا وصل بكرّ لا يمكن إثبات طهره بمجرّد ذلك الوصل تعويلا على الرواية، لتوقّف صدق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الطهارة محرزة قبل الوصل و الملاقاة، فلا يمكن إحرازها بعد الملاقاة بتلك القضيّة، فلا بدّ من اعتبار أمر زائد على الكرّيّة ليفيد طهارته و ليس ذلك إلاّ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القول بالطهارة بمجرّد الوصل ليس هو الرواية ليصحّ دفعه بما ذكر، ثمّ أنّه أيّ دليل على تأثير الامتزاج بما هو امتزاج في الطهارة ليفيد اعتباره زائدا على وصف الكرّيّة؟</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قائم بأنّ الماء المتنجّس الممتزج بالكرّ ينتقل حكمه إلى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ما يقتضيه الإجماع المذكور أنّ الامتزاج لا ينافي الطهارة، و هو ليس من دعوى كونه مؤثّرا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يشهد بكونه مؤثّرا وقوع اعتباره في كلام جماعة من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بعدم وقوعه في كلام الآخرين، بل التصريح بعدم التأثير في كلام غير واحد منهم، قد عرفت الوجه في اعتباره و أنّه ليس اعتبارا للامتزاج بعنوان أنّه امتزاج بل بعنوان أنّه محصّل للوحدة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من الماء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المطهّر يتخلّل في أجزائه و يجري عليه حيث يكون جسما قابلا لذلك، و إلاّ فلا معنى للقول بطهارة الطرف البعيد المتناهي في البعد بمجرّد ملاقاته لأوّل أجزاء الطرف الآخر، و القول بأنّ الأجزاء الملاقية طهرت بالملاقاة و هي طهّرت غيرها للملاقاة و الامتزاج، و هكذا خيال حكمي لا يصلح لأن يكون مستندا للحكم الشرعي من غير دليل، على أنّه مبنيّ على السراية و هي مخالفة للأصل من وجه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الأوّل من الدليل لا يرجع إلى محصّل إلاّ القياس الباطل، إذ المداخلة و التخلّل و الجريان قد ثبت اعتبارها في التطهير بالقياس إلى غير موضع النزاع كالثوب و نحوه؛ و لو اريد به الإلحاق بمورد الغالب فهو ظنّي لا يعبأ به، و الجزء الثاني منه استبعاد صرف لا يصلح مستندا في المقام بعد ما قام من الشرع ما يقضي به، و المتّبع هو الإجماع القائم في المقام و قد تبيّن مفاده و معقده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القول بعدم الاعتبار مطلقا، فمستنده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حكي التمسّك به عن بعض الأفاضل، و الظاهر أنّ المراد به أصالة عدم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يقتضي النجاسة، و كأنّ المراد به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تطهير الماء بعد تيقّن النجاسة حكم ورد من الشارع على خلاف الأصل، و من البيّن أنّ كلّ حكم مخالف للأصل يجب الاقتصار فيه على القدر اليقيني الرافع منه لموضوع الأصل، و قضيّة ذلك القول بمدخليّة كلّ ما يشكّ في مدخليّته معه، و منه الامتزاج في خصوص المقام تحصيلا للرافع اليقيني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باستصحاب النجاسة هنا إنّما يستقيم لو كان النزاع في أمر تعبّدي و قد عرفت منعه بما لا مزيد عليه، لرجوع الكلام إلى تحقّق موضوع الطهارة و هو الوحدة بدون الممازجة و عدمه، و نحن في علم بتحقّقها بدونها و معه لا يعقل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يتّجه إذا اريد بالوحدة في موضوع الطهارة ما يكون كذلك في نظر الحسّ، و لم لا يجوز أن يراد به ما هو كذلك في نظر العرف؟</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الماء الواحد حال الاتّصال عند العالم بالحال و الجاهل بها، و مجرّد الاتّصال غير كاف في ذلك، لأنّ أقصى ما فيه صدق الوحدة عند الجاهل؛ و أمّا العالم فلعلمه بسبق الانفصال و طروّ الاتّصال لا يحسبه من الماء الواحد إلاّ بعد المداخلة و تحقّق الممازجة و هو المراد بالوحدة العرفيّة، لأنّها عبارة عمّا لا يختلف العرف في وصفه بالوحدة، و إليه يشير تعليلاتهم المتقدّمة بالامتياز، فالوحدة بهذا المعنى إن لم يتيقّن دخولها في معقد الإجماع فلا أقلّ من احتمال دخولها فيه، فيكون المقام من مورد الاستصحاب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بالاصول إنّما يصحّ إذا لم يكن في المقام أصل موضوعي رافع لموضوعها؛ و لا ريب أنّ الشبهة راجعة إلى موضوع حكم المطهّريّة الّتي أثبتها الشارع، و الاستصحاب لا يتعرّض لذلك الموضوع نفيا و إثباتا و إلاّ كان أصلا مثبتا؛ و قد دلّ الإجماع على قيام المطهّريّة بالكرّ الملقى المتّصل مع الماء المتنجّس، و حصل الشكّ في مدخليّة </w:t>
      </w:r>
    </w:p>
    <w:p>
      <w:pPr>
        <w:pStyle w:val="BookText"/>
        <w:rPr/>
      </w:pPr>
      <w:r>
        <w:rPr>
          <w:rFonts w:ascii="Amiri" w:hAnsi="Amiri" w:eastAsia="Amiri" w:cs="Amiri"/>
          <w:color w:val="111111"/>
          <w:sz w:val="28"/>
          <w:sz w:val="28"/>
          <w:szCs w:val="28"/>
          <w:rtl w:val="true"/>
          <w:lang w:bidi="ar-SA"/>
        </w:rPr>
        <w:t>الممازجة في ذلك الموضوع و عدمها، و أصالة عدم الشرطيّة تتعرّض له و توجب عدم المدخليّة، فإذا ثبت به المطهّر الرافع للنجاسة ثبوتا شرعيّا و صادف الماء المتنجّس فقد أوجب ارتفاع الشكّ في الطهارة ارتفاعا شرعيّا و معه لا وجه للاستصحاب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المقتضي للنجاسة ممّا لا معنى له إلاّ استصحاب النجاسة المستند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إلاّ بيقين مثله</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 xml:space="preserve">المقتضي لوجوب إجراء حكم النجاسة هنا إلى أن تتحقّق رافع يقيني، و هذا الأصل ممّا لا إشكال في كبراه؛ و لكنّ الكلام في صغراه حيث إنّ أصالة عدم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يبيّنه إلاّ الشرع و لم يبيّنه في مفروض المقام بعد ما بيّن أصل الرافع في الجملة، و هو الكرّ الملقى دفعة محصّلة للوحدة بينه و بين ما يلقى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يقيني أو ظنّي بالظنّ الخاصّ القائم مقام اليقين، ناف لاحتمال شرطيّة الامتزاج مقتض لكون ما ذكر هو الرافع اليقيني، أو القائم مقام الرافع اليقيني المأخوذ غاية لحكم الاستصحاب المقتضي للنجاسة، و قضيّة ذلك كون المقام مندرجا تحت تلك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ورد نصّ خاصّ بعدم شرطيّة الامتزاج قطعي أو ظنّي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مندرج في المغيّا و معه لا معنى للاستصحاب بعد فرض كونه مغيّا بغاية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الشرطيّة ممّا لا مدفع له إلاّ منع صغراه،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معلّق على عدم وصول البيان و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فرضه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وصوله هنا، أو منع كبراه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ممّا لا مدرك له بالنسبة إلى القضايا الوضعيّة الّتي منها المقام، إذ غاية ما قام عليه الدليل من الشرع قطعا أو ظنّا خاصّا إنّما هو أصل البراءة الغير الجارية إلاّ في القضايا التكليفيّة، نظرا إلى أنّ الأدلّة المقامة عليها منها ما هو مقيّد بالعلم الّذي هو موضوع للتكليف، دون الموضوع الّذي هو أمر واقعي لا يدخل فيه العلم شطرا و لا شرطا إلاّ في موضوع قام على جزئيّته الدليل، كما في النجاسة فيما يحكم عليه بالنجاسة بناء على ما تقدّم تحقيقه من أنّ أحكام النجاسة مرتّبة في نظر الشارع على العلم بها الّذي يقوم مقامه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هو ناف للمؤاخذة و العقاب عند عدم البيان اللذين لا يعقلان إلاّ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ناف للحكم حتّى يرد فيه أمر أو نهي، فلا يجري أيضا إلاّ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سبيل إليه جزما، لأنّ الاستصحاب لا يقتضي إلاّ ترتّب أحكام النجاسة على المورد و إلاّ كان أصلا مثبتا، فهو إنّما يرفع صغرى الأصل المقتضي للطهارة، و هو أنّ شرطيّة الامتزاج في التطهير ممّا لم يبيّنه الشارع إذا اقتضى شرطيّة الامتزاج؛ و المفروض أنّه غير صالح له فيبقى الصغرى المذكورة صادقة؛ و إذا انضمّ إليها الكبرى المذكورة كان مفاديهما نفي الشرطيّة فيرتفع به صغرى الاستصحاب، هذا مع أنّ جعل الاستصحاب رافعا لصغرى أصالة عدم الشرطيّة يؤدّي إلى الدور المستحيل، لأنّ جريان الاستصحاب هنا موقوف على ثبوت صغراه و هو تيقّن النجاسة مع عدم تيقّن ما يرفعها، و هو موقوف على عدم جريان كبرى أصالة عدم الشرطيّة</w:t>
      </w:r>
      <w:r>
        <w:rPr>
          <w:rStyle w:val="FootnoteAnchor"/>
          <w:rtl w:val="true"/>
        </w:rPr>
        <w:footnoteReference w:id="2134"/>
      </w:r>
      <w:r>
        <w:rPr>
          <w:rFonts w:ascii="Amiri" w:hAnsi="Amiri" w:eastAsia="Amiri" w:cs="Amiri"/>
          <w:color w:val="111111"/>
          <w:sz w:val="28"/>
          <w:sz w:val="28"/>
          <w:szCs w:val="28"/>
          <w:rtl w:val="true"/>
          <w:lang w:bidi="ar-SA"/>
        </w:rPr>
        <w:t>، و هو موقوف على انتفاء صغراها، إذ المفروض في منع الصغرى كون الكبرى مسلّمة و إلاّ رجع الكلام إلى المنع الثاني و هو خلاف الفرض، فلو توقّف انتفاء هذه الصغرى على جريان الاستصحاب لزم توقّف جريان الاستصحاب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نظير ذلك في صورة العكس، لأنّ جريان أصالة عدم الشرطيّة و إن كان موقوفا على عدم جريان استصحاب النجاسة لكن عدم جريان استصحاب النجاسة أعمّ من أن يكون من جهة عدم صغراه المتوقّف على جريان أصالة عدم الشرطيّة، أو من جهة عدم ثبوت كبراه هنا بالخصوص؛ و لمّا كان الأوّل باطلا لاستلزامه الدور المستحيل فتعيّن الثاني؛ و هو لا يستتبع محذورا لأنّ غاية ما يترتّب عليه خروج كبرى الاستصحاب عن الكلّيّة لا بطلانها رأسا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ذلك لزوم تخصيص في دليل الاستصحاب، بأن يكون مفاده لزوم العمل بكلّ استصحاب إلاّ ما عارضه أصالة عدم الشرطيّة، و هو بعد ما قام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ضير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يمكن جريان نظير ذلك في أصالة عدم الشرطيّة بأن يقال في منع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ثبوت صغرى الاستصحاب و إن كان موقوفا على عدم جريان أصالة عدم الشرطيّة، لكنّه أعمّ من أن يكون من جهة عدم ثبوت صغراها المتوقّف على جريان الاستصحاب؛ أو من جهة عدم ثبوت كبراها هنا بالخصوص؛ و لمّا كان الأوّل باطلا لاستلزامه الدور المستحيل فتعيّن الثاني، لأنّه لو بنى في ذلك على منع الكبرى لزم بطلانها رأسا فيلزم بقاء أصالة عدم الشرطيّة و الدليل عليها بلا مورد كما لا يخفى على المتأمّل؛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يتبيّن وجه تقدّم الاستصحاب على أصل البراءة حيثما يتقدّم عليه، و وجه تقدّم أصل البراءة على الاستصحاب حيثما يقدّم عليه، فإنّ الأوّل من جهة كون الاستصحاب واردا على أصل البراءة رافعا لموضوعه كما هو واضح بخلاف الثاني؛ فإنّ تقدّمه على الاستصحاب إنّما هو من جهة حكومة دليله على دليل الاستصحاب و تعرّضه له بالتخصيص و لا يعقل كونه من باب الورود؛ لأنّ فرض وروده على الاستصحاب يقضي بكونه متعرّضا لصغرى الاستصحاب مع كون كبراه سليما عن المعارض؛ و المفروض أنّه أيضا لعموم دليله و سلامة كبراه عن المعارض متعرّض لصغرى أصل البراءة لئلاّ يلزم بقاء دليله في مظانّ الشكّ في الشرطيّة بلا مورد؛ فيلزم الدور في الجانبين كما يظهر بالتأمّل فيما سبق</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فرض الورود بالنسبة إلى الاستصحاب إنّما يصحّ فيما لو عارضه استصحاب آخر و كان شكّه سببيّا كما في استصحاب طهارة الماء المشكوك في كرّيّته عند ملاقاته النجاسة؛ فإنّ تقديم استصحاب القلّة و عدم الكرّيّة على استصحاب الطهارة لا يمكن كونه من باب الحكومة؛ لأنّه ليس مدلولا لدليل يعارض دليل استصحاب الطهارة حتّى يفرض ذلك الدليل مخصّصا لدليل استصحاب الطهارة، لكونهما مدلولي دليل واحد، و المفروض أنّ دخول بعض أفراد العامّ تحته عند التنافي بينه و بين البعض الآخر لا يعقل كونه مخصّصا له مخرجا لذلك الفرد المنافي عن تحته لامتناع الترجيح بغير مرجّح؛ ضرورة كون أفراد العامّ المندرجة فيه متساوية الإقدام بالنسبة إليه؛ فلا بدّ في تقديمه من اعتبار مقدّمة اخرى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الكرّيّة لمّا كان علّة للشكّ في النجاسة و العلّة متقدّمة بالذات على معلولها فهو حين طروّه المتقدّم بالذات على الشكّ </w:t>
      </w:r>
    </w:p>
    <w:p>
      <w:pPr>
        <w:pStyle w:val="BookText"/>
        <w:rPr/>
      </w:pPr>
      <w:r>
        <w:rPr>
          <w:rFonts w:ascii="Amiri" w:hAnsi="Amiri" w:eastAsia="Amiri" w:cs="Amiri"/>
          <w:color w:val="111111"/>
          <w:sz w:val="28"/>
          <w:sz w:val="28"/>
          <w:szCs w:val="28"/>
          <w:rtl w:val="true"/>
          <w:lang w:bidi="ar-SA"/>
        </w:rPr>
        <w:t>في النجاسة كان مقتضيا للاستصحاب قبل الالتفات إلى معارض له، فيكون الاستصحاب المتقوّم به علما شرعيّا بالنجاسة و معه لا يبقى لاستصحاب الطهارة موضوع؛ فمعنى تقديم استصحاب عدم الكرّيّة أنّه لا استصحاب هنا يكون معارضا له؛ لا أنّ هنا استصحابا محقّقا و هو مقدّم عليه، فإنّه غير معقول لما عرفت من قضيّة لزوم الترجيح بغير مرجّح و قد يتّفق في تعارض الاستصحابين ما لا يمكن فيه اعتبار الحكومة و لا الورود؛ كما لو كان شكّاهما في مرتبة واحدة من غير سببيّة أحدهما للآخر؛ كما في الكرّ الوارد على الماء المتنجّس تدريجا المقارن للشكّ في تنجّسه مع الشكّ في طهر الماء المسبّبتين عن الشكّ في اشتراط الدفعة في التطهير؛ و منه المقام بملاحظة الشكّ في شرطيّة الامتزاج، فإنّ استصحاب نجاسة المتنجّس يعارضه استصحاب طهارة الكرّ ففي مثل ذلك لا يمكن العمل بأحد الاستصحابين تعيينا، لأنّ التعيين لا بدّ و أن يكون إمّا من باب الحكومة أو الورود؛ و لا سبيل إلى الأوّل لعدم إمكانه و لا إلى الثاني لفقد المرجّح المذكور من كون الشكّ في أحدهما علّة للآخر، فإمّا أن يقال حينئذ بالتخيير، أو طرحهما معا، و الظاهر أنّ الثاني أيضا ممّا لا سبيل إليه و إن قال به بعض الأصحاب لأنّه يوجب التخصيص في أدلّة الاستصحاب بلا مخصّص، لأنّ العمل بها في أحد الاستصحابين ممكن، و عدم العمل بالآخر بعد التخيير ليس من باب التخصيص، بل من جهة اقتضاء بناء العمل على صاحبه نظير أمر الأبوين في مكان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كونه من باب التخصيص فلا بأس به بالنسبة إلى أحدهما، لأنّ المانع عن العمل قائم في هذا المقدار فالمخصّص حينئذ هو العقل؛ هذا كلّه و إن كان كلاما خارجا عن المقام لكن أوردناه هنا لكثرة فوائده، فلنعد إلى 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منع صغرى أصالة عدم الشرطيّة ممّا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الكبرى فقد يسبق إلى الوهم عدم إمكانه أيضا لما ورد في بعض أخبار البراءة ما يعمّ غير موارد التكليف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2135"/>
      </w:r>
      <w:r>
        <w:rPr>
          <w:rFonts w:ascii="Amiri" w:hAnsi="Amiri" w:eastAsia="Amiri" w:cs="Amiri"/>
          <w:color w:val="111111"/>
          <w:sz w:val="28"/>
          <w:sz w:val="28"/>
          <w:szCs w:val="28"/>
          <w:rtl w:val="true"/>
          <w:lang w:bidi="ar-SA"/>
        </w:rPr>
        <w:t>النصّ أعمّ من خطاب التكليف، و خطاب الوضع</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على تقدير ثبوته و صحّته وارد في سياق نفي التكليف </w:t>
      </w:r>
    </w:p>
    <w:p>
      <w:pPr>
        <w:pStyle w:val="BookText"/>
        <w:rPr/>
      </w:pPr>
      <w:r>
        <w:rPr>
          <w:rFonts w:ascii="Amiri" w:hAnsi="Amiri" w:eastAsia="Amiri" w:cs="Amiri"/>
          <w:color w:val="111111"/>
          <w:sz w:val="28"/>
          <w:sz w:val="28"/>
          <w:szCs w:val="28"/>
          <w:rtl w:val="true"/>
          <w:lang w:bidi="ar-SA"/>
        </w:rPr>
        <w:t>و لوازمه؛ خصوصا إذا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مرخص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يفيد حينئذ إلاّ الإباحة بالمعنى التكليفي؛ و هو ليس من محلّ البحث في شيء؛ و لا يمكن إرجاع المقام إلى ما يتعلّق بالتكليف بملاحظة العبادة المشروطة بالطهارة؛ نظرا إلى أنّ شرطيّة الامتزاج في الواقع تستلزم عدم صحّة الصلاة بالوضوء أو الغسل الحاصلين بذلك الماء الّذي لم يحصل في تطهيره الامتزاج؛ و هو في حكم الترك فيترتّب استحقاق العقوبة عليه و هو منفيّ بالأصل، لأنّ أدلّة الأصل مسوقة في سياق أصل التكليف لا ما يكون التكليف من لوازمه البعيدة، و إلاّ أمكن التوصّل به إلى نفي كلّ حكم وضعي و هو خلاف الطريقة المستمرّة عند العلماء، فاستصحاب النجاسة حينئذ لا مدفع له، و لكن بملاحظة ما ذكرناه من قيام احتمال كون الوحدة المأخوذة في الملازمة المجمع عليها هي الوحدة العرفيّة الغير الحاصلة إلاّ بالممازجة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اتّصال القليل بالكثير قبل ورود النجاسة كاف في دفعها فكذا ما بعده، لأنّ عدم قبول النجاسة في الأوّل إنّما هو لصيرورة الماءين ماء واحدا بالاتّصال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فساد الوضع، لأنّ دعوى الملازمة بين الوحدة الحاصلة بالاتّصال و زوال النجاسة إن كانت لمجرّد ثبوت الملازمة بينها و بين عدم قبول الانفعال كما هو صريح الاستدلال،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و مع الفارق، لوضوح الفرق بين مقامي الدفع و الرفع، و إن كانت لأمر خارج كالإجماع و نحوه فبطل توسيط مسألة الدفع حينئذ، و مع ذلك فكفاية الوحدة الحاصلة لمجرّد الاتّصال في مورد الإجماع أوّل الدعوى، لأنّها وحدة حسّيّة و لعلّ المأخوذ في مورد الإجماع هو الوحدة العرفيّة الّتي لا يتفاوت فيها العالم و الجاهل، و قد عرفت أنّها لا تتأتّى إلاّ بالمداخلة، و أقلّ مراتب هذا الاحتمال تحقّق موضوع الاستصحاب و هو كاف في لزوم اعتبار الممازجة تحصيلا للرافع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عن منتهى العلاّمة</w:t>
      </w:r>
      <w:r>
        <w:rPr>
          <w:rStyle w:val="FootnoteAnchor"/>
          <w:rtl w:val="true"/>
        </w:rPr>
        <w:footnoteReference w:id="2136"/>
      </w:r>
      <w:r>
        <w:rPr>
          <w:rFonts w:ascii="Amiri" w:hAnsi="Amiri" w:eastAsia="Amiri" w:cs="Amiri"/>
          <w:color w:val="111111"/>
          <w:sz w:val="28"/>
          <w:sz w:val="28"/>
          <w:szCs w:val="28"/>
          <w:rtl w:val="true"/>
          <w:lang w:bidi="ar-SA"/>
        </w:rPr>
        <w:t>من أنّ الاتّفاق واقع على أنّ تطهير ما نقص عن الكرّ بإلقاء كرّ عليه، و لا شكّ أنّ المداخلة ممتنعة فالمعتبر إذن الاتّصال الموجود هنا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المداخلة المحكوم عليها بالامتناع إن اريد بها دخول الأجزاء بعضها في بعض حتّى الأجزاء الصغار من أحد الماءين فيها من الماء الآخر دخولا حقيقيّا </w:t>
      </w:r>
    </w:p>
    <w:p>
      <w:pPr>
        <w:pStyle w:val="BookText"/>
        <w:rPr/>
      </w:pPr>
      <w:r>
        <w:rPr>
          <w:rFonts w:ascii="Amiri" w:hAnsi="Amiri" w:eastAsia="Amiri" w:cs="Amiri"/>
          <w:color w:val="111111"/>
          <w:sz w:val="28"/>
          <w:sz w:val="28"/>
          <w:szCs w:val="28"/>
          <w:rtl w:val="true"/>
          <w:lang w:bidi="ar-SA"/>
        </w:rPr>
        <w:t>فالامتناع مسلّم؛ و لكن اعتباره عند أهل القول بالممانعة ممنوع؛ و إن اريد بها انتشار أجزاء أحد الماءين في أجزاء الماء الآخر على وجه يوجب تعذّر امتياز البعض عن بعض على قياس ما هو الحال في سائر المركّبات المزجيّة فامتناعها ممنوع؛ كيف و جواز ذلك من ضروريّات العقل خصوصا في الماء الّذي هو سريع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الملاقية للطاهر يجب الحكم بطهارتها عملا بعموم ما دلّ على طهوريّة الماء، فتطهر الأجزاء الّتي يليها كذلك و كذا الكلام في بقيّة الأجزاء،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اعتبار حسن نبّه عليه المحقّق الشيخ على في بعض فوائده، و جدّي في روض الجنان</w:t>
      </w:r>
      <w:r>
        <w:rPr>
          <w:rFonts w:eastAsia="Amiri" w:cs="Amiri" w:ascii="Amiri" w:hAnsi="Amiri"/>
          <w:color w:val="111111"/>
          <w:sz w:val="28"/>
          <w:szCs w:val="28"/>
          <w:rtl w:val="true"/>
          <w:lang w:bidi="ar-SA"/>
        </w:rPr>
        <w:t>»</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المصادرة المحضة، لتوجّه المنع إلى طهر الأجزاء الملاقية بمجرّد الاتّصال، لجواز كونه مشروطا بالممازجة و الانتشار و لا نافي له؛ بناء على أنّ عموم المطهّريّة قاصر عن إفادة كيفيّة التطهير كما تقدّم إليها الإشارة، فالاستصحاب 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الامتزاج إن اريد به امتزاج كلّ جزء من الماء النجس لجزء من الماء الطاهر لم يمكن الحكم بالطهارة أصلا لعدم العلم بذلك، و إن اكتفى بامتزاج البعض لم يكن الطهر للبعض الآخر هو الامتزاج بل مجرّد الاتّصال، فيلزم إمّا القول بعدم طهارته أصلا، أو القول بالاكتفاء بمجرّد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بالامتزاج انتشار يتعذّر معه الامتياز و هو معلوم الحصول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هذا الوجه بما فيه بسط و تطويل،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اعتبر الممازجة فإمّا أن يراد امتزاج الكلّ بالكلّ، أو البعض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ممكن الاطّلاع عليه، فالأصل بقاء النجاسة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معتبري الامتزاج كالعلاّمة و الشهيد و غيرهم حكموا بطهارة حياض الصغار المتّصلة باستيلاء الماء من المادّة عليها، و بغمس كوز الماء النجس في الكثير و لو بعد مضيّ زمان، و طهارة القليل بماء المطر، بل ادّعى السيوري</w:t>
      </w:r>
      <w:r>
        <w:rPr>
          <w:rStyle w:val="FootnoteAnchor"/>
          <w:rtl w:val="true"/>
        </w:rPr>
        <w:footnoteReference w:id="2138"/>
      </w:r>
      <w:r>
        <w:rPr>
          <w:rFonts w:ascii="Amiri" w:hAnsi="Amiri" w:eastAsia="Amiri" w:cs="Amiri"/>
          <w:color w:val="111111"/>
          <w:sz w:val="28"/>
          <w:sz w:val="28"/>
          <w:szCs w:val="28"/>
          <w:rtl w:val="true"/>
          <w:lang w:bidi="ar-SA"/>
        </w:rPr>
        <w:t>و الشهيد الثاني</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الإجماع على الثالث، مع أنّ الامتزاج الكلّي لا يحصل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الامتزاج ليس كاشفا عن الطهارة حين الملاقاة قطعا بل يتوقّف عليه، و المفروض أنّ الماء المعتصم يخرج عن كونه كرّا أو جاريا أو ماء غيث قبل تمام الامتزاج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القي النجس الكثير في المطهّر القليل بحيث يستهلك فيه؛ فإمّا أن يحكم بالنجاسة و هو خلاف الأصل و الإجماع؛ أو بالطهارة و هو المطلوب؛ و كذلك عكسه إذا سيق المطهّر عن مجاري متعدّدة بل دفعة، و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يطهّر أجزاءه المخالطة له و هكذا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استلزامه المنع عن استعمال الماء قبله بلا دليل؛ و اختلاف الماء الواحد في السطح الواحد، أنّه إنّما يتمّ إذا اجتمع الأجزاء المختلطة بحيث لا يتوسّط بين الكرّ منها النجس و علم ذلك و المعلوم مع الاستهلاك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بالبعض مسمّاه فهو المطلوب؛ أو القدر المعيّن فلا بدّ من أن يبيّن، أو الأكثر بالأكثر تقريبا فلا دليل عليه، مع أنّ الفرق بين الأبعاض غير معقول، مضافا إلى ورود كثير ممّا ذكر في الأوّل هنا</w:t>
      </w:r>
      <w:r>
        <w:rPr>
          <w:rFonts w:eastAsia="Amiri" w:cs="Amiri" w:ascii="Amiri" w:hAnsi="Amiri"/>
          <w:color w:val="111111"/>
          <w:sz w:val="28"/>
          <w:szCs w:val="28"/>
          <w:rtl w:val="true"/>
          <w:lang w:bidi="ar-SA"/>
        </w:rPr>
        <w:t>»</w:t>
      </w:r>
      <w:r>
        <w:rPr>
          <w:rStyle w:val="FootnoteAnchor"/>
          <w:rtl w:val="true"/>
        </w:rPr>
        <w:footnoteReference w:id="21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الامتزاج إذا اريد به انتشار الأجزاء في الأجزاء على وجه يزول معه الامتياز بينهما في نظر العالم بالحال فلا استحالة فيه، و لا أنّ الاطّلاع عليه محال بل هو ممكن ضرورة من الحسّ و الوجدان، و ظهور كلام العلاّمة في المسألتين المشار إليهما في عدم اعتبار الامتزاج الكلّي ليس بأقوى من صريح كلامه في جملة من كتبه في نفي اعتباره؛ و المفروض أنّ القائل باعتبار الامتزاج لا يعتني بمثل هذه المخالفة و إن ثبتت منه بنحو الصراحة، مع أنّه لو كان مستنده في دعوى الاعتبار هو الأصل تكون هذه المخالفة محقّقة لموضوع ذلك الأصل، فالاستشهاد بها حينئذ لا يجدي نفعا في إلزامه؛ و الامتزاج عند هذا القائل يعتبر ناقلا لا كاشفا و عند خصمه لا يترتّب عليه أثر، فهو على كلا المذهبين غير مناف لبقاء الماء المعتصم كائنا ما كان على طهارته و طهر المتنجّس، و بعد ما كان الحكمان متّفقا عليهما عند الفريقين فبأيّ شيء يلزم أحد </w:t>
      </w:r>
    </w:p>
    <w:p>
      <w:pPr>
        <w:pStyle w:val="BookText"/>
        <w:rPr/>
      </w:pPr>
      <w:r>
        <w:rPr>
          <w:rFonts w:ascii="Amiri" w:hAnsi="Amiri" w:eastAsia="Amiri" w:cs="Amiri"/>
          <w:color w:val="111111"/>
          <w:sz w:val="28"/>
          <w:sz w:val="28"/>
          <w:szCs w:val="28"/>
          <w:rtl w:val="true"/>
          <w:lang w:bidi="ar-SA"/>
        </w:rPr>
        <w:t>الفريقين على بطلان مذهبه، لأنّ الّذي يقول به من جهة الامتزاج خاصّة لا ينافيه الامتزاج عند الفريق الآخر القائل بعدم كونه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يتوجّه على تقدير عدم حصول الطهر بمجرّد الاتّصال، و توقّفه على حصول الامتزاج بالمعنى المفروض، فحصوله متأخّر عن الامتزاج و هو يستلزم محالا، لأنّ الماء المعتصم بمجرّد الامتزاج الجزئي المتقدّم على الامتزاج الكلّي طبعا يخرج عن كونه معتصما بل عن كونه جزء من المعتصم، على معنى أنّه لا يبقى فيه عنوان الكرّيّة و لا الجريان و لا المطريّة بصيرورته كلاّ أم بعضا جزء من المتنجّس، فهو حينئذ إذا لم يكن بنفسه معتصما عن الانفعال فكيف يعقل بالنسبة إلى غيره كونه رافعا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و إن كانت في محلّها غير أنّها تندفع بملاحظة أنّ أصل حكم التطهير هنا ثابت بالإجماع، لجواز كون الإجماع حاصلا فيه على هذا النمط، و لا اجتهاد بعد الإجماع لكون أحكام الشرع منوطة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إلقاء النجس الكثير لو اريد به الكثير العرفي المتجاوز عن الكرّيّة في المطهّر القليل لو اريد بقلّته ما يكون عرفيّا مجامعا للكرّيّة على وجه يستهلك معه المطهّر لا ينافي مناط الطهر هنا بل يؤكّده، لأنّ الغرض الأصلي من الامتزاج إنّما هو رفع الامتياز بين الماءين و هو حاصل في هذا الفرض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عكس هذا الفرض و هو سوق المطهّر القليل من مجاري متعدّدة إلى الكثير النجس؛ فالمتّجه فيه عدم حصول الطهر لا من جهة اختلال جهة الامتزاج بل من جهة اختلال الدفعة الّتي قد عرفت كونها شرطا كما لا يخفى؛ بل قضيّة بعض ما سبق في بحث الدفعة انتقال المطهّر إلى النجاسة، و لو سلّم بقاؤه على الطهارة فلا استحالة في اختلاف الماء الواحد في السطح الواحد من حيث الحكم في غير مورد الامتزاج؛ فإنّ المانع عن ذلك ليس هو العقل كما تقدّم شرحه؛ و لا الشرع إذا اعتبرناه غير الإجماع، و أمّا إذا اعتبرناه الإجماع فهو غير ثابت في جميع فروض المسألة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الجواب أيضا عمّا استدلّ به أيضا من أنّ الاتّصال يقتضي الاتّحاد و الماء الواحد لا يختلف حكمه؛ فإنّ الاتّحاد إن اريد به اتّحاد السطح فقط مع إمكان التمييز بينهما فالكبرى ممنوعة، و إن اريد به الاتّحاد الرافع للامتياز و هو الاتّحاد في </w:t>
      </w:r>
    </w:p>
    <w:p>
      <w:pPr>
        <w:pStyle w:val="BookText"/>
        <w:rPr/>
      </w:pPr>
      <w:r>
        <w:rPr>
          <w:rFonts w:ascii="Amiri" w:hAnsi="Amiri" w:eastAsia="Amiri" w:cs="Amiri"/>
          <w:color w:val="111111"/>
          <w:sz w:val="28"/>
          <w:sz w:val="28"/>
          <w:szCs w:val="28"/>
          <w:rtl w:val="true"/>
          <w:lang w:bidi="ar-SA"/>
        </w:rPr>
        <w:t xml:space="preserve">الإشارة فالصغرى ممنوعة، بل بملاحظة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بعض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الوجه الآخر ممّا استدلّ به من أنّ الاتّصال يوجب اختلاط بعض أجزاء الكرّ ببعض أجزاء المتنجّس؛ فإمّا أن يرتفع النجاسة عن النجس أو يتنجّس جزء الكرّ، و الثاني مخالف لأدلّة عدم انفعال الكرّ فتعيّن الأوّل، فإذا طهر الجزء طهر الجميع لعين ما ذكر، لجواز الواسطة بين ارتفاع النجاسة عن النجس و تنجّس جزء الكرّ و هو بقاء كلّ على حكمه إلى أن يتحقّق الامتزاج المعتبر، غاية ما يلزم اختلاف السطح الواحد في الحكم و لا دليل على بطلانه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تسليم زوال النجاسة عن الجزء المختلط فالتعدّي منه إلى الأجزاء الباقية لا وجه له بعد الفرق بينهما بتحقّق الشرط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مطهّريّة الماء بقول مطلق أو في الجملة،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r>
        <w:rPr>
          <w:rStyle w:val="FootnoteAnchor"/>
          <w:rtl w:val="true"/>
        </w:rPr>
        <w:footnoteReference w:id="2141"/>
      </w:r>
      <w:r>
        <w:rPr>
          <w:rFonts w:ascii="Amiri" w:hAnsi="Amiri" w:eastAsia="Amiri" w:cs="Amiri"/>
          <w:color w:val="111111"/>
          <w:sz w:val="28"/>
          <w:sz w:val="28"/>
          <w:szCs w:val="28"/>
          <w:rtl w:val="true"/>
          <w:lang w:bidi="ar-SA"/>
        </w:rPr>
        <w:t>بناء على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حتّى نفسه و لا يطهّر بغير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ما ذكر من جهة حذف المتعلّق دفعا للتناقض،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 xml:space="preserve">و لا يضرّ غلبة المزج في النهر المشبّه به، لظهور أنّ التشبيه في أصل الحكم لا في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يراه المطر فقد طهر</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مرسلة الكاهلي، فإنّه يصدق على ماء المطر الواقع على سطح الحوض أنّه رأى الحوض فطهر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حكاه العلاّمة عن بعض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بالمدينة رجل يدخل إلى أبي جعفر عليه السّلام و كان في طريقه ماء فيه العذرة و الجيفة، و كان يأمر الغلام يحمل كوزا من ماء يغسل رجليه إذا خاضه، فأبصر بي يوما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يصيب شيئا إلاّ طهّره</w:t>
      </w:r>
      <w:r>
        <w:rPr>
          <w:rFonts w:eastAsia="Amiri" w:cs="Amiri" w:ascii="Amiri" w:hAnsi="Amiri"/>
          <w:color w:val="111111"/>
          <w:sz w:val="28"/>
          <w:szCs w:val="28"/>
          <w:rtl w:val="true"/>
          <w:lang w:bidi="ar-SA"/>
        </w:rPr>
        <w:t>»</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صحيحة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ما غيّر طعمه أو ريحه، فينزح حتّى يذهب الريح و يطيب الطعم، لأنّ له مادّة</w:t>
      </w:r>
      <w:r>
        <w:rPr>
          <w:rFonts w:eastAsia="Amiri" w:cs="Amiri" w:ascii="Amiri" w:hAnsi="Amiri"/>
          <w:color w:val="111111"/>
          <w:sz w:val="28"/>
          <w:szCs w:val="28"/>
          <w:rtl w:val="true"/>
          <w:lang w:bidi="ar-SA"/>
        </w:rPr>
        <w:t>»</w:t>
      </w:r>
      <w:r>
        <w:rPr>
          <w:rStyle w:val="FootnoteAnchor"/>
          <w:rtl w:val="true"/>
        </w:rPr>
        <w:footnoteReference w:id="2145"/>
      </w:r>
      <w:r>
        <w:rPr>
          <w:rFonts w:ascii="IRNazanin" w:hAnsi="IRNazanin" w:eastAsia="IRNazanin"/>
          <w:color w:val="111111"/>
          <w:sz w:val="28"/>
          <w:sz w:val="28"/>
          <w:szCs w:val="28"/>
          <w:rtl w:val="true"/>
          <w:lang w:bidi="fa-IR"/>
        </w:rPr>
        <w:t xml:space="preserve">بناء على اختصاص </w:t>
      </w:r>
    </w:p>
    <w:p>
      <w:pPr>
        <w:pStyle w:val="BookText"/>
        <w:rPr/>
      </w:pPr>
      <w:r>
        <w:rPr>
          <w:rFonts w:ascii="Amiri" w:hAnsi="Amiri" w:eastAsia="Amiri" w:cs="Amiri"/>
          <w:color w:val="111111"/>
          <w:sz w:val="28"/>
          <w:sz w:val="28"/>
          <w:szCs w:val="28"/>
          <w:rtl w:val="true"/>
          <w:lang w:bidi="ar-SA"/>
        </w:rPr>
        <w:t>التعليل بالفقرة الأخيرة، أو شموله لها و لما قبلها، و على كلّ تقدير فيدلّ على كفاية زوال التغيّر في طهارة ما ينجّس بالتغيّر و له مادّة من غير اعتبار امتزاجه بشيء من المادّة أو ماء معتصم آخر، فإذا اكتفى بالاتّصال في المتغيّر ذي المادّة اكتفى في غيره من المياه النجسة بغير التغيّر باتّصاله بماء 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منّا في صدر الباب ما يدفع به أكثر هذه الروايات، 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الاولى مع أنّها غير معتبرة السند بالسكوني غير واضحة الدلالة، لمكان ما فيها من الإجمال المتقدّم بيانه مشروحا، و كون حذف المتعلّق مفيدا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الاعتبار بالنسبة إلى الفقرتين، و دفع التناقض الّذي يلزم على تقدير اعتبار العموم فيهما بتخصيص أحدهما بالآخر متساوي النسبة إليهما معا، فلا معيّن لإبقاء الاولى على العموم و تقييد الثانية، مع قوّة احتمال أن يكون الفعلان على فرض التشديد معلومين، أو مجهولين مرادا بهما قضيّتان مهملتان متصادقتان على الماء، لما فيه من اجتماع حيثيّتين باعتبار نفسه أو باعتبار الفاعل أو باعتبار القابل، فهو بملاحظة إحدى الحيثيّتين يطهّر أو يقبل الطهر، و بملاحظة الحيثيّة الاخرى لا يطهّر أو لا يقبل الطهارة،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 الشيء الفلاني و لا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مثل هذه القضيّة لا يفيدنا إلاّ الإجمال، و معه كيف يصلح محلاّ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النهر 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الجاري و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الدلالة على حكم التطهير، لما تقدّم من القرينة على إرادة تقوّي البعض بالبعض لا تطهّره به، و لو سلّم الدلالة على التطهير فهي أيضا دلالة إجماليّة مقصودة منها إعطاء أصل الحكم لا كيفيّته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المرسلة مع أنّه لم يثبت لإرسالها جابر و إن كانت دلالتها واضحة لمكان الإطلاق في الرؤية، يقيّدها رواية الميزابين</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بحث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لاعتبار الاختلاط كما لا يخفى على المتأمّل، و مع الغضّ عن ذلك فالتعدّي عن حكم المطر إلى غيره ممّا لا قاضي به؛ و الكلام إنّما هو في التطهير بالكثير و لعلّ بينهما فرقا في نظر الشارع</w:t>
      </w:r>
      <w:r>
        <w:rPr>
          <w:rFonts w:eastAsia="Amiri" w:cs="Amiri" w:ascii="Amiri" w:hAnsi="Amiri"/>
          <w:color w:val="111111"/>
          <w:sz w:val="28"/>
          <w:szCs w:val="28"/>
          <w:rtl w:val="true"/>
          <w:lang w:bidi="ar-SA"/>
        </w:rPr>
        <w:t xml:space="preserve">. </w:t>
      </w:r>
      <w:bookmarkStart w:id="758" w:name="pg16144_233521"/>
    </w:p>
    <w:p>
      <w:pPr>
        <w:pStyle w:val="BookText"/>
        <w:rPr/>
      </w:pPr>
      <w:bookmarkEnd w:id="758"/>
      <w:r>
        <w:rPr>
          <w:rFonts w:ascii="Amiri" w:hAnsi="Amiri" w:eastAsia="Amiri" w:cs="Amiri"/>
          <w:color w:val="111111"/>
          <w:sz w:val="28"/>
          <w:sz w:val="28"/>
          <w:szCs w:val="28"/>
          <w:rtl w:val="true"/>
          <w:lang w:bidi="ar-SA"/>
        </w:rPr>
        <w:t>و ببعض ما ذكر يظهر الجواب عن المرسلة الاخرى مع ما فيها من ظهور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يصيب شيئا إلاّ طهّره</w:t>
      </w:r>
      <w:r>
        <w:rPr>
          <w:rFonts w:eastAsia="Amiri" w:cs="Amiri" w:ascii="Amiri" w:hAnsi="Amiri"/>
          <w:color w:val="111111"/>
          <w:sz w:val="28"/>
          <w:szCs w:val="28"/>
          <w:rtl w:val="true"/>
          <w:lang w:bidi="ar-SA"/>
        </w:rPr>
        <w:t>»</w:t>
      </w:r>
      <w:r>
        <w:rPr>
          <w:rStyle w:val="FootnoteAnchor"/>
          <w:rtl w:val="true"/>
        </w:rPr>
        <w:footnoteReference w:id="2147"/>
      </w:r>
      <w:r>
        <w:rPr>
          <w:rFonts w:ascii="Amiri" w:hAnsi="Amiri" w:eastAsia="Amiri" w:cs="Amiri"/>
          <w:color w:val="111111"/>
          <w:sz w:val="28"/>
          <w:sz w:val="28"/>
          <w:szCs w:val="28"/>
          <w:rtl w:val="true"/>
          <w:lang w:bidi="ar-SA"/>
        </w:rPr>
        <w:t>في كونه تأكيدا لطهوريّة المشار إليه، مرادا به أنّ هذا الماء من شأنه أن يطهّر الأشياء المتنجّسة لا أنّ من شأنه أن ينجّس الأشياء الطاهرة، ردعا للمخاطب عن معتقده الّذي كشف عنه فعله، فلم يعتبر فيها أيضا عموم أو إطلاق يصلح للاستناد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الصحيحة أدلّ على خلاف مطلب المستدلّ؛ بناء على ظهور رجوع التعليل إلى الفقرة الأخيرة كما تقدّم في باب البئر و غيره، نظرا إلى ما تقدّم منّا في بعض المباحث المتقدّمة من أنّ اعتبار النزح هنا ليس من جهة أنّه بنفسه مطهّر، بل إنّما هو لمجرّد رفع مانعيّة التغيّر و إلاّ فالمطهّر في الحقيقة هو الماء المتجدّد من المادّة، ضرورة أنّ ماء البئر كلّما ينزح يتجدّد من المادّة ما يقوم مقام المنزوح حتّى يزول التغيّر، فالطهر مستند إلى هذا الماء المتجدّد و هو لازم الممازجة مع الماء المتنجّس عادة بسبب النزح الّذي يوجب مباشرة الدلو و غيره من الآلات المقتضية بحكم العادة تحرّك الماء و تقلّب أجزائه من مكان إلى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ملزوم للممازجة لا محالة، و لو سلّم فالتعدّي من البئر إلى غيرها لا بدّ له من وسط و هو مفقود، بناء على اختصاص العلّة بزوال التغيّر كما هو الظاهر؛ و لعلّ ذلك حكم مختصّ بالبئر كسائر أحكامها المختصّة بها الّتي منها المنزوحات المقدّرة فيها وجوبا أو استحبابا فليتدبّر،</w:t>
      </w:r>
    </w:p>
    <w:p>
      <w:pPr>
        <w:pStyle w:val="Heading6"/>
        <w:numPr>
          <w:ilvl w:val="5"/>
          <w:numId w:val="1"/>
        </w:numPr>
        <w:rPr/>
      </w:pPr>
      <w:bookmarkStart w:id="759" w:name="__RefHeading___Toc1804936_1280447820"/>
      <w:bookmarkStart w:id="760" w:name="_Toc299"/>
      <w:bookmarkEnd w:id="759"/>
      <w:r>
        <w:rPr>
          <w:rtl w:val="true"/>
        </w:rPr>
        <w:t>و لنختم المقام بذكر فوائد</w:t>
      </w:r>
      <w:r>
        <w:rPr>
          <w:rtl w:val="true"/>
        </w:rPr>
        <w:t>:</w:t>
      </w:r>
      <w:bookmarkEnd w:id="760"/>
    </w:p>
    <w:p>
      <w:pPr>
        <w:pStyle w:val="Heading6"/>
        <w:numPr>
          <w:ilvl w:val="5"/>
          <w:numId w:val="1"/>
        </w:numPr>
        <w:rPr/>
      </w:pPr>
      <w:bookmarkStart w:id="761" w:name="__RefHeading___Toc1804938_1280447820"/>
      <w:bookmarkStart w:id="762" w:name="_Toc300"/>
      <w:bookmarkEnd w:id="761"/>
      <w:r>
        <w:rPr>
          <w:rtl w:val="true"/>
        </w:rPr>
        <w:t>الاولى</w:t>
      </w:r>
      <w:r>
        <w:rPr>
          <w:rtl w:val="true"/>
        </w:rPr>
        <w:t xml:space="preserve">: </w:t>
      </w:r>
      <w:r>
        <w:rPr>
          <w:rtl w:val="true"/>
        </w:rPr>
        <w:t>أنّه قد ظهر من تضاعيف كلماتنا أنّ المعتبر من الامتزاج ما يرتفع به امتياز الماءين على وجه لا يقع عليهما عند المطّلع بالحال إلاّ إشارة واحدة،</w:t>
      </w:r>
      <w:bookmarkEnd w:id="762"/>
    </w:p>
    <w:p>
      <w:pPr>
        <w:pStyle w:val="BookText"/>
        <w:rPr/>
      </w:pPr>
      <w:r>
        <w:rPr>
          <w:rFonts w:ascii="Amiri" w:hAnsi="Amiri" w:eastAsia="Amiri" w:cs="Amiri"/>
          <w:color w:val="111111"/>
          <w:sz w:val="28"/>
          <w:sz w:val="28"/>
          <w:szCs w:val="28"/>
          <w:rtl w:val="true"/>
          <w:lang w:bidi="ar-SA"/>
        </w:rPr>
        <w:t xml:space="preserve">سواء حصل ذلك باختلاط كلّ الأجزاء بكلّ الأجزاء أو بغيره، لأنّ المقتضي للامتزاج هو الامتياز فلا بدّ و أن يكون العبرة بارتفاعه المتحقّق تارة بالامتزاج الكلّي و اخرى بالامتزاج الجزئي، خلافا لكاشف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بامتزاج البعض مطلقا مدّعيا عليه الإجماع، قائلا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مع الاتّصال لا بدّ من اختلاط شيء من الأجزاء، فإمّا أن ينجّس الطاهر، أو يطهّر النجس، أو يبقيان على ما كانا عليه، و الأوّل و الثالث خلاف ما اجمع عليه فتعيّن الثاني</w:t>
      </w:r>
      <w:r>
        <w:rPr>
          <w:rFonts w:eastAsia="Amiri" w:cs="Amiri" w:ascii="Amiri" w:hAnsi="Amiri"/>
          <w:color w:val="111111"/>
          <w:sz w:val="28"/>
          <w:szCs w:val="28"/>
          <w:rtl w:val="true"/>
          <w:lang w:bidi="ar-SA"/>
        </w:rPr>
        <w:t xml:space="preserve">. </w:t>
      </w:r>
      <w:bookmarkStart w:id="763" w:name="pg16144_233522"/>
    </w:p>
    <w:p>
      <w:pPr>
        <w:pStyle w:val="BookText"/>
        <w:rPr/>
      </w:pPr>
      <w:bookmarkEnd w:id="763"/>
      <w:r>
        <w:rPr>
          <w:rFonts w:ascii="Amiri" w:hAnsi="Amiri" w:eastAsia="Amiri" w:cs="Amiri"/>
          <w:color w:val="111111"/>
          <w:sz w:val="28"/>
          <w:sz w:val="28"/>
          <w:szCs w:val="28"/>
          <w:rtl w:val="true"/>
          <w:lang w:bidi="ar-SA"/>
        </w:rPr>
        <w:t>و إذا تطهّر ما اختلط من الأجزاء طهر الباقي، إذ ليس لنا ماء واحد في سطح واحد يختلف أجزاؤه طهارة و نجاسة بلا تغيّر؛ و أيضا لا خلاف في طهر الزائد على الكرّ أضعافا كثيرة بإلقاء كرّ عليه و إن استهلكه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كانت نسبة ما يقع فيه الاختلاط منه و من أجزاء النجس إلى مجموع أجزائه كنسبة ما يقع فيه الاختلاط بين القليل و الكثير عند أوّل الاتّصال، فإمّا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يطهّر الأجزاء المختلطة، ثمّ هي تطهّر ما جاورها و هكذا إلى أن يطهّر الجميع، فكذا فيما فيه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يحكم بالطهارة إلاّ إذا اختلط الكرّ الطاهر بجميع أجزاء النجس و يحكم ببقائه على الطهارة، و بقاء الأجزاء الغير المختلطة من النجس على النجاسة إلى تمام الاختلاط، و قد عرفت أنّه ليس لنا ماء واحد في سطح واحد يختلف أجزاؤه من غير تغيّر، و أيضا فالماء جسم لطيف سيّال تسري فيه الطهارة سريعا كما تسري فيه النجاسة، و لا دليل على الفرق بينهما</w:t>
      </w:r>
      <w:r>
        <w:rPr>
          <w:rFonts w:eastAsia="Amiri" w:cs="Amiri" w:ascii="Amiri" w:hAnsi="Amiri"/>
          <w:color w:val="111111"/>
          <w:sz w:val="28"/>
          <w:szCs w:val="28"/>
          <w:rtl w:val="true"/>
          <w:lang w:bidi="ar-SA"/>
        </w:rPr>
        <w:t>»</w:t>
      </w:r>
      <w:r>
        <w:rPr>
          <w:rStyle w:val="FootnoteAnchor"/>
          <w:rtl w:val="true"/>
        </w:rPr>
        <w:footnoteReference w:id="2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ضعفه ظاهر بعد الإحاطة بجميع ما تقدّم مع أنّه لو كان هذا التحقيق منه بناء على القول باشتراط الامتزاج لغى معه الاشتراط، لأنّ الاختلاط الجزئي كيفما اتّفق لازم عقلي للاتّصال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804940_1280447820"/>
      <w:bookmarkStart w:id="765" w:name="_Toc301"/>
      <w:bookmarkEnd w:id="764"/>
      <w:r>
        <w:rPr>
          <w:rtl w:val="true"/>
        </w:rPr>
        <w:t>الثانية</w:t>
      </w:r>
      <w:r>
        <w:rPr>
          <w:rtl w:val="true"/>
        </w:rPr>
        <w:t xml:space="preserve">: </w:t>
      </w:r>
      <w:r>
        <w:rPr>
          <w:rtl w:val="true"/>
        </w:rPr>
        <w:t>قد يستظهر من كلمات أهل القول باعتبار الامتزاج زيادة عليه القول باعتبار الاستهلاك أيضا على الوجه المعتبر في تطهير المضاف و عدم كفاية مطلق الامتزاج؛</w:t>
      </w:r>
      <w:bookmarkEnd w:id="76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إفراط كما أنّ ما سبق عن كاشف اللثام من القول بكفاية الاختلاط الجزئي الحاصل عند أوّل الاتّصال تفريط؛ و لم نقف في كلمات من تقدّم على ما يقضي بهذا الظهور، بل من تأمّل في العبارات المتقدّمة و نظر فيها حقّ النظر يجدها بين صريحة و ظاهرة في عدم اعتباره؛ و ما تقدّم في عبارة كاشف اللثام من نفي الخلاف في طهر الزائد على الكرّ أضعافا كثيرة بإلقاء كرّ عليه و إن استهلكه ممّا يشهد بكذب دعوى اعتباره عندهم، كيف و هو مستحيل الفرض فيما لو كان الماء النجس أقلّ من الكرّ الملقى عليه بقليل، فضلا عن كونه أكرارا كثيرة و الملقى عليه كرّا واحدا</w:t>
      </w:r>
      <w:r>
        <w:rPr>
          <w:rFonts w:eastAsia="Amiri" w:cs="Amiri" w:ascii="Amiri" w:hAnsi="Amiri"/>
          <w:color w:val="111111"/>
          <w:sz w:val="28"/>
          <w:szCs w:val="28"/>
          <w:rtl w:val="true"/>
          <w:lang w:bidi="ar-SA"/>
        </w:rPr>
        <w:t xml:space="preserve">. </w:t>
      </w:r>
      <w:bookmarkStart w:id="766" w:name="pg16144_233523"/>
    </w:p>
    <w:p>
      <w:pPr>
        <w:pStyle w:val="BookText"/>
        <w:rPr/>
      </w:pPr>
      <w:bookmarkEnd w:id="766"/>
      <w:r>
        <w:rPr>
          <w:rFonts w:ascii="Amiri" w:hAnsi="Amiri" w:eastAsia="Amiri" w:cs="Amiri"/>
          <w:color w:val="111111"/>
          <w:sz w:val="28"/>
          <w:sz w:val="28"/>
          <w:szCs w:val="28"/>
          <w:rtl w:val="true"/>
          <w:lang w:bidi="ar-SA"/>
        </w:rPr>
        <w:t xml:space="preserve">نعم، ربّما يوهم اعتباره وقوع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استدلالاتهم المتقدّمة على طهر القليل بإلقاء كرّ عليه؛ و مثله ما في الاستدلال على طهر الجاري المتغيّر بزوال التغيّر من جهة تدافع الماء من المادّة و تكاثره كما عرفته عن المنتهى</w:t>
      </w:r>
      <w:r>
        <w:rPr>
          <w:rStyle w:val="FootnoteAnchor"/>
          <w:rtl w:val="true"/>
        </w:rPr>
        <w:footnoteReference w:id="2149"/>
      </w:r>
      <w:r>
        <w:rPr>
          <w:rFonts w:ascii="Amiri" w:hAnsi="Amiri" w:eastAsia="Amiri" w:cs="Amiri"/>
          <w:color w:val="111111"/>
          <w:sz w:val="28"/>
          <w:sz w:val="28"/>
          <w:szCs w:val="28"/>
          <w:rtl w:val="true"/>
          <w:lang w:bidi="ar-SA"/>
        </w:rPr>
        <w:t>، لكن كلماتهم الاخر في طيّ تفاصيل المسألة قرائن تنهض شاهدة بعدم إرادة الاستهلاك بالمعنى المذكور، بل بإرادة الامتزاج الرافع للامتياز الخارجي بين الماءين، و حينئذ فيلزم حصول الطهر و لو فرض الكرّ الملقى مستهلكا في جنب النجس كما في مفروض كاشف اللثام، و هو الحقّ الّذي لا محيص عنه بالنظر إلى استدلالهم بما تقدّم من الملازمة المجمع عليها الّتي لا يقطع بها إلاّ مع الامتزاج المذكور، فحينئذ يكفي في طهر كرور متكاثرة كرّ واحد إذا امتزج معها على الوجه المذكور</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804942_1280447820"/>
      <w:bookmarkStart w:id="768" w:name="_Toc302"/>
      <w:bookmarkEnd w:id="767"/>
      <w:r>
        <w:rPr>
          <w:rtl w:val="true"/>
        </w:rPr>
        <w:t>الثالثة</w:t>
      </w:r>
      <w:r>
        <w:rPr>
          <w:rtl w:val="true"/>
        </w:rPr>
        <w:t xml:space="preserve">: </w:t>
      </w:r>
      <w:r>
        <w:rPr>
          <w:rtl w:val="true"/>
        </w:rPr>
        <w:t>لا فرق في اعتبار الامتزاج في تطهير القليل المتنجّس بين أنواعه،</w:t>
      </w:r>
      <w:bookmarkEnd w:id="768"/>
    </w:p>
    <w:p>
      <w:pPr>
        <w:pStyle w:val="BookText"/>
        <w:rPr/>
      </w:pPr>
      <w:r>
        <w:rPr>
          <w:rFonts w:ascii="Amiri" w:hAnsi="Amiri" w:eastAsia="Amiri" w:cs="Amiri"/>
          <w:color w:val="111111"/>
          <w:sz w:val="28"/>
          <w:sz w:val="28"/>
          <w:szCs w:val="28"/>
          <w:rtl w:val="true"/>
          <w:lang w:bidi="ar-SA"/>
        </w:rPr>
        <w:t>حتّى ماء الحمّام الّذي هو عبارة عمّا في حياضه الصغار إذا تنجّس بسبب انقطاعه عن المادّة، فإنّ مستند الاعتبار في غيره الّذي هو استصحاب النجاسة إلى أن يتحقّق مزيل يقيني كما ترى جار في ماء الحمّام أيضا، نظرا إلى أنّه بملاحظة الخلاف المتقدّم في بابه من مواضع الشبهة، و طهره بإلقاء الكرّ عليه دفعة مع تحقّق الممازجة أيضا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طهره بإجراء المادّة عليه فالظاهر أنّه ممّا لا خلاف فيه عندهم، بل عليه الإجماع في كلام المحقّق الخوانساري المتقدّم في بابه؛</w:t>
      </w:r>
      <w:r>
        <w:rPr>
          <w:rStyle w:val="FootnoteAnchor"/>
          <w:rtl w:val="true"/>
        </w:rPr>
        <w:footnoteReference w:id="2150"/>
      </w:r>
      <w:r>
        <w:rPr>
          <w:rFonts w:ascii="Amiri" w:hAnsi="Amiri" w:eastAsia="Amiri" w:cs="Amiri"/>
          <w:color w:val="111111"/>
          <w:sz w:val="28"/>
          <w:sz w:val="28"/>
          <w:szCs w:val="28"/>
          <w:rtl w:val="true"/>
          <w:lang w:bidi="ar-SA"/>
        </w:rPr>
        <w:t>، نعم ربّما يتوهّم الخلاف في اعتبار كرّيّة المادّة عند الرفع و عدمه و إن لم يوجد عليه قول محقّق كما مرّ ثمّة، و على أيّ حال فقضيّة الأصل المشار إليه اعتبارها فهو أيضا ممّا لا إشكال فيه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يحصل الإشكال بالنظر إلى اشتراط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تحقيقه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تكاد تتحقّق في مادّة الحمّام لورود الماء منها إلى الحياض تدريجا، و لو فرضناهما متساويي السطح فاتّصل أحدهما بالآخر أشكل الحال من جهة حصول الوحدة المعتبرة في تطهير القليل حسبما تقدّم؛ فإن حصل الإجماع على إلغاء هذين الأمرين في خصوص </w:t>
      </w:r>
      <w:bookmarkStart w:id="769" w:name="pg16144_233524"/>
    </w:p>
    <w:p>
      <w:pPr>
        <w:pStyle w:val="BookText"/>
        <w:rPr/>
      </w:pPr>
      <w:bookmarkEnd w:id="769"/>
      <w:r>
        <w:rPr>
          <w:rFonts w:ascii="Amiri" w:hAnsi="Amiri" w:eastAsia="Amiri" w:cs="Amiri"/>
          <w:color w:val="111111"/>
          <w:sz w:val="28"/>
          <w:sz w:val="28"/>
          <w:szCs w:val="28"/>
          <w:rtl w:val="true"/>
          <w:lang w:bidi="ar-SA"/>
        </w:rPr>
        <w:t>الحمّام و إلاّ أشكل الحال غاية الإشكال و قوي معه احتمال تعيّن إلقاء الكرّ في تطهيره، و على أيّ حال فالاحتياط في مثله المعتضد بالاستصحاب ممّا لا ينبغي تركه جدّا</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804944_1280447820"/>
      <w:bookmarkStart w:id="771" w:name="_Toc303"/>
      <w:bookmarkEnd w:id="770"/>
      <w:r>
        <w:rPr>
          <w:rtl w:val="true"/>
        </w:rPr>
        <w:t>الرابعة</w:t>
      </w:r>
      <w:r>
        <w:rPr>
          <w:rtl w:val="true"/>
        </w:rPr>
        <w:t xml:space="preserve">: </w:t>
      </w:r>
      <w:r>
        <w:rPr>
          <w:rtl w:val="true"/>
        </w:rPr>
        <w:t>كما أنّ القليل المتنجّس يطهّر بإلقاء كرّ عليه فكذا يطهّر بالجاري و نزول الغيث،</w:t>
      </w:r>
      <w:bookmarkEnd w:id="771"/>
    </w:p>
    <w:p>
      <w:pPr>
        <w:pStyle w:val="BookText"/>
        <w:rPr/>
      </w:pPr>
      <w:r>
        <w:rPr>
          <w:rFonts w:ascii="Amiri" w:hAnsi="Amiri" w:eastAsia="Amiri" w:cs="Amiri"/>
          <w:color w:val="111111"/>
          <w:sz w:val="28"/>
          <w:sz w:val="28"/>
          <w:szCs w:val="28"/>
          <w:rtl w:val="true"/>
          <w:lang w:bidi="ar-SA"/>
        </w:rPr>
        <w:t>أمّا الأوّل فقد نصّ عليه غير واحد منهم الشهيد في الدروس</w:t>
      </w:r>
      <w:r>
        <w:rPr>
          <w:rStyle w:val="FootnoteAnchor"/>
          <w:rtl w:val="true"/>
        </w:rPr>
        <w:footnoteReference w:id="2151"/>
      </w:r>
      <w:r>
        <w:rPr>
          <w:rFonts w:ascii="Amiri" w:hAnsi="Amiri" w:eastAsia="Amiri" w:cs="Amiri"/>
          <w:color w:val="111111"/>
          <w:sz w:val="28"/>
          <w:sz w:val="28"/>
          <w:szCs w:val="28"/>
          <w:rtl w:val="true"/>
          <w:lang w:bidi="ar-SA"/>
        </w:rPr>
        <w:t>و غيره، بل الظاهر أنّه ممّا لا خلاف فيه في الجملة كما في شرح الدروس للخوانساري</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على القول باشتراط الكرّيّة في عدم انفعال الجاري يعتبر الكرّيّة؛ و أمّا على المختار فالكرّيّة ليست بمعتبرة هنا كما أنّ الظاهر عدم اعتبار الدفعة هنا، بل لا معنى له بعد ملاحظة أنّ وصف الجريان لا يجامعه الدفعة بالمعنى المتقدّم؛ و أمّا الامتزاج فقد صرّح غير واحد بأنّ الكلام فيه هنا كالكلام في إلقاء الكرّ، و قضيّة ذلك كونه معتبرا هنا عند معتبريه ثمّة، و هذا هو مقتضى الأصل المتقدّم ذكره، و لا فرق في الطهر به بين الورودين و لا بين علوّ المطهّر و غيره، فلو اتّصل به الجاري من تحته فامتزجا طهر، و الدلالة على ذلك كلّه ما سبق مفصّلا في إلقاء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العلاّمة في القواعد</w:t>
      </w:r>
      <w:r>
        <w:rPr>
          <w:rStyle w:val="FootnoteAnchor"/>
          <w:rtl w:val="true"/>
        </w:rPr>
        <w:footnoteReference w:id="2153"/>
      </w:r>
      <w:r>
        <w:rPr>
          <w:rFonts w:ascii="Amiri" w:hAnsi="Amiri" w:eastAsia="Amiri" w:cs="Amiri"/>
          <w:color w:val="111111"/>
          <w:sz w:val="28"/>
          <w:sz w:val="28"/>
          <w:szCs w:val="28"/>
          <w:rtl w:val="true"/>
          <w:lang w:bidi="ar-SA"/>
        </w:rPr>
        <w:t>و التحرير</w:t>
      </w:r>
      <w:r>
        <w:rPr>
          <w:rStyle w:val="FootnoteAnchor"/>
          <w:rtl w:val="true"/>
        </w:rPr>
        <w:footnoteReference w:id="2154"/>
      </w:r>
      <w:r>
        <w:rPr>
          <w:rFonts w:ascii="Amiri" w:hAnsi="Amiri" w:eastAsia="Amiri" w:cs="Amiri"/>
          <w:color w:val="111111"/>
          <w:sz w:val="28"/>
          <w:sz w:val="28"/>
          <w:szCs w:val="28"/>
          <w:rtl w:val="true"/>
          <w:lang w:bidi="ar-SA"/>
        </w:rPr>
        <w:t>من أنّه لا يطهّر بالنبع من تحته، فلعلّه لا ينافي ما ذكرناه، لجواز أن يكون مراده بالنبع خروج الكثير المنخفض عن القليل إليه بطريق النبع، كما مرّت الإشارة إليه في نظير ذلك عنه في المنتهى</w:t>
      </w:r>
      <w:r>
        <w:rPr>
          <w:rStyle w:val="FootnoteAnchor"/>
          <w:rtl w:val="true"/>
        </w:rPr>
        <w:footnoteReference w:id="2155"/>
      </w:r>
      <w:r>
        <w:rPr>
          <w:rFonts w:ascii="Amiri" w:hAnsi="Amiri" w:eastAsia="Amiri" w:cs="Amiri"/>
          <w:color w:val="111111"/>
          <w:sz w:val="28"/>
          <w:sz w:val="28"/>
          <w:szCs w:val="28"/>
          <w:rtl w:val="true"/>
          <w:lang w:bidi="ar-SA"/>
        </w:rPr>
        <w:t>في ردّ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في توجيهه وجهان آخران كما في شرح الدروس</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اشتراط العلوّ في الطهر، و هو ليس على ما ينبغي كما يظهر وجهه بملاحظة ما أشرنا إليه عنه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ما هو مختاره من نجاسة الجاري بالملاقاة إذا كان قليلا، و ما ذكرناه أوجه، و أمّا الثاني فقد سبق شرحه مفصّلا في باب المطر</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804946_1280447820"/>
      <w:bookmarkStart w:id="773" w:name="_Toc304"/>
      <w:bookmarkEnd w:id="772"/>
      <w:r>
        <w:rPr>
          <w:rtl w:val="true"/>
        </w:rPr>
        <w:t>و ثالثها</w:t>
      </w:r>
      <w:r>
        <w:rPr>
          <w:rtl w:val="true"/>
        </w:rPr>
        <w:t xml:space="preserve">: </w:t>
      </w:r>
      <w:r>
        <w:rPr>
          <w:rtl w:val="true"/>
        </w:rPr>
        <w:t>في تطهير القليل بإتمامه كرّا،</w:t>
      </w:r>
      <w:bookmarkEnd w:id="773"/>
    </w:p>
    <w:p>
      <w:pPr>
        <w:pStyle w:val="Heading6"/>
        <w:numPr>
          <w:ilvl w:val="5"/>
          <w:numId w:val="1"/>
        </w:numPr>
        <w:rPr/>
      </w:pPr>
      <w:bookmarkStart w:id="774" w:name="__RefHeading___Toc1804948_1280447820"/>
      <w:bookmarkStart w:id="775" w:name="_Toc305"/>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القليل بإتمامه كرّا،</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اختلف فيه الأصحاب رضوان اللّه </w:t>
      </w:r>
    </w:p>
    <w:p>
      <w:pPr>
        <w:pStyle w:val="BookText"/>
        <w:rPr/>
      </w:pPr>
      <w:r>
        <w:rPr>
          <w:rFonts w:ascii="Amiri" w:hAnsi="Amiri" w:eastAsia="Amiri" w:cs="Amiri"/>
          <w:color w:val="111111"/>
          <w:sz w:val="28"/>
          <w:sz w:val="28"/>
          <w:szCs w:val="28"/>
          <w:rtl w:val="true"/>
          <w:lang w:bidi="ar-SA"/>
        </w:rPr>
        <w:t>عليهم، فعن الشيخ في الخلاف</w:t>
      </w:r>
      <w:r>
        <w:rPr>
          <w:rStyle w:val="FootnoteAnchor"/>
          <w:rtl w:val="true"/>
        </w:rPr>
        <w:footnoteReference w:id="2158"/>
      </w:r>
      <w:r>
        <w:rPr>
          <w:rFonts w:ascii="Amiri" w:hAnsi="Amiri" w:eastAsia="Amiri" w:cs="Amiri"/>
          <w:color w:val="111111"/>
          <w:sz w:val="28"/>
          <w:sz w:val="28"/>
          <w:szCs w:val="28"/>
          <w:rtl w:val="true"/>
          <w:lang w:bidi="ar-SA"/>
        </w:rPr>
        <w:t>و ابن الجنيد</w:t>
      </w:r>
      <w:r>
        <w:rPr>
          <w:rStyle w:val="FootnoteAnchor"/>
          <w:rtl w:val="true"/>
        </w:rPr>
        <w:footnoteReference w:id="2159"/>
      </w:r>
      <w:r>
        <w:rPr>
          <w:rFonts w:ascii="Amiri" w:hAnsi="Amiri" w:eastAsia="Amiri" w:cs="Amiri"/>
          <w:color w:val="111111"/>
          <w:sz w:val="28"/>
          <w:sz w:val="28"/>
          <w:szCs w:val="28"/>
          <w:rtl w:val="true"/>
          <w:lang w:bidi="ar-SA"/>
        </w:rPr>
        <w:t>و أكثر المتأخّرين عدم طهره به مطلقا سواء كان بطاهر أو نجس؛ و في بعض العبائر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المرتضى في المسائل الرسيّة</w:t>
      </w:r>
      <w:r>
        <w:rPr>
          <w:rStyle w:val="FootnoteAnchor"/>
          <w:rtl w:val="true"/>
        </w:rPr>
        <w:footnoteReference w:id="2160"/>
      </w:r>
      <w:r>
        <w:rPr>
          <w:rFonts w:ascii="Amiri" w:hAnsi="Amiri" w:eastAsia="Amiri" w:cs="Amiri"/>
          <w:color w:val="111111"/>
          <w:sz w:val="28"/>
          <w:sz w:val="28"/>
          <w:szCs w:val="28"/>
          <w:rtl w:val="true"/>
          <w:lang w:bidi="ar-SA"/>
        </w:rPr>
        <w:t>، و الشيخ في ظاهر المبسوط</w:t>
      </w:r>
      <w:r>
        <w:rPr>
          <w:rStyle w:val="FootnoteAnchor"/>
          <w:rtl w:val="true"/>
        </w:rPr>
        <w:footnoteReference w:id="2161"/>
      </w:r>
      <w:r>
        <w:rPr>
          <w:rFonts w:ascii="Amiri" w:hAnsi="Amiri" w:eastAsia="Amiri" w:cs="Amiri"/>
          <w:color w:val="111111"/>
          <w:sz w:val="28"/>
          <w:sz w:val="28"/>
          <w:szCs w:val="28"/>
          <w:rtl w:val="true"/>
          <w:lang w:bidi="ar-SA"/>
        </w:rPr>
        <w:t>، و السّلار</w:t>
      </w:r>
      <w:r>
        <w:rPr>
          <w:rStyle w:val="FootnoteAnchor"/>
          <w:rtl w:val="true"/>
        </w:rPr>
        <w:footnoteReference w:id="2162"/>
      </w:r>
      <w:r>
        <w:rPr>
          <w:rFonts w:ascii="Amiri" w:hAnsi="Amiri" w:eastAsia="Amiri" w:cs="Amiri"/>
          <w:color w:val="111111"/>
          <w:sz w:val="28"/>
          <w:sz w:val="28"/>
          <w:szCs w:val="28"/>
          <w:rtl w:val="true"/>
          <w:lang w:bidi="ar-SA"/>
        </w:rPr>
        <w:t>، و يحيى بن سعيد</w:t>
      </w:r>
      <w:r>
        <w:rPr>
          <w:rStyle w:val="FootnoteAnchor"/>
          <w:rtl w:val="true"/>
        </w:rPr>
        <w:footnoteReference w:id="2163"/>
      </w:r>
      <w:r>
        <w:rPr>
          <w:rFonts w:ascii="Amiri" w:hAnsi="Amiri" w:eastAsia="Amiri" w:cs="Amiri"/>
          <w:color w:val="111111"/>
          <w:sz w:val="28"/>
          <w:sz w:val="28"/>
          <w:szCs w:val="28"/>
          <w:rtl w:val="true"/>
          <w:lang w:bidi="ar-SA"/>
        </w:rPr>
        <w:t>، و ابني إدريس</w:t>
      </w:r>
      <w:r>
        <w:rPr>
          <w:rStyle w:val="FootnoteAnchor"/>
          <w:rtl w:val="true"/>
        </w:rPr>
        <w:footnoteReference w:id="2164"/>
      </w:r>
      <w:r>
        <w:rPr>
          <w:rFonts w:ascii="Amiri" w:hAnsi="Amiri" w:eastAsia="Amiri" w:cs="Amiri"/>
          <w:color w:val="111111"/>
          <w:sz w:val="28"/>
          <w:sz w:val="28"/>
          <w:szCs w:val="28"/>
          <w:rtl w:val="true"/>
          <w:lang w:bidi="ar-SA"/>
        </w:rPr>
        <w:t>و حمزة</w:t>
      </w:r>
      <w:r>
        <w:rPr>
          <w:rStyle w:val="FootnoteAnchor"/>
          <w:rtl w:val="true"/>
        </w:rPr>
        <w:footnoteReference w:id="2165"/>
      </w:r>
      <w:r>
        <w:rPr>
          <w:rFonts w:ascii="Amiri" w:hAnsi="Amiri" w:eastAsia="Amiri" w:cs="Amiri"/>
          <w:color w:val="111111"/>
          <w:sz w:val="28"/>
          <w:sz w:val="28"/>
          <w:szCs w:val="28"/>
          <w:rtl w:val="true"/>
          <w:lang w:bidi="ar-SA"/>
        </w:rPr>
        <w:t>، و المحقّق الشيخ عليّ‌</w:t>
      </w:r>
      <w:r>
        <w:rPr>
          <w:rStyle w:val="FootnoteAnchor"/>
          <w:rtl w:val="true"/>
        </w:rPr>
        <w:footnoteReference w:id="2166"/>
      </w:r>
      <w:r>
        <w:rPr>
          <w:rFonts w:ascii="Amiri" w:hAnsi="Amiri" w:eastAsia="Amiri" w:cs="Amiri"/>
          <w:color w:val="111111"/>
          <w:sz w:val="28"/>
          <w:sz w:val="28"/>
          <w:szCs w:val="28"/>
          <w:rtl w:val="true"/>
          <w:lang w:bidi="ar-SA"/>
        </w:rPr>
        <w:t xml:space="preserve">القول بالطهارة، و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مطلق و مصرّح بعدم الفرق بين الطاهر و النجس كما عن ابن إدريس</w:t>
      </w:r>
      <w:r>
        <w:rPr>
          <w:rStyle w:val="FootnoteAnchor"/>
          <w:rtl w:val="true"/>
        </w:rPr>
        <w:footnoteReference w:id="2167"/>
      </w:r>
      <w:r>
        <w:rPr>
          <w:rFonts w:ascii="Amiri" w:hAnsi="Amiri" w:eastAsia="Amiri" w:cs="Amiri"/>
          <w:color w:val="111111"/>
          <w:sz w:val="28"/>
          <w:sz w:val="28"/>
          <w:szCs w:val="28"/>
          <w:rtl w:val="true"/>
          <w:lang w:bidi="ar-SA"/>
        </w:rPr>
        <w:t>، و عن المبسوط نسبته إلى بعض أصحابنا، و مقيّد له بالطاهر كما عن بعضهم على ما في محكيّ المبسوط</w:t>
      </w:r>
      <w:r>
        <w:rPr>
          <w:rStyle w:val="FootnoteAnchor"/>
          <w:rtl w:val="true"/>
        </w:rPr>
        <w:footnoteReference w:id="2168"/>
      </w:r>
      <w:r>
        <w:rPr>
          <w:rFonts w:ascii="Amiri" w:hAnsi="Amiri" w:eastAsia="Amiri" w:cs="Amiri"/>
          <w:color w:val="111111"/>
          <w:sz w:val="28"/>
          <w:sz w:val="28"/>
          <w:szCs w:val="28"/>
          <w:rtl w:val="true"/>
          <w:lang w:bidi="ar-SA"/>
        </w:rPr>
        <w:t>و الذكرى</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الأقوى الأوّل، لأنّه ماء حكم الشارع بنجاسته فيقف زواله على دلالة من الشارع و هي منتفية، كيف و أنّ المتمّم إن كان طاهرا فقد تنجّس بالملاقاة بحكم علّيتها المستفادة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و معه لا يعقل الطهارة في المجموع بمجرّد الإتمام؛ و إن كان نجسا فأولى بعدم التأثير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عموم النهي عن استعمال غسالة الحمّام الّتي لا تنفكّ عادة عن الطاهر إذا بلغ المجموع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ملاقاة هذا النجس علّة لانفعال الملاقي بحكم المفهوم فكذلك علّة لكرّيّة المجموع و هي مانعة عن الانفعال؛ فيجب القول بعدمه في الملاقي عملا بمنطوق الرواية، ثمّ يحكم بطهارة المجموع عملا بالإجماع على عدم اختلاف الماء الواحد في السطح الواحد في وصفي الطهارة و النجاسة و لو بعد اعتبار الممازجة بينهما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المستفاد من المنطوق أنّ الكرّيّة مانعة عن الانفعال إذا صادفت طهارة </w:t>
      </w:r>
    </w:p>
    <w:p>
      <w:pPr>
        <w:pStyle w:val="BookText"/>
        <w:rPr/>
      </w:pPr>
      <w:r>
        <w:rPr>
          <w:rFonts w:ascii="Amiri" w:hAnsi="Amiri" w:eastAsia="Amiri" w:cs="Amiri"/>
          <w:color w:val="111111"/>
          <w:sz w:val="28"/>
          <w:sz w:val="28"/>
          <w:szCs w:val="28"/>
          <w:rtl w:val="true"/>
          <w:lang w:bidi="ar-SA"/>
        </w:rPr>
        <w:t>المجموع فلا يندرج فيه المقام؛ و معه يبقى المفهوم سليما عن المعارضة، أنّ الملاقاة لكونها علّة للكرّيّة مقدّمة ذاتا على الكرّيّة فهي بمجرّد تحقّقها تؤثّر في انفعال الملاقي قضاء لاستحالة تخلّف المعلول عن العلّة، غاية الأمر أنّ هذا المعلول يقارن المعلول الآخر و هو الكرّيّة في الوجود الخارجي، و قضيّة ذلك مصادفة هذا المعلول محلاّ غير قابل لأن يؤثّر في عدم انفعاله و إلاّ 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المحذور لو ترتّب الأثران على الملاقاة و الكرّيّة متقارنين و هو ليس بلازم، لجواز أن يترتّب الأثر على الكرّيّة بعد ما ترتّب على الملاقاة أثرها، غاية ما هنالك لزوم الالتزام بأنّ هنا حدوثا للانفعال و زوالا له جمعا بين المفهوم و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خروج عن الفرض حيث إنّ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لما ادّعيناه من اقتضاء الملاقاة انفعال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مانعيّة الكرّيّة عن حدوث الانفعال، و ما ذكر في التفصّي عن المحذور التزام بكون الكرّيّة رافعة للانفعال الحادث؛ و الفرق بين المعنيين بيّن كما بين السماء و الأرض؛ مع أنّ مفاد المنطوق كون الكرّيّة مانعة عن حدوث الانفعال لا أنّها رافعة للانفعال الحادث فلا منطوق بالقياس إلى ما ذكر، فيعود الكلام إلى بقائه تحت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دخوله فيه أوّلا و خروجه ثانيا بطروّ الكرّيّة ممّا لا شاهد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غير واحد الاحتجاج على المختار بالاستصحاب و هو لا يخلو عن نوع مناقشة؛ إذ لو اريد بالنجاسة المستصحبة نجاسة الجميع فهو كذب، لمكان كون الحالة السابقة في المتمّم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بها ما يختصّ بالبعض المتنجّس فهي معارضة بطهارة المتمّم؛ و لو اريد العمل بالاستصحابين معا و لو بعد الممازجة، فهو باطل بحكم الملازمة المجمع عليها المقتضية لعدم اختلاف الماء الواحد في الحكم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بها النجاسة المختصّة مع الحكم بنجاسة الجميع بحكم تلك الملازمة، أو بحكم ما دلّ على انفعال القليل بملاقاة المتنجّس الّذي حكم عليه بالنجاسة شرعا، على ما سبق تحقيقه في ذيل مسألة أنّ النجاسة منوطة في نظر الشارع بالعلم بها و لو شرعا</w:t>
      </w:r>
      <w:r>
        <w:rPr>
          <w:rFonts w:eastAsia="Amiri" w:cs="Amiri" w:ascii="Amiri" w:hAnsi="Amiri"/>
          <w:color w:val="111111"/>
          <w:sz w:val="28"/>
          <w:szCs w:val="28"/>
          <w:rtl w:val="true"/>
          <w:lang w:bidi="ar-SA"/>
        </w:rPr>
        <w:t xml:space="preserve">. </w:t>
      </w:r>
      <w:bookmarkStart w:id="776" w:name="pg16144_233527"/>
    </w:p>
    <w:p>
      <w:pPr>
        <w:pStyle w:val="BookText"/>
        <w:rPr/>
      </w:pPr>
      <w:bookmarkEnd w:id="776"/>
      <w:r>
        <w:rPr>
          <w:rFonts w:ascii="Amiri" w:hAnsi="Amiri" w:eastAsia="Amiri" w:cs="Amiri"/>
          <w:color w:val="111111"/>
          <w:sz w:val="28"/>
          <w:sz w:val="28"/>
          <w:szCs w:val="28"/>
          <w:rtl w:val="true"/>
          <w:lang w:bidi="ar-SA"/>
        </w:rPr>
        <w:t>و لكن يتوجّه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موارد الاستصحاب لمكان العلم ببقاء النجاسة، إلاّ أن يكون التمسّك به مبنيّا على المماشاة مع الخصم</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804950_1280447820"/>
      <w:bookmarkStart w:id="778" w:name="_Toc306"/>
      <w:bookmarkEnd w:id="777"/>
      <w:r>
        <w:rPr>
          <w:rtl w:val="true"/>
        </w:rPr>
        <w:t>و كيف كان فاحتجّ أهل القول بالطهارة بوجوه</w:t>
      </w:r>
      <w:r>
        <w:rPr>
          <w:rtl w:val="true"/>
        </w:rPr>
        <w:t>:</w:t>
      </w:r>
      <w:bookmarkEnd w:id="778"/>
    </w:p>
    <w:p>
      <w:pPr>
        <w:pStyle w:val="Heading6"/>
        <w:numPr>
          <w:ilvl w:val="5"/>
          <w:numId w:val="1"/>
        </w:numPr>
        <w:rPr/>
      </w:pPr>
      <w:bookmarkStart w:id="779" w:name="__RefHeading___Toc1804952_1280447820"/>
      <w:bookmarkStart w:id="780" w:name="_Toc307"/>
      <w:bookmarkEnd w:id="779"/>
      <w:r>
        <w:rPr>
          <w:rtl w:val="true"/>
        </w:rPr>
        <w:t>منها</w:t>
      </w:r>
      <w:r>
        <w:rPr>
          <w:rtl w:val="true"/>
        </w:rPr>
        <w:t xml:space="preserve">: </w:t>
      </w:r>
      <w:r>
        <w:rPr>
          <w:rtl w:val="true"/>
        </w:rPr>
        <w:t>ما عن المرتضى من أنّ البلوغ قدر الكرّ يوجب استهلاكه للنجاسة فليستو وقوعها قبل البلوغ و بعده</w:t>
      </w:r>
      <w:r>
        <w:rPr>
          <w:rtl w:val="true"/>
        </w:rPr>
        <w:t>.</w:t>
      </w:r>
      <w:bookmarkEnd w:id="78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المرتضى</w:t>
      </w:r>
      <w:r>
        <w:rPr>
          <w:rStyle w:val="FootnoteAnchor"/>
          <w:rtl w:val="true"/>
        </w:rPr>
        <w:footnoteReference w:id="2171"/>
      </w:r>
      <w:r>
        <w:rPr>
          <w:rFonts w:ascii="Amiri" w:hAnsi="Amiri" w:eastAsia="Amiri" w:cs="Amiri"/>
          <w:color w:val="111111"/>
          <w:sz w:val="28"/>
          <w:sz w:val="28"/>
          <w:szCs w:val="28"/>
          <w:rtl w:val="true"/>
          <w:lang w:bidi="ar-SA"/>
        </w:rPr>
        <w:t>من أنّ البلوغ قدر الكرّ يوجب استهلاكه للنجاسة فليستو وقوعها قبل البلوغ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بلوغ قدر الكرّ موجبا لاستهلاك النجاسة أنّ الماء معه لا يتأثّر عمّا يقع فيه من النجاسة العينيّة الغير المغيّرة و ما في حكمها في التأثير كالمتنجّس، كما أنّ معنى كون الماء البالغ قدر الكرّ مستهلكا للنجاسة عدم قبوله أثر النجاسة الواقعة فيه و عدم بروز أثر تلك النجاسة فيه و عروضه له، بحيث كان وجودها فيه بمنزلة عدمها، فلو اريد بالمقدّمة الاولى من الدليل هذا المعنى فهو حقّ متين لا سترة عليه، لكنّه لا يقتضي الاستواء بين وقوعها قبل البلوغ و وقوعها بعد البلوغ، ضرورة الفرق بينهما كما بين السماء و الأرض، إذ ليس الكلام في أنّه هل يتأثّر أو لا يتأثّر؟ بل في أنّه هل يزول عنه الأثر أو لا يزول؟ و من البيّن أنّ أحدهما ليس بعين الآخر و لا ملازمة بينهما عقلا و لا شرعا، فيكون التعدّي عن أحدهما إلى الآخر قياسا و مع الفارق، ضرورة أنّ الماء في رفعه الأثر الحاصل ربّما يحتاج إلى ما لا يحتاج إليه في دفعه الأثر الغير الحاصل كما هو معلوم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بها ما زاد على هذا المعنى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الكرّيّة في الماء صفة لا تجامعها صفة النجاسة سابقة و لا حقة،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قد كشف عن كون الكرّيّة مضادّة للنجاسة و لا معنى له إلاّ كونها في مقام الرفع رافعة و في مقام الدفع دافعة؛ فهو أوّل الدعوى لمنع قيام الدلالة من الشرع على هذا المعنى، بل القدر المسلّم قيام الدلالة على أنّ سبق الكرّيّة يوجب في الماء قوّة تعصمه عن حصول أثر النجاسة و حدوثه فيه</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804954_1280447820"/>
      <w:bookmarkStart w:id="782" w:name="_Toc308"/>
      <w:bookmarkEnd w:id="781"/>
      <w:r>
        <w:rPr>
          <w:rtl w:val="true"/>
        </w:rPr>
        <w:t>و منها</w:t>
      </w:r>
      <w:r>
        <w:rPr>
          <w:rtl w:val="true"/>
        </w:rPr>
        <w:t xml:space="preserve">: </w:t>
      </w:r>
      <w:r>
        <w:rPr>
          <w:rtl w:val="true"/>
        </w:rPr>
        <w:t>ما عنه أيضا من أنّ الإجماع واقع على طهارة الماء الكثير إذا وجدت فيه نجاسة</w:t>
      </w:r>
      <w:bookmarkEnd w:id="78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w:t>
      </w:r>
      <w:r>
        <w:rPr>
          <w:rStyle w:val="FootnoteAnchor"/>
          <w:rtl w:val="true"/>
        </w:rPr>
        <w:footnoteReference w:id="2172"/>
      </w:r>
      <w:r>
        <w:rPr>
          <w:rFonts w:ascii="Amiri" w:hAnsi="Amiri" w:eastAsia="Amiri" w:cs="Amiri"/>
          <w:color w:val="111111"/>
          <w:sz w:val="28"/>
          <w:sz w:val="28"/>
          <w:szCs w:val="28"/>
          <w:rtl w:val="true"/>
          <w:lang w:bidi="ar-SA"/>
        </w:rPr>
        <w:t>أيضا من أنّ الإجماع واقع على طهارة الماء الكثير إذا وجدت فيه نجاسة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يعلم هل كان وقوعها قبل بلوغ الكرّيّة أو بعده، و ما ذاك إلاّ لتساوي الحالين، إذ لو اختصّ الحكم ببعديّة الوقوع لم يكن للحكم بالطهارة وجه، لأنّه كما </w:t>
      </w:r>
    </w:p>
    <w:p>
      <w:pPr>
        <w:pStyle w:val="BookText"/>
        <w:rPr/>
      </w:pPr>
      <w:r>
        <w:rPr>
          <w:rFonts w:ascii="Amiri" w:hAnsi="Amiri" w:eastAsia="Amiri" w:cs="Amiri"/>
          <w:color w:val="111111"/>
          <w:sz w:val="28"/>
          <w:sz w:val="28"/>
          <w:szCs w:val="28"/>
          <w:rtl w:val="true"/>
          <w:lang w:bidi="ar-SA"/>
        </w:rPr>
        <w:t>يمكن تأخّره عن البلوغ كذا يمكن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أدلّ على خلاف المقصود من الاستدلال، ضرورة أنّه لو لا الفرق بين وقوعها قبل بلوغ الكرّيّة و وقوعها بعده لغى أخذ الشكّ قيدا في موضوع الحكم المجمع عليه، و المفروض أنّه لا إجماع مع عدم اعتبار هذا الشكّ، فظهر أنّ للشكّ المذكور مدخليّة في الحكم و بطل به دعوى تساوي الحالين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جهة استصحاب الطهارة الأصليّة في الماء، حيث إنّ بلوغ الكرّيّة مع وقوع النجاسة بكليهما أمران حادثان لا يجري فيهما الأصل، فيبقى أصالة الطهارة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لما سبق تحقيقه من أنّ أحكام النجاسة في نظر الشارع معلّقة على العلم بتحقّق أسباب النجاسة و لو شرعا، و أنّ مشكوك النجاسة عندنا محكوم عليه عنده بالطهارة، و لا ريب أنّ المقام ممّا لا مدخل له في ذلك، فبالجملة فرق بين المقامين و الفارق هو الإجماع في أحدهما دون الآخر، مضافا إلى الأصلين المتقدّم إليهما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قرّر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يحكم بالطهارة بذلك لم يحكم بطهارة الماء الّذي وجد فيه نجاسة لم يعلم وقوعها قبل الكرّيّة أو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الالتزام به ليس من المنكرات فلا يحكم عليه بالطهارة و لا النجاسة، فهو لا ينجّس الطاهر و لا يطهّر النجس، فيكون حاله حال المشكوك في كرّيّته إذا لاقته النجاسة في وجه قويّ، لأنّه كما أنّ الكرّيّة شرط و قد شكّ فيها فكذلك الطهارة شرط و قد شكّ فيها</w:t>
      </w:r>
      <w:r>
        <w:rPr>
          <w:rFonts w:eastAsia="Amiri" w:cs="Amiri" w:ascii="Amiri" w:hAnsi="Amiri"/>
          <w:color w:val="111111"/>
          <w:sz w:val="28"/>
          <w:szCs w:val="28"/>
          <w:rtl w:val="true"/>
          <w:lang w:bidi="ar-SA"/>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يلائم الإجماع المدّعى على الحكم بالطهارة، و كأنّه غفلة عن كون مستند بطلان التالي هو الإجماع كما يرشد إليه تجريد التقرير المذكور عن ذكره، و قد وقع التصريح بالاستناد إليه في كلام جماعة على وجه يظهر منهم الاعتراف به، و حكي الاعتراف به أيضا عن الفاضلين</w:t>
      </w:r>
      <w:r>
        <w:rPr>
          <w:rStyle w:val="FootnoteAnchor"/>
          <w:rtl w:val="true"/>
        </w:rPr>
        <w:footnoteReference w:id="2174"/>
      </w:r>
      <w:r>
        <w:rPr>
          <w:rFonts w:ascii="Amiri" w:hAnsi="Amiri" w:eastAsia="Amiri" w:cs="Amiri"/>
          <w:color w:val="111111"/>
          <w:sz w:val="28"/>
          <w:sz w:val="28"/>
          <w:szCs w:val="28"/>
          <w:rtl w:val="true"/>
          <w:lang w:bidi="ar-SA"/>
        </w:rPr>
        <w:t>و الشهيد</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في مقايسة المقام على المشكوك في كرّيّته من الفساد الواضح، لمنع أصل الحكم في المقيس عليه، ضرورة أنّ المشكوك في كرّيّته إمّا أن يعلم له حالة سابقة من </w:t>
      </w:r>
      <w:bookmarkStart w:id="783" w:name="pg16144_233529"/>
    </w:p>
    <w:p>
      <w:pPr>
        <w:pStyle w:val="BookText"/>
        <w:rPr/>
      </w:pPr>
      <w:bookmarkEnd w:id="783"/>
      <w:r>
        <w:rPr>
          <w:rFonts w:ascii="Amiri" w:hAnsi="Amiri" w:eastAsia="Amiri" w:cs="Amiri"/>
          <w:color w:val="111111"/>
          <w:sz w:val="28"/>
          <w:sz w:val="28"/>
          <w:szCs w:val="28"/>
          <w:rtl w:val="true"/>
          <w:lang w:bidi="ar-SA"/>
        </w:rPr>
        <w:t>قلّة أو كرّيّة أو لا؟ فعلى الأوّل يكون المتّبع هو الأصل الّذي يقتضيه الحالة السابقة، فالمتّجه حينئذ الحكم بالنجاسة لاستصحاب القلّة أو الحكم بالطهارة لاستصحاب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المتّبع قاعدة الطهارة بعد الحكم على الأصلين بالتساقط، بل لا أصل في البين حينئذ لانتفاء الحالة السابقة الّتي هي من أركان الاستصحاب، فيبقى قاعدة الطهارة المستفادة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بشرطيّة الكرّيّة و شرطيّة الطهارة المشكوك فيهما فممّا لا يرجع إلى محصّل، لأنّ الكرّيّة شرط في عدم نجاسة الماء بوقوع النجاسة فيه، و الطهارة شرط في تطهير النجس، لكنّ الشرط إذا كان مطابقا للأصل أمكن إحرازه بالأصل، فلم لا يحكم بأصالة الطهارة إن سلمت عن معارضة أصالة عدم الكرّيّة و تقدّمها عليها حتّى يترتّب عليه تطهير النجس؟ و مع عدم السلامة فأصالة عدم الكرّيّة يقضي بالنجاسة فيترتّب عليها تنجّس الطاهر، ففسد التعليل كما فسد أصل الحكم</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804956_1280447820"/>
      <w:bookmarkStart w:id="785" w:name="_Toc309"/>
      <w:bookmarkEnd w:id="784"/>
      <w:r>
        <w:rPr>
          <w:rtl w:val="true"/>
        </w:rPr>
        <w:t>و منها</w:t>
      </w:r>
      <w:r>
        <w:rPr>
          <w:rtl w:val="true"/>
        </w:rPr>
        <w:t xml:space="preserve">: </w:t>
      </w:r>
      <w:r>
        <w:rPr>
          <w:rtl w:val="true"/>
        </w:rPr>
        <w:t>ما عن ابن إدريس الاحتجاج بالإجماع قائلا</w:t>
      </w:r>
      <w:r>
        <w:rPr>
          <w:rtl w:val="true"/>
        </w:rPr>
        <w:t>: «</w:t>
      </w:r>
      <w:r>
        <w:rPr>
          <w:rtl w:val="true"/>
        </w:rPr>
        <w:t>بأنّ إجماع أصحابنا على هذه المسألة إلاّ من عرف اسمه و نسبه</w:t>
      </w:r>
      <w:r>
        <w:rPr>
          <w:rtl w:val="true"/>
        </w:rPr>
        <w:t>»</w:t>
      </w:r>
      <w:r>
        <w:rPr>
          <w:rtl w:val="true"/>
        </w:rPr>
        <w:t>،</w:t>
      </w:r>
      <w:bookmarkEnd w:id="78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2177"/>
      </w:r>
      <w:r>
        <w:rPr>
          <w:rFonts w:ascii="Amiri" w:hAnsi="Amiri" w:eastAsia="Amiri" w:cs="Amiri"/>
          <w:color w:val="111111"/>
          <w:sz w:val="28"/>
          <w:sz w:val="28"/>
          <w:szCs w:val="28"/>
          <w:rtl w:val="true"/>
          <w:lang w:bidi="ar-SA"/>
        </w:rPr>
        <w:t>الاحتجاج بالإجماع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إجماع أصحابنا على هذه المسألة إلاّ من عرف اسمه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2178"/>
      </w:r>
      <w:r>
        <w:rPr>
          <w:rFonts w:ascii="Amiri" w:hAnsi="Amiri" w:eastAsia="Amiri" w:cs="Amiri"/>
          <w:color w:val="111111"/>
          <w:sz w:val="28"/>
          <w:sz w:val="28"/>
          <w:szCs w:val="28"/>
          <w:rtl w:val="true"/>
          <w:lang w:bidi="ar-SA"/>
        </w:rPr>
        <w:t>مدّعيا إجماع المؤالف و المخالف على هذه الرواية، فإنّها عامّة لصورتي تأخّر الخبث و تقدّمه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 القاموس</w:t>
      </w:r>
      <w:r>
        <w:rPr>
          <w:rStyle w:val="FootnoteAnchor"/>
          <w:rtl w:val="true"/>
        </w:rPr>
        <w:footnoteReference w:id="2179"/>
      </w:r>
      <w:r>
        <w:rPr>
          <w:rFonts w:ascii="Amiri" w:hAnsi="Amiri" w:eastAsia="Amiri" w:cs="Amiri"/>
          <w:color w:val="111111"/>
          <w:sz w:val="28"/>
          <w:sz w:val="28"/>
          <w:szCs w:val="28"/>
          <w:rtl w:val="true"/>
          <w:lang w:bidi="ar-SA"/>
        </w:rPr>
        <w:t>و نهاية ابن الأثير</w:t>
      </w:r>
      <w:r>
        <w:rPr>
          <w:rStyle w:val="FootnoteAnchor"/>
          <w:rtl w:val="true"/>
        </w:rPr>
        <w:footnoteReference w:id="2180"/>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فيه خبث، و حينئذ يكون دلالته من باب الخصوص لا العموم، لأنّ عدم ظهور الخبث فيه يستلزم معناه أنّه كان سابقا على البلوغ و بعده لم يظهر حكمه فيه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بالعمومات الدالّة على طهارة الماء و جواز استعماله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218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2182"/>
      </w:r>
      <w:r>
        <w:rPr>
          <w:rFonts w:ascii="Amiri" w:hAnsi="Amiri" w:eastAsia="Amiri" w:cs="Amiri"/>
          <w:color w:val="111111"/>
          <w:sz w:val="28"/>
          <w:sz w:val="28"/>
          <w:szCs w:val="28"/>
          <w:rtl w:val="true"/>
          <w:lang w:bidi="ar-SA"/>
        </w:rPr>
        <w:t>و قوله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الماء فامسسه جسدك</w:t>
      </w:r>
      <w:r>
        <w:rPr>
          <w:rFonts w:eastAsia="Amiri" w:cs="Amiri" w:ascii="Amiri" w:hAnsi="Amiri"/>
          <w:color w:val="111111"/>
          <w:sz w:val="28"/>
          <w:szCs w:val="28"/>
          <w:rtl w:val="true"/>
          <w:lang w:bidi="ar-SA"/>
        </w:rPr>
        <w:t>»</w:t>
      </w:r>
      <w:r>
        <w:rPr>
          <w:rStyle w:val="FootnoteAnchor"/>
          <w:rtl w:val="true"/>
        </w:rPr>
        <w:footnoteReference w:id="218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فلا ازيد على أن أحثوا </w:t>
      </w:r>
    </w:p>
    <w:p>
      <w:pPr>
        <w:pStyle w:val="BookText"/>
        <w:rPr/>
      </w:pPr>
      <w:r>
        <w:rPr>
          <w:rFonts w:ascii="Amiri" w:hAnsi="Amiri" w:eastAsia="Amiri" w:cs="Amiri"/>
          <w:color w:val="111111"/>
          <w:sz w:val="28"/>
          <w:sz w:val="28"/>
          <w:szCs w:val="28"/>
          <w:rtl w:val="true"/>
          <w:lang w:bidi="ar-SA"/>
        </w:rPr>
        <w:t>على رأسي ثلاث حثيات فإذن أنّي قد طهرت</w:t>
      </w:r>
      <w:r>
        <w:rPr>
          <w:rFonts w:eastAsia="Amiri" w:cs="Amiri" w:ascii="Amiri" w:hAnsi="Amiri"/>
          <w:color w:val="111111"/>
          <w:sz w:val="28"/>
          <w:szCs w:val="28"/>
          <w:rtl w:val="true"/>
          <w:lang w:bidi="ar-SA"/>
        </w:rPr>
        <w:t>»</w:t>
      </w:r>
      <w:r>
        <w:rPr>
          <w:rStyle w:val="FootnoteAnchor"/>
          <w:rtl w:val="true"/>
        </w:rPr>
        <w:footnoteReference w:id="2184"/>
      </w:r>
      <w:r>
        <w:rPr>
          <w:rFonts w:ascii="Amiri" w:hAnsi="Amiri" w:eastAsia="Amiri" w:cs="Amiri"/>
          <w:color w:val="111111"/>
          <w:sz w:val="28"/>
          <w:sz w:val="28"/>
          <w:szCs w:val="28"/>
          <w:rtl w:val="true"/>
          <w:lang w:bidi="ar-SA"/>
        </w:rPr>
        <w:t>، و ضعف الجميع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عموم الآية لا تعرّض فيه لما بعد النجاسة، بل أقصى ما فيها الدلالة على حكم الماء بحسب الخلقة الأصليّة و هو لا ينافي طروّ النجاسة فضلا عن استمرارها بعد الطروّ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قضايا مهملة سيقت لإعطاء أصل حكم التطهير، من غير نظر فيها إلى تشخيص موضوعه عموما و لا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مخالفة المعظم فلا اعتداد بنقله بعد الاسترابة في منقوله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ما فيه من قدح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منع دلالته على ما يرامه المستدلّ كما هو واضح لمن له أدنى خبرة بمعاني الألفاظ و مقتضى تراكيب الكلام؛ إذ أقصى ما فيها من الدلالة أنّ الماء ببلوغ الكرّيّة لا يتحمّل صفة الخبثيّة، على معنى أنّه لا يحدث له تحمّل تلك الصفة، لا أنّه بسببه يضع حمله من تلك الصفة على تقدير تحمّله لها قبل البلوغ، و هذان معنيان متغايران، و الأوّل منهما يقتضي خلوّ الماء عنها قبل البلوغ؛ و محلّ البحث مندرج في الثاني فلا يندرج في الرواية، فيكون مفادها مطابقا 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عرفت نقله عن القاموس و النهاية، لأنّ عدم ظهور الخبث معناه عدم بروزه في ظرف الخارج لا زوال الخبث البارز في الخارج عنه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طويل في دفع هذه الأدلّة و لا سيّما الرواية، حيث إنّه بعد ما نقل الأدلّة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الخبر فإنّا لم نروه مسندا، و الّذي </w:t>
      </w:r>
      <w:bookmarkStart w:id="786" w:name="pg16144_233531"/>
    </w:p>
    <w:p>
      <w:pPr>
        <w:pStyle w:val="BookText"/>
        <w:rPr/>
      </w:pPr>
      <w:bookmarkEnd w:id="786"/>
      <w:r>
        <w:rPr>
          <w:rFonts w:ascii="Amiri" w:hAnsi="Amiri" w:eastAsia="Amiri" w:cs="Amiri"/>
          <w:color w:val="111111"/>
          <w:sz w:val="28"/>
          <w:sz w:val="28"/>
          <w:szCs w:val="28"/>
          <w:rtl w:val="true"/>
          <w:lang w:bidi="ar-SA"/>
        </w:rPr>
        <w:t>رواه مرسلا المرتضى رضي اللّه عنه و الشيخ أبو جعفر و آحاد ممّن جاء بعده؛ و الخبر المرسل لا يعمل به و كتب الحديث عن الأئمّة عليهم السّلام خالية عنه أصلا، و أمّا المخالفون فلم أعرف به عاملا سوى ما يحكى عن ابن حيّ و هو زيدي منقطع المذهب، و ما رأيت أعجب ممّن يدّعي إجماع المخالف و المؤالف فيما لا يوجد إلاّ نادرا، فإذن الرواية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أصحابنا فرووا عن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صريح في أنّ بلوغه كرّا هو المانع لتأثّره بالنجاسة، و لا يلزم من كونه لا ينجّسه شيء بعد البلوغ رفع ما كان ثابتا فيه و منجّسا قبله، و الشيخ رحمه اللّه قال بقولهم عليهم السّلام، و نحن قد طالعنا كتب الأخبار المنسوبة إليهم فلم نر هذا اللفظ، و إنّما رأينا ما ذكرناه و هو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غلط من غلط في هذه المسألة لتوهّمه أنّ معنى اللفظين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و الخبر البواقي فالاستدلال بها ضعيف لا يفتقر إلى جواب، لأنّا لا ننازع في استعمال الطاهر المطلق، بل بحثنا في هذا النجس إذا بلغ بطاهر، فإن ثبت طهارته تناولته الأحاديث الآمرة بالاغتسال أو غيره، و إن لم يثبت طهارته فالإجماع على المنع منه فلا تعلّق له إذن فيما ذكره، و هل يستجيز أن يقول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أحثوا على رأسي ثلاث حثيات ممّا يجتمع من غسالة البول و الدم و ملغة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لذلك أيضا بالإجماع و هو أضعف من الأوّل؛ لأنّا لم نقف على هذا في شيء من كتب الأصحاب و لو وجد كان نادرا، بل ذكره المرتضى رحمه اللّه في المسائل منفردة و بعده اثنان أو ثلاثة ممّن تابعه، و دعوى مثل هذا إجماعا غلط، إذ لسنا بدعوى المائة نعلم بدخول الإمام عليه السّلام فيهم فكيف بفتوى الثلاثة و الأربعة</w:t>
      </w:r>
      <w:r>
        <w:rPr>
          <w:rFonts w:eastAsia="Amiri" w:cs="Amiri" w:ascii="Amiri" w:hAnsi="Amiri"/>
          <w:color w:val="111111"/>
          <w:sz w:val="28"/>
          <w:szCs w:val="28"/>
          <w:rtl w:val="true"/>
          <w:lang w:bidi="ar-SA"/>
        </w:rPr>
        <w:t>»</w:t>
      </w:r>
      <w:r>
        <w:rPr>
          <w:rStyle w:val="FootnoteAnchor"/>
          <w:rtl w:val="true"/>
        </w:rPr>
        <w:footnoteReference w:id="21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787" w:name="__RefHeading___Toc1804958_1280447820"/>
      <w:bookmarkStart w:id="788" w:name="_Toc310"/>
      <w:bookmarkEnd w:id="787"/>
      <w:r>
        <w:rPr>
          <w:rtl w:val="true"/>
        </w:rPr>
        <w:t>المرحلة الثانية</w:t>
      </w:r>
      <w:r>
        <w:rPr>
          <w:rtl w:val="true"/>
        </w:rPr>
        <w:t xml:space="preserve">: </w:t>
      </w:r>
      <w:r>
        <w:rPr>
          <w:rtl w:val="true"/>
        </w:rPr>
        <w:t>في تطهير الكرّ و الجاري المتغيّرين، ففيها مسألتان</w:t>
      </w:r>
      <w:r>
        <w:rPr>
          <w:rtl w:val="true"/>
        </w:rPr>
        <w:t>.</w:t>
      </w:r>
      <w:bookmarkEnd w:id="788"/>
    </w:p>
    <w:p>
      <w:pPr>
        <w:pStyle w:val="Heading6"/>
        <w:numPr>
          <w:ilvl w:val="5"/>
          <w:numId w:val="1"/>
        </w:numPr>
        <w:rPr/>
      </w:pPr>
      <w:bookmarkStart w:id="789" w:name="__RefHeading___Toc1804960_1280447820"/>
      <w:bookmarkStart w:id="790" w:name="_Toc311"/>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Style w:val="FootnoteAnchor"/>
          <w:rtl w:val="true"/>
        </w:rPr>
        <w:footnoteReference w:id="2186"/>
      </w:r>
      <w:r>
        <w:rPr>
          <w:rFonts w:ascii="Amiri" w:hAnsi="Amiri" w:eastAsia="Amiri" w:cs="Amiri"/>
          <w:color w:val="111111"/>
          <w:sz w:val="28"/>
          <w:sz w:val="28"/>
          <w:szCs w:val="28"/>
          <w:rtl w:val="true"/>
          <w:lang w:bidi="ar-SA"/>
        </w:rPr>
        <w:t>في تطهير الكرّ و الجاري المتغيّرين، ففيها مسألتان</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804962_1280447820"/>
      <w:bookmarkStart w:id="792" w:name="_Toc312"/>
      <w:bookmarkEnd w:id="791"/>
      <w:r>
        <w:rPr>
          <w:rtl w:val="true"/>
        </w:rPr>
        <w:t>المسألة الاولى</w:t>
      </w:r>
      <w:r>
        <w:rPr>
          <w:rtl w:val="true"/>
        </w:rPr>
        <w:t xml:space="preserve">: </w:t>
      </w:r>
      <w:r>
        <w:rPr>
          <w:rtl w:val="true"/>
        </w:rPr>
        <w:t>في تطهير الكرّ</w:t>
      </w:r>
      <w:r>
        <w:rPr>
          <w:rtl w:val="true"/>
        </w:rPr>
        <w:t>.</w:t>
      </w:r>
      <w:bookmarkEnd w:id="792"/>
    </w:p>
    <w:p>
      <w:pPr>
        <w:pStyle w:val="Heading6"/>
        <w:numPr>
          <w:ilvl w:val="5"/>
          <w:numId w:val="1"/>
        </w:numPr>
        <w:rPr/>
      </w:pPr>
      <w:bookmarkStart w:id="793" w:name="__RefHeading___Toc1804964_1280447820"/>
      <w:bookmarkStart w:id="794" w:name="_Toc313"/>
      <w:bookmarkEnd w:id="793"/>
      <w:r>
        <w:rPr>
          <w:rtl w:val="true"/>
        </w:rPr>
        <w:t>اشارة</w:t>
      </w:r>
      <w:bookmarkEnd w:id="794"/>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يطهّر بإلقاء كرّ عليه فما زاد حتّى يزول التغيّر، سواء عمّ التغيّر جميع الكرّ أو اختصّ ببعضه مع كون الباقي أقلّ من كرّ، و لو زال التغيّر بكرّ واحد و لو بعد مكث و مضيّ مدّة اكتفى به و لم يحتج إلى الزائد، بشرط أن لا يتغيّر الكرّ الملقى كلاّ أم بعضا </w:t>
      </w:r>
    </w:p>
    <w:p>
      <w:pPr>
        <w:pStyle w:val="BookText"/>
        <w:rPr/>
      </w:pPr>
      <w:r>
        <w:rPr>
          <w:rFonts w:ascii="Amiri" w:hAnsi="Amiri" w:eastAsia="Amiri" w:cs="Amiri"/>
          <w:color w:val="111111"/>
          <w:sz w:val="28"/>
          <w:sz w:val="28"/>
          <w:szCs w:val="28"/>
          <w:rtl w:val="true"/>
          <w:lang w:bidi="ar-SA"/>
        </w:rPr>
        <w:t>و إلاّ احتيج إلى إلقاء كرّ آخر، و البحث في اعتبار الدفعة و الممازجة كما سبق، فالمتّجه على المختار اعتبارهما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اختصّ التغيّر ببعض الكرّ و كان الباقي أيضا كرّا و لم يقطع التغيّر عمود الغير المتغيّر كفى ذلك الباقي في طهر صاحبه، بشرط تموّج بعضه في بعض تحقيقا للممازجة المعتبرة، و على القول بعدم اعتبارها كفى الاتّصال الموجود هنا، لكن يشترط على كلا التقديرين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الطهر في جميع الصور المذكورة هو الدليل المتقدّم في تطهير القليل من الملازمة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يطهّر الكثير أيضا بالجاري و بماء المطر على النحو المتقدّم إليه الإشارة، و ينوط الحكم فيهما أيضا بزوال التغيّر، فهذا كلّه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في طهره بزوال التغيّر من قبل نفسه، أو بعلاج من تصفيق الرياح أو وقوع أجسام طاهرة فيه و نحوه، كما نقل القول به عن يحيى بن سعيد من أصحابنا في الجامع</w:t>
      </w:r>
      <w:r>
        <w:rPr>
          <w:rStyle w:val="FootnoteAnchor"/>
          <w:rtl w:val="true"/>
        </w:rPr>
        <w:footnoteReference w:id="2187"/>
      </w:r>
      <w:r>
        <w:rPr>
          <w:rFonts w:ascii="Amiri" w:hAnsi="Amiri" w:eastAsia="Amiri" w:cs="Amiri"/>
          <w:color w:val="111111"/>
          <w:sz w:val="28"/>
          <w:sz w:val="28"/>
          <w:szCs w:val="28"/>
          <w:rtl w:val="true"/>
          <w:lang w:bidi="ar-SA"/>
        </w:rPr>
        <w:t>، و عن العلاّمة في النهاية</w:t>
      </w:r>
      <w:r>
        <w:rPr>
          <w:rStyle w:val="FootnoteAnchor"/>
          <w:rtl w:val="true"/>
        </w:rPr>
        <w:footnoteReference w:id="2188"/>
      </w:r>
      <w:r>
        <w:rPr>
          <w:rFonts w:ascii="Amiri" w:hAnsi="Amiri" w:eastAsia="Amiri" w:cs="Amiri"/>
          <w:color w:val="111111"/>
          <w:sz w:val="28"/>
          <w:sz w:val="28"/>
          <w:szCs w:val="28"/>
          <w:rtl w:val="true"/>
          <w:lang w:bidi="ar-SA"/>
        </w:rPr>
        <w:t>أنّه تردّد في حصول الطهارة بزوال التغيّر من قبل نفسه خاصّة؛ و أمّا الباقون فعلى أنّه لا يطهّر به مطلقا، و قد يجعل ذلك أشهر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لا يطهّر به</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 و لم يعرف من أصحابنا عدا من ذكر قائل بالطهر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المنتهى نقل تفصيلا عن الشافعي و أحمد من العامّة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زال التغيّر لطول المكث عاد طهورا، و إن زال لطرح المسك و الزعفران فلا، لأنّهما ساتران لا مزيلان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التراب قولان مبنيّان على أنّه مزيل أو 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 التغيّر بأخذ بعضه لم يطهر و إن كان كرّا، و كذا لو زال التغيّر بإلقاء أقلّ من الكرّ على الأقوى، خلافا لبعض علمائنا و للشافعي</w:t>
      </w:r>
      <w:r>
        <w:rPr>
          <w:rFonts w:eastAsia="Amiri" w:cs="Amiri" w:ascii="Amiri" w:hAnsi="Amiri"/>
          <w:color w:val="111111"/>
          <w:sz w:val="28"/>
          <w:szCs w:val="28"/>
          <w:rtl w:val="true"/>
          <w:lang w:bidi="ar-SA"/>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المدارك جعل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ما ذهب إليه من أنّ الماء النجس يطهّر بالإتمام، و من هنا صرّح بأنّه في الحقيقة لازم لكلّ من قال بذلك</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جمع من الأصحاب بأنّ القول بطهارة المتغيّر بزوال التغيّر لازم لكلّ من قال بالطهارة بالإتمام</w:t>
      </w:r>
      <w:r>
        <w:rPr>
          <w:rFonts w:eastAsia="Amiri" w:cs="Amiri" w:ascii="Amiri" w:hAnsi="Amiri"/>
          <w:color w:val="111111"/>
          <w:sz w:val="28"/>
          <w:szCs w:val="28"/>
          <w:rtl w:val="true"/>
          <w:lang w:bidi="ar-SA"/>
        </w:rPr>
        <w:t>»</w:t>
      </w:r>
      <w:r>
        <w:rPr>
          <w:rStyle w:val="FootnoteAnchor"/>
          <w:rtl w:val="true"/>
        </w:rPr>
        <w:footnoteReference w:id="2192"/>
      </w:r>
      <w:r>
        <w:rPr>
          <w:rFonts w:ascii="Amiri" w:hAnsi="Amiri" w:eastAsia="Amiri" w:cs="Amiri"/>
          <w:color w:val="111111"/>
          <w:sz w:val="28"/>
          <w:sz w:val="28"/>
          <w:szCs w:val="28"/>
          <w:rtl w:val="true"/>
          <w:lang w:bidi="ar-SA"/>
        </w:rPr>
        <w:t>، و نقل دعوى هذه الملازمة عن المحقّق في المعتبر</w:t>
      </w:r>
      <w:r>
        <w:rPr>
          <w:rStyle w:val="FootnoteAnchor"/>
          <w:rtl w:val="true"/>
        </w:rPr>
        <w:footnoteReference w:id="219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لعلّها مبنيّة على توهّم رجوع القول بالطهارة بالإتمام إلى دعوى منافاة عنوان الكرّيّة لوصف النجاسة، و هو ممّا لا ينافيه أكثر أدلّة هذا القول، بل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 للمقام كالرواية المتقدّمة مع عمومات الطهارة و المطهّريّة، و لا ينافيه كون التغيّر عند أصحاب هذا القول مقتضيا للنجاسة حتّى مع عنوان الكرّيّة، لأنّ أقصى ما يلزم من ذلك التزامهم بتقييد العنوان بغير صورة التغيّر أو تخصيص تلك الصورة عن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فيه القول بالطهارة بعد زوال التغيّر، لأنّ ذلك تخصيص في بعض الأحوال و هو لا يقضي بتخصيص الفرد في جميع الأحوال، فالمخرج عن العموم هو حالة التغيّر دون الفرد المتغيّر حتّى لا يمكن دخوله فيه بعد الخروج، و قضيّة ذلك شمول حكم العامّ له بعد ارتفاع الحالة المذكورة نظرا إلى وجود المقتضي و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يضعّف دعوى الملازمة بمصير بعض أهل القول بالطهارة في مسألة الإتمام إلى عدمها في مسألة زوال التغيّر كالحلّي</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و قال في مسألة إتمام القليل 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الطريق إلى تطهير هذا الماء أن يزاد زيادة تبلغه الكرّ أو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ذهاب بعض القائلين بعدم الطهارة ثمّة إليها هنا،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الماء الطهارة، و الحكم بالنجاسة للتغيّر، فإذا زالت العلّة انتفى المعلول كما حكاه في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كيف كان فعمدة ما احتجّ به للقول بالطهارة هو الوجه المذكور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المعلول هو حدوث النجاسة لا بقاؤها، و قد تقرّر في الاصول أنّ </w:t>
      </w:r>
    </w:p>
    <w:p>
      <w:pPr>
        <w:pStyle w:val="BookText"/>
        <w:rPr/>
      </w:pPr>
      <w:r>
        <w:rPr>
          <w:rFonts w:ascii="Amiri" w:hAnsi="Amiri" w:eastAsia="Amiri" w:cs="Amiri"/>
          <w:color w:val="111111"/>
          <w:sz w:val="28"/>
          <w:sz w:val="28"/>
          <w:szCs w:val="28"/>
          <w:rtl w:val="true"/>
          <w:lang w:bidi="ar-SA"/>
        </w:rPr>
        <w:t>البقاء لا يحتاج إلى دليل في نفسه، إذ الأصل أنّ ما ثبت دام إلى وجود قاطع و ذلك معنى الاستصحاب، لكن ربّما يتوجّه إليه مناقشة من حيث التعليل المذكور يظهر وجهها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المتقدّمة في المسألة السابقة</w:t>
      </w:r>
      <w:r>
        <w:rPr>
          <w:rStyle w:val="FootnoteAnchor"/>
          <w:rtl w:val="true"/>
        </w:rPr>
        <w:footnoteReference w:id="2195"/>
      </w:r>
      <w:r>
        <w:rPr>
          <w:rFonts w:ascii="Amiri" w:hAnsi="Amiri" w:eastAsia="Amiri" w:cs="Amiri"/>
          <w:color w:val="111111"/>
          <w:sz w:val="28"/>
          <w:sz w:val="28"/>
          <w:szCs w:val="28"/>
          <w:rtl w:val="true"/>
          <w:lang w:bidi="ar-SA"/>
        </w:rPr>
        <w:t>إمّا بناء على ما قرّرناه من أنّ الخارج من ذلك حالة التغيّر فيدخل ما بعدها في العموم، أو لأنّه إذا فرض الماء المتغيّر نصفين زال تغيّرهما فاجتمعا دخل تحت عموم الرواية، و إذا ثبت فيه ثبت في غيره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تلك الرواية إنّما يصحّ لو كانت متعرّضة لحكم الزوال عقيب الحدوث خصوصا أو عموما و قد مرّ منعه في المسألة السابقة، فإنّ العبارة قاصرة جدّا عن التعرّض للحكم المذكور نفيا و إثباتا، و ظاهرة في إعطاء حكم الدفع الّذي ليس المقام عنه، و مع الغضّ عن ذلك فالتمسّك بالإجماع بناء على التقرير الثاني ضعيف جدّا، إذ لا محمل له إلاّ مركّب الإجماع و هو مع وجود القول بالفصل كما ترى؛ و قد عرفت أنّ الحلّي العامل بالرواية فيما هو من قبيل المسألة الثانية أنكر الطهارة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w:t>
      </w:r>
      <w:r>
        <w:rPr>
          <w:rStyle w:val="FootnoteAnchor"/>
          <w:rtl w:val="true"/>
        </w:rPr>
        <w:footnoteReference w:id="21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مخصوصة بالنصّ و الإجماع بالخبث الّذي لا يكون مغيّرا للماء، فإذا ثبت النجاسة بالتغيّر كانت مستصحبة، و بالتأمّل فيما قرّرناه في تحقيق دعوى الملازمة بين القولين تقدر على تزييف ذلك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 بناء على عدم جريان استصحاب النجاسة، لأنّ موضوع النجاسة هو المتلبّس بالتغيّر، أو المردّد بين ما حدث فيه التغيّر في زمان و ما تلبّس به، و على التقديرين فلا يعلم بقاء الموضوع الّذي هو شرط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موضوع النجاسة شيء ممّا ذكر، بل الموضوع هو الماء الملاقي للنجاسة المغيّرة، بناء على أنّ الموجب للنجاسة هو الملاقاة المغيّرة دون الملاقاة مطلقة و لا التغيّر منفردا و هو باق جزما، و سيلحقك زيادة توضيح في ذلك</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اعتبار فعليّة التغيّر في النجاسة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غلب الماء على ريح الجيفة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w:t>
      </w:r>
      <w:r>
        <w:rPr>
          <w:rFonts w:eastAsia="Amiri" w:cs="Amiri" w:ascii="Amiri" w:hAnsi="Amiri"/>
          <w:color w:val="111111"/>
          <w:sz w:val="28"/>
          <w:szCs w:val="28"/>
          <w:rtl w:val="true"/>
          <w:lang w:bidi="ar-SA"/>
        </w:rPr>
        <w:t>»</w:t>
      </w:r>
      <w:r>
        <w:rPr>
          <w:rStyle w:val="FootnoteAnchor"/>
          <w:rtl w:val="true"/>
        </w:rPr>
        <w:footnoteReference w:id="2197"/>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إذا </w:t>
      </w:r>
    </w:p>
    <w:p>
      <w:pPr>
        <w:pStyle w:val="BookText"/>
        <w:rPr/>
      </w:pPr>
      <w:r>
        <w:rPr>
          <w:rFonts w:ascii="IRNazanin" w:hAnsi="IRNazanin" w:eastAsia="IRNazanin"/>
          <w:color w:val="111111"/>
          <w:sz w:val="28"/>
          <w:sz w:val="28"/>
          <w:szCs w:val="28"/>
          <w:rtl w:val="true"/>
          <w:lang w:bidi="fa-IR"/>
        </w:rPr>
        <w:t>غلب لون الماء لون البول</w:t>
      </w:r>
      <w:r>
        <w:rPr>
          <w:rFonts w:eastAsia="IRNazanin" w:cs="IRNazanin"/>
          <w:color w:val="111111"/>
          <w:sz w:val="28"/>
          <w:szCs w:val="28"/>
          <w:rtl w:val="true"/>
          <w:lang w:bidi="fa-IR"/>
        </w:rPr>
        <w:t>»</w:t>
      </w:r>
      <w:r>
        <w:rPr>
          <w:rStyle w:val="FootnoteAnchor"/>
          <w:rtl w:val="true"/>
        </w:rPr>
        <w:footnoteReference w:id="219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النتن الغالب على الماء فلا توضّأ و لا تشرب</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فعليّة التغيّر في النجاسة ممّا لا ينكره أحد، لكنّها تلاحظ تارة بالقياس إلى حدوث التغيّر فيراد بها حدوثه فعلا، و اخرى بالقياس إلى بقاء التغيّر فيراد بها بقاؤها فعلا، و المطلب إنّما يثبت لو كان المستفاد من الأخبار اعتبار الفعليّة في كلّ من جهتي الحدوث و البقاء، على معنى استفادة استناد النجاسة حدوثا و بقاء إلى التغيّر حدوثا و بقاء، فحدوثها إلى حدوثه و بقاؤها إلى بقائه، و قضيّة ذلك انتفائها عند انتفاء إحدى جهتي التغيّر، فلا حدوث مع عدم حدوثه و لا بقاء لها مع عدم بقائه، و هذا كما ترى موضع منع كلّ المنع، لوضوح أنّ أقصى ما يستفاد منها اعتبار الفعليّة في جهة الحدوث فقط، و أمّا جهة البقاء فهي إمّا دالّة على عدم اعتبار الفعليّة فيها أو ساكتة عن التعرّض لها نفيا و إثباتا، فعلى كلّ من التقديرين يجب استصحاب النجاسة بعد زوال التغيّر إلى أن يقوم رافع يقيني، و إن كان الاستصحاب على التقدير الأوّل يراد به معنى و على التقدير الثاني معنى آخر و سيأتي بيان المعنيين مع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يفصح عمّا ذكرناه من أنّ المستفاد من الأخبار اعتبار الفعليّة في جهة الحدوث فقط ورد التعبير في الأخبار عن اعتبار التغيّر في النجاسة بصيغة الفعل ماضيا و مستقبلا الّتي هي باعتبار الوضع اللغوي ظاهرة في الحدوث، و سيلحقك زيادة بيان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بالنزح في البئر المتغيّر حتّى يزول التغيّر الوارد في صحيحة محمّد بن بزيع</w:t>
      </w:r>
      <w:r>
        <w:rPr>
          <w:rStyle w:val="FootnoteAnchor"/>
          <w:rtl w:val="true"/>
        </w:rPr>
        <w:footnoteReference w:id="2200"/>
      </w:r>
      <w:r>
        <w:rPr>
          <w:rFonts w:ascii="Amiri" w:hAnsi="Amiri" w:eastAsia="Amiri" w:cs="Amiri"/>
          <w:color w:val="111111"/>
          <w:sz w:val="28"/>
          <w:sz w:val="28"/>
          <w:szCs w:val="28"/>
          <w:rtl w:val="true"/>
          <w:lang w:bidi="ar-SA"/>
        </w:rPr>
        <w:t xml:space="preserve">بناء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أو للانتهاء، مع استظهار كون ما بعدها علّة غائيّة نظير 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تفكّر في العبارة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لظهورها في الانتهاء، و لو سلّم فليس ذهاب الريح و طيب الطعم علّة للطهر و إنّما هو علّة للنزح الّذي اعتبره الشارع لرفع المانع عن الطهر المقارن للطهر الحاصل بتجدّد الماء من المادّة، فالمطهّر هو الماء المتجدّد دون زوال التغيّر، لكون وجود التغيّر مانعا عن حصول الطهر</w:t>
      </w:r>
      <w:r>
        <w:rPr>
          <w:rFonts w:eastAsia="Amiri" w:cs="Amiri" w:ascii="Amiri" w:hAnsi="Amiri"/>
          <w:color w:val="111111"/>
          <w:sz w:val="28"/>
          <w:szCs w:val="28"/>
          <w:rtl w:val="true"/>
          <w:lang w:bidi="ar-SA"/>
        </w:rPr>
        <w:t xml:space="preserve">. </w:t>
      </w:r>
      <w:bookmarkStart w:id="795" w:name="pg16144_233536"/>
    </w:p>
    <w:p>
      <w:pPr>
        <w:pStyle w:val="BookText"/>
        <w:rPr/>
      </w:pPr>
      <w:bookmarkEnd w:id="795"/>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دخولها على العلّة الغائيّة على تقدير كونها انتهائيّة، لما تبيّن من أنّ الغاية المقصودة من النزح طهر البئر بتجدّد الماء من المادّة، و ذهاب الريح مع طيب الطعم مقصود بالتبع دفعا للمانع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كونه مقصودا بالأصالة فإنّما يقصد إحرازا لرفع المانع لا لأنّ المقصود إحراز المقتضي للطهارة و لا يكون إلاّ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إحراز المقتضي أيضا مقصود بالأصالة فالمقتضي ليس إلاّ الماء المتجدّد من المادّة المقارن تجدّده لزوال التغيّر فكلاهما مقصودان بالأصالة، إلاّ أنّ تجدّد الماء مقصود لإحراز المقتضي و زوال التغيّر مقصود لإحراز رفع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عدم المانع له مدخليّة في ترتّب الأثر فغايته كونه جزءا للعلّة لا أنّه علّة تامّة، فالجزء الآخر هو تجدّد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عدم الدلالة على مدخليّة تجدّد الماء فلا نسلّم الدلالة على نفي المدخليّة أيضا، و لازم ذلك قيام الاحتمال المتساوي و معه يكون المقام من مجاري الاستصحاب الّذي لا قاطع له سوى تجدّد الماء، فكون زوال التغيّر علّة غائيّة لا يستلزم كونه هو المطهّر، فالاستدلال بالصحيحة على طهر الماء بمجرّد زوال التغيّر غير متّجه، سواء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أو انتهائيّة داخلة على العلّة الغائية أو لا</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1804966_1280447820"/>
      <w:bookmarkStart w:id="797" w:name="_Toc314"/>
      <w:bookmarkEnd w:id="796"/>
      <w:r>
        <w:rPr>
          <w:rtl w:val="true"/>
        </w:rPr>
        <w:t>حجّة القول المشهور امور</w:t>
      </w:r>
      <w:r>
        <w:rPr>
          <w:rtl w:val="true"/>
        </w:rPr>
        <w:t>:</w:t>
      </w:r>
      <w:bookmarkEnd w:id="797"/>
    </w:p>
    <w:p>
      <w:pPr>
        <w:pStyle w:val="Heading6"/>
        <w:numPr>
          <w:ilvl w:val="5"/>
          <w:numId w:val="1"/>
        </w:numPr>
        <w:rPr/>
      </w:pPr>
      <w:bookmarkStart w:id="798" w:name="__RefHeading___Toc1804968_1280447820"/>
      <w:bookmarkStart w:id="799" w:name="_Toc315"/>
      <w:bookmarkEnd w:id="798"/>
      <w:r>
        <w:rPr>
          <w:rtl w:val="true"/>
        </w:rPr>
        <w:t>أحدها</w:t>
      </w:r>
      <w:r>
        <w:rPr>
          <w:rtl w:val="true"/>
        </w:rPr>
        <w:t xml:space="preserve">: </w:t>
      </w:r>
      <w:r>
        <w:rPr>
          <w:rtl w:val="true"/>
        </w:rPr>
        <w:t>ما اعتمد عليه المحقّق الخوانساري</w:t>
      </w:r>
      <w:bookmarkEnd w:id="799"/>
    </w:p>
    <w:p>
      <w:pPr>
        <w:pStyle w:val="BookText"/>
        <w:rPr/>
      </w:pP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معرضا عن الوجوه الثلاث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يتمسّك بالروايات الدالّة على النجاسة بالتغيّر، لأنّ فيها النهي عن الوضوء و الشرب من هذا الماء، و النهي للدوام و التكرار خرج ما بعد التطهير بالإلقاء و نحوه ممّا فيه إجماع أو دليل آخر بالدليل فيبقى الباقي</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 و هذا كما ترى بمكان من الوهن، ضرورة أنّ النهي هنا تابع للنجاسة لكونه ناشئا منها فدوامه موقوف على بقائها بعد زوال التغيّر، فالتمسّك بدوامه على بقائها لا يخلو عن نوع مصادرة، و لك أن تقول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بكونه مؤدّيا إلى الدور كما يعرف بأدنى تأمّل، و من هنا يعلم أنّ دعوى دوام النهي هنا إن لم تكن عن علم ببقاء النجاسة لا بدّ لها من وسط، فمع وجوده لغى توسيط دوام </w:t>
      </w:r>
      <w:bookmarkStart w:id="800" w:name="pg16144_233537"/>
    </w:p>
    <w:p>
      <w:pPr>
        <w:pStyle w:val="BookText"/>
        <w:rPr/>
      </w:pPr>
      <w:bookmarkEnd w:id="800"/>
      <w:r>
        <w:rPr>
          <w:rFonts w:ascii="Amiri" w:hAnsi="Amiri" w:eastAsia="Amiri" w:cs="Amiri"/>
          <w:color w:val="111111"/>
          <w:sz w:val="28"/>
          <w:sz w:val="28"/>
          <w:szCs w:val="28"/>
          <w:rtl w:val="true"/>
          <w:lang w:bidi="ar-SA"/>
        </w:rPr>
        <w:t>النهي و بدونه بقي المطلب موقوفا، فالاستدلال بالأخبار إن كان و لا بدّ منه فلا بدّ و أن يقرّر بطريق آخر سنشير إليه</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804970_1280447820"/>
      <w:bookmarkStart w:id="802" w:name="_Toc316"/>
      <w:bookmarkEnd w:id="801"/>
      <w:r>
        <w:rPr>
          <w:rtl w:val="true"/>
        </w:rPr>
        <w:t>و ثانيها</w:t>
      </w:r>
      <w:r>
        <w:rPr>
          <w:rtl w:val="true"/>
        </w:rPr>
        <w:t xml:space="preserve">: </w:t>
      </w:r>
      <w:r>
        <w:rPr>
          <w:rtl w:val="true"/>
        </w:rPr>
        <w:t>ما اعتمد عليه العلاّمة في المنتهى</w:t>
      </w:r>
      <w:bookmarkEnd w:id="802"/>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العلاّمة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النجاسة حكم شرعي، فيتوقّف زواله على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يخلو عن نوع ضعف؛ إذ كلّ من المقدّمتين مسلّمة لا إشكال فيها غير أنّ الحكم بزوال النجاسة يكفي فيه زوال علّة الحدوث، و مع قيام شبهة العلّيّة في التغيّر المقطوع زواله لا يمكن العلم بعدم زوال العلّة، فالعمدة في المقام نفي العلّيّة عن التغيّر لا الاقتصار على ما لا يجدي شيئا من ثبوت المطلوب و دفع كلام الخصم</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804972_1280447820"/>
      <w:bookmarkStart w:id="804" w:name="_Toc317"/>
      <w:bookmarkEnd w:id="803"/>
      <w:r>
        <w:rPr>
          <w:rtl w:val="true"/>
        </w:rPr>
        <w:t>و ثالثها</w:t>
      </w:r>
      <w:r>
        <w:rPr>
          <w:rtl w:val="true"/>
        </w:rPr>
        <w:t xml:space="preserve">: </w:t>
      </w:r>
      <w:r>
        <w:rPr>
          <w:rtl w:val="true"/>
        </w:rPr>
        <w:t>ما اعتمد عليه في الكتاب المذكور أيضا</w:t>
      </w:r>
      <w:bookmarkEnd w:id="804"/>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تثبت بوارد، فلا تزول إلاّ بوارد، بخلاف نجاسة الخمر، فإنّها تثبت بغير وارد فتطهر بغير 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أضعف من سابقه</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1804974_1280447820"/>
      <w:bookmarkStart w:id="806" w:name="_Toc318"/>
      <w:bookmarkEnd w:id="805"/>
      <w:r>
        <w:rPr>
          <w:rtl w:val="true"/>
        </w:rPr>
        <w:t>و رابعها</w:t>
      </w:r>
      <w:r>
        <w:rPr>
          <w:rtl w:val="true"/>
        </w:rPr>
        <w:t xml:space="preserve">: </w:t>
      </w:r>
      <w:r>
        <w:rPr>
          <w:rtl w:val="true"/>
        </w:rPr>
        <w:t>ما اعتمد عليه غير واحد من فحول أصحابنا منهم العلاّمة</w:t>
      </w:r>
      <w:bookmarkEnd w:id="806"/>
    </w:p>
    <w:p>
      <w:pPr>
        <w:pStyle w:val="BookText"/>
        <w:rPr/>
      </w:pP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نجسا قبل الزوال فيستصحب الحكم بعده أيضا، و هذا هو الّذي لا محيص عنه في المقام، و محصّله يرجع إلى التمسّك بالاستصحاب و إن اختلفوا في المعنى المراد به هنا، حيث إنّ ظاهر الأكثرين و صريح بعضهم أنّ المراد به معناه المعهود الّذي يعدّ عندهم من أدلّة الأحكام الظاهريّة و اختلف في حجّيّته، خلافا لصريح بعضهم في عدّه هنا من العمل بعموم الدليل و إطلاقه كما نقله صاحب الحدائق عن بعض من استدلّ بالوجه المذكور، حيث أنّه بعد ما فرغ عن تقرير الاستدلال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الاستصحاب هنا من قبيل الاستصحاب المتنازع فيه، بل مرجعه إلى العمل بعموم الدليل</w:t>
      </w:r>
      <w:r>
        <w:rPr>
          <w:rFonts w:eastAsia="Amiri" w:cs="Amiri" w:ascii="Amiri" w:hAnsi="Amiri"/>
          <w:color w:val="111111"/>
          <w:sz w:val="28"/>
          <w:szCs w:val="28"/>
          <w:rtl w:val="true"/>
          <w:lang w:bidi="ar-SA"/>
        </w:rPr>
        <w:t>»</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الاستصحاب بهذا المعنى هو الّذي يعبّر عنه في العمل بالأدلّة اللفظيّة بأصالة العموم، أو الإطلاق، و أصالة عدم التخصيص، أو عدم التقييد، و من المصرّح به في كلامهم أنّ الاستصحاب عندهم يطلق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مقدّمات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أنّهم صرّحوا بأنّ الاستصحاب يقع على أقسام أربعة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الشرعي و براءة الذمّة منه إلى أن يظهر دليله و هو المعبّر عنه بالبراءة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العموم إلى أن يقوم المخصّص و حكم النسخ إلى أن يرد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إطلاق النصّ إلى أن يثبت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شرعي في موضع طرأت فيه حالة لم يعلم شمول الحكم لها، بمعنى أنّه يثبت في وقت ثمّ يجيء وقت آخر لا يقوم دليل على انتفاء ذلك الحكم فيه فيحكم ببقائه على ما كان استصحابا لتلك الحالة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لا خلاف و لا إشكال في حجّيّته بالمعنى الثاني و الثالث، لأنّ مرجعهما إلى الاستدلال بعموم النصّ و إطلاقه و إنّما الإشكال و الخلاف في معنى البراءة الأصليّة و قد تقدّم و في 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الكتاب المذكور بعد الفراغ عن نقل الاستدلال بالاستصحاب مع العبارة المصرّحة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ليس الاستصحاب هنا من قبيل الاستصحاب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الكلام و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تحقيق القول في الاستصحاب و جملة أقسامه قد تقدّم في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كلام المستدلّ هنا أنّ الاستصحاب المذكور من قبيل القسم الثالث المذكور هناك الّذي هو عبارة عن إطلاق النصّ، دون القسم الرابع الّذي هو محلّ للنزاع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تحقيق القول في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حكم بذات لأجل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المتغيّر بالنجاسة، و الماء المسخّن بالشمس، و الحائض أي ذات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بمجرّد زوال التغيّر و زوال السخونة و انقطاع الدم بخلاف الأحكام السابقة، أو يحكم بإجراء الأحكام السابقة إلى ظهور نصّ جديد؟ فيه إشكال ينشأ من أنّ الحكم في هذه النصوص الواردة في هذه الأفراد المعدودة و نحوها محتمل القصر على زمان وجود الوصف، بناء على أنّ التعليق على الوصف مشعر بالعلّيّة، و أنّ المحكوم عليه هو العنوان لا الفرد و قد انتفى، و بانتفائه ينتفي الحكم، و محتمل للإطلاق بناء على أنّ المحكوم عليه إنّما هو الفرد لا العنوان، و العنوان إنّما جعل آلة لملاحظة الفرد، فمورد الحكم حقيقة هو الفرد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الاحتمال الأوّل يكون من القسم الرابع، و إن تغيّر الماء بالنجاسة نظير فقد </w:t>
      </w:r>
    </w:p>
    <w:p>
      <w:pPr>
        <w:pStyle w:val="BookText"/>
        <w:rPr/>
      </w:pPr>
      <w:r>
        <w:rPr>
          <w:rFonts w:ascii="Amiri" w:hAnsi="Amiri" w:eastAsia="Amiri" w:cs="Amiri"/>
          <w:color w:val="111111"/>
          <w:sz w:val="28"/>
          <w:sz w:val="28"/>
          <w:szCs w:val="28"/>
          <w:rtl w:val="true"/>
          <w:lang w:bidi="ar-SA"/>
        </w:rPr>
        <w:t xml:space="preserve">الماء في مسألة المتيمّم الداخل في الصلاة ثمّ يجد الماء، فكما أنّ وجود الماء هناك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للأولى؛ فتعلّق النصّ بالاولى لا يوجب استصحابه في الثانية لمكان المخالفة فكذا هنا زوال الوصف حالة ثانية مغايرة للأولى لا يتناولها النصّ المتعلّق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 الثاني يكون من قبيل القسم الثالث</w:t>
      </w:r>
      <w:r>
        <w:rPr>
          <w:rFonts w:eastAsia="Amiri" w:cs="Amiri" w:ascii="Amiri" w:hAnsi="Amiri"/>
          <w:color w:val="111111"/>
          <w:sz w:val="28"/>
          <w:szCs w:val="28"/>
          <w:rtl w:val="true"/>
          <w:lang w:bidi="ar-SA"/>
        </w:rPr>
        <w:t>»</w:t>
      </w:r>
      <w:r>
        <w:rPr>
          <w:rStyle w:val="FootnoteAnchor"/>
          <w:rtl w:val="true"/>
        </w:rPr>
        <w:footnoteReference w:id="22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الاستصحاب هنا مرادا به المعنى المعروف المتنازع فيه أو المعنى الآخر المعبّر عنه بإطلاق الدليل مبنيّ على كون حكم النجاسة بالتغيّر متعلّقا بالعنوان دون الفرد، أو بالفرد دون العنوان، لكن فيه فساد المبنى في وجه و فساد الابتناء في وجه آخر؛ و ذلك لأنّ العنوان و الفرد إن اريد بهما معناهما الظاهر المتعارف و هو المفهوم الكلّي في الأوّل و الفرد الخارجي المنطبق عليه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المبنى، لأنّ الفرد لا يتخلّف عن عنوان و لا يخالفه و إلاّ لا يكون فردا له، فكلّ ما اعتبر في العنوان من القيود و الصفات لا بدّ من اعتباره في الفرد المطابق له إحرازا لقضيّة الانطباق، فإذا فرض أنّ منشأ فقد الإطلاق في دليل الحكم كون موضوعه مأخوذا فيه وصف مشعر بالعلّيّة فلا يفترق الحال فيه بين القول بتعلّقه بأصل العنوان مع قطع النظر عن أفراده الموجودة في الخارج و بين القول بتعلّقه بالفرد المنطبق عليه، لقيام الموجب في كلّ منهما، فلا يحصل في دليل الحكم على التقدير الثاني إطلاق أيضا بالقياس إلى حالتي وجود الوصف و زواله ليتمسّك به عند طروّ حالة الزوال، و إلاّ لزم كون الفرد المنطبق على العنوان أعمّ من العنوان و هو محال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المحقّق أنّ الأحكام كائنة ما كانت إنّما تتعلّق بالعناوين دون الأفراد المنطبقة عليها، و الفرد لا مدخل له في متعلّق الحكم إلاّ باعتبار الوجود الخارجي من حيث إنّ وجوده في الخارج يتضمّن وجود العنوان، و من هنا يظهر فساد ما لو قرّر الاستصحاب بالمعنى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شبهة ارتفاع الموضوع المتقدّم إلى رفعها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الموجود في الخارج المشار إليه بالإشارة الحسّيّة كان نجسا قبل زوال التغيّر فيحكم عليه بالنجاسة أيضا بعده استصحابا للحالة السابقة في موضوع </w:t>
      </w:r>
    </w:p>
    <w:p>
      <w:pPr>
        <w:pStyle w:val="BookText"/>
        <w:rPr/>
      </w:pPr>
      <w:r>
        <w:rPr>
          <w:rFonts w:ascii="Amiri" w:hAnsi="Amiri" w:eastAsia="Amiri" w:cs="Amiri"/>
          <w:color w:val="111111"/>
          <w:sz w:val="28"/>
          <w:sz w:val="28"/>
          <w:szCs w:val="28"/>
          <w:rtl w:val="true"/>
          <w:lang w:bidi="ar-SA"/>
        </w:rPr>
        <w:t>نقطع ببقائه و هو هذا الماء، فإنّ ذلك من أبده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الحكم الشرعي الأصلي لم يكن متعلّقا بهذا الفرد من حيث أنّه هذا الفرد، و لا باعتبار عنوان صادق عليه حين زوال التغيّر، بل باعتبار عنوان التغيّر الّذي لم يكن باقيا فيه جزما و معه لا يعقل الاستصحاب، فعلى القول بمدخليّة الوصف في موضوع الحكم لا يمكن له البقاء بعد زوال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بهما الذات الموصوفة و الذات المجرّدة عن الوصف، بمعنى تعلّق الحكم على الأوّل بالماء بوصف أنّه متغيّر على أن يكون وصف التغيّر جزء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تعلّقه على الثاني بالذات المعرّاة عن ذلك الوصف و بالماهيّة لا بشرط هذا الوصف، و لا ينافي ورود اعتباره في الأدلّة معه لأنّه معتبر معه من باب المرآتيّة لا الموضوعيّة على معنى كونه علامة لمعرفة موضوع الحكم و هو الّذي يطرأه ذلك الوصف، فإذا عرفناه بذلك الوصف نحكم عليه بهذا الحكم إلى أن يظهر له رافع سواء بقي فيه الوصف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الابتناء لعدم انحصار وجه المسألة في الاحتمالين المذكورين، بل هاهنا احتمال ثالث يجري معه الشبهة و الإشكال، و هو أنّ الوصف ليس بداخل في الموضوع و لا أنّه معتبر لمجرّد العلاميّة، و إنّما هو علّة للحكم مؤثّر في حدوثه كما 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النجاسة هنا هو الماء الملاقي للنجاسة المغيّرة، على أن يكون كلّ من الملاقاة و التغيّر جزء للعلّة و المجموع منهما علّة تامّة لا جزء للموضوع، فلا يكفي مجرّد الملاقاة و لا التغيّر بدون الملاقاة كما سبق تحقيقه في مسألة أنّ التغيّر الحاصل بمجاورة النجاسة لا يوجب نجاسة الماء؛ و الوجه في عدم كون التغيّر جزء للموضوع ورود اعتباره في أخبار الباب بعبارة القضيّة الشرطيّة المفيدة للسببيّة كما لا يخفى على المتتبّع، و قد حصلت هاهنا شبهتان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منها الخلاف في أنّ زوال التغيّر بنفسه هل يوجب زوال النجاسة عن الماء أو لا؟</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نشأ منها الخلاف بين القائلين بعدم طهر الماء بمجرّد زوال التغيّر في أنّ ثبوت النجاسة في الحالة الثانية هل هو من مقتضى الخطاب الأوّل أو من مقتضى </w:t>
      </w:r>
    </w:p>
    <w:p>
      <w:pPr>
        <w:pStyle w:val="BookText"/>
        <w:rPr/>
      </w:pPr>
      <w:r>
        <w:rPr>
          <w:rFonts w:ascii="IRNazanin" w:hAnsi="IRNazanin" w:eastAsia="IRNazanin"/>
          <w:color w:val="111111"/>
          <w:sz w:val="28"/>
          <w:sz w:val="28"/>
          <w:szCs w:val="28"/>
          <w:rtl w:val="true"/>
          <w:lang w:bidi="fa-IR"/>
        </w:rPr>
        <w:t>الاستصحاب بالمعنى المعروف؟</w:t>
      </w:r>
    </w:p>
    <w:p>
      <w:pPr>
        <w:pStyle w:val="BookText"/>
        <w:rPr/>
      </w:pPr>
      <w:r>
        <w:rPr>
          <w:rFonts w:ascii="Amiri" w:hAnsi="Amiri" w:eastAsia="Amiri" w:cs="Amiri"/>
          <w:color w:val="111111"/>
          <w:sz w:val="28"/>
          <w:sz w:val="28"/>
          <w:szCs w:val="28"/>
          <w:rtl w:val="true"/>
          <w:lang w:bidi="ar-SA"/>
        </w:rPr>
        <w:t>و مرجع الشبهة الاولى إلى أنّ المستفاد من أدلّة التغيّر هل هو علّيّة حدوث التغيّر فقط أو علّيّة حدوثه و بقائه معا، كما أنّ مرجع الشبهة الثانية إلى أنّ الأدلّة الدالّة على علّيّة حدوث التغيّر فقط هل هي بالقياس إلى ما بعد التغيّر دالّة على ثبوت الحكم أيضا إلى أن يقوم له رافع يقيني فيكون المقام من مجاري استصحاب حكم الإطلاق المتّفق على حجيّته، أو ساكتة عنه نفيا و إثباتا، فيكون المقام من مجاري الاستصحاب بالمعنى المعروف المختلف في حجّيّته؟</w:t>
      </w:r>
    </w:p>
    <w:p>
      <w:pPr>
        <w:pStyle w:val="BookText"/>
        <w:rPr/>
      </w:pPr>
      <w:r>
        <w:rPr>
          <w:rFonts w:ascii="Amiri" w:hAnsi="Amiri" w:eastAsia="Amiri" w:cs="Amiri"/>
          <w:color w:val="111111"/>
          <w:sz w:val="28"/>
          <w:sz w:val="28"/>
          <w:szCs w:val="28"/>
          <w:rtl w:val="true"/>
          <w:lang w:bidi="ar-SA"/>
        </w:rPr>
        <w:t>و نحن قد تخلّصنا عن الشبهة الاولى بدعوى ظهور الأخبار الواردة في الباب في علّيّة الحدوث فقط من غير تعرّض فيها لجهة البقاء، و إن شئت لاحظ ما في النبوي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غيّر لونه</w:t>
      </w:r>
      <w:r>
        <w:rPr>
          <w:rFonts w:eastAsia="Amiri" w:cs="Amiri" w:ascii="Amiri" w:hAnsi="Amiri"/>
          <w:color w:val="111111"/>
          <w:sz w:val="28"/>
          <w:szCs w:val="28"/>
          <w:rtl w:val="true"/>
          <w:lang w:bidi="ar-SA"/>
        </w:rPr>
        <w:t>»</w:t>
      </w:r>
      <w:r>
        <w:rPr>
          <w:rStyle w:val="FootnoteAnchor"/>
          <w:rtl w:val="true"/>
        </w:rPr>
        <w:footnoteReference w:id="2204"/>
      </w:r>
      <w:r>
        <w:rPr>
          <w:rFonts w:ascii="Amiri" w:hAnsi="Amiri" w:eastAsia="Amiri" w:cs="Amiri"/>
          <w:color w:val="111111"/>
          <w:sz w:val="28"/>
          <w:sz w:val="28"/>
          <w:szCs w:val="28"/>
          <w:rtl w:val="true"/>
          <w:lang w:bidi="ar-SA"/>
        </w:rPr>
        <w:t>أي أحدث فيه تغيّر اللون، و ما في خبري دعائم الإسلام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يتغيّر أوصافه</w:t>
      </w:r>
      <w:r>
        <w:rPr>
          <w:rFonts w:eastAsia="Amiri" w:cs="Amiri" w:ascii="Amiri" w:hAnsi="Amiri"/>
          <w:color w:val="111111"/>
          <w:sz w:val="28"/>
          <w:szCs w:val="28"/>
          <w:rtl w:val="true"/>
          <w:lang w:bidi="ar-SA"/>
        </w:rPr>
        <w:t>»</w:t>
      </w:r>
      <w:r>
        <w:rPr>
          <w:rStyle w:val="FootnoteAnchor"/>
          <w:rtl w:val="true"/>
        </w:rPr>
        <w:footnoteReference w:id="2205"/>
      </w:r>
      <w:r>
        <w:rPr>
          <w:rFonts w:ascii="Amiri" w:hAnsi="Amiri" w:eastAsia="Amiri" w:cs="Amiri"/>
          <w:color w:val="111111"/>
          <w:sz w:val="28"/>
          <w:sz w:val="28"/>
          <w:szCs w:val="28"/>
          <w:rtl w:val="true"/>
          <w:lang w:bidi="ar-SA"/>
        </w:rPr>
        <w:t>كما في أوّلهما، أي ما لم يحدث فيه تغيّر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قد تغيّر لذلك طعمه</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كما في ثانيهما، أي حدث فيه تغيّر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المرويّ عن الفقه الرضوي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فيه الجيف فتغيّر لونه</w:t>
      </w:r>
      <w:r>
        <w:rPr>
          <w:rFonts w:eastAsia="Amiri" w:cs="Amiri" w:ascii="Amiri" w:hAnsi="Amiri"/>
          <w:color w:val="111111"/>
          <w:sz w:val="28"/>
          <w:szCs w:val="28"/>
          <w:rtl w:val="true"/>
          <w:lang w:bidi="ar-SA"/>
        </w:rPr>
        <w:t>»</w:t>
      </w:r>
      <w:r>
        <w:rPr>
          <w:rStyle w:val="FootnoteAnchor"/>
          <w:rtl w:val="true"/>
        </w:rPr>
        <w:footnoteReference w:id="2207"/>
      </w:r>
      <w:r>
        <w:rPr>
          <w:rFonts w:ascii="Amiri" w:hAnsi="Amiri" w:eastAsia="Amiri" w:cs="Amiri"/>
          <w:color w:val="111111"/>
          <w:sz w:val="28"/>
          <w:sz w:val="28"/>
          <w:szCs w:val="28"/>
          <w:rtl w:val="true"/>
          <w:lang w:bidi="ar-SA"/>
        </w:rPr>
        <w:t>أي حدث به تغيّر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المرسل المروي في المختلف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غلبت رائحته على طعم الماء أو لونه فأرقه، و إن لم يغلب عليه فاشرب منه</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أي حدث فيه غلبة الرائحة و لم يحدث الغلبة، و ما في خبر بصائر الدرجات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يغلب الماء الريح فينتن</w:t>
      </w:r>
      <w:r>
        <w:rPr>
          <w:rFonts w:eastAsia="Amiri" w:cs="Amiri" w:ascii="Amiri" w:hAnsi="Amiri"/>
          <w:color w:val="111111"/>
          <w:sz w:val="28"/>
          <w:szCs w:val="28"/>
          <w:rtl w:val="true"/>
          <w:lang w:bidi="ar-SA"/>
        </w:rPr>
        <w:t>»</w:t>
      </w:r>
      <w:r>
        <w:rPr>
          <w:rStyle w:val="FootnoteAnchor"/>
          <w:rtl w:val="true"/>
        </w:rPr>
        <w:footnoteReference w:id="2209"/>
      </w:r>
      <w:r>
        <w:rPr>
          <w:rFonts w:ascii="Amiri" w:hAnsi="Amiri" w:eastAsia="Amiri" w:cs="Amiri"/>
          <w:color w:val="111111"/>
          <w:sz w:val="28"/>
          <w:sz w:val="28"/>
          <w:szCs w:val="28"/>
          <w:rtl w:val="true"/>
          <w:lang w:bidi="ar-SA"/>
        </w:rPr>
        <w:t>أي يحدث غلبة الريح على الماء فيحدث من جهة النتن في الماء</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القياس ما في خبر العلاء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2210"/>
      </w:r>
      <w:r>
        <w:rPr>
          <w:rFonts w:ascii="Amiri" w:hAnsi="Amiri" w:eastAsia="Amiri" w:cs="Amiri"/>
          <w:color w:val="111111"/>
          <w:sz w:val="28"/>
          <w:sz w:val="28"/>
          <w:szCs w:val="28"/>
          <w:rtl w:val="true"/>
          <w:lang w:bidi="ar-SA"/>
        </w:rPr>
        <w:t>، و خبر أبي خالد القمّاط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الماء قد تغيّر ريحه</w:t>
      </w:r>
      <w:r>
        <w:rPr>
          <w:rFonts w:eastAsia="Amiri" w:cs="Amiri" w:ascii="Amiri" w:hAnsi="Amiri"/>
          <w:color w:val="111111"/>
          <w:sz w:val="28"/>
          <w:szCs w:val="28"/>
          <w:rtl w:val="true"/>
          <w:lang w:bidi="ar-SA"/>
        </w:rPr>
        <w:t>»</w:t>
      </w:r>
      <w:r>
        <w:rPr>
          <w:rStyle w:val="FootnoteAnchor"/>
          <w:rtl w:val="true"/>
        </w:rPr>
        <w:footnoteReference w:id="2211"/>
      </w:r>
      <w:r>
        <w:rPr>
          <w:rFonts w:ascii="IRNazanin" w:hAnsi="IRNazanin" w:eastAsia="IRNazanin"/>
          <w:color w:val="111111"/>
          <w:sz w:val="28"/>
          <w:sz w:val="28"/>
          <w:szCs w:val="28"/>
          <w:rtl w:val="true"/>
          <w:lang w:bidi="fa-IR"/>
        </w:rPr>
        <w:t xml:space="preserve">، و خبر </w:t>
      </w:r>
    </w:p>
    <w:p>
      <w:pPr>
        <w:pStyle w:val="BookText"/>
        <w:rPr/>
      </w:pPr>
      <w:r>
        <w:rPr>
          <w:rFonts w:ascii="Amiri" w:hAnsi="Amiri" w:eastAsia="Amiri" w:cs="Amiri"/>
          <w:color w:val="111111"/>
          <w:sz w:val="28"/>
          <w:sz w:val="28"/>
          <w:szCs w:val="28"/>
          <w:rtl w:val="true"/>
          <w:lang w:bidi="ar-SA"/>
        </w:rPr>
        <w:t>حريز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تغيّر الماء أو تغيّر الطعم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محمّد بن إسماعيل بن بزيع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زرارة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يجيء له ريح يغلب على ريح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عبد اللّه بن سنان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قاهرا و لم يوجد فيه الريح فتوضّأ</w:t>
      </w:r>
      <w:r>
        <w:rPr>
          <w:rFonts w:eastAsia="Amiri" w:cs="Amiri" w:ascii="Amiri" w:hAnsi="Amiri"/>
          <w:color w:val="111111"/>
          <w:sz w:val="28"/>
          <w:szCs w:val="28"/>
          <w:rtl w:val="true"/>
          <w:lang w:bidi="ar-SA"/>
        </w:rPr>
        <w:t>»</w:t>
      </w:r>
      <w:r>
        <w:rPr>
          <w:rStyle w:val="FootnoteAnchor"/>
          <w:rtl w:val="true"/>
        </w:rPr>
        <w:footnoteReference w:id="2212"/>
      </w:r>
      <w:r>
        <w:rPr>
          <w:rFonts w:ascii="Amiri" w:hAnsi="Amiri" w:eastAsia="Amiri" w:cs="Amiri"/>
          <w:color w:val="111111"/>
          <w:sz w:val="28"/>
          <w:sz w:val="28"/>
          <w:szCs w:val="28"/>
          <w:rtl w:val="true"/>
          <w:lang w:bidi="ar-SA"/>
        </w:rPr>
        <w:t>، و خبر معاوية بن عمّار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ممّا وقع في البئر إلاّ أن ينتن، فإن أنتن غسل الثوب</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 و خبر أبي بصير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تتوضّأ منه و إن لم تغيّره أبوالها فتوضّأ منه</w:t>
      </w:r>
      <w:r>
        <w:rPr>
          <w:rFonts w:eastAsia="Amiri" w:cs="Amiri" w:ascii="Amiri" w:hAnsi="Amiri"/>
          <w:color w:val="111111"/>
          <w:sz w:val="28"/>
          <w:szCs w:val="28"/>
          <w:rtl w:val="true"/>
          <w:lang w:bidi="ar-SA"/>
        </w:rPr>
        <w:t>»</w:t>
      </w:r>
      <w:r>
        <w:rPr>
          <w:rStyle w:val="FootnoteAnchor"/>
          <w:rtl w:val="true"/>
        </w:rPr>
        <w:footnoteReference w:id="2214"/>
      </w:r>
      <w:r>
        <w:rPr>
          <w:rFonts w:ascii="Amiri" w:hAnsi="Amiri" w:eastAsia="Amiri" w:cs="Amiri"/>
          <w:color w:val="111111"/>
          <w:sz w:val="28"/>
          <w:sz w:val="28"/>
          <w:szCs w:val="28"/>
          <w:rtl w:val="true"/>
          <w:lang w:bidi="ar-SA"/>
        </w:rPr>
        <w:t>، و الخبر الآخر لمحمّد بن إسماعيل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 إلاّ أن يتغيّر</w:t>
      </w:r>
      <w:r>
        <w:rPr>
          <w:rFonts w:eastAsia="Amiri" w:cs="Amiri" w:ascii="Amiri" w:hAnsi="Amiri"/>
          <w:color w:val="111111"/>
          <w:sz w:val="28"/>
          <w:szCs w:val="28"/>
          <w:rtl w:val="true"/>
          <w:lang w:bidi="ar-SA"/>
        </w:rPr>
        <w:t>»</w:t>
      </w:r>
      <w:r>
        <w:rPr>
          <w:rStyle w:val="FootnoteAnchor"/>
          <w:rtl w:val="true"/>
        </w:rPr>
        <w:footnoteReference w:id="2215"/>
      </w:r>
      <w:r>
        <w:rPr>
          <w:rFonts w:ascii="Amiri" w:hAnsi="Amiri" w:eastAsia="Amiri" w:cs="Amiri"/>
          <w:color w:val="111111"/>
          <w:sz w:val="28"/>
          <w:sz w:val="28"/>
          <w:szCs w:val="28"/>
          <w:rtl w:val="true"/>
          <w:lang w:bidi="ar-SA"/>
        </w:rPr>
        <w:t>، و خبر محمّد بن القاسم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يتغيّر</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 و هذه كما ترى كلّها ظاهرة في علّيّة الحدوث من غير دلالة فيها على إناطة بقاء النجاسة على بقاء التغيّر على وجه يكون مفادها نفي الحكم مع انتفاء التغيّر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 أخبار الباب ما يوهم ذلك كما في ذيل خبر البصائر المتقدّم ذكره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جئت تسأل عن الماء الراكد فإن لم تكن فيه تغيّر و ريح غالبة فتوضّأ منه</w:t>
      </w:r>
      <w:r>
        <w:rPr>
          <w:rFonts w:eastAsia="Amiri" w:cs="Amiri" w:ascii="Amiri" w:hAnsi="Amiri"/>
          <w:color w:val="111111"/>
          <w:sz w:val="28"/>
          <w:szCs w:val="28"/>
          <w:rtl w:val="true"/>
          <w:lang w:bidi="ar-SA"/>
        </w:rPr>
        <w:t>»</w:t>
      </w:r>
      <w:r>
        <w:rPr>
          <w:rStyle w:val="FootnoteAnchor"/>
          <w:rtl w:val="true"/>
        </w:rPr>
        <w:footnoteReference w:id="2217"/>
      </w:r>
      <w:r>
        <w:rPr>
          <w:rFonts w:ascii="Amiri" w:hAnsi="Amiri" w:eastAsia="Amiri" w:cs="Amiri"/>
          <w:color w:val="111111"/>
          <w:sz w:val="28"/>
          <w:sz w:val="28"/>
          <w:szCs w:val="28"/>
          <w:rtl w:val="true"/>
          <w:lang w:bidi="ar-SA"/>
        </w:rPr>
        <w:t>، و خبر سماعة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النتن الغالب على الماء فلا يتوضّأ و لا 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المرسل الآخر في مختلف العلاّمة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فيه من النجاسة غالبا على الماء فلا تتوضّأ منه، و إن كان الماء غالبا على النجاسة فتوضّأ منه و اغتسل</w:t>
      </w:r>
      <w:r>
        <w:rPr>
          <w:rFonts w:eastAsia="Amiri" w:cs="Amiri" w:ascii="Amiri" w:hAnsi="Amiri"/>
          <w:color w:val="111111"/>
          <w:sz w:val="28"/>
          <w:szCs w:val="28"/>
          <w:rtl w:val="true"/>
          <w:lang w:bidi="ar-SA"/>
        </w:rPr>
        <w:t>»</w:t>
      </w:r>
      <w:r>
        <w:rPr>
          <w:rStyle w:val="FootnoteAnchor"/>
          <w:rtl w:val="true"/>
        </w:rPr>
        <w:footnoteReference w:id="2218"/>
      </w:r>
      <w:r>
        <w:rPr>
          <w:rFonts w:ascii="Amiri" w:hAnsi="Amiri" w:eastAsia="Amiri" w:cs="Amiri"/>
          <w:color w:val="111111"/>
          <w:sz w:val="28"/>
          <w:sz w:val="28"/>
          <w:szCs w:val="28"/>
          <w:rtl w:val="true"/>
          <w:lang w:bidi="ar-SA"/>
        </w:rPr>
        <w:t xml:space="preserve">، بملاحظة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الناقصة لتقرير الصفة، فتدلّ على أنّ العبرة في النجاسة و عدمها بثبوت التغيّر و الغلبة و عدمهما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لأحد توهّم عدم الفرق بين التركيبين في المعنى لأنّه من ضروريّات الوجدان، كما يفصح عنه ملاحظة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زيد </w:t>
      </w:r>
    </w:p>
    <w:p>
      <w:pPr>
        <w:pStyle w:val="BookText"/>
        <w:rPr/>
      </w:pPr>
      <w:r>
        <w:rPr>
          <w:rFonts w:ascii="Amiri" w:hAnsi="Amiri" w:eastAsia="Amiri" w:cs="Amiri"/>
          <w:color w:val="111111"/>
          <w:sz w:val="28"/>
          <w:sz w:val="28"/>
          <w:szCs w:val="28"/>
          <w:rtl w:val="true"/>
          <w:lang w:bidi="ar-SA"/>
        </w:rPr>
        <w:t>قائما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الثاني في اعتبار فعليّة التلبّس حدوثا و بقاء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رفعه بأنّ الثبوت في جانب المنطوق و إن كان أعمّ من التلبّس المسبوق بالوجود و هو العدم الابتدائي، و أمّا عدم التلبّس المسبوق بالوجود الّذي هو من قبيل محلّ البحث فخارج عن مدلول اللفظ منطوقا و مفهوما، فلا دلالة في هذه الجملة من الأخبار أيضا على زوال النجاسة بمجرّد 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نتفصّى عنها بالتزام دخول محلّ البحث في مناطيق المتقدّم إليها الإشارة، فتكون النجاسة في الماء المتغيّر بعد زوال تغيّره ثابتة بإطلاق الدليل إلاّ في وجه ضعيف نشير إليه، ضرورة أنّ الأخبار الدالّة على علّيّة حدوث التغيّر مطلقة بالقياس إلى حالتي بقاء التغيّر و زواله، و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في متفاهم العرف على وجوب الإكرام بمجرّد حدوث التلبّس بالقيام و بقاء ذلك الواجب على الذمّة إلى أن يحصل أداؤه في الخارج و لو بعد زوال التلبّس، و لا ينافي ذلك مفهوم الشرطيّة و هو عدم وجوب الإكرام عند انتفاء التلبّس رأسا، فكذلك أخبار الباب في دلالتها على علّيّة حدوث التغيّر للنجاسة، فإنّها أيضا بإطلاقها تنفي شرطيّة البقاء و تدلّ على بقاء النجاسة إلى أن يحصل رافعها و لو بعد زوال التغيّر، فمن أنكر ذلك فقد كابر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بالقياس إلى جملة من تلك الأخبار المتقدّم إليها الإشارة أيضا، لما عرفت فيها من أنّ عدم التلبّس المسبوق بالتلبّس غير داخل فيها منطوقا و لا مفهوما، و ليس ذلك إلاّ من جهة أنّه لا إطلاق فيها منطوقا بالقياس إلى حالتي بقاء التلبّس و زواله، لكن قد عرفت أنّها باعتبار المفهوم ظاهرة في نفي النجاسة عند انتفاء التغيّر رأسا من غير تعرّض فيها مفهوما لحكم زوال التغيّر، فإن تمّ ذلك الظهور سهل الذبّ عن هذا الإشكال، ضرورة أنّ هذا الظهور لاختصاصه بانتفاء التغيّر رأسا ممّا يحرز به بالقياس إلى زوال التغيّر بعد حدوثه موضوع الاستصحاب بالمعنى المعروف، و لمّا كان الاستصحاب بهذا المعنى ممّا لا يعارض الدليل فيكون إطلاق المنطوق في الأخبار الاخر واردا عليه رافعا لموضوعه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يكون مدرك النجاسة هو الاستصحاب بالمعنى الثالث ممّا تقدّم و هو العمل بإطلاق النصّ؛ و إلاّ وقع التعارض بين مفهوم هذه الجملة من الأخبار و منطوق الأخبار </w:t>
      </w:r>
    </w:p>
    <w:p>
      <w:pPr>
        <w:pStyle w:val="BookText"/>
        <w:rPr/>
      </w:pPr>
      <w:r>
        <w:rPr>
          <w:rFonts w:ascii="Amiri" w:hAnsi="Amiri" w:eastAsia="Amiri" w:cs="Amiri"/>
          <w:color w:val="111111"/>
          <w:sz w:val="28"/>
          <w:sz w:val="28"/>
          <w:szCs w:val="28"/>
          <w:rtl w:val="true"/>
          <w:lang w:bidi="ar-SA"/>
        </w:rPr>
        <w:t>الاخر على طريق تعارض العامّين من وجه؛ حيث إنّ المنطوق بإطلاقه يقضي بنجاسة ما حدث فيه التغيّر سواء بقي على حاله أو لم يبق، و المفهوم بإطلاقه يقضي بطهارة ما انتفى عنه التغيّر سواء حدث فيه أوّلا أو لم يحدث أصلا، فلا بدّ حينئذ إمّا من الترجيح بتقديم العمل بالمنطوق أخذا بالكثرة و قوّة الدلالة و نحوها، فيكون العمل أيضا بالاستصحاب بالمعنى الثالث، أو القول بالتساقط، فيندرج المقام حينئذ في موضوع الاستصحاب بالمعنى المعروف؛ و عليه يتعيّن العمل بهذا المعنى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أخبار التغيّر يقضي بنجاسة المتغيّر الّذي زال تغيّره إمّا للاستصحاب بمعنى العمل بإطلاق النصّ كما في وجه قويّ؛ أو للاستصحاب بالمعنى المعروف كما في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جميع ما قرّرناه ينقدح أنّ جريان الاستصحاب بهذا المعنى لا يتوقّف على القول بعدم حجّيّة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مقالة من فسّر الاستصحاب هنا بالعمل بعموم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أنّ القضيّة دائمة عرفيّة ما دام الوصف، يعني كلّ ماء متغيّر نجس ما دام متغيّرا فلا تفيد العموم المذكور، فانحصر الدليل حينئذ في الاستصحاب الممنوع عنده؛ و تقريره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المذكورة و إن كانت دائمة ما دام الوصف في صورة الإثبات إلاّ أنّها لا تدلّ على نفي الحكم عند نفيه كما هو المحقّق في مفهوم الوصف، فيبقى الحكم في ثاني الحال مشكوكا فيه فيتمسّك لثبوته بالاستصحاب حتّى يحصل الرافع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بالعبارة المذكورة غير موجودة في شيء من أخبار الباب، و إنّما هي شيء يجري في لسان الفقهاء انتزعوه عن الأخبار فلا يصلح ميزانا لحكم الشرع الّذي يختلف باختلاف مؤدّى العبارات الصادرة من الشارع، و الموجود في خطاباته هنا إنّما هو إعطاء الحكم بعبارة القضيّة الشرطيّة كما عرفت، و مفهوم الشرط حجّة مضافا إلى ذكر المفهوم في كثير من الأخبار صريحا كما لا يخفى</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المفهوم هنا فيما له مفهوم لا ينافي جريان الاستصحاب بهذا المعنى، لما عرفت من أنّ أقصى ما فيه الدلالة على نفي الحكم على تقدير انتفاء </w:t>
      </w:r>
      <w:bookmarkStart w:id="807" w:name="pg16144_233545"/>
    </w:p>
    <w:p>
      <w:pPr>
        <w:pStyle w:val="BookText"/>
        <w:rPr/>
      </w:pPr>
      <w:bookmarkEnd w:id="807"/>
      <w:r>
        <w:rPr>
          <w:rFonts w:ascii="Amiri" w:hAnsi="Amiri" w:eastAsia="Amiri" w:cs="Amiri"/>
          <w:color w:val="111111"/>
          <w:sz w:val="28"/>
          <w:sz w:val="28"/>
          <w:szCs w:val="28"/>
          <w:rtl w:val="true"/>
          <w:lang w:bidi="ar-SA"/>
        </w:rPr>
        <w:t>حدوث التغيّر، و أمّا انتفاء بقائه بعد الحدوث فالمفهوم أيضا ساكت عن حكمه إلاّ في وجه ضعيف تقدّم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طهره بإلقاء كرّ عليه، أو إجراء جار آخر إليه، أو نزول الغيث عليه، مع مراعاة سائر الشروط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زوال التغيّر في الجميع، و الدفعة في الأوّل و الممازجة فيه و في الباقيين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إشكال فيه و لا شبهة تعتريه، لأنّ مناط الطهر بهذه الامور على التفصيل المتقدّم واحد يجري في الجميع، و ليس في عدم تعرّض الفقهاء إلاّ لبيان ما سيأتي من العنوان دلالة على خلاف ما ذكرناه لأنّ إثبات الشيء لا ينفي ما عداه، و وجه الاقتصار عليه التعرّض لذكر ما لا يجري في غير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ترى جماعة من فحول الأصحاب أنّهم بالنسبة إلى العنوان الآتي فرّعوا على القول باشتراط الكرّيّة في عدم انفعال الجاري أنّ من لوازمه أن لا يطهّر ذلك الماء إلاّ بمطهّر خارجي و إن كان عينا عظيما ما لم يكن الخارج من المنبع في كلّ نبع كرّا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بكثرة الماء الطاهر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Style w:val="FootnoteAnchor"/>
          <w:rtl w:val="true"/>
        </w:rPr>
        <w:footnoteReference w:id="2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إنّما يطهّر باكثار الماء المتدافع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طهره بتدافعه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Style w:val="FootnoteAnchor"/>
          <w:rtl w:val="true"/>
        </w:rPr>
        <w:footnoteReference w:id="2221"/>
      </w:r>
      <w:r>
        <w:rPr>
          <w:rFonts w:ascii="Amiri" w:hAnsi="Amiri" w:eastAsia="Amiri" w:cs="Amiri"/>
          <w:color w:val="111111"/>
          <w:sz w:val="28"/>
          <w:sz w:val="28"/>
          <w:szCs w:val="28"/>
          <w:rtl w:val="true"/>
          <w:lang w:bidi="ar-SA"/>
        </w:rPr>
        <w:t xml:space="preserve">و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بتدافع الماء من المادّة و تكاثره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أيضا عن المبسوط</w:t>
      </w:r>
      <w:r>
        <w:rPr>
          <w:rStyle w:val="FootnoteAnchor"/>
          <w:rtl w:val="true"/>
        </w:rPr>
        <w:footnoteReference w:id="2222"/>
      </w:r>
      <w:r>
        <w:rPr>
          <w:rFonts w:ascii="IRNazanin" w:hAnsi="IRNazanin" w:eastAsia="IRNazanin"/>
          <w:color w:val="111111"/>
          <w:sz w:val="28"/>
          <w:sz w:val="28"/>
          <w:szCs w:val="28"/>
          <w:rtl w:val="true"/>
          <w:lang w:bidi="fa-IR"/>
        </w:rPr>
        <w:t>و السرائر</w:t>
      </w:r>
      <w:r>
        <w:rPr>
          <w:rStyle w:val="FootnoteAnchor"/>
          <w:rtl w:val="true"/>
        </w:rPr>
        <w:footnoteReference w:id="2223"/>
      </w:r>
      <w:r>
        <w:rPr>
          <w:rFonts w:ascii="Amiri" w:hAnsi="Amiri" w:eastAsia="Amiri" w:cs="Amiri"/>
          <w:color w:val="111111"/>
          <w:sz w:val="28"/>
          <w:sz w:val="28"/>
          <w:szCs w:val="28"/>
          <w:rtl w:val="true"/>
          <w:lang w:bidi="ar-SA"/>
        </w:rPr>
        <w:t>و الوسيلة</w:t>
      </w:r>
      <w:r>
        <w:rPr>
          <w:rStyle w:val="FootnoteAnchor"/>
          <w:rtl w:val="true"/>
        </w:rPr>
        <w:footnoteReference w:id="2224"/>
      </w:r>
      <w:r>
        <w:rPr>
          <w:rFonts w:ascii="IRNazanin" w:hAnsi="IRNazanin" w:eastAsia="IRNazanin"/>
          <w:color w:val="111111"/>
          <w:sz w:val="28"/>
          <w:sz w:val="28"/>
          <w:szCs w:val="28"/>
          <w:rtl w:val="true"/>
          <w:lang w:bidi="fa-IR"/>
        </w:rPr>
        <w:t>و المعتبر</w:t>
      </w:r>
      <w:r>
        <w:rPr>
          <w:rStyle w:val="FootnoteAnchor"/>
          <w:rtl w:val="true"/>
        </w:rPr>
        <w:footnoteReference w:id="2225"/>
      </w:r>
      <w:r>
        <w:rPr>
          <w:rFonts w:ascii="Amiri" w:hAnsi="Amiri" w:eastAsia="Amiri" w:cs="Amiri"/>
          <w:color w:val="111111"/>
          <w:sz w:val="28"/>
          <w:sz w:val="28"/>
          <w:szCs w:val="28"/>
          <w:rtl w:val="true"/>
          <w:lang w:bidi="ar-SA"/>
        </w:rPr>
        <w:t>و التذكرة</w:t>
      </w:r>
      <w:r>
        <w:rPr>
          <w:rStyle w:val="FootnoteAnchor"/>
          <w:rtl w:val="true"/>
        </w:rPr>
        <w:footnoteReference w:id="2226"/>
      </w:r>
      <w:r>
        <w:rPr>
          <w:rFonts w:ascii="Amiri" w:hAnsi="Amiri" w:eastAsia="Amiri" w:cs="Amiri"/>
          <w:color w:val="111111"/>
          <w:sz w:val="28"/>
          <w:sz w:val="28"/>
          <w:szCs w:val="28"/>
          <w:rtl w:val="true"/>
          <w:lang w:bidi="ar-SA"/>
        </w:rPr>
        <w:t>، و كونه مع زوال التغيّر في الجملة مطهّرا ممّا لا خلاف فيه أيضا</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804976_1280447820"/>
      <w:bookmarkStart w:id="809" w:name="_Toc319"/>
      <w:bookmarkEnd w:id="808"/>
      <w:r>
        <w:rPr>
          <w:rtl w:val="true"/>
        </w:rPr>
        <w:t>المسألة الثانية</w:t>
      </w:r>
      <w:r>
        <w:rPr>
          <w:rtl w:val="true"/>
        </w:rPr>
        <w:t xml:space="preserve">: </w:t>
      </w:r>
      <w:r>
        <w:rPr>
          <w:rtl w:val="true"/>
        </w:rPr>
        <w:t>في تطهير الجاري</w:t>
      </w:r>
      <w:r>
        <w:rPr>
          <w:rtl w:val="true"/>
        </w:rPr>
        <w:t>.</w:t>
      </w:r>
      <w:bookmarkEnd w:id="809"/>
    </w:p>
    <w:p>
      <w:pPr>
        <w:pStyle w:val="BookText"/>
        <w:rPr/>
      </w:pPr>
      <w:r>
        <w:rPr>
          <w:rFonts w:ascii="Amiri" w:hAnsi="Amiri" w:eastAsia="Amiri" w:cs="Amiri"/>
          <w:color w:val="111111"/>
          <w:sz w:val="28"/>
          <w:sz w:val="28"/>
          <w:szCs w:val="28"/>
          <w:rtl w:val="true"/>
          <w:lang w:bidi="ar-SA"/>
        </w:rPr>
        <w:t>نعم ربّما يتوهّم الإشكال في أمرين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طهره بمجرّد زوال التغيّر، و قد صرّح غير واحد من أصحابنا المتأخّرين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تبعا لصاحب المدارك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اعتبار التدافع حتّى يزول التغيّر إنّما هو على رأي من يعتبر الممازجة كالمحقّق و غيره؛ و أمّا من يكتفي بالاتّصال فالظاهر على رأيه كفاية زوال التغيّر و إن لم يحصل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فإنّ العلاّمة في المنتهى</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يكتفي بالاتّصال و هو مصرّح هنا بالتدافع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الحوض الصغير من الحمّام إذا نجس لم يطهّر بإجراء المادّة إليه ما لم يغلب عليه بحيث يستولي عليه، لأنّ الصادق عليه السّلام حكم بأنّه بمنزلة الجاري، و لو نجس الجاري لم يطهّر إلاّ باستيلاء الماء عليه بحيث يزيل انفعاله</w:t>
      </w:r>
      <w:r>
        <w:rPr>
          <w:rFonts w:eastAsia="Amiri" w:cs="Amiri" w:ascii="Amiri" w:hAnsi="Amiri"/>
          <w:color w:val="111111"/>
          <w:sz w:val="28"/>
          <w:szCs w:val="28"/>
          <w:rtl w:val="true"/>
          <w:lang w:bidi="ar-SA"/>
        </w:rPr>
        <w:t>»</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علم أنّه ليس لأحد أن يحمل ورود التدافع في كلامه و كلام غيره ممّن تقدّم على إرادة كونه أسهل أسباب زوال التغيّر و أغلبها في الجاري؛ على معنى أنّ ذكره ليس من جهة أنّه معتبر في التطهير؛ بل من جهة أنّه مقدّمة لإحراز زوال التغيّر الّذي هو مانع عن الطهر، بل الظاهر أنّه لا خلاف في اعتبار التدافع إلاّ ما يوهمه عبارة اللمعة</w:t>
      </w:r>
      <w:r>
        <w:rPr>
          <w:rStyle w:val="FootnoteAnchor"/>
          <w:rtl w:val="true"/>
        </w:rPr>
        <w:footnoteReference w:id="2229"/>
      </w:r>
      <w:r>
        <w:rPr>
          <w:rFonts w:ascii="Amiri" w:hAnsi="Amiri" w:eastAsia="Amiri" w:cs="Amiri"/>
          <w:color w:val="111111"/>
          <w:sz w:val="28"/>
          <w:sz w:val="28"/>
          <w:szCs w:val="28"/>
          <w:rtl w:val="true"/>
          <w:lang w:bidi="ar-SA"/>
        </w:rPr>
        <w:t>كما عن الجعفريّة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يطهّر بزوال التغيّر</w:t>
      </w:r>
      <w:r>
        <w:rPr>
          <w:rFonts w:eastAsia="Amiri" w:cs="Amiri" w:ascii="Amiri" w:hAnsi="Amiri"/>
          <w:color w:val="111111"/>
          <w:sz w:val="28"/>
          <w:szCs w:val="28"/>
          <w:rtl w:val="true"/>
          <w:lang w:bidi="ar-SA"/>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ابتناء الاكتفاء بمجرّد زوال التغيّر في مثل هذه العبارة على فرض كون اعتبار التدافع مفروغا عنه و ممّا لا بدّ منه، و السرّ في عدم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الطهر بناء على اشتراطه بالتدافع لا يتأتّى إلاّ بعد إحراز مقتضيه و فقد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المقام المحتاج إلى التنبيه عليه و التصريح به إنّما هو اعتبار زوال التغيّر الّذي هو مانع إحرازا لفقد المانع، و أمّا المقتضي فهو دائم الوجود، إذ الجاري لا يكون إلاّ بتدافع أجزائه من المادّة بعضها بعضا كما لا يخفى، فكلّما يحرز زوال التغيّر فالتدافع من المادّة موجود معه مقارن له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التعرّض لهذا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جمع كثير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كثير فائدة؛ و على فرض جواز الانفكاك بينهما فليس في عدم اكتفاء العلاّمة و نحوه بالاتّصال بالمادّة هنا منافاة لاكتفائه بالاتّصال في الغديرين </w:t>
      </w:r>
    </w:p>
    <w:p>
      <w:pPr>
        <w:pStyle w:val="BookText"/>
        <w:rPr/>
      </w:pPr>
      <w:r>
        <w:rPr>
          <w:rFonts w:ascii="Amiri" w:hAnsi="Amiri" w:eastAsia="Amiri" w:cs="Amiri"/>
          <w:color w:val="111111"/>
          <w:sz w:val="28"/>
          <w:sz w:val="28"/>
          <w:szCs w:val="28"/>
          <w:rtl w:val="true"/>
          <w:lang w:bidi="ar-SA"/>
        </w:rPr>
        <w:t>المتواصلين، لوضوح الفرق بين المقامين بصيرورة الماءين في الغديرين عنده ماء واحدا بالاتّصال في نظر العرف دون ما يتّصل من الجاري بالمادّة، لأنّها ما لم يبرز منها شيء في الخارج لا تعدّ في نظر العرف من الماء المتّحد مع ما برز في الخارج،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الّتي هي مناط التطهير في المياه الحاصلة في نظره بمجرّد الاتّصال غير محرزة هنا، و من هنا ظهر بطلان توهّم التلازم بين الاكتفاء بالاتّصال و عدم اشتراط التدافع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في وجه التفرقة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الاتّصال الّذي يكتفى به في التطهير هو الحاصل بطريق العلوّ أو المساواة و ليس بمتحقّق هنا، لأنّ المادّة باعتبار خروجها من الأرض لا تكون إلاّ أسفل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إلاّ في بعض الصور، بل الغالب في موادّ المياه الجارية ارتفاعها بالقياس إلى ما يجري منها على الأرض، أنّه لا يلائم ما عرفت عن العلاّمة القائل بكفاية الاتّصال، و غيره من التصريح في مسألة تطهير القليل بما يقضي بعدم الفرق بين الأحوال الثلاث، فراجع و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و عدمه في المطهّر هنا، فإنّ إطلاق أكثر العبائر يقضي بعدم اعتبارها، و هو صريح كلّ من وقفنا على كلامه من متأخّري المتأخّرين، بل هو لازم ما يراه المعظم من عدم انفعال قليل الجاري بمجرّد الملاقاة، و ليس في تعبير المحقّق في الشرائع</w:t>
      </w:r>
      <w:r>
        <w:rPr>
          <w:rStyle w:val="FootnoteAnchor"/>
          <w:rtl w:val="true"/>
        </w:rPr>
        <w:footnoteReference w:id="2231"/>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الماء الطاهر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لذلك كما سبق إلى بعض الأوهام، إذ ليس المراد بالكثرة هنا ما يقابل القلّة بالمعنى المصطلح عليه، بل المراد بها كثرة التدافع، فهي في المعنى قيد للتدافع و إن قدّمت عليه لفظا، فهذا التعبير نظير تعبيرهم في تطهير الكثير المتغيّر بإلقاء كرّ فما زاد أو فصاعدا عليه حتّى يزول التغيّر، فكما أنّ الزيادة هنا أمر زائد على الكرّيّة معتبر معها حيث يتوقّف عليها زوال التغيّر لا مطلقا، فكذلك الكثرة في المقام أمر زائد على أصل التدافع، فاعتبارها إنّما هو حيث يتوقّف عليها زوال التغيّر، و إلاّ فالمطهّر هو خروج الماء الجديد من المادّة و لو في آن واحد بشرط تحقّق زوال التغيّر في هذا الآن مع مراعاة شرط الممازجة أيضا حسبما تقدّم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يستشكل في ذلك بالنظر إلى مذهب العلاّمة لقوله في عدم انفعال الجاري </w:t>
      </w:r>
      <w:bookmarkStart w:id="810" w:name="pg16144_233548"/>
    </w:p>
    <w:p>
      <w:pPr>
        <w:pStyle w:val="BookText"/>
        <w:rPr/>
      </w:pPr>
      <w:bookmarkEnd w:id="810"/>
      <w:r>
        <w:rPr>
          <w:rFonts w:ascii="Amiri" w:hAnsi="Amiri" w:eastAsia="Amiri" w:cs="Amiri"/>
          <w:color w:val="111111"/>
          <w:sz w:val="28"/>
          <w:sz w:val="28"/>
          <w:szCs w:val="28"/>
          <w:rtl w:val="true"/>
          <w:lang w:bidi="ar-SA"/>
        </w:rPr>
        <w:t>باشتراط الكرّيّة</w:t>
      </w:r>
      <w:r>
        <w:rPr>
          <w:rStyle w:val="FootnoteAnchor"/>
          <w:rtl w:val="true"/>
        </w:rPr>
        <w:footnoteReference w:id="2232"/>
      </w:r>
      <w:r>
        <w:rPr>
          <w:rFonts w:ascii="Amiri" w:hAnsi="Amiri" w:eastAsia="Amiri" w:cs="Amiri"/>
          <w:color w:val="111111"/>
          <w:sz w:val="28"/>
          <w:sz w:val="28"/>
          <w:szCs w:val="28"/>
          <w:rtl w:val="true"/>
          <w:lang w:bidi="ar-SA"/>
        </w:rPr>
        <w:t xml:space="preserve">، و من هنا نشأ توهّم المدافعة بين مذهبه هذا و احتجاجه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القضيّة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تابع للوصف فيزول بزواله، و لأنّ الطارئ لا يقبل النجاسة لجريانه و المتغيّر مستهلك</w:t>
      </w:r>
      <w:r>
        <w:rPr>
          <w:rFonts w:eastAsia="Amiri" w:cs="Amiri" w:ascii="Amiri" w:hAnsi="Amiri"/>
          <w:color w:val="111111"/>
          <w:sz w:val="28"/>
          <w:szCs w:val="28"/>
          <w:rtl w:val="true"/>
          <w:lang w:bidi="ar-SA"/>
        </w:rPr>
        <w:t>»</w:t>
      </w:r>
      <w:r>
        <w:rPr>
          <w:rStyle w:val="FootnoteAnchor"/>
          <w:rtl w:val="true"/>
        </w:rPr>
        <w:footnoteReference w:id="2233"/>
      </w:r>
      <w:r>
        <w:rPr>
          <w:rFonts w:ascii="Amiri" w:hAnsi="Amiri" w:eastAsia="Amiri" w:cs="Amiri"/>
          <w:color w:val="111111"/>
          <w:sz w:val="28"/>
          <w:sz w:val="28"/>
          <w:szCs w:val="28"/>
          <w:rtl w:val="true"/>
          <w:lang w:bidi="ar-SA"/>
        </w:rPr>
        <w:t xml:space="preserve">، و هو في محلّه ظاهرا و إن نقل عن كاشف اللثام ما يدفعه في زعمه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مبنيّ على اعتبار الدفعة في إلقاء الكرّ المطهّر، و قد عرفت أنّ معناها الاتّصال و هو متحقّق في النابع، و أمّا منبع الأنهار الكبار الّذي ينبع الكرّ أو أزيد منه دفعة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التربّص في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لا ينبع الكرّ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ربّما ينقطع في البين فينكشف عدم اتّصال الكرّ</w:t>
      </w:r>
      <w:r>
        <w:rPr>
          <w:rFonts w:eastAsia="Amiri" w:cs="Amiri" w:ascii="Amiri" w:hAnsi="Amiri"/>
          <w:color w:val="111111"/>
          <w:sz w:val="28"/>
          <w:szCs w:val="28"/>
          <w:rtl w:val="true"/>
          <w:lang w:bidi="ar-SA"/>
        </w:rPr>
        <w:t>»</w:t>
      </w:r>
      <w:r>
        <w:rPr>
          <w:rStyle w:val="FootnoteAnchor"/>
          <w:rtl w:val="true"/>
        </w:rPr>
        <w:footnoteReference w:id="2234"/>
      </w:r>
      <w:r>
        <w:rPr>
          <w:rFonts w:ascii="Amiri" w:hAnsi="Amiri" w:eastAsia="Amiri" w:cs="Amiri"/>
          <w:color w:val="111111"/>
          <w:sz w:val="28"/>
          <w:sz w:val="28"/>
          <w:szCs w:val="28"/>
          <w:rtl w:val="true"/>
          <w:lang w:bidi="ar-SA"/>
        </w:rPr>
        <w:t xml:space="preserve">إلى آخره،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الحزازات الّتي يظهر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لما ذكر بما لا يرضى به صاحبه، كيف و قد عرفت عن العلاّمة التصريح بما يقضي بعدم كفاية مجرّد الاتّصال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فدليل طهر الماء بما عرفت من التدافع المزيل للتغيّر المحصّل للممازجة هو ما تقدّم من الملازمة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بمرسلة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2235"/>
      </w:r>
      <w:r>
        <w:rPr>
          <w:rFonts w:ascii="Amiri" w:hAnsi="Amiri" w:eastAsia="Amiri" w:cs="Amiri"/>
          <w:color w:val="111111"/>
          <w:sz w:val="28"/>
          <w:sz w:val="28"/>
          <w:szCs w:val="28"/>
          <w:rtl w:val="true"/>
          <w:lang w:bidi="ar-SA"/>
        </w:rPr>
        <w:t xml:space="preserve">و قد سمعت منع ذلك غير مرّة، و بصحيحة محمّد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ما غيّر طعمه أو ريحه، فينزح حتّى يذهب الريح و يطيب الطعم، لأنّ له مادّة</w:t>
      </w:r>
      <w:r>
        <w:rPr>
          <w:rFonts w:eastAsia="Amiri" w:cs="Amiri" w:ascii="Amiri" w:hAnsi="Amiri"/>
          <w:color w:val="111111"/>
          <w:sz w:val="28"/>
          <w:szCs w:val="28"/>
          <w:rtl w:val="true"/>
          <w:lang w:bidi="ar-SA"/>
        </w:rPr>
        <w:t>»</w:t>
      </w:r>
      <w:r>
        <w:rPr>
          <w:rStyle w:val="FootnoteAnchor"/>
          <w:rtl w:val="true"/>
        </w:rPr>
        <w:footnoteReference w:id="2236"/>
      </w:r>
      <w:r>
        <w:rPr>
          <w:rFonts w:ascii="Amiri" w:hAnsi="Amiri" w:eastAsia="Amiri" w:cs="Amiri"/>
          <w:color w:val="111111"/>
          <w:sz w:val="28"/>
          <w:sz w:val="28"/>
          <w:szCs w:val="28"/>
          <w:rtl w:val="true"/>
          <w:lang w:bidi="ar-SA"/>
        </w:rPr>
        <w:t>بناء على حجّيّة العلّة المنصوصة القاضية هنا بتعدّي الحكم إلى كلّ ذي مادّة، و إنّما يستقيم ذلك لو لم يكن العلّة راجعة إلى زوال التغيّر المقصود بها بيان الملازمة بينه و بين النزح و قد تقدّم منعه</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804978_1280447820"/>
      <w:bookmarkStart w:id="812" w:name="_Toc320"/>
      <w:bookmarkEnd w:id="811"/>
      <w:r>
        <w:rPr>
          <w:rtl w:val="true"/>
        </w:rPr>
        <w:t>المرحلة الثالثة</w:t>
      </w:r>
      <w:r>
        <w:rPr>
          <w:rtl w:val="true"/>
        </w:rPr>
        <w:t xml:space="preserve">: </w:t>
      </w:r>
      <w:r>
        <w:rPr>
          <w:rtl w:val="true"/>
        </w:rPr>
        <w:t>في تطهير البئر،</w:t>
      </w:r>
      <w:bookmarkEnd w:id="812"/>
    </w:p>
    <w:p>
      <w:pPr>
        <w:pStyle w:val="Heading6"/>
        <w:numPr>
          <w:ilvl w:val="5"/>
          <w:numId w:val="1"/>
        </w:numPr>
        <w:rPr/>
      </w:pPr>
      <w:bookmarkStart w:id="813" w:name="__RefHeading___Toc1804980_1280447820"/>
      <w:bookmarkStart w:id="814" w:name="_Toc321"/>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Style w:val="FootnoteAnchor"/>
          <w:rtl w:val="true"/>
        </w:rPr>
        <w:footnoteReference w:id="2237"/>
      </w:r>
      <w:r>
        <w:rPr>
          <w:rFonts w:ascii="Amiri" w:hAnsi="Amiri" w:eastAsia="Amiri" w:cs="Amiri"/>
          <w:color w:val="111111"/>
          <w:sz w:val="28"/>
          <w:sz w:val="28"/>
          <w:szCs w:val="28"/>
          <w:rtl w:val="true"/>
          <w:lang w:bidi="ar-SA"/>
        </w:rPr>
        <w:t>في تطهير البئر،</w:t>
      </w:r>
    </w:p>
    <w:p>
      <w:pPr>
        <w:pStyle w:val="Heading6"/>
        <w:numPr>
          <w:ilvl w:val="5"/>
          <w:numId w:val="1"/>
        </w:numPr>
        <w:rPr/>
      </w:pPr>
      <w:bookmarkStart w:id="815" w:name="__RefHeading___Toc1804982_1280447820"/>
      <w:bookmarkStart w:id="816" w:name="_Toc322"/>
      <w:bookmarkEnd w:id="815"/>
      <w:r>
        <w:rPr>
          <w:rtl w:val="true"/>
        </w:rPr>
        <w:t>[</w:t>
      </w:r>
      <w:r>
        <w:rPr>
          <w:rtl w:val="true"/>
        </w:rPr>
        <w:t>أما القول في عدم انفعاله بمجرد الملاقاة</w:t>
      </w:r>
      <w:r>
        <w:rPr>
          <w:rtl w:val="true"/>
        </w:rPr>
        <w:t>]</w:t>
      </w:r>
      <w:bookmarkEnd w:id="816"/>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المختار من عدم انفعاله بمجرّد الملاقاة ممّا لا يحتاج إليه إلاّ في صورة التغيّر، فطهرها حينئذ بنزحها إلى أن يزول </w:t>
      </w:r>
    </w:p>
    <w:p>
      <w:pPr>
        <w:pStyle w:val="BookText"/>
        <w:rPr/>
      </w:pPr>
      <w:r>
        <w:rPr>
          <w:rFonts w:ascii="Amiri" w:hAnsi="Amiri" w:eastAsia="Amiri" w:cs="Amiri"/>
          <w:color w:val="111111"/>
          <w:sz w:val="28"/>
          <w:sz w:val="28"/>
          <w:szCs w:val="28"/>
          <w:rtl w:val="true"/>
          <w:lang w:bidi="ar-SA"/>
        </w:rPr>
        <w:t xml:space="preserve">التغيّر بتجدّد الماء من المادّة، فيعتبر فيه النزح ثمّ تجدّد الماء ثمّ زوال التغيّر، فلا يكفي الأوّل بدون الأخيرين، و لا الأوسط بدون الطرفين، و لا الأخير بدون الأوّلين، خلافا لما حكي من القول بكفاية زوال التغيّر بالنزح و إن لم يتجدّد الماء تعويلا على إطلاق قوله عليه السّلام في صحيحة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فينزح حتّى يذهب اللون و يطيب الطعم</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 و المحكيّ الآخر من القول بعدم اعتبار النزح و كفاية زوال التغيّر لاتّصاله بماء المادّة، بناء على أنّ علّة النزح في الصحيحة زوال تغيّره فهو المقصود دونه، و ذكره في الصحيحة لكونه مقدّمة له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المذكورة المذيّلة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بناء على رجوعه علّة للملازمة بين النزح و زوال التغيّر كما هو الظاهر، لا لأنّ المطهّر هو زوال التغيّر مستقلاّ، بل لأنّه الماء المتجدّد أو هو و زوال التغيّر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عدم التصريح به في العبارة، لأنّ تعليل زوال التغيّر بوجود المادّة نظرا إلى انتفاء الملازمة بينهما لا يظهر له أثر بدون التجدّد فهو مذكور بحكم تلك الملازمة، و يمكن اعتبار كونه مذكورا بحكم ملازمة النزح لزوال التغيّر مع ملاحظة أنّ النزح بنفسه لا يؤثّر في الزوال و إن بلغ إلى إخراج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يستند في ذلك إلى الغلبة نظرا إلى أنّ الغالب في زوال التغيّر بالنزح تحقّقه بالتجدّد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بكلّ من هذه التقادير يندفع أوّل القولين المذكورين و مستنده، و أمّا ثانيهما فضعفه مع مستنده يظهر بملاحظة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إثبات الدلالة على مدخليّة تجدّد الماء في حصول الطهر و إن سلّمنا الدلالة على اعتبار وجوده، لجواز كون اعتباره من جهة أنّه مقدّمة دائميّة أو غالبيّة لزوال التغيّر بالنزح</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لا يدلّ على المدخليّة على نحو يوجب الاطمئنان فكذلك لا يدلّ على المقدّميّة بهذا العنوان، فيبقى احتمال المدخليّة مقتضيا لجريان الاستصحاب و فيه الكفاية حتّى بالقياس إلى اعتبار النزح و إن فرضنا عدم ورود النصّ </w:t>
      </w:r>
    </w:p>
    <w:p>
      <w:pPr>
        <w:pStyle w:val="BookText"/>
        <w:rPr/>
      </w:pPr>
      <w:r>
        <w:rPr>
          <w:rFonts w:ascii="Amiri" w:hAnsi="Amiri" w:eastAsia="Amiri" w:cs="Amiri"/>
          <w:color w:val="111111"/>
          <w:sz w:val="28"/>
          <w:sz w:val="28"/>
          <w:szCs w:val="28"/>
          <w:rtl w:val="true"/>
          <w:lang w:bidi="ar-SA"/>
        </w:rPr>
        <w:t>به؛ و قد تقدّم بعض الكلام في ذلك في بحث زوال التغيّر بنفسه عن الكرّ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معنى الصحيحة المذكورة صحيحة أبي اسامة الشحّام الواردة في التهذيبين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و السنّور و الدجاجة و الكلب 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يتفسّخ أو يتغيّر طعم الماء فيكفيك خمس دلاء، و إن تغيّر الماء فخذ منه حتّى يذهب الريح</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 و موثّقة سماعة الواردة فيهما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تقع في البئر أو الطير؟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أدرك قبل أن ينتن نزحت منها سبع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أنتن حتّى توجد ريح النتن في الماء نزحت البئر حتّى يذهب النتن من الماء</w:t>
      </w:r>
      <w:r>
        <w:rPr>
          <w:rFonts w:eastAsia="Amiri" w:cs="Amiri" w:ascii="Amiri" w:hAnsi="Amiri"/>
          <w:color w:val="111111"/>
          <w:sz w:val="28"/>
          <w:szCs w:val="28"/>
          <w:rtl w:val="true"/>
          <w:lang w:bidi="ar-SA"/>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يقع في الآبار؟،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الفأرة و أشباهها فتنزع منها سبع دلاء إلاّ أن يتغيّر الماء فينزح حتّى تطيب</w:t>
      </w:r>
      <w:r>
        <w:rPr>
          <w:rFonts w:eastAsia="Amiri" w:cs="Amiri" w:ascii="Amiri" w:hAnsi="Amiri"/>
          <w:color w:val="111111"/>
          <w:sz w:val="28"/>
          <w:szCs w:val="28"/>
          <w:rtl w:val="true"/>
          <w:lang w:bidi="ar-SA"/>
        </w:rPr>
        <w:t>»</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التهذيبين و إن كانت غير نقيّة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بئر قطر فيها قطرة دم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 الخمر و الميّت و لحم الخنزير في ذلك كلّه واحد، ينزح منه عشرون دلوا، فإن غلبت الريح نزحت حتّى تطيب</w:t>
      </w:r>
      <w:r>
        <w:rPr>
          <w:rFonts w:eastAsia="Amiri" w:cs="Amiri" w:ascii="Amiri" w:hAnsi="Amiri"/>
          <w:color w:val="111111"/>
          <w:sz w:val="28"/>
          <w:szCs w:val="28"/>
          <w:rtl w:val="true"/>
          <w:lang w:bidi="ar-SA"/>
        </w:rPr>
        <w:t>»</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يتوهّم من منافاة صحيحة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الثوب و لا تعاد الصلاة ممّا وقع في البئر إلاّ أن ينتن، فإن أنتن غسل الثوب، و أعاد الصلاة، و نزحت البئر</w:t>
      </w:r>
      <w:r>
        <w:rPr>
          <w:rFonts w:eastAsia="Amiri" w:cs="Amiri" w:ascii="Amiri" w:hAnsi="Amiri"/>
          <w:color w:val="111111"/>
          <w:sz w:val="28"/>
          <w:szCs w:val="28"/>
          <w:rtl w:val="true"/>
          <w:lang w:bidi="ar-SA"/>
        </w:rPr>
        <w:t>»</w:t>
      </w:r>
      <w:r>
        <w:rPr>
          <w:rStyle w:val="FootnoteAnchor"/>
          <w:rtl w:val="true"/>
        </w:rPr>
        <w:footnoteReference w:id="2244"/>
      </w:r>
      <w:r>
        <w:rPr>
          <w:rFonts w:ascii="Amiri" w:hAnsi="Amiri" w:eastAsia="Amiri" w:cs="Amiri"/>
          <w:color w:val="111111"/>
          <w:sz w:val="28"/>
          <w:sz w:val="28"/>
          <w:szCs w:val="28"/>
          <w:rtl w:val="true"/>
          <w:lang w:bidi="ar-SA"/>
        </w:rPr>
        <w:t>لتلك الأخبار حتّى عن الشيخ الاستناد إليها على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ضرورة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نزحت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كما تحتمل تقييدها بالجميع كذا تحتمل التقييد بالبعض الّذي يزول معه التغيّر، و لا ريب أنّ الأوّل ليس بأولى من الثاني، فهي في الحقيقة قضيّة مجملة تبيّنها الأخبار المذكورة و معه لا يعقل التعارض</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الروايات كرواية منهال بن عمرو المرويّة في التهذيب، و صحيحة </w:t>
      </w:r>
      <w:bookmarkStart w:id="817" w:name="pg16144_233551"/>
    </w:p>
    <w:p>
      <w:pPr>
        <w:pStyle w:val="BookText"/>
        <w:rPr/>
      </w:pPr>
      <w:bookmarkEnd w:id="817"/>
      <w:r>
        <w:rPr>
          <w:rFonts w:ascii="Amiri" w:hAnsi="Amiri" w:eastAsia="Amiri" w:cs="Amiri"/>
          <w:color w:val="111111"/>
          <w:sz w:val="28"/>
          <w:sz w:val="28"/>
          <w:szCs w:val="28"/>
          <w:rtl w:val="true"/>
          <w:lang w:bidi="ar-SA"/>
        </w:rPr>
        <w:t>أبي خديجة المرويّة في الاستبصار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تخرج من البئر ميتة؟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 عشرة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فغيرها من الجيف؟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الجيف كلّها سواء إلاّ جيفة قد أجيفت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جيفة قد أجيفت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 منها مائة دلو، فإن غلب عليها الريح بعد مائة دلو فانزحها كلّها</w:t>
      </w:r>
      <w:r>
        <w:rPr>
          <w:rFonts w:eastAsia="Amiri" w:cs="Amiri" w:ascii="Amiri" w:hAnsi="Amiri"/>
          <w:color w:val="111111"/>
          <w:sz w:val="28"/>
          <w:szCs w:val="28"/>
          <w:rtl w:val="true"/>
          <w:lang w:bidi="ar-SA"/>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ماتت و لم تنتن فأربعين دلوا، و إذا انتفخت فيه و نتنت نزح الماء كلّه</w:t>
      </w:r>
      <w:r>
        <w:rPr>
          <w:rFonts w:eastAsia="Amiri" w:cs="Amiri" w:ascii="Amiri" w:hAnsi="Amiri"/>
          <w:color w:val="111111"/>
          <w:sz w:val="28"/>
          <w:szCs w:val="28"/>
          <w:rtl w:val="true"/>
          <w:lang w:bidi="ar-SA"/>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صلوح الاولى بجهالة المنهال لمعارضة ما سبق، أنّهما محمولان على ما لو توقّف زوال التغيّر على نزح الجميع، كما يومئ إليه ما في الرواية الاولى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غلب عليها الريح بعد مائة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التقييد ببعديّته بالقياس إلى المقدّر المذكور تقضي بأنّه في الفرض تغيّر لا يزول بنزح ما عدا الجميع، مع إمكان حملهما على الاستحباب كيف و أنّا في الرواية الثانية نحمل نزح الأربعين المقدّر لغير صورة النتن بقرينة ما سبق على الاستحباب فكيف بنزح الجميع المقدّر لصورة النتن، مع احتمال كون المراد بالبئر الواقع فيهما المصنع الّذي لا مادّة له و لا يزول تغيّره إذا توقّف على النزح إلاّ بنزح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جميع ذلك فما تقدّم من الأخبار تترجّح عليهما لكثرتها و قوّة دلالتها لسلامتها عمّا يوهنها من الاحتمالات المذكورة الجارية فيهما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القول المختار من عدم انفعال البئر بمجرّد الملاقاة</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1804984_1280447820"/>
      <w:bookmarkStart w:id="819" w:name="_Toc323"/>
      <w:bookmarkEnd w:id="818"/>
      <w:r>
        <w:rPr>
          <w:rtl w:val="true"/>
        </w:rPr>
        <w:t>و أمّا على القول بالانفعال</w:t>
      </w:r>
      <w:bookmarkEnd w:id="819"/>
    </w:p>
    <w:p>
      <w:pPr>
        <w:pStyle w:val="Heading6"/>
        <w:numPr>
          <w:ilvl w:val="5"/>
          <w:numId w:val="1"/>
        </w:numPr>
        <w:rPr/>
      </w:pPr>
      <w:bookmarkStart w:id="820" w:name="__RefHeading___Toc1804986_1280447820"/>
      <w:bookmarkStart w:id="821" w:name="_Toc324"/>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فاختلفت أقوالهم و تشتّت آرائهم في تطهير المتغيّر، و هي على ما حكاه غير واحد تبلغ ثمانية</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1804988_1280447820"/>
      <w:bookmarkStart w:id="823" w:name="_Toc325"/>
      <w:bookmarkEnd w:id="822"/>
      <w:r>
        <w:rPr>
          <w:rtl w:val="true"/>
        </w:rPr>
        <w:t>أحدها</w:t>
      </w:r>
      <w:r>
        <w:rPr>
          <w:rtl w:val="true"/>
        </w:rPr>
        <w:t xml:space="preserve">: </w:t>
      </w:r>
      <w:r>
        <w:rPr>
          <w:rtl w:val="true"/>
        </w:rPr>
        <w:t>ما عن أبي الصلاح ، و الشهيد في البيان، و ظاهر المفيد من أنّه ينزح حتّى يزول التغيّر،</w:t>
      </w:r>
      <w:bookmarkEnd w:id="82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الصلاح</w:t>
      </w:r>
      <w:r>
        <w:rPr>
          <w:rStyle w:val="FootnoteAnchor"/>
          <w:rtl w:val="true"/>
        </w:rPr>
        <w:footnoteReference w:id="2247"/>
      </w:r>
      <w:r>
        <w:rPr>
          <w:rFonts w:ascii="Amiri" w:hAnsi="Amiri" w:eastAsia="Amiri" w:cs="Amiri"/>
          <w:color w:val="111111"/>
          <w:sz w:val="28"/>
          <w:sz w:val="28"/>
          <w:szCs w:val="28"/>
          <w:rtl w:val="true"/>
          <w:lang w:bidi="ar-SA"/>
        </w:rPr>
        <w:t>، و الشهيد في البيان،</w:t>
      </w:r>
      <w:r>
        <w:rPr>
          <w:rStyle w:val="FootnoteAnchor"/>
          <w:rtl w:val="true"/>
        </w:rPr>
        <w:footnoteReference w:id="2248"/>
      </w:r>
      <w:r>
        <w:rPr>
          <w:rFonts w:ascii="Amiri" w:hAnsi="Amiri" w:eastAsia="Amiri" w:cs="Amiri"/>
          <w:color w:val="111111"/>
          <w:sz w:val="28"/>
          <w:sz w:val="28"/>
          <w:szCs w:val="28"/>
          <w:rtl w:val="true"/>
          <w:lang w:bidi="ar-SA"/>
        </w:rPr>
        <w:t>و ظاهر المفيد</w:t>
      </w:r>
      <w:r>
        <w:rPr>
          <w:rStyle w:val="FootnoteAnchor"/>
          <w:rtl w:val="true"/>
        </w:rPr>
        <w:footnoteReference w:id="2249"/>
      </w:r>
      <w:r>
        <w:rPr>
          <w:rFonts w:ascii="Amiri" w:hAnsi="Amiri" w:eastAsia="Amiri" w:cs="Amiri"/>
          <w:color w:val="111111"/>
          <w:sz w:val="28"/>
          <w:sz w:val="28"/>
          <w:szCs w:val="28"/>
          <w:rtl w:val="true"/>
          <w:lang w:bidi="ar-SA"/>
        </w:rPr>
        <w:t>من أنّه ينزح حتّى يزول التغيّر،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هذا القول كما ترى يشمل ما لو كان للنجاسة المغيّرة مقدّر </w:t>
      </w:r>
    </w:p>
    <w:p>
      <w:pPr>
        <w:pStyle w:val="BookText"/>
        <w:rPr/>
      </w:pPr>
      <w:r>
        <w:rPr>
          <w:rFonts w:ascii="Amiri" w:hAnsi="Amiri" w:eastAsia="Amiri" w:cs="Amiri"/>
          <w:color w:val="111111"/>
          <w:sz w:val="28"/>
          <w:sz w:val="28"/>
          <w:szCs w:val="28"/>
          <w:rtl w:val="true"/>
          <w:lang w:bidi="ar-SA"/>
        </w:rPr>
        <w:t>و غيره، قصر المقدّر عمّا يزول به التغيّر أو ساواه أو زاد عليه؛ و مستنده إطلاق ما تقدّم من الأخبار المستدلّ بها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في صورة زوال التغيّر قبل استيفاء المقدّر فيما له مقدّر، فإنّ الاكتفاء به مطلقا ترك للعمل بأخبار المقدّرات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من باب تخصيص تلك الأخبار بغير صورة التغيّر،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بإمكان ذلك في الأخبار المذكورة بحملها على غير ما له مقدّر نظرا إلى أنّ النسبة بين النوعين عموم من وجه، و لا ريب أنّ مورد الاجتماع و هو التغيّر الحاصل بذي التقدير قابل لأن يخرج عن كلّ منهما، فإخراجه عن أحدهما ليس بأولى من إخراجه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أن يتوهّم من أنّ تخصيص أخبار المقدّرات بإخراج مورد الاجتماع عنها مطلقا عمل بما في سوى صحيحة ابن بزيع من أخبار زوال التغيّر من الانتقال عن إيجاب نزح المقدّر إلى إيجاب نزح المزيل للتغيّر المفروض عروضه، نظرا إلى قضاء ذلك بكون إيجاب نزح المقدّر مشروطا بعدم التغيّر، و أمّا معه فالمتّبع إزالة التغيّر مطلقا، ثمّ هذا التفصيل المقتضي للاشتراط المذكور ينهض قرينة على تقييد الأخبار المطلقة من المقدّرات الغير المشتملة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ابتناء هذا التفصيل على إرادة الاشتراط، و إنّما هو لبيان عدم كفاية نزح المقدّر الوارد تقديره في الأخبار المفصّلة في تحقّق موضوع زوال التغيّر، ضرورة عدم زواله بالخمس و السبع بل العشرين أيضا في الغالب، و الاكتفاء بنزح ذلك مع بقاء التغيّر ممّا لا معنى له، لا أنّه يفيد تقييد اعتبار نزح المقدّر بغير صورة التغيّر كما هو مفاد التوهّم المذكور</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كلّه مبنيّ على تعارض هذين النوعين من الأخبار الّذي هو ضروري المنع في المقام، لمكان كونهما مثبتين متوافقين في المدلول فيمكن العمل بهما معا في كلّ من مادّتي الافتراق و الاجتماع،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أكرم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سقوط في شيء من العامّين في شيء من الأحوال الثلاث الجارية في كلّ منهما من النقصان و المساواة و الزيادة الّتي يشملها العموم الإطلاقي، غاية الأمر أنّ ذلك يقضي بلزوم نزح الأكثر ممّا يحصل به زوال التغيّر و استيفاء المقدّر عملا بهما معا في جميع </w:t>
      </w:r>
    </w:p>
    <w:p>
      <w:pPr>
        <w:pStyle w:val="BookText"/>
        <w:rPr/>
      </w:pPr>
      <w:r>
        <w:rPr>
          <w:rFonts w:ascii="Amiri" w:hAnsi="Amiri" w:eastAsia="Amiri" w:cs="Amiri"/>
          <w:color w:val="111111"/>
          <w:sz w:val="28"/>
          <w:sz w:val="28"/>
          <w:szCs w:val="28"/>
          <w:rtl w:val="true"/>
          <w:lang w:bidi="ar-SA"/>
        </w:rPr>
        <w:t>الأحوال الثلاث المذكورة لمورد الاجتماع في كلّ من الجانبين، ضرورة أنّ الأخذ بالأكثر في كلّ من الجانبين أخذ بأقلّ الجانب الآخر لاندراج الأقلّ تحت الأكثر، بناء على أنّه في مفاد أخبار المقدّرات ليس مأخوذا بشرط عدم الزيادة، فمورد في كلّ من العامّين باق على إطلاقه، فلا داعي إلى التخصيص لا بالنظر إلى أحد العامّين و لا بالنظر إلى مورد اجتماعهما،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تناول أخبار المقدّرات لصورة التغيّر على وجه يكون مفادها إعطاء حكم المقدّر و كفايته مع التغيّر و عدمه في غاية الإشكال، بل هو عند التأمّل الصادق في حيّز المنع، بل الحكم في المقدّرات يختصّ بغير حالة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كثيرا ممّا ورد له تقدير بالخصوص من النجاسات ليس صالحا لتغيير الماء كبول الفطيم و قطرة خمر أو بول و ما أشبه ذلك، فكيف يكون حكمه لما يعمّ حالة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تتبّع آثار تلك الديار و أنصف ملاحظا لمساق ما ورد في حكم المقدّرات من الأخبار يجد جازما أنّ مفروض الأسئلة و مصبّ الأجوبة المنطبقة عليها إنّما هو حيثيّة وقوع النجاسات الّتي ورد فيها المقدّرات و ملاقاتها البئر من غير نظر للسائل و لا المسئول إلى حيثيّة التغيّر؛ بل يعلم أنّ مورد كلّ من السؤال و الجواب إنّما هو مجرّد الوقوع و الملاقاة لا هما أعمّ من التأثير في التغيّر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عرفته في جملة من أخبار اعتبار إزالة التغيّر من استفصال المسئول بين حالة التغيّر و حالة عدمها و تخصيصه المقدّر بحالة العدم قرينة واضحة على أنّ الأجوبة الوارد في الأخبار المطلقة للمقدّرات ليست على إطلاقها بحيث تشمل في الدلالة على كفاية المقدّر كلتا حالتي التغيّر و غيرها، بل إنّما هي مخصوصة بما عدا حالة التغيّر، و لا ينافيه التنبيه مع ذلك على عدم كفاية مثل الخمس و السبع و العشرين من المقدّرات في تحقّق الزوال عند قيام مقتضي اعتباره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التقدير في المقدّرات المطلقة لو كان مطلقا شاملا إطلاقه في الدلالة على كفاية المقدّر في التطهير حالة التغيّر أيضا لقضى به و لو حصل استيفاء المقدّر قبل زوال و هو ضروري البطلان، لا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نظير ما إذا استوفى المقدّر أو بعضه قبل إخراج عين النجاسة لأنّ بقاء التغيّر دليل بقاء العين، حتّى يتوجّه إليه المنع </w:t>
      </w:r>
    </w:p>
    <w:p>
      <w:pPr>
        <w:pStyle w:val="BookText"/>
        <w:rPr/>
      </w:pPr>
      <w:r>
        <w:rPr>
          <w:rFonts w:ascii="Amiri" w:hAnsi="Amiri" w:eastAsia="Amiri" w:cs="Amiri"/>
          <w:color w:val="111111"/>
          <w:sz w:val="28"/>
          <w:sz w:val="28"/>
          <w:szCs w:val="28"/>
          <w:rtl w:val="true"/>
          <w:lang w:bidi="ar-SA"/>
        </w:rPr>
        <w:t>على حدّ الضرورة، بل لأنّ زوال المعلول مع بقاء العلّة غير معقول، و قد ثبت عن الأدلّة أنّ التغيّر حدوثا و بقاء علّة للنجاسة و معه كيف يمكن اعتبار العموم أو الإطلاق في المقدّرات المطلقة، و قضيّة ذلك اختصاص اعتبارها بغير حالة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من ذلك تقييد المطلقات بما إذا لم يكن المقدّر أقلّ من مزيل التغيّر، فالمتّجه حينئذ اعتبار أكثر الأمرين من المقدّر و مزيل التغيّر عملا بنوعي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المقدّرات بناء على إطلاقها قابلة لأن يتصرّف فيها بأحد الوجهين، تخصيصها بغير حالة التغيّر مطلقا، أو تقييدها بما إذا لم يكن المقدّر أقلّ من مزيل التغيّر، غير أنّ هذا التصرّف الثاني ممّا يأباه كثير من المقدّرات الواردة لعدم كونها صالحة لإزالة التغيّر بالذات لمكان كونها أقلّ من مزيله كالثلاث و الخمس و السبع و العشرة و العشرين غالبا و ما أشبه، فلا بدّ في مثله من تطرّق أوّل التصرّفين، و قضيّة ذلك كون التطرّق إلى البواقي هو هذا التصرّف لمكان ورود أخبار الباب بأجمعها في متفاهم العرف على نمط واحد، و اعتبار أحد التصرّفين في جملة و التصرّف الآخر في جملة اخرى كما ترى بعيد عن العرف و الوجدان، و يزيد ذلك البعد في جملة مشتملة على مقدّرين في نوعين من النجاسات أحدهما لا يصلح مزيلا للتغيّر و الآخر صالح له في الجملة، و من هذه الجملة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سقط في البئر دابّة صغيرة، أو نزل فيها جنب، نزح منها سبع دلاء، و إن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يقع في البئر ما بين الفأرة و السنّور إلى الشاة؟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يقول سبع دلاء، حتّى بلغت الحمار و الجمل،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r>
        <w:rPr>
          <w:rStyle w:val="FootnoteAnchor"/>
          <w:rtl w:val="true"/>
        </w:rPr>
        <w:footnoteReference w:id="2251"/>
      </w:r>
      <w:r>
        <w:rPr>
          <w:rFonts w:ascii="Amiri" w:hAnsi="Amiri" w:eastAsia="Amiri" w:cs="Amiri"/>
          <w:color w:val="111111"/>
          <w:sz w:val="28"/>
          <w:sz w:val="28"/>
          <w:szCs w:val="28"/>
          <w:rtl w:val="true"/>
          <w:lang w:bidi="ar-SA"/>
        </w:rPr>
        <w:t>، و نظير ذلك كثير فيما بين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الالتزام بالتخصيص صدرا و التقييد ذيلا في أمثال ذلك في غاية الغرابة، بل المتعيّن في متفاهم العرف اعتبار التخصيص مطلقا لعدم جريان التقييد فيهما معا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عدم تناول أخبار المقدّرات لحالة التغيّر كون التقدير الوارد فيها بأعداد </w:t>
      </w:r>
      <w:bookmarkStart w:id="824" w:name="pg16144_233555"/>
    </w:p>
    <w:p>
      <w:pPr>
        <w:pStyle w:val="BookText"/>
        <w:rPr/>
      </w:pPr>
      <w:bookmarkEnd w:id="824"/>
      <w:r>
        <w:rPr>
          <w:rFonts w:ascii="Amiri" w:hAnsi="Amiri" w:eastAsia="Amiri" w:cs="Amiri"/>
          <w:color w:val="111111"/>
          <w:sz w:val="28"/>
          <w:sz w:val="28"/>
          <w:szCs w:val="28"/>
          <w:rtl w:val="true"/>
          <w:lang w:bidi="ar-SA"/>
        </w:rPr>
        <w:t>معيّنة لا يمكن أن يناط بها زوال التغيّر في المتغيّر لعدم انضباطه و تعيّنه في عدد معيّن، و بالجملة فالّذي يقتضيه التدبّر اختصاص روايات التقدير بغير حالة التغيّر، فيبقى الروايات المتضمّنة لحالة التغيّر في الدلالة على اعتبار إزالته سليمة عمّا يزاحمها من غير فرق في ذلك بين كون النجاسة المغيّرة ممّا لم تقدّر و غيره،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جملة من تلك الأخبار من الاستفصال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ممّا بين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بنجاسة البئر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القول المذكور، و هو اعتبار زوال التغيّر في تطهير البئر مطلقا عند التغيّر</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1804990_1280447820"/>
      <w:bookmarkStart w:id="826" w:name="_Toc326"/>
      <w:bookmarkEnd w:id="825"/>
      <w:r>
        <w:rPr>
          <w:rtl w:val="true"/>
        </w:rPr>
        <w:t>و ثانيها</w:t>
      </w:r>
      <w:r>
        <w:rPr>
          <w:rtl w:val="true"/>
        </w:rPr>
        <w:t xml:space="preserve">: </w:t>
      </w:r>
      <w:r>
        <w:rPr>
          <w:rtl w:val="true"/>
        </w:rPr>
        <w:t>ما عن الصدوقين و المرتضى و الشيخ و عليه المحقّق في الشرائع من أنّه ينزح الجميع و مع التعذّر فالتراوح،</w:t>
      </w:r>
      <w:bookmarkEnd w:id="826"/>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الصدوقين</w:t>
      </w:r>
      <w:r>
        <w:rPr>
          <w:rStyle w:val="FootnoteAnchor"/>
          <w:rtl w:val="true"/>
        </w:rPr>
        <w:footnoteReference w:id="2252"/>
      </w:r>
      <w:r>
        <w:rPr>
          <w:rFonts w:ascii="IRNazanin" w:hAnsi="IRNazanin" w:eastAsia="IRNazanin"/>
          <w:color w:val="111111"/>
          <w:sz w:val="28"/>
          <w:sz w:val="28"/>
          <w:szCs w:val="28"/>
          <w:rtl w:val="true"/>
          <w:lang w:bidi="fa-IR"/>
        </w:rPr>
        <w:t>و المرتضى</w:t>
      </w:r>
      <w:r>
        <w:rPr>
          <w:rStyle w:val="FootnoteAnchor"/>
          <w:rtl w:val="true"/>
        </w:rPr>
        <w:footnoteReference w:id="2253"/>
      </w:r>
      <w:r>
        <w:rPr>
          <w:rFonts w:ascii="Amiri" w:hAnsi="Amiri" w:eastAsia="Amiri" w:cs="Amiri"/>
          <w:color w:val="111111"/>
          <w:sz w:val="28"/>
          <w:sz w:val="28"/>
          <w:szCs w:val="28"/>
          <w:rtl w:val="true"/>
          <w:lang w:bidi="ar-SA"/>
        </w:rPr>
        <w:t>و الشيخ</w:t>
      </w:r>
      <w:r>
        <w:rPr>
          <w:rStyle w:val="FootnoteAnchor"/>
          <w:rtl w:val="true"/>
        </w:rPr>
        <w:footnoteReference w:id="2254"/>
      </w:r>
      <w:r>
        <w:rPr>
          <w:rFonts w:ascii="Amiri" w:hAnsi="Amiri" w:eastAsia="Amiri" w:cs="Amiri"/>
          <w:color w:val="111111"/>
          <w:sz w:val="28"/>
          <w:sz w:val="28"/>
          <w:szCs w:val="28"/>
          <w:rtl w:val="true"/>
          <w:lang w:bidi="ar-SA"/>
        </w:rPr>
        <w:t>و عليه المحقّق في الشرائع من أنّه ينزح الجميع و مع التعذّر فالتراوح،</w:t>
      </w:r>
    </w:p>
    <w:p>
      <w:pPr>
        <w:pStyle w:val="BookText"/>
        <w:rPr/>
      </w:pPr>
      <w:r>
        <w:rPr>
          <w:rFonts w:ascii="Amiri" w:hAnsi="Amiri" w:eastAsia="Amiri" w:cs="Amiri"/>
          <w:color w:val="111111"/>
          <w:sz w:val="28"/>
          <w:sz w:val="28"/>
          <w:szCs w:val="28"/>
          <w:rtl w:val="true"/>
          <w:lang w:bidi="ar-SA"/>
        </w:rPr>
        <w:t>و عدّ الشيخ من أهل هذا القول بناء على القول بالنجاسة بمجرّد الملاقاة ليس في محلّه، لما مرّ من أنّه قائل بوجوب النزح تعبّدا 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ممّن لا يخصّص الاختلاف في تطهير المتغيّر بأهل القول بالنجاسة كالعلاّمة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فمستند هذا القول بالنسبة إلى نزح الجميع ما تقدّم من الروايات القاضية به، المعارضة لما مرّ من أخبار اعتبار نزح المزيل للتغيّر، و قد يعلّل بكون النجاسة الحاصلة بالتغيّر غير منصوص المقدّر بناء على ظهور أخبار المقدّرات في الاختصاص بغير صورة التغيّر، و بالنسبة إلى التراوح مع التعذّر موثّقة عمّار الساباطي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البئر وقع فيه كلب أو فأرة أو 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تنزف كلّها، ثمّ فإن غلب عليه الماء فلينزف يوما إلى الليل، ثمّ يقام عليها قوم يتراوحون اثنين اثنين، فينزفون يوما إلى الليل و قد طهرت</w:t>
      </w:r>
      <w:r>
        <w:rPr>
          <w:rFonts w:eastAsia="Amiri" w:cs="Amiri" w:ascii="Amiri" w:hAnsi="Amiri"/>
          <w:color w:val="111111"/>
          <w:sz w:val="28"/>
          <w:szCs w:val="28"/>
          <w:rtl w:val="true"/>
          <w:lang w:bidi="ar-SA"/>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الشيخ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لونه أو طعمه بدلالة ما تقدّم من أربعين دلوا في هذه الأشياء، و قد يعلّل بأنّه قائم مقام نزح </w:t>
      </w:r>
      <w:bookmarkStart w:id="827" w:name="pg16144_233556"/>
    </w:p>
    <w:p>
      <w:pPr>
        <w:pStyle w:val="BookText"/>
        <w:rPr/>
      </w:pPr>
      <w:bookmarkEnd w:id="827"/>
      <w:r>
        <w:rPr>
          <w:rFonts w:ascii="Amiri" w:hAnsi="Amiri" w:eastAsia="Amiri" w:cs="Amiri"/>
          <w:color w:val="111111"/>
          <w:sz w:val="28"/>
          <w:sz w:val="28"/>
          <w:szCs w:val="28"/>
          <w:rtl w:val="true"/>
          <w:lang w:bidi="ar-SA"/>
        </w:rPr>
        <w:t>الجميع فيما يكون واجبا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الحكمين معا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محكوم بنجاسته فيجب إخراجه أجمع، و مع التعذّر التراوح كما في غيره من النجاسات المقتضية لنزح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العمل بما تقدّم من الأخبار الدالّة على كفاية زوال التغيّر في التطهير مع كونها أظهر دلالة و أكثر عددا و المصير إلى هذا القول عملا بالوجوه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تبيّن ضعف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الإنصاف؛ و حمل الأخبار المشار إليها على الاستحباب أو على صورة توقّف الزوال طريق الجمع، فوجوب نزح الجميع لإزالة التغيّر غير ثابت ليقوم مقامه التراوح عند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بالموثّقة لإيجاب التراوح ليس في محلّه، لعدم اعتبار كونه في الرواية للتغيّر، و تنزيلها إليه تأويل يلتزم به لمجرّد الجمع فلا يصلح مستندا لإيجاب الجميع، و دعوى كون النجاسة الحاصلة بالتغيّر غير منصوص المقدّر مع ورود الأخبار المتقدّمة المعتبرة الواضحة الدلالة في غاية الغرابة، و الوجه الأخير القائم على الحكمين معا لا يرجع إلاّ إلى المصادرة فلا يلتفت إليه، و لو اريد الاستناد فيه إلى الاستصحاب 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الدليل على كفاية زوال التغيّر كما عرفت</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1804992_1280447820"/>
      <w:bookmarkStart w:id="829" w:name="_Toc327"/>
      <w:bookmarkEnd w:id="828"/>
      <w:r>
        <w:rPr>
          <w:rtl w:val="true"/>
        </w:rPr>
        <w:t>و ثالثها</w:t>
      </w:r>
      <w:r>
        <w:rPr>
          <w:rtl w:val="true"/>
        </w:rPr>
        <w:t xml:space="preserve">: </w:t>
      </w:r>
      <w:r>
        <w:rPr>
          <w:rtl w:val="true"/>
        </w:rPr>
        <w:t>ما عزى إلى الشيخ في النهاية و المبسوط و عن كاشف الرموز</w:t>
      </w:r>
      <w:r>
        <w:rPr>
          <w:rtl w:val="true"/>
        </w:rPr>
        <w:t xml:space="preserve">: </w:t>
      </w:r>
      <w:r>
        <w:rPr>
          <w:rtl w:val="true"/>
        </w:rPr>
        <w:t>أنّه نقله عن المقنعة من أنّه ينزح الجميع و مع تعذّره فإلى زوال التغيّر،</w:t>
      </w:r>
      <w:bookmarkEnd w:id="829"/>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عزى إلى الشيخ في النهاية</w:t>
      </w:r>
      <w:r>
        <w:rPr>
          <w:rStyle w:val="FootnoteAnchor"/>
          <w:rtl w:val="true"/>
        </w:rPr>
        <w:footnoteReference w:id="2256"/>
      </w:r>
      <w:r>
        <w:rPr>
          <w:rFonts w:ascii="IRNazanin" w:hAnsi="IRNazanin" w:eastAsia="IRNazanin"/>
          <w:color w:val="111111"/>
          <w:sz w:val="28"/>
          <w:sz w:val="28"/>
          <w:szCs w:val="28"/>
          <w:rtl w:val="true"/>
          <w:lang w:bidi="fa-IR"/>
        </w:rPr>
        <w:t>و المبسوط</w:t>
      </w:r>
      <w:r>
        <w:rPr>
          <w:rStyle w:val="FootnoteAnchor"/>
          <w:rtl w:val="true"/>
        </w:rPr>
        <w:footnoteReference w:id="2257"/>
      </w:r>
      <w:r>
        <w:rPr>
          <w:rFonts w:ascii="Amiri" w:hAnsi="Amiri" w:eastAsia="Amiri" w:cs="Amiri"/>
          <w:color w:val="111111"/>
          <w:sz w:val="28"/>
          <w:sz w:val="28"/>
          <w:szCs w:val="28"/>
          <w:rtl w:val="true"/>
          <w:lang w:bidi="ar-SA"/>
        </w:rPr>
        <w:t>و عن كاشف الرموز</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أنّه نقله عن المقنعة من أنّه ينزح الجميع و مع تعذّره فإلى زوال التغيّر،</w:t>
      </w:r>
    </w:p>
    <w:p>
      <w:pPr>
        <w:pStyle w:val="BookText"/>
        <w:rPr/>
      </w:pPr>
      <w:r>
        <w:rPr>
          <w:rFonts w:ascii="Amiri" w:hAnsi="Amiri" w:eastAsia="Amiri" w:cs="Amiri"/>
          <w:color w:val="111111"/>
          <w:sz w:val="28"/>
          <w:sz w:val="28"/>
          <w:szCs w:val="28"/>
          <w:rtl w:val="true"/>
          <w:lang w:bidi="ar-SA"/>
        </w:rPr>
        <w:t>و مستنده على ما قيل الجمع بين النوعين المتقدّمين من أخبار التغيّر، بحمل ما دلّ منها على نزح الجميع على صورة الإمكان و ما دلّ منها على اعتبار زوال التغيّر على صورة تعذّر نزح الجميع</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النوع الثاني على صورة تعذّر نزح الجميع ليس بأولى من حمل النوع الأوّل على صورة توقّف زوال التغيّر على نزح الجميع، بل الأولى هو هذا لكونه في الحقيقة تصرّفا في خبر واحد و هو صحيحة أبي خديجة، لما عرفت من أنّ الدالّ على نزح الجميع خبران أحدهما لقصور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لمعارضة ما سبق من المعتبرة بخلاف الأوّل فإنّه تصرّف في عدّة أخبار معتبرة</w:t>
      </w:r>
      <w:r>
        <w:rPr>
          <w:rFonts w:eastAsia="Amiri" w:cs="Amiri" w:ascii="Amiri" w:hAnsi="Amiri"/>
          <w:color w:val="111111"/>
          <w:sz w:val="28"/>
          <w:szCs w:val="28"/>
          <w:rtl w:val="true"/>
          <w:lang w:bidi="ar-SA"/>
        </w:rPr>
        <w:t xml:space="preserve">. </w:t>
      </w:r>
      <w:bookmarkStart w:id="830" w:name="pg16144_233557"/>
    </w:p>
    <w:p>
      <w:pPr>
        <w:pStyle w:val="Heading6"/>
        <w:numPr>
          <w:ilvl w:val="5"/>
          <w:numId w:val="1"/>
        </w:numPr>
        <w:rPr/>
      </w:pPr>
      <w:bookmarkStart w:id="831" w:name="__RefHeading___Toc1804994_1280447820"/>
      <w:bookmarkStart w:id="832" w:name="_Toc328"/>
      <w:bookmarkEnd w:id="830"/>
      <w:bookmarkEnd w:id="831"/>
      <w:r>
        <w:rPr>
          <w:rtl w:val="true"/>
        </w:rPr>
        <w:t>و رابعها</w:t>
      </w:r>
      <w:r>
        <w:rPr>
          <w:rtl w:val="true"/>
        </w:rPr>
        <w:t xml:space="preserve">: </w:t>
      </w:r>
      <w:r>
        <w:rPr>
          <w:rtl w:val="true"/>
        </w:rPr>
        <w:t>ما عزى إلى ابن الزهرة و تبعه الشهيد في الذكرى من أنّه ينزح الأكثر ممّا يحصل به زوال التغيّر و استيفاء المقدّر،</w:t>
      </w:r>
      <w:bookmarkEnd w:id="832"/>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عزى إلى ابن الزهرة</w:t>
      </w:r>
      <w:r>
        <w:rPr>
          <w:rStyle w:val="FootnoteAnchor"/>
          <w:rtl w:val="true"/>
        </w:rPr>
        <w:footnoteReference w:id="2259"/>
      </w:r>
      <w:r>
        <w:rPr>
          <w:rFonts w:ascii="Amiri" w:hAnsi="Amiri" w:eastAsia="Amiri" w:cs="Amiri"/>
          <w:color w:val="111111"/>
          <w:sz w:val="28"/>
          <w:sz w:val="28"/>
          <w:szCs w:val="28"/>
          <w:rtl w:val="true"/>
          <w:lang w:bidi="ar-SA"/>
        </w:rPr>
        <w:t>و تبعه الشهيد في الذكرى</w:t>
      </w:r>
      <w:r>
        <w:rPr>
          <w:rStyle w:val="FootnoteAnchor"/>
          <w:rtl w:val="true"/>
        </w:rPr>
        <w:footnoteReference w:id="2260"/>
      </w:r>
      <w:r>
        <w:rPr>
          <w:rFonts w:ascii="Amiri" w:hAnsi="Amiri" w:eastAsia="Amiri" w:cs="Amiri"/>
          <w:color w:val="111111"/>
          <w:sz w:val="28"/>
          <w:sz w:val="28"/>
          <w:szCs w:val="28"/>
          <w:rtl w:val="true"/>
          <w:lang w:bidi="ar-SA"/>
        </w:rPr>
        <w:t>من أنّه ينزح الأكثر ممّا يحصل به زوال التغيّر و استيفاء المقدّر،</w:t>
      </w:r>
    </w:p>
    <w:p>
      <w:pPr>
        <w:pStyle w:val="BookText"/>
        <w:rPr/>
      </w:pPr>
      <w:r>
        <w:rPr>
          <w:rFonts w:ascii="Amiri" w:hAnsi="Amiri" w:eastAsia="Amiri" w:cs="Amiri"/>
          <w:color w:val="111111"/>
          <w:sz w:val="28"/>
          <w:sz w:val="28"/>
          <w:szCs w:val="28"/>
          <w:rtl w:val="true"/>
          <w:lang w:bidi="ar-SA"/>
        </w:rPr>
        <w:t>و مستنده الجمع بين أخبار التقدير و أخبار زوال التغيّر، و كأنّ المراد بهذا الجمع ليس معناه المصطلح عليه المستلزم لطرح ظاهر أو ظاهرين بل العمل بالدليلين معا من غير طرح و إسقاط، بناء على ما قدّمنا توجيهه من أنّ الأخذ بأكثر كلّ من الجانبين عمل بأقلّ الجانب الآخر من حيث أنّه مندرج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وقع لما يعترض عليه بما في الحدائق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منافاة بين ما دلّ على نزح مقدار مخصوص مع عدم التغيّر و ما دلّ على نزح ما يزول به التغيّر و إن اتّحدت النجاسة ليحتاج إلى الجمع بين أخبارهما، لتغاير السببين الموجب لتغاير الحكمين</w:t>
      </w:r>
      <w:r>
        <w:rPr>
          <w:rFonts w:eastAsia="Amiri" w:cs="Amiri" w:ascii="Amiri" w:hAnsi="Amiri"/>
          <w:color w:val="111111"/>
          <w:sz w:val="28"/>
          <w:szCs w:val="28"/>
          <w:rtl w:val="true"/>
          <w:lang w:bidi="ar-SA"/>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مراعاة اتّحاد السبب إنّما تعتبر في قاعدة الحمل لا الجمع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شمول أخبار التقدير لجميع أحوال زوال التغيّر حتّى ما لو كان المزيل أقلّ من المقدّر أو بالعكس فلازمه دلالة دليل الأقلّ على كفايته في التطهير، و دلالة دليل الأكثر على خلاف ذلك و هو عين التعارض، فكيف ينفي المنافاة عمّا بينهما، و لو لا ما قدّمنا ذكره من منع تناول أخبار التقدير لحالة التغيّر كان ذلك القول جيّدا متعيّنا للقبول جدّا، و إن كان قد أهمل قائلوه في حكم ما لم يكن للنجاسة المغيّرة تقدير، فمن هنا كان القول الآتي أجود منه لتعرّضه لبيان حكم ما لا تقدير له من اعتبار إزالة التغيّر، و يمكن إرجاع ما ذكر إلى هذا القول فلا يكون حينئذ قولا على حدة</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804996_1280447820"/>
      <w:bookmarkStart w:id="834" w:name="_Toc329"/>
      <w:bookmarkEnd w:id="833"/>
      <w:r>
        <w:rPr>
          <w:rtl w:val="true"/>
        </w:rPr>
        <w:t>و خامسها</w:t>
      </w:r>
      <w:r>
        <w:rPr>
          <w:rtl w:val="true"/>
        </w:rPr>
        <w:t xml:space="preserve">: </w:t>
      </w:r>
      <w:r>
        <w:rPr>
          <w:rtl w:val="true"/>
        </w:rPr>
        <w:t>ما نسب إلى صاحب المعالم و ظاهر جملة من تأخّر من أنّه ينزح أكثر الأمرين ممّا يزول معه التغيّر</w:t>
      </w:r>
      <w:bookmarkEnd w:id="834"/>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صاحب المعالم</w:t>
      </w:r>
      <w:r>
        <w:rPr>
          <w:rStyle w:val="FootnoteAnchor"/>
          <w:rtl w:val="true"/>
        </w:rPr>
        <w:footnoteReference w:id="2262"/>
      </w:r>
      <w:r>
        <w:rPr>
          <w:rFonts w:ascii="Amiri" w:hAnsi="Amiri" w:eastAsia="Amiri" w:cs="Amiri"/>
          <w:color w:val="111111"/>
          <w:sz w:val="28"/>
          <w:sz w:val="28"/>
          <w:szCs w:val="28"/>
          <w:rtl w:val="true"/>
          <w:lang w:bidi="ar-SA"/>
        </w:rPr>
        <w:t>و ظاهر جملة من تأخّر من أنّه ينزح أكثر الأمرين ممّا يزول معه التغيّر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يستوفى به المقدّر إن كان للنجاسة المغيّرة تقدير، و إلاّ اكتفى بزوال التغيّر؛ و استظهره الخوانساري</w:t>
      </w:r>
      <w:r>
        <w:rPr>
          <w:rStyle w:val="FootnoteAnchor"/>
          <w:rtl w:val="true"/>
        </w:rPr>
        <w:footnoteReference w:id="2263"/>
      </w:r>
      <w:r>
        <w:rPr>
          <w:rFonts w:ascii="IRNazanin" w:hAnsi="IRNazanin" w:eastAsia="IRNazanin"/>
          <w:color w:val="111111"/>
          <w:sz w:val="28"/>
          <w:sz w:val="28"/>
          <w:szCs w:val="28"/>
          <w:rtl w:val="true"/>
          <w:lang w:bidi="fa-IR"/>
        </w:rPr>
        <w:t>، و صاحب الحدائق</w:t>
      </w:r>
      <w:r>
        <w:rPr>
          <w:rStyle w:val="FootnoteAnchor"/>
          <w:rtl w:val="true"/>
        </w:rPr>
        <w:footnoteReference w:id="2264"/>
      </w:r>
      <w:r>
        <w:rPr>
          <w:rFonts w:ascii="Amiri" w:hAnsi="Amiri" w:eastAsia="Amiri" w:cs="Amiri"/>
          <w:color w:val="111111"/>
          <w:sz w:val="28"/>
          <w:sz w:val="28"/>
          <w:szCs w:val="28"/>
          <w:rtl w:val="true"/>
          <w:lang w:bidi="ar-SA"/>
        </w:rPr>
        <w:t>، و هذا هو الحقّ الذي لم يكن محيص عن اختياره لو لا ما تقدّم، و عليه اتّضح ضعفه مع حجّته و هو الجمع بين النصوص الدالّة على الاكتفاء بزوال التغيّر و النصوص الموجبة لاستيفاء المقدّر في الحكم الأوّل، و عموم النصوص الأوّلة في الحكم الثاني حيث لا معارض لها فيما لا مقدّر له</w:t>
      </w:r>
      <w:r>
        <w:rPr>
          <w:rFonts w:eastAsia="Amiri" w:cs="Amiri" w:ascii="Amiri" w:hAnsi="Amiri"/>
          <w:color w:val="111111"/>
          <w:sz w:val="28"/>
          <w:szCs w:val="28"/>
          <w:rtl w:val="true"/>
          <w:lang w:bidi="ar-SA"/>
        </w:rPr>
        <w:t xml:space="preserve">. </w:t>
      </w:r>
      <w:bookmarkStart w:id="835" w:name="pg16144_233558"/>
    </w:p>
    <w:p>
      <w:pPr>
        <w:pStyle w:val="Heading6"/>
        <w:numPr>
          <w:ilvl w:val="5"/>
          <w:numId w:val="1"/>
        </w:numPr>
        <w:rPr/>
      </w:pPr>
      <w:bookmarkStart w:id="836" w:name="__RefHeading___Toc1804998_1280447820"/>
      <w:bookmarkStart w:id="837" w:name="_Toc330"/>
      <w:bookmarkEnd w:id="835"/>
      <w:bookmarkEnd w:id="836"/>
      <w:r>
        <w:rPr>
          <w:rtl w:val="true"/>
        </w:rPr>
        <w:t>و سادسها</w:t>
      </w:r>
      <w:r>
        <w:rPr>
          <w:rtl w:val="true"/>
        </w:rPr>
        <w:t xml:space="preserve">: </w:t>
      </w:r>
      <w:r>
        <w:rPr>
          <w:rtl w:val="true"/>
        </w:rPr>
        <w:t>ما عن ابن إدريس ، و المحقّق الشيخ عليّ ، من نزح أكثر الأمرين من المقدّر و مزيل التغيّر إن كان للنجاسة المغيّرة مقدّر و إلاّ فالجميع،</w:t>
      </w:r>
      <w:bookmarkEnd w:id="837"/>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2265"/>
      </w:r>
      <w:r>
        <w:rPr>
          <w:rFonts w:ascii="Amiri" w:hAnsi="Amiri" w:eastAsia="Amiri" w:cs="Amiri"/>
          <w:color w:val="111111"/>
          <w:sz w:val="28"/>
          <w:sz w:val="28"/>
          <w:szCs w:val="28"/>
          <w:rtl w:val="true"/>
          <w:lang w:bidi="ar-SA"/>
        </w:rPr>
        <w:t>، و المحقّق الشيخ عليّ‌</w:t>
      </w:r>
      <w:r>
        <w:rPr>
          <w:rStyle w:val="FootnoteAnchor"/>
          <w:rtl w:val="true"/>
        </w:rPr>
        <w:footnoteReference w:id="2266"/>
      </w:r>
      <w:r>
        <w:rPr>
          <w:rFonts w:ascii="Amiri" w:hAnsi="Amiri" w:eastAsia="Amiri" w:cs="Amiri"/>
          <w:color w:val="111111"/>
          <w:sz w:val="28"/>
          <w:sz w:val="28"/>
          <w:szCs w:val="28"/>
          <w:rtl w:val="true"/>
          <w:lang w:bidi="ar-SA"/>
        </w:rPr>
        <w:t>، من نزح أكثر الأمرين من المقدّر و مزيل التغيّر إن كان للنجاسة المغيّرة مقدّر و إلاّ فالجميع،</w:t>
      </w:r>
    </w:p>
    <w:p>
      <w:pPr>
        <w:pStyle w:val="BookText"/>
        <w:rPr/>
      </w:pPr>
      <w:r>
        <w:rPr>
          <w:rFonts w:ascii="Amiri" w:hAnsi="Amiri" w:eastAsia="Amiri" w:cs="Amiri"/>
          <w:color w:val="111111"/>
          <w:sz w:val="28"/>
          <w:sz w:val="28"/>
          <w:szCs w:val="28"/>
          <w:rtl w:val="true"/>
          <w:lang w:bidi="ar-SA"/>
        </w:rPr>
        <w:t>فإن تعذّر فالتراوح، و عن ثاني الشهيدين في الروض</w:t>
      </w:r>
      <w:r>
        <w:rPr>
          <w:rStyle w:val="FootnoteAnchor"/>
          <w:rtl w:val="true"/>
        </w:rPr>
        <w:footnoteReference w:id="2267"/>
      </w:r>
      <w:r>
        <w:rPr>
          <w:rFonts w:ascii="Amiri" w:hAnsi="Amiri" w:eastAsia="Amiri" w:cs="Amiri"/>
          <w:color w:val="111111"/>
          <w:sz w:val="28"/>
          <w:sz w:val="28"/>
          <w:szCs w:val="28"/>
          <w:rtl w:val="true"/>
          <w:lang w:bidi="ar-SA"/>
        </w:rPr>
        <w:t>أنّه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حجّته على الأوّل ما تقدّم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Style w:val="FootnoteAnchor"/>
          <w:rtl w:val="true"/>
        </w:rPr>
        <w:footnoteReference w:id="2268"/>
      </w:r>
      <w:r>
        <w:rPr>
          <w:rFonts w:ascii="Amiri" w:hAnsi="Amiri" w:eastAsia="Amiri" w:cs="Amiri"/>
          <w:color w:val="111111"/>
          <w:sz w:val="28"/>
          <w:sz w:val="28"/>
          <w:szCs w:val="28"/>
          <w:rtl w:val="true"/>
          <w:lang w:bidi="ar-SA"/>
        </w:rPr>
        <w:t>و على الثاني و الثالث توهّم كونه ممّا لا نصّ فيه، و مذهبهم أنّ ما لا نصّ فيه يجب فيه نزح الجميع، و بدليّة التراوح مع تعذّره ففي صورة التغيّر بتلك النجاسة بالطريق الأولى، و يظهر الجواب عن الكلّ بملاحظة ما سبق</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805000_1280447820"/>
      <w:bookmarkStart w:id="839" w:name="_Toc331"/>
      <w:bookmarkEnd w:id="838"/>
      <w:r>
        <w:rPr>
          <w:rtl w:val="true"/>
        </w:rPr>
        <w:t>و سابعها</w:t>
      </w:r>
      <w:r>
        <w:rPr>
          <w:rtl w:val="true"/>
        </w:rPr>
        <w:t xml:space="preserve">: </w:t>
      </w:r>
      <w:r>
        <w:rPr>
          <w:rtl w:val="true"/>
        </w:rPr>
        <w:t>ما صرّح به الشهيد في الدروس من وجوب نزح الجميع،</w:t>
      </w:r>
      <w:bookmarkEnd w:id="839"/>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الشهيد في الدروس</w:t>
      </w:r>
      <w:r>
        <w:rPr>
          <w:rStyle w:val="FootnoteAnchor"/>
          <w:rtl w:val="true"/>
        </w:rPr>
        <w:footnoteReference w:id="2269"/>
      </w:r>
      <w:r>
        <w:rPr>
          <w:rFonts w:ascii="Amiri" w:hAnsi="Amiri" w:eastAsia="Amiri" w:cs="Amiri"/>
          <w:color w:val="111111"/>
          <w:sz w:val="28"/>
          <w:sz w:val="28"/>
          <w:szCs w:val="28"/>
          <w:rtl w:val="true"/>
          <w:lang w:bidi="ar-SA"/>
        </w:rPr>
        <w:t>من وجوب نزح الجميع،</w:t>
      </w:r>
    </w:p>
    <w:p>
      <w:pPr>
        <w:pStyle w:val="BookText"/>
        <w:rPr/>
      </w:pPr>
      <w:r>
        <w:rPr>
          <w:rFonts w:ascii="Amiri" w:hAnsi="Amiri" w:eastAsia="Amiri" w:cs="Amiri"/>
          <w:color w:val="111111"/>
          <w:sz w:val="28"/>
          <w:sz w:val="28"/>
          <w:szCs w:val="28"/>
          <w:rtl w:val="true"/>
          <w:lang w:bidi="ar-SA"/>
        </w:rPr>
        <w:t>فإن غلب الماء اعتبر أكثر الأمرين من مزيل التغيّر و المقدّر، و استظهره الخوانساري</w:t>
      </w:r>
      <w:r>
        <w:rPr>
          <w:rStyle w:val="FootnoteAnchor"/>
          <w:rtl w:val="true"/>
        </w:rPr>
        <w:footnoteReference w:id="2270"/>
      </w:r>
      <w:r>
        <w:rPr>
          <w:rFonts w:ascii="Amiri" w:hAnsi="Amiri" w:eastAsia="Amiri" w:cs="Amiri"/>
          <w:color w:val="111111"/>
          <w:sz w:val="28"/>
          <w:sz w:val="28"/>
          <w:szCs w:val="28"/>
          <w:rtl w:val="true"/>
          <w:lang w:bidi="ar-SA"/>
        </w:rPr>
        <w:t>من المعتبر، ثمّ احتمل في كلامه كون مراده في صورة تعذّر الجميع وجوب نزح ما يزيل المتغيّر ثمّ استيفاء المقدّر،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القول أيضا غير صريح فيما إذا تعذّر نزح الجميع و لم يكن له مقدّر، لكن الظاهر الاكتفاء بزوال التغيّر</w:t>
      </w:r>
      <w:r>
        <w:rPr>
          <w:rFonts w:eastAsia="Amiri" w:cs="Amiri" w:ascii="Amiri" w:hAnsi="Amiri"/>
          <w:color w:val="111111"/>
          <w:sz w:val="28"/>
          <w:szCs w:val="28"/>
          <w:rtl w:val="true"/>
          <w:lang w:bidi="ar-SA"/>
        </w:rPr>
        <w:t>»</w:t>
      </w:r>
      <w:r>
        <w:rPr>
          <w:rStyle w:val="FootnoteAnchor"/>
          <w:rtl w:val="true"/>
        </w:rPr>
        <w:footnoteReference w:id="22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الجمع بين ما دلّ على وجوب نزح الجميع مع ما دلّ على التقدير، و ما دلّ على اعتبار زوال التغيّر، و بملاحظة ما سبق في تقريب القول الأوّل و تزييف الأقوال الاخر يظهر الجواب عنه فلاحظ و تأمّل</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805002_1280447820"/>
      <w:bookmarkStart w:id="841" w:name="_Toc332"/>
      <w:bookmarkEnd w:id="840"/>
      <w:r>
        <w:rPr>
          <w:rtl w:val="true"/>
        </w:rPr>
        <w:t>و ثامنها</w:t>
      </w:r>
      <w:r>
        <w:rPr>
          <w:rtl w:val="true"/>
        </w:rPr>
        <w:t xml:space="preserve">: </w:t>
      </w:r>
      <w:r>
        <w:rPr>
          <w:rtl w:val="true"/>
        </w:rPr>
        <w:t xml:space="preserve">ما نسبه الخوانساري إلى بعض الأصحاب، و قوّاه بعض مشايخنا </w:t>
      </w:r>
      <w:r>
        <w:rPr>
          <w:rtl w:val="true"/>
        </w:rPr>
        <w:t xml:space="preserve">- </w:t>
      </w:r>
      <w:r>
        <w:rPr>
          <w:rtl w:val="true"/>
        </w:rPr>
        <w:t xml:space="preserve">دام ظلّه </w:t>
      </w:r>
      <w:r>
        <w:rPr>
          <w:rtl w:val="true"/>
        </w:rPr>
        <w:t xml:space="preserve">- </w:t>
      </w:r>
      <w:r>
        <w:rPr>
          <w:rtl w:val="true"/>
        </w:rPr>
        <w:t>من نزح ما يزيل التغيّر أوّلا ثمّ المقدّر بعده إن كان لتلك النجاسة مقدّر،</w:t>
      </w:r>
      <w:bookmarkEnd w:id="841"/>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الخوانساري</w:t>
      </w:r>
      <w:r>
        <w:rPr>
          <w:rStyle w:val="FootnoteAnchor"/>
          <w:rtl w:val="true"/>
        </w:rPr>
        <w:footnoteReference w:id="2272"/>
      </w:r>
      <w:r>
        <w:rPr>
          <w:rFonts w:ascii="Amiri" w:hAnsi="Amiri" w:eastAsia="Amiri" w:cs="Amiri"/>
          <w:color w:val="111111"/>
          <w:sz w:val="28"/>
          <w:sz w:val="28"/>
          <w:szCs w:val="28"/>
          <w:rtl w:val="true"/>
          <w:lang w:bidi="ar-SA"/>
        </w:rPr>
        <w:t xml:space="preserve">إلى بعض الأصحاب، و قوّاه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من نزح ما يزيل التغيّر أوّلا ثمّ المقدّر بعده إن كان لتلك النجاسة مقدّر،</w:t>
      </w:r>
    </w:p>
    <w:p>
      <w:pPr>
        <w:pStyle w:val="BookText"/>
        <w:rPr/>
      </w:pPr>
      <w:r>
        <w:rPr>
          <w:rFonts w:ascii="Amiri" w:hAnsi="Amiri" w:eastAsia="Amiri" w:cs="Amiri"/>
          <w:color w:val="111111"/>
          <w:sz w:val="28"/>
          <w:sz w:val="28"/>
          <w:szCs w:val="28"/>
          <w:rtl w:val="true"/>
          <w:lang w:bidi="ar-SA"/>
        </w:rPr>
        <w:t>و إلاّ فالجميع، و إن تعذّر فالتراوح</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النجاسة الّتي لها مقدّر موجب لنزحه بمجرّده، فإذا انضمّ إليه التغيّر الموجب لنزح ما يزول به التغيّر صارا سببين، و لا منافاة بينهما فيعمل كلّ منهما عمله، و تقديم مزيل التغيّر لكون الجمع بين الأمرين لا يتمّ إلاّ به، و أمّا ما لا مقدّر له </w:t>
      </w:r>
      <w:bookmarkStart w:id="842" w:name="pg16144_233559"/>
    </w:p>
    <w:p>
      <w:pPr>
        <w:pStyle w:val="BookText"/>
        <w:rPr/>
      </w:pPr>
      <w:bookmarkEnd w:id="842"/>
      <w:r>
        <w:rPr>
          <w:rFonts w:ascii="Amiri" w:hAnsi="Amiri" w:eastAsia="Amiri" w:cs="Amiri"/>
          <w:color w:val="111111"/>
          <w:sz w:val="28"/>
          <w:sz w:val="28"/>
          <w:szCs w:val="28"/>
          <w:rtl w:val="true"/>
          <w:lang w:bidi="ar-SA"/>
        </w:rPr>
        <w:t>فلوجوب نزح الجميع فيما لا نصّ فيه و بدليّة التراوح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سببيّة مجرّد الوقوع إذا صادفه التغيّر، لما عرفت من عدم تناول النصوص الدالّة على سببيّته إلاّ حال التغيّر، فانحصر السبب في التغيّر الّذي يكتفى فيه بزواله عملا بالنصوص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الاستصحاب المقتضي لاستيفاء المقدّر،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لقضى بوجوب نزح الجميع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ما زاد على زوال التغيّر ممّا ينفيه وروده غاية في النصوص الواردة فيه، فإنّ ورودها مورد التعليم يقضي باعتبار المفهوم فيها، كيف و لو وجب نزح المقدّر بعد إزالة التغيّر لوجب التنبيه عليه و المفروض خلافه، و بالجملة ظاهر نصوص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تأمّل فيها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شيء بعد زوال التغيّر و معه لا معنى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تقدير نزح الجميع أو بدله فيظهر ممّا مرّ، هذا كلّه فيما لو توقّف زوال التغيّر على النزح، و أمّا لو زال من قبل نفسه أو بعلاج فمقتضى ما حقّقناه في بحث تطهير الكرّ المتغيّر و غيره عدم طهرها به كما صرّح به غير واحد من أصحابنا، بل في كلام جماعة نفي الإشكال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يقع فيما يطهّره حينئذ،</w:t>
      </w:r>
    </w:p>
    <w:p>
      <w:pPr>
        <w:pStyle w:val="Heading6"/>
        <w:numPr>
          <w:ilvl w:val="5"/>
          <w:numId w:val="1"/>
        </w:numPr>
        <w:rPr/>
      </w:pPr>
      <w:bookmarkStart w:id="843" w:name="__RefHeading___Toc1805004_1280447820"/>
      <w:bookmarkStart w:id="844" w:name="_Toc333"/>
      <w:bookmarkEnd w:id="843"/>
      <w:r>
        <w:rPr>
          <w:rtl w:val="true"/>
        </w:rPr>
        <w:t>و ينبغي النظر فيه تارة على القول المختار من عدم انفعال البئر بمجرّد الملاقاة، و اخرى على القول الآخر</w:t>
      </w:r>
      <w:r>
        <w:rPr>
          <w:rtl w:val="true"/>
        </w:rPr>
        <w:t>.</w:t>
      </w:r>
      <w:bookmarkEnd w:id="844"/>
    </w:p>
    <w:p>
      <w:pPr>
        <w:pStyle w:val="Heading6"/>
        <w:numPr>
          <w:ilvl w:val="5"/>
          <w:numId w:val="1"/>
        </w:numPr>
        <w:rPr/>
      </w:pPr>
      <w:bookmarkStart w:id="845" w:name="__RefHeading___Toc1805006_1280447820"/>
      <w:bookmarkStart w:id="846" w:name="_Toc334"/>
      <w:bookmarkEnd w:id="845"/>
      <w:r>
        <w:rPr>
          <w:rtl w:val="true"/>
        </w:rPr>
        <w:t xml:space="preserve">أمّا الجهة الاولى </w:t>
      </w:r>
      <w:r>
        <w:rPr>
          <w:rtl w:val="true"/>
        </w:rPr>
        <w:t>[</w:t>
      </w:r>
      <w:r>
        <w:rPr>
          <w:rtl w:val="true"/>
        </w:rPr>
        <w:t>أي عدم انفعال البئر بمجرّد الملاقاة</w:t>
      </w:r>
      <w:r>
        <w:rPr>
          <w:rtl w:val="true"/>
        </w:rPr>
        <w:t>]:</w:t>
      </w:r>
      <w:bookmarkEnd w:id="846"/>
    </w:p>
    <w:p>
      <w:pPr>
        <w:pStyle w:val="BookText"/>
        <w:rPr/>
      </w:pPr>
      <w:r>
        <w:rPr>
          <w:rFonts w:ascii="Amiri" w:hAnsi="Amiri" w:eastAsia="Amiri" w:cs="Amiri"/>
          <w:color w:val="111111"/>
          <w:sz w:val="28"/>
          <w:sz w:val="28"/>
          <w:szCs w:val="28"/>
          <w:rtl w:val="true"/>
          <w:lang w:bidi="ar-SA"/>
        </w:rPr>
        <w:t>فالظاهر أنّه لا فرق في طريق التطهير حينئذ بينها و بين سائر المياه المتنجّسة، فيجري فيها جميع ما تقدّم من الطرق المطهّرة من إلقاء الكرّ، و إجراء الجاري، و إنزال الغيث عليها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ضابطه اعتبار وجود الماء المعتصم فيها منضمّا إلى مائها مراعيا للشرائط المتقدّمة في تطهير القليل، إحرازا لموضوع الملازمة المتقدّمة المجمع عليها، و من جملة ذلك ظاهرا تجدّد الماء من المادّة، بناء على ما تقرّر عندنا من عدم انفعال مائها كائنا ما كان في غير صورة التغيّر، فإذا تجدّد الماء من المادّة و اتّحد مع الباقي صار موضوعا لتلك الملازمة، ضرورة أنّ المتجدّد غير قابل للنجاسة حينئذ بمجرّد ملاقاة </w:t>
      </w:r>
      <w:bookmarkStart w:id="847" w:name="pg16144_233560"/>
    </w:p>
    <w:p>
      <w:pPr>
        <w:pStyle w:val="BookText"/>
        <w:rPr/>
      </w:pPr>
      <w:bookmarkEnd w:id="847"/>
      <w:r>
        <w:rPr>
          <w:rFonts w:ascii="Amiri" w:hAnsi="Amiri" w:eastAsia="Amiri" w:cs="Amiri"/>
          <w:color w:val="111111"/>
          <w:sz w:val="28"/>
          <w:sz w:val="28"/>
          <w:szCs w:val="28"/>
          <w:rtl w:val="true"/>
          <w:lang w:bidi="ar-SA"/>
        </w:rPr>
        <w:t>الباقي المتنجّس، فلو بقي ذلك على نجاسته بعد حصول الاتّحاد بينه و بين المعتصم لزم تبعّض الماء الواحد في الطهارة و النجاسة و هو منفي بحكم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مسمّى النزح على نحو يستتبع تجدّد شيء من ماء المادّة و امتزاجه مع الباقي لو توقّف تجدّده على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يستدلّ به على هذا المطلب نفس الروايات الدالّة على طهرها بالنزح المزيل لتغيّرها، نظرا إلى أنّ الطهر لا يحصل إلاّ بالدلو الأخير المستتبع للزوال، لقيام المقتضي لبقاء النجاسة قبله حتّى بالقياس إلى ما تجدّد بالدلاء السابقة لو فرض تغيّره بممازجة المتغيّر، و من البيّن أنّ الطهر حينئذ لا يستند إلاّ إلى الجزء الأخير المتجدّد بنزح ذلك الدلو، و ليس ذلك إلاّ لما ذكرنا من كفاية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أمكن الاستدلال بتلك الروايات على الملازمة المشار إليها كما أشرنا إليه أيضا في بعض ما سبق، و عليه يمكن الاحتجاج بنفس تلك الروايات على المختار من عدم انفعال ماء البئر بمجرّد ملاقاة النجس أو المتنجّس و 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ذيل البحث عن تلك المسألة من المناقشة فيه باحتمال كون النزح مطهّرا تعبّديّا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النزح في الروايات مقيّدا بزوال التغيّر الّذي لا يتأتّى إلاّ بمقارنة النزح تجدّد الماء، فالماء المتجدّد مع عدم انفعاله بملاقاة المتنجّس له مدخل في التطهير من باب العلّيّة التامّة أو جزء العلّة و لو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وجود الاستصحاب في مثل مسألتنا لا يبعد القول بكون الأحوط اعتبار التقدير هنا، و هو اعتبار نزح المقدار الّذي كان يزول معه التغيّر على فرض ثبوته و عدم سبق زواله بنفسه أو بعلاج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تعذّر العلم بذلك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اعتبار نزح الجميع، لأنّ العلم بنزح المقدار المذكور لا يحصل إلاّ بذلك</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1805008_1280447820"/>
      <w:bookmarkStart w:id="849" w:name="_Toc335"/>
      <w:bookmarkEnd w:id="848"/>
      <w:r>
        <w:rPr>
          <w:rtl w:val="true"/>
        </w:rPr>
        <w:t xml:space="preserve">و أمّا الجهة الثانية </w:t>
      </w:r>
      <w:r>
        <w:rPr>
          <w:rtl w:val="true"/>
        </w:rPr>
        <w:t>[</w:t>
      </w:r>
      <w:r>
        <w:rPr>
          <w:rtl w:val="true"/>
        </w:rPr>
        <w:t>أي في الانفعال بمجرد الملاقاة</w:t>
      </w:r>
      <w:r>
        <w:rPr>
          <w:rtl w:val="true"/>
        </w:rPr>
        <w:t>]:</w:t>
      </w:r>
      <w:bookmarkEnd w:id="849"/>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عدم الفرق بينها و بين الجهة الاولى بملاحظة ما تقدّم ترجيحه من أنّ تطهير البئر في صورة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بانفعالها في غير صورة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بالنزح المزيل للتغيّر أيضا، عملا بالنصوص المتقدّمة الّتي لا يعارضها نصوص </w:t>
      </w:r>
    </w:p>
    <w:p>
      <w:pPr>
        <w:pStyle w:val="BookText"/>
        <w:rPr/>
      </w:pPr>
      <w:r>
        <w:rPr>
          <w:rFonts w:ascii="Amiri" w:hAnsi="Amiri" w:eastAsia="Amiri" w:cs="Amiri"/>
          <w:color w:val="111111"/>
          <w:sz w:val="28"/>
          <w:sz w:val="28"/>
          <w:szCs w:val="28"/>
          <w:rtl w:val="true"/>
          <w:lang w:bidi="ar-SA"/>
        </w:rPr>
        <w:t>المقدّرات، فيجري في تلك الجهة حينئذ جميع ما تقدّم في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حينئذ كفاية نزح المسمّى المستتبع للتجدّد من المادّة، و الأحوط نزح المقدار الّذي كان يزول معه التغيّر إن أمكن العلم به و إلاّ اعتبر نزح الجميع، لكنّ المنقول في ذلك عن الأصحاب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في التذكرة</w:t>
      </w:r>
      <w:r>
        <w:rPr>
          <w:rStyle w:val="FootnoteAnchor"/>
          <w:rtl w:val="true"/>
        </w:rPr>
        <w:footnoteReference w:id="2274"/>
      </w:r>
      <w:r>
        <w:rPr>
          <w:rFonts w:ascii="Amiri" w:hAnsi="Amiri" w:eastAsia="Amiri" w:cs="Amiri"/>
          <w:color w:val="111111"/>
          <w:sz w:val="28"/>
          <w:sz w:val="28"/>
          <w:szCs w:val="28"/>
          <w:rtl w:val="true"/>
          <w:lang w:bidi="ar-SA"/>
        </w:rPr>
        <w:t>من إطلاق القول بنزح الجميع، و عن ولده فخر المحقّقين</w:t>
      </w:r>
      <w:r>
        <w:rPr>
          <w:rStyle w:val="FootnoteAnchor"/>
          <w:rtl w:val="true"/>
        </w:rPr>
        <w:footnoteReference w:id="2275"/>
      </w:r>
      <w:r>
        <w:rPr>
          <w:rFonts w:ascii="Amiri" w:hAnsi="Amiri" w:eastAsia="Amiri" w:cs="Amiri"/>
          <w:color w:val="111111"/>
          <w:sz w:val="28"/>
          <w:sz w:val="28"/>
          <w:szCs w:val="28"/>
          <w:rtl w:val="true"/>
          <w:lang w:bidi="ar-SA"/>
        </w:rPr>
        <w:t>أنّه صحّحه، و عن الذكرى</w:t>
      </w:r>
      <w:r>
        <w:rPr>
          <w:rStyle w:val="FootnoteAnchor"/>
          <w:rtl w:val="true"/>
        </w:rPr>
        <w:footnoteReference w:id="2276"/>
      </w:r>
      <w:r>
        <w:rPr>
          <w:rFonts w:ascii="Amiri" w:hAnsi="Amiri" w:eastAsia="Amiri" w:cs="Amiri"/>
          <w:color w:val="111111"/>
          <w:sz w:val="28"/>
          <w:sz w:val="28"/>
          <w:szCs w:val="28"/>
          <w:rtl w:val="true"/>
          <w:lang w:bidi="ar-SA"/>
        </w:rPr>
        <w:t>أنّه قوّاه، و عن بعض المتأخّرين</w:t>
      </w:r>
      <w:r>
        <w:rPr>
          <w:rStyle w:val="FootnoteAnchor"/>
          <w:rtl w:val="true"/>
        </w:rPr>
        <w:footnoteReference w:id="2277"/>
      </w:r>
      <w:r>
        <w:rPr>
          <w:rFonts w:ascii="Amiri" w:hAnsi="Amiri" w:eastAsia="Amiri" w:cs="Amiri"/>
          <w:color w:val="111111"/>
          <w:sz w:val="28"/>
          <w:sz w:val="28"/>
          <w:szCs w:val="28"/>
          <w:rtl w:val="true"/>
          <w:lang w:bidi="ar-SA"/>
        </w:rPr>
        <w:t>أيضا موافقتهم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ثاني الشهيدين</w:t>
      </w:r>
      <w:r>
        <w:rPr>
          <w:rStyle w:val="FootnoteAnchor"/>
          <w:rtl w:val="true"/>
        </w:rPr>
        <w:footnoteReference w:id="2278"/>
      </w:r>
      <w:r>
        <w:rPr>
          <w:rFonts w:ascii="IRNazanin" w:hAnsi="IRNazanin" w:eastAsia="IRNazanin"/>
          <w:color w:val="111111"/>
          <w:sz w:val="28"/>
          <w:sz w:val="28"/>
          <w:szCs w:val="28"/>
          <w:rtl w:val="true"/>
          <w:lang w:bidi="fa-IR"/>
        </w:rPr>
        <w:t>، و صاحب المعالم</w:t>
      </w:r>
      <w:r>
        <w:rPr>
          <w:rStyle w:val="FootnoteAnchor"/>
          <w:rtl w:val="true"/>
        </w:rPr>
        <w:footnoteReference w:id="2279"/>
      </w:r>
      <w:r>
        <w:rPr>
          <w:rFonts w:ascii="Amiri" w:hAnsi="Amiri" w:eastAsia="Amiri" w:cs="Amiri"/>
          <w:color w:val="111111"/>
          <w:sz w:val="28"/>
          <w:sz w:val="28"/>
          <w:szCs w:val="28"/>
          <w:rtl w:val="true"/>
          <w:lang w:bidi="ar-SA"/>
        </w:rPr>
        <w:t>و ظاهر البيان</w:t>
      </w:r>
      <w:r>
        <w:rPr>
          <w:rStyle w:val="FootnoteAnchor"/>
          <w:rtl w:val="true"/>
        </w:rPr>
        <w:footnoteReference w:id="2280"/>
      </w:r>
      <w:r>
        <w:rPr>
          <w:rFonts w:ascii="Amiri" w:hAnsi="Amiri" w:eastAsia="Amiri" w:cs="Amiri"/>
          <w:color w:val="111111"/>
          <w:sz w:val="28"/>
          <w:sz w:val="28"/>
          <w:szCs w:val="28"/>
          <w:rtl w:val="true"/>
          <w:lang w:bidi="ar-SA"/>
        </w:rPr>
        <w:t>من الاكتفاء بمزيل التغيّر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الأوّلين الاحتجاج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محكوم بنجاسته و قد تعذّر ضابط تطهّره، فيتوقّف الحكم بالطهارة على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إطلاق دعوى التعذّر، فإنّه يمكن في كثير من الصور أن يعلم المقدار الّذي يزول معه التغيّر تقريبا، نعم لو فرض عدم العلم في بعض الصور توقّف الحكم بالطهارة حينئذ على نزح الجميع، إذ لا سبيل إلى العلم بنزح القدر المطهّر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على القول الثاني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اكتفى بنزح ذلك المقدّر من الماء للتطهير مع وجود التغيّر فلئن يكتفى به مع ذهابه طريق الأولويّة، و الأقرب هو ما ذكرنا و إن كان الأحوط هو التفصيل كما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يطهّر البئر حينئذ على هذا القول بسائر المطهّرات الجارية في سائر المياه أو لا تطهّر إلاّ بالنزح؟</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فيه خلافا و إن لم يصرّح به هنا بالخصوص، بناء على كونه من أفراد </w:t>
      </w:r>
    </w:p>
    <w:p>
      <w:pPr>
        <w:pStyle w:val="BookText"/>
        <w:rPr/>
      </w:pPr>
      <w:r>
        <w:rPr>
          <w:rFonts w:ascii="Amiri" w:hAnsi="Amiri" w:eastAsia="Amiri" w:cs="Amiri"/>
          <w:color w:val="111111"/>
          <w:sz w:val="28"/>
          <w:sz w:val="28"/>
          <w:szCs w:val="28"/>
          <w:rtl w:val="true"/>
          <w:lang w:bidi="ar-SA"/>
        </w:rPr>
        <w:t>العنوان الّذي حكي الخلاف فيه على القول بالنجاسة المتوقّف رفعها على نزح المقدّرات الواردة في الشريعة من قيام سائر الطرق المطهّرة للماء مقام نزح المقدّر هنا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أنّهم صرّحوا بعدم انحصار طريق تطهير البئر حيث حكم بنجاسته في النزح، بل هو طريق يختصّ به، و هو يشارك غيره من المياه في الطهارة بوصول الجاري إليه أو وقوع الغيث عليه أو إلقاء الكرّ على ما مرّ تفصيله، و هو ظاهر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سبق إليها نهر من الماء الجاري و صارت متّصلة فالأولى على التخريج الحكم بالطهارة، لأنّ المتّصل بالجاري كأحد أجزائه فخرج عنه حكم البئر</w:t>
      </w:r>
      <w:r>
        <w:rPr>
          <w:rFonts w:eastAsia="Amiri" w:cs="Amiri" w:ascii="Amiri" w:hAnsi="Amiri"/>
          <w:color w:val="111111"/>
          <w:sz w:val="28"/>
          <w:szCs w:val="28"/>
          <w:rtl w:val="true"/>
          <w:lang w:bidi="ar-SA"/>
        </w:rPr>
        <w:t>»</w:t>
      </w:r>
      <w:r>
        <w:rPr>
          <w:rStyle w:val="FootnoteAnchor"/>
          <w:rtl w:val="true"/>
        </w:rPr>
        <w:footnoteReference w:id="2281"/>
      </w:r>
      <w:r>
        <w:rPr>
          <w:rFonts w:ascii="Amiri" w:hAnsi="Amiri" w:eastAsia="Amiri" w:cs="Amiri"/>
          <w:color w:val="111111"/>
          <w:sz w:val="28"/>
          <w:sz w:val="28"/>
          <w:szCs w:val="28"/>
          <w:rtl w:val="true"/>
          <w:lang w:bidi="ar-SA"/>
        </w:rPr>
        <w:t>، و يوافقه عبارته المنقولة عن القواعد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اتّصلت بالنهر الجاري طهرت</w:t>
      </w:r>
      <w:r>
        <w:rPr>
          <w:rFonts w:eastAsia="Amiri" w:cs="Amiri" w:ascii="Amiri" w:hAnsi="Amiri"/>
          <w:color w:val="111111"/>
          <w:sz w:val="28"/>
          <w:szCs w:val="28"/>
          <w:rtl w:val="true"/>
          <w:lang w:bidi="ar-SA"/>
        </w:rPr>
        <w:t>»</w:t>
      </w:r>
      <w:r>
        <w:rPr>
          <w:rStyle w:val="FootnoteAnchor"/>
          <w:rtl w:val="true"/>
        </w:rPr>
        <w:footnoteReference w:id="2282"/>
      </w:r>
      <w:r>
        <w:rPr>
          <w:rFonts w:ascii="Amiri" w:hAnsi="Amiri" w:eastAsia="Amiri" w:cs="Amiri"/>
          <w:color w:val="111111"/>
          <w:sz w:val="28"/>
          <w:sz w:val="28"/>
          <w:szCs w:val="28"/>
          <w:rtl w:val="true"/>
          <w:lang w:bidi="ar-SA"/>
        </w:rPr>
        <w:t>،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تشارك غيرها في المطهّر فكذلك قد يشاركها غيرها في التطهير بالنزح كالغدير النابع على ما هو ظاهر صحيحة ابن بزيع الشاملة لكلّ ذي مادّة، و أفتى به الشيخان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المعتبر انحصار طريق تطهيرها في النزح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أجرى إليها الماء المتّصل بالجاري لم تطهر، لأنّ الحكم متعلّق بالنزح و لم يحصل</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 و وافقه عليه المحقّق الخوانساري محتجّا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التطهير أمر شرعي لا بدّ له من دليل و لا دليل ظاهرا على ما عدا النزح فيستصحب حكم النجاسة</w:t>
      </w:r>
      <w:r>
        <w:rPr>
          <w:rFonts w:eastAsia="Amiri" w:cs="Amiri" w:ascii="Amiri" w:hAnsi="Amiri"/>
          <w:color w:val="111111"/>
          <w:sz w:val="28"/>
          <w:szCs w:val="28"/>
          <w:rtl w:val="true"/>
          <w:lang w:bidi="ar-SA"/>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الشهيد في الدروس بعد ما وافق الأوّلين في القول بالمشاركة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ينجّس ماء البئر بالتغيّر و يطهّر بمطهّر غيره و بالنزح</w:t>
      </w:r>
      <w:r>
        <w:rPr>
          <w:rFonts w:eastAsia="Amiri" w:cs="Amiri" w:ascii="Amiri" w:hAnsi="Amiri"/>
          <w:color w:val="111111"/>
          <w:sz w:val="28"/>
          <w:szCs w:val="28"/>
          <w:rtl w:val="true"/>
          <w:lang w:bidi="ar-SA"/>
        </w:rPr>
        <w:t>» -</w:t>
      </w:r>
      <w:r>
        <w:rPr>
          <w:rStyle w:val="FootnoteAnchor"/>
          <w:rtl w:val="true"/>
        </w:rPr>
        <w:footnoteReference w:id="2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نجاسته بالملاقاة أيضا و طهره بما مرّ و ينزح كذا و كذا</w:t>
      </w:r>
      <w:r>
        <w:rPr>
          <w:rFonts w:eastAsia="Amiri" w:cs="Amiri" w:ascii="Amiri" w:hAnsi="Amiri"/>
          <w:color w:val="111111"/>
          <w:sz w:val="28"/>
          <w:szCs w:val="28"/>
          <w:rtl w:val="true"/>
          <w:lang w:bidi="ar-SA"/>
        </w:rPr>
        <w:t>»</w:t>
      </w:r>
      <w:r>
        <w:rPr>
          <w:rStyle w:val="FootnoteAnchor"/>
          <w:rtl w:val="true"/>
        </w:rPr>
        <w:footnoteReference w:id="2286"/>
      </w:r>
      <w:r>
        <w:rPr>
          <w:rFonts w:ascii="Amiri" w:hAnsi="Amiri" w:eastAsia="Amiri" w:cs="Amiri"/>
          <w:color w:val="111111"/>
          <w:sz w:val="28"/>
          <w:sz w:val="28"/>
          <w:szCs w:val="28"/>
          <w:rtl w:val="true"/>
          <w:lang w:bidi="ar-SA"/>
        </w:rPr>
        <w:t>فذكر المقدّرات إلى تفصيل في المسألة،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اتّصلت بالجاري طهرت، و كذا بالكثير مع الامتزاج، و أمّا لو تسنّما عليها من أعلى فالأولى عدم التطهير، لعدم الاتّحاد في المسمّى</w:t>
      </w:r>
      <w:r>
        <w:rPr>
          <w:rFonts w:eastAsia="Amiri" w:cs="Amiri" w:ascii="Amiri" w:hAnsi="Amiri"/>
          <w:color w:val="111111"/>
          <w:sz w:val="28"/>
          <w:szCs w:val="28"/>
          <w:rtl w:val="true"/>
          <w:lang w:bidi="ar-SA"/>
        </w:rPr>
        <w:t>»</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يوافقه عبارته في الذكرى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امتزاجه بالجاري مطهّر، لأنّه أقوى من جريان النزح باعتبار دخول ما ينافي اسمه، و كذا لو اتّصل بالكثير، أمّا لو وردا من فوق عليها فالأقوى أنّه لا يكفي، لعدم الاتّحاد في المسمّى</w:t>
      </w:r>
      <w:r>
        <w:rPr>
          <w:rFonts w:eastAsia="Amiri" w:cs="Amiri" w:ascii="Amiri" w:hAnsi="Amiri"/>
          <w:color w:val="111111"/>
          <w:sz w:val="28"/>
          <w:szCs w:val="28"/>
          <w:rtl w:val="true"/>
          <w:lang w:bidi="ar-SA"/>
        </w:rPr>
        <w:t>»</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له في بحث الواقف القليل من الدروس كلام ربّما يتوهّم كونه مدافعا للعبارة المذكورة،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اتّصل الواقف بالجاري اتّحدا مع مساواة سطحيهما، أو كون الجاري أعلى لا العكس</w:t>
      </w:r>
      <w:r>
        <w:rPr>
          <w:rFonts w:eastAsia="Amiri" w:cs="Amiri" w:ascii="Amiri" w:hAnsi="Amiri"/>
          <w:color w:val="111111"/>
          <w:sz w:val="28"/>
          <w:szCs w:val="28"/>
          <w:rtl w:val="true"/>
          <w:lang w:bidi="ar-SA"/>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دفع توهّم المدافعة بإبداء الفرق بين المقامين، حيث إنّ المعتبر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الرفع عن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الماءين واحدا بأن يخرج المجموع عن مسمّى البئر ليزول عنه الحكم المخصوص بها و هو النزح، و لا ريب أنّه لا يكفي فيه مجرّد الجريان من فوق ما دام مسمّى البئر باقيا، و المقصود في المقام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الدفع عن الواقف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الاتّصال بالمعتصم، لقيام الدلالة على كفايته في اتّحادهما في الحكم، كما هو مذهب من يقول في الكرّ الغير المتساوي السطوح بتقوّي الأسفل بالأعلى دون العكس، فالمثبت هنا إنّما هو الاتّحاد في الحكم و المنفيّ في الأوّل هو الاتّحاد في الاسم، و لذا صدر العبارة مقيّدة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إذا تأمّلت في عبارة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Style w:val="FootnoteAnchor"/>
          <w:rtl w:val="true"/>
        </w:rPr>
        <w:footnoteReference w:id="2290"/>
      </w:r>
      <w:r>
        <w:rPr>
          <w:rFonts w:ascii="Amiri" w:hAnsi="Amiri" w:eastAsia="Amiri" w:cs="Amiri"/>
          <w:color w:val="111111"/>
          <w:sz w:val="28"/>
          <w:sz w:val="28"/>
          <w:szCs w:val="28"/>
          <w:rtl w:val="true"/>
          <w:lang w:bidi="ar-SA"/>
        </w:rPr>
        <w:t>لم تجدها مخالفة لتلك العبارة، و يرجع إليهما ظاهرا كلام المعتبر</w:t>
      </w:r>
      <w:r>
        <w:rPr>
          <w:rStyle w:val="FootnoteAnchor"/>
          <w:rtl w:val="true"/>
        </w:rPr>
        <w:footnoteReference w:id="2291"/>
      </w:r>
      <w:r>
        <w:rPr>
          <w:rFonts w:ascii="Amiri" w:hAnsi="Amiri" w:eastAsia="Amiri" w:cs="Amiri"/>
          <w:color w:val="111111"/>
          <w:sz w:val="28"/>
          <w:sz w:val="28"/>
          <w:szCs w:val="28"/>
          <w:rtl w:val="true"/>
          <w:lang w:bidi="ar-SA"/>
        </w:rPr>
        <w:t>في المنع عن الكفاية، إذ لا يظنّ أنّه يقول به حتّى في صورة خروج العنوان عن مسمّى البئر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القطع حينئذ بعدم الخلاف في الكفاية في تلك الصورة، و منشأ احتجاج المعتبر على عدم الكفاية بما مرّ هو الحصر المستفاد من نصوص المنزوحات الّتي أصرحها دلالة عليه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Style w:val="FootnoteAnchor"/>
          <w:rtl w:val="true"/>
        </w:rPr>
        <w:footnoteReference w:id="2292"/>
      </w:r>
      <w:r>
        <w:rPr>
          <w:rFonts w:ascii="Amiri" w:hAnsi="Amiri" w:eastAsia="Amiri" w:cs="Amiri"/>
          <w:color w:val="111111"/>
          <w:sz w:val="28"/>
          <w:sz w:val="28"/>
          <w:szCs w:val="28"/>
          <w:rtl w:val="true"/>
          <w:lang w:bidi="ar-SA"/>
        </w:rPr>
        <w:t>في أدلّة القول بالنجاسة،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يطهّرها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ورودها مورد الغالب من تعذّر التطهير بغير النزح أو تعسّره، ولي في المسألة تأمّل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بتطهيرها بإلقاء الكرّ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من القول بذلك الالتزام أيضا بصيرورة ماء البئر معتصما لا ينفعل بما يقع فيه، لأنّ دليل التطهير بإلقاء </w:t>
      </w:r>
      <w:bookmarkStart w:id="850" w:name="pg16144_233564"/>
    </w:p>
    <w:p>
      <w:pPr>
        <w:pStyle w:val="BookText"/>
        <w:rPr/>
      </w:pPr>
      <w:bookmarkEnd w:id="850"/>
      <w:r>
        <w:rPr>
          <w:rFonts w:ascii="Amiri" w:hAnsi="Amiri" w:eastAsia="Amiri" w:cs="Amiri"/>
          <w:color w:val="111111"/>
          <w:sz w:val="28"/>
          <w:sz w:val="28"/>
          <w:szCs w:val="28"/>
          <w:rtl w:val="true"/>
          <w:lang w:bidi="ar-SA"/>
        </w:rPr>
        <w:t>الكرّ عدم قبول الكرّ للانفعال، و اتّحاد ماء البئر معه بالامتزاج أو مجرّد الاتّصال على الخلاف المتقدّم، و قضيّة ذلك عدم قبوله النجاسة الخارجيّة بعد ذلك، فيكفي في اعتصام البئر دائما إلقاء الكرّ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بإمكان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استهلك به الكرّ في البئر بعد وقوعه دخل في حكم البئر فيشمله أدلّة البئر و يخرج عن مورد أدلّة الكرّ، و حصول التطهّر به إنّما هو بأوّل وقوع المطهّر، و امتزاج البئر مع شيء منه معتصم به و لا استهلاك في ذلك الآن، و إنّما المستهلك هو الواقع بعد انقضاء حالة الوقوع، فلا منافاة بين كونه رافعا و كونه غير دافع، بل و غير معتصم لاختلاف زمانيهما، و إن استهلك البئر بالكرّ الملقى لقلّتها جدّا كان لها حكم الكرّ لعدم صدق البئر عليها حينئذ، و إن شكّ رجع إلى أصالة عدم استهلاك البئر، أو إلى أصالة عدم الانفعال على اختلاف الأنظار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التعويل على أوّل هذين الأصلين، لكونه في الحقيقة ترجيحا للحادث بالأصل و معه كان أصالة عدم الانفعال و استصحاب الطهارة السابقة سليمتين عن المعارض</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1805010_1280447820"/>
      <w:bookmarkStart w:id="852" w:name="_Toc336"/>
      <w:bookmarkEnd w:id="851"/>
      <w:r>
        <w:rPr>
          <w:rtl w:val="true"/>
        </w:rPr>
        <w:t>ثمّ يبقى الكلام على القول بالنجاسة في تطهير البئر عن النجاسة الغير المغيّرة بطريق النزح،</w:t>
      </w:r>
      <w:bookmarkEnd w:id="852"/>
    </w:p>
    <w:p>
      <w:pPr>
        <w:pStyle w:val="Heading6"/>
        <w:numPr>
          <w:ilvl w:val="5"/>
          <w:numId w:val="1"/>
        </w:numPr>
        <w:rPr/>
      </w:pPr>
      <w:bookmarkStart w:id="853" w:name="__RefHeading___Toc1805012_1280447820"/>
      <w:bookmarkStart w:id="854" w:name="_Toc337"/>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و له حسبما يستفاد من النصوص المختلفة المتعارضة بعد الجمع بينها مقدّرات اعتبرها الشارع على حسب اختلاف أنواع النجاسات،</w:t>
      </w:r>
    </w:p>
    <w:p>
      <w:pPr>
        <w:pStyle w:val="Heading6"/>
        <w:numPr>
          <w:ilvl w:val="5"/>
          <w:numId w:val="1"/>
        </w:numPr>
        <w:rPr/>
      </w:pPr>
      <w:bookmarkStart w:id="855" w:name="__RefHeading___Toc1805014_1280447820"/>
      <w:bookmarkStart w:id="856" w:name="_Toc338"/>
      <w:bookmarkEnd w:id="855"/>
      <w:r>
        <w:rPr>
          <w:rtl w:val="true"/>
        </w:rPr>
        <w:t>و تفصيل البحث في ذلك يقع في طيّ مسائل</w:t>
      </w:r>
      <w:r>
        <w:rPr>
          <w:rtl w:val="true"/>
        </w:rPr>
        <w:t>:</w:t>
      </w:r>
      <w:bookmarkEnd w:id="856"/>
    </w:p>
    <w:p>
      <w:pPr>
        <w:pStyle w:val="Heading6"/>
        <w:numPr>
          <w:ilvl w:val="5"/>
          <w:numId w:val="1"/>
        </w:numPr>
        <w:rPr/>
      </w:pPr>
      <w:bookmarkStart w:id="857" w:name="__RefHeading___Toc1805016_1280447820"/>
      <w:bookmarkStart w:id="858" w:name="_Toc339"/>
      <w:bookmarkEnd w:id="857"/>
      <w:r>
        <w:rPr>
          <w:rtl w:val="true"/>
        </w:rPr>
        <w:t>المسألة الاولى</w:t>
      </w:r>
      <w:r>
        <w:rPr>
          <w:rtl w:val="true"/>
        </w:rPr>
        <w:t xml:space="preserve">: </w:t>
      </w:r>
      <w:r>
        <w:rPr>
          <w:rtl w:val="true"/>
        </w:rPr>
        <w:t>ما يوجب نزح الجميع،</w:t>
      </w:r>
      <w:bookmarkEnd w:id="858"/>
    </w:p>
    <w:p>
      <w:pPr>
        <w:pStyle w:val="BookText"/>
        <w:rPr/>
      </w:pPr>
      <w:r>
        <w:rPr>
          <w:rFonts w:ascii="Amiri" w:hAnsi="Amiri" w:eastAsia="Amiri" w:cs="Amiri"/>
          <w:color w:val="111111"/>
          <w:sz w:val="28"/>
          <w:sz w:val="28"/>
          <w:szCs w:val="28"/>
          <w:rtl w:val="true"/>
          <w:lang w:bidi="ar-SA"/>
        </w:rPr>
        <w:t>و هو على ما ضبطه غير واحد من الأصحاب و أفتوا به امور، و هو موت البعير، و الثور، و وقوع الخمر و كلّ مسكر، و الفقّاع، و المنيّ، و أحد الدماء الثلاث، و في حكم موت البعير و أخيه وقوعهما ميّتين كما تنبّه عليه بعض مشايخنا</w:t>
      </w:r>
      <w:r>
        <w:rPr>
          <w:rStyle w:val="FootnoteAnchor"/>
          <w:rtl w:val="true"/>
        </w:rPr>
        <w:footnoteReference w:id="2293"/>
      </w:r>
      <w:r>
        <w:rPr>
          <w:rFonts w:ascii="Amiri" w:hAnsi="Amiri" w:eastAsia="Amiri" w:cs="Amiri"/>
          <w:color w:val="111111"/>
          <w:sz w:val="28"/>
          <w:sz w:val="28"/>
          <w:szCs w:val="28"/>
          <w:rtl w:val="true"/>
          <w:lang w:bidi="ar-SA"/>
        </w:rPr>
        <w:t>، للقطع باستناد الحكم إلى نجاستهما لا تحقّق موتهما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اشتمال بعض العناوين بالموت الظاهر فيما يتحقّق فيها، بعد ملاحظة التنزيل على الغالب</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 الجوهري</w:t>
      </w:r>
      <w:r>
        <w:rPr>
          <w:rStyle w:val="FootnoteAnchor"/>
          <w:rtl w:val="true"/>
        </w:rPr>
        <w:footnoteReference w:id="2294"/>
      </w:r>
      <w:r>
        <w:rPr>
          <w:rFonts w:ascii="Amiri" w:hAnsi="Amiri" w:eastAsia="Amiri" w:cs="Amiri"/>
          <w:color w:val="111111"/>
          <w:sz w:val="28"/>
          <w:sz w:val="28"/>
          <w:szCs w:val="28"/>
          <w:rtl w:val="true"/>
          <w:lang w:bidi="ar-SA"/>
        </w:rPr>
        <w:t>و غيره من أئمّة اللغة كالنهاية الأثيريّة</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و المصباح المنير</w:t>
      </w:r>
      <w:r>
        <w:rPr>
          <w:rStyle w:val="FootnoteAnchor"/>
          <w:rtl w:val="true"/>
        </w:rPr>
        <w:footnoteReference w:id="2296"/>
      </w:r>
      <w:r>
        <w:rPr>
          <w:rFonts w:ascii="IRNazanin" w:hAnsi="IRNazanin" w:eastAsia="IRNazanin"/>
          <w:color w:val="111111"/>
          <w:sz w:val="28"/>
          <w:sz w:val="28"/>
          <w:szCs w:val="28"/>
          <w:rtl w:val="true"/>
          <w:lang w:bidi="fa-IR"/>
        </w:rPr>
        <w:t>و مختصر الصحاح</w:t>
      </w:r>
      <w:r>
        <w:rPr>
          <w:rFonts w:eastAsia="IRNazanin" w:cs="IRNazanin"/>
          <w:color w:val="111111"/>
          <w:sz w:val="28"/>
          <w:szCs w:val="28"/>
          <w:rtl w:val="true"/>
          <w:lang w:bidi="fa-IR"/>
        </w:rPr>
        <w:t>:</w:t>
      </w:r>
      <w:r>
        <w:rPr>
          <w:rStyle w:val="FootnoteAnchor"/>
          <w:rtl w:val="true"/>
        </w:rPr>
        <w:footnoteReference w:id="2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الإبل بمنزلة الإنسان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أنّه يشمل الذكر و الانثى، كما هو المصرّح به في كلام غير واحد من الأصحاب كمنتهى العلاّمة</w:t>
      </w:r>
      <w:r>
        <w:rPr>
          <w:rStyle w:val="FootnoteAnchor"/>
          <w:rtl w:val="true"/>
        </w:rPr>
        <w:footnoteReference w:id="2298"/>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كالحلّي</w:t>
      </w:r>
      <w:r>
        <w:rPr>
          <w:rStyle w:val="FootnoteAnchor"/>
          <w:rtl w:val="true"/>
        </w:rPr>
        <w:footnoteReference w:id="2299"/>
      </w:r>
      <w:r>
        <w:rPr>
          <w:rFonts w:ascii="IRNazanin" w:hAnsi="IRNazanin" w:eastAsia="IRNazanin"/>
          <w:color w:val="111111"/>
          <w:sz w:val="28"/>
          <w:sz w:val="28"/>
          <w:szCs w:val="28"/>
          <w:rtl w:val="true"/>
          <w:lang w:bidi="fa-IR"/>
        </w:rPr>
        <w:t>، و المقداد</w:t>
      </w:r>
      <w:r>
        <w:rPr>
          <w:rStyle w:val="FootnoteAnchor"/>
          <w:rtl w:val="true"/>
        </w:rPr>
        <w:footnoteReference w:id="2300"/>
      </w:r>
      <w:r>
        <w:rPr>
          <w:rFonts w:ascii="Amiri" w:hAnsi="Amiri" w:eastAsia="Amiri" w:cs="Amiri"/>
          <w:color w:val="111111"/>
          <w:sz w:val="28"/>
          <w:sz w:val="28"/>
          <w:szCs w:val="28"/>
          <w:rtl w:val="true"/>
          <w:lang w:bidi="ar-SA"/>
        </w:rPr>
        <w:t>، و المحقّق الأوّل</w:t>
      </w:r>
      <w:r>
        <w:rPr>
          <w:rStyle w:val="FootnoteAnchor"/>
          <w:rtl w:val="true"/>
        </w:rPr>
        <w:footnoteReference w:id="2301"/>
      </w:r>
      <w:r>
        <w:rPr>
          <w:rFonts w:ascii="Amiri" w:hAnsi="Amiri" w:eastAsia="Amiri" w:cs="Amiri"/>
          <w:color w:val="111111"/>
          <w:sz w:val="28"/>
          <w:sz w:val="28"/>
          <w:szCs w:val="28"/>
          <w:rtl w:val="true"/>
          <w:lang w:bidi="ar-SA"/>
        </w:rPr>
        <w:t>، و الثاني الشيخ عليّ‌</w:t>
      </w:r>
      <w:r>
        <w:rPr>
          <w:rStyle w:val="FootnoteAnchor"/>
          <w:rtl w:val="true"/>
        </w:rPr>
        <w:footnoteReference w:id="2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 الشهيدين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غيرهم، بل عن الفاضل دعوى اتّفاق أهل اللغة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يستفاد منه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إنّما هو بحسب أصل اللغة و إلاّ ففي العرف شاع استعماله في الذكر خاصّة، كما إليه يرجع ما حكاه عن الشافعي من القول في الوصيّة بأنّه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لهم أن يعطوه ناقة،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 لأنّ الوصيّة مبنيّة على عرف الناس لا على محتملات اللغة الّتي لا يعرفها إلاّ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أمكن الجمع بين ما عرفت عن الأئمّة و ما عن الغزالي في البسيط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المذهب أنّه لا تدخل فيه الناقة</w:t>
      </w:r>
      <w:r>
        <w:rPr>
          <w:rFonts w:eastAsia="Amiri" w:cs="Amiri" w:ascii="Amiri" w:hAnsi="Amiri"/>
          <w:color w:val="111111"/>
          <w:sz w:val="28"/>
          <w:szCs w:val="28"/>
          <w:rtl w:val="true"/>
          <w:lang w:bidi="ar-SA"/>
        </w:rPr>
        <w:t>»</w:t>
      </w:r>
      <w:r>
        <w:rPr>
          <w:rStyle w:val="FootnoteAnchor"/>
          <w:rtl w:val="true"/>
        </w:rPr>
        <w:footnoteReference w:id="2303"/>
      </w:r>
      <w:r>
        <w:rPr>
          <w:rFonts w:ascii="Amiri" w:hAnsi="Amiri" w:eastAsia="Amiri" w:cs="Amiri"/>
          <w:color w:val="111111"/>
          <w:sz w:val="28"/>
          <w:sz w:val="28"/>
          <w:szCs w:val="28"/>
          <w:rtl w:val="true"/>
          <w:lang w:bidi="ar-SA"/>
        </w:rPr>
        <w:t>، لكنّه لا يجدي نفعا في صحّة حمل الخطاب الشرعي على المطلق على فرض صدق دعوى الانصراف العرفي إلى الذكر، لظهور عدم كون نظيره من الامور الحادثة بعد زمن الخطاب، و عليه اتّجه القول بأولويّة إلحاق الناقة بما لا نصّ فيه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للكبير و الصغير كلام لهم تبعا لما عن أهل اللغة من الاختلاف في ذلك، فعن النهاية الأثيريّة</w:t>
      </w:r>
      <w:r>
        <w:rPr>
          <w:rStyle w:val="FootnoteAnchor"/>
          <w:rtl w:val="true"/>
        </w:rPr>
        <w:footnoteReference w:id="2304"/>
      </w:r>
      <w:r>
        <w:rPr>
          <w:rFonts w:ascii="Amiri" w:hAnsi="Amiri" w:eastAsia="Amiri" w:cs="Amiri"/>
          <w:color w:val="111111"/>
          <w:sz w:val="28"/>
          <w:sz w:val="28"/>
          <w:szCs w:val="28"/>
          <w:rtl w:val="true"/>
          <w:lang w:bidi="ar-SA"/>
        </w:rPr>
        <w:t xml:space="preserve">كما عن ظاهر فقه اللغة </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و عليه القطع في المنتهى</w:t>
      </w:r>
      <w:r>
        <w:rPr>
          <w:rStyle w:val="FootnoteAnchor"/>
          <w:rtl w:val="true"/>
        </w:rPr>
        <w:footnoteReference w:id="2306"/>
      </w:r>
      <w:r>
        <w:rPr>
          <w:rFonts w:ascii="Amiri" w:hAnsi="Amiri" w:eastAsia="Amiri" w:cs="Amiri"/>
          <w:color w:val="111111"/>
          <w:sz w:val="28"/>
          <w:sz w:val="28"/>
          <w:szCs w:val="28"/>
          <w:rtl w:val="true"/>
          <w:lang w:bidi="ar-SA"/>
        </w:rPr>
        <w:t>، كما عن المعتبر</w:t>
      </w:r>
      <w:r>
        <w:rPr>
          <w:rStyle w:val="FootnoteAnchor"/>
          <w:rtl w:val="true"/>
        </w:rPr>
        <w:footnoteReference w:id="2307"/>
      </w:r>
      <w:r>
        <w:rPr>
          <w:rFonts w:ascii="Amiri" w:hAnsi="Amiri" w:eastAsia="Amiri" w:cs="Amiri"/>
          <w:color w:val="111111"/>
          <w:sz w:val="28"/>
          <w:sz w:val="28"/>
          <w:szCs w:val="28"/>
          <w:rtl w:val="true"/>
          <w:lang w:bidi="ar-SA"/>
        </w:rPr>
        <w:t>، و الذكرى</w:t>
      </w:r>
      <w:r>
        <w:rPr>
          <w:rStyle w:val="FootnoteAnchor"/>
          <w:rtl w:val="true"/>
        </w:rPr>
        <w:footnoteReference w:id="2308"/>
      </w:r>
      <w:r>
        <w:rPr>
          <w:rFonts w:ascii="Amiri" w:hAnsi="Amiri" w:eastAsia="Amiri" w:cs="Amiri"/>
          <w:color w:val="111111"/>
          <w:sz w:val="28"/>
          <w:sz w:val="28"/>
          <w:szCs w:val="28"/>
          <w:rtl w:val="true"/>
          <w:lang w:bidi="ar-SA"/>
        </w:rPr>
        <w:t>، و وصايا التذكرة</w:t>
      </w:r>
      <w:r>
        <w:rPr>
          <w:rStyle w:val="FootnoteAnchor"/>
          <w:rtl w:val="true"/>
        </w:rPr>
        <w:footnoteReference w:id="2309"/>
      </w:r>
      <w:r>
        <w:rPr>
          <w:rFonts w:ascii="IRNazanin" w:hAnsi="IRNazanin" w:eastAsia="IRNazanin"/>
          <w:color w:val="111111"/>
          <w:sz w:val="28"/>
          <w:sz w:val="28"/>
          <w:szCs w:val="28"/>
          <w:rtl w:val="true"/>
          <w:lang w:bidi="fa-IR"/>
        </w:rPr>
        <w:t>، و القواعد</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الباذل أو الجذع</w:t>
      </w:r>
      <w:r>
        <w:rPr>
          <w:rStyle w:val="FootnoteAnchor"/>
          <w:rtl w:val="true"/>
        </w:rPr>
        <w:footnoteReference w:id="2311"/>
      </w:r>
      <w:r>
        <w:rPr>
          <w:rFonts w:ascii="Amiri" w:hAnsi="Amiri" w:eastAsia="Amiri" w:cs="Amiri"/>
          <w:color w:val="111111"/>
          <w:sz w:val="28"/>
          <w:sz w:val="28"/>
          <w:szCs w:val="28"/>
          <w:rtl w:val="true"/>
          <w:lang w:bidi="ar-SA"/>
        </w:rPr>
        <w:t>، و عن العين</w:t>
      </w:r>
      <w:r>
        <w:rPr>
          <w:rStyle w:val="FootnoteAnchor"/>
          <w:rtl w:val="true"/>
        </w:rPr>
        <w:footnoteReference w:id="2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الصحاح</w:t>
      </w:r>
      <w:r>
        <w:rPr>
          <w:rStyle w:val="FootnoteAnchor"/>
          <w:rtl w:val="true"/>
        </w:rPr>
        <w:footnoteReference w:id="2313"/>
      </w:r>
      <w:r>
        <w:rPr>
          <w:rFonts w:ascii="Amiri" w:hAnsi="Amiri" w:eastAsia="Amiri" w:cs="Amiri"/>
          <w:color w:val="111111"/>
          <w:sz w:val="28"/>
          <w:sz w:val="28"/>
          <w:szCs w:val="28"/>
          <w:rtl w:val="true"/>
          <w:lang w:bidi="ar-SA"/>
        </w:rPr>
        <w:t>و المحيط</w:t>
      </w:r>
      <w:r>
        <w:rPr>
          <w:rStyle w:val="FootnoteAnchor"/>
          <w:rtl w:val="true"/>
        </w:rPr>
        <w:footnoteReference w:id="2314"/>
      </w:r>
      <w:r>
        <w:rPr>
          <w:rFonts w:ascii="Amiri" w:hAnsi="Amiri" w:eastAsia="Amiri" w:cs="Amiri"/>
          <w:color w:val="111111"/>
          <w:sz w:val="28"/>
          <w:sz w:val="28"/>
          <w:szCs w:val="28"/>
          <w:rtl w:val="true"/>
          <w:lang w:bidi="ar-SA"/>
        </w:rPr>
        <w:t>و تهذيب اللغة</w:t>
      </w:r>
      <w:r>
        <w:rPr>
          <w:rStyle w:val="FootnoteAnchor"/>
          <w:rtl w:val="true"/>
        </w:rPr>
        <w:footnoteReference w:id="2315"/>
      </w:r>
      <w:r>
        <w:rPr>
          <w:rFonts w:ascii="Amiri" w:hAnsi="Amiri" w:eastAsia="Amiri" w:cs="Amiri"/>
          <w:color w:val="111111"/>
          <w:sz w:val="28"/>
          <w:sz w:val="28"/>
          <w:szCs w:val="28"/>
          <w:rtl w:val="true"/>
          <w:lang w:bidi="ar-SA"/>
        </w:rPr>
        <w:t>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الذكر من البقر كما في المجمع</w:t>
      </w:r>
      <w:r>
        <w:rPr>
          <w:rStyle w:val="FootnoteAnchor"/>
          <w:rtl w:val="true"/>
        </w:rPr>
        <w:footnoteReference w:id="2316"/>
      </w:r>
      <w:r>
        <w:rPr>
          <w:rFonts w:ascii="Amiri" w:hAnsi="Amiri" w:eastAsia="Amiri" w:cs="Amiri"/>
          <w:color w:val="111111"/>
          <w:sz w:val="28"/>
          <w:sz w:val="28"/>
          <w:szCs w:val="28"/>
          <w:rtl w:val="true"/>
          <w:lang w:bidi="ar-SA"/>
        </w:rPr>
        <w:t xml:space="preserve">، و لا ينبغي الريبة في اختصاصه بالأهلي، فاحتمال تناوله للوحشي في غاية الغرابة، و قد يحتمل لحوق الوحشي بالأهلي بملاحظة العطف في الرواية الآتية عليه بلفظة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الحكم في البعير ما ذكر هو المصرّح به في المنتهى</w:t>
      </w:r>
      <w:r>
        <w:rPr>
          <w:rStyle w:val="FootnoteAnchor"/>
          <w:rtl w:val="true"/>
        </w:rPr>
        <w:footnoteReference w:id="2317"/>
      </w:r>
      <w:r>
        <w:rPr>
          <w:rFonts w:ascii="IRNazanin" w:hAnsi="IRNazanin" w:eastAsia="IRNazanin"/>
          <w:color w:val="111111"/>
          <w:sz w:val="28"/>
          <w:sz w:val="28"/>
          <w:szCs w:val="28"/>
          <w:rtl w:val="true"/>
          <w:lang w:bidi="fa-IR"/>
        </w:rPr>
        <w:t>و الشرائع</w:t>
      </w:r>
      <w:r>
        <w:rPr>
          <w:rStyle w:val="FootnoteAnchor"/>
          <w:rtl w:val="true"/>
        </w:rPr>
        <w:footnoteReference w:id="2318"/>
      </w:r>
      <w:r>
        <w:rPr>
          <w:rFonts w:ascii="IRNazanin" w:hAnsi="IRNazanin" w:eastAsia="IRNazanin"/>
          <w:color w:val="111111"/>
          <w:sz w:val="28"/>
          <w:sz w:val="28"/>
          <w:szCs w:val="28"/>
          <w:rtl w:val="true"/>
          <w:lang w:bidi="fa-IR"/>
        </w:rPr>
        <w:t xml:space="preserve">و الدروس </w:t>
      </w:r>
      <w:r>
        <w:rPr>
          <w:rStyle w:val="FootnoteAnchor"/>
          <w:rtl w:val="true"/>
        </w:rPr>
        <w:footnoteReference w:id="2319"/>
      </w:r>
      <w:r>
        <w:rPr>
          <w:rFonts w:ascii="Amiri" w:hAnsi="Amiri" w:eastAsia="Amiri" w:cs="Amiri"/>
          <w:color w:val="111111"/>
          <w:sz w:val="28"/>
          <w:sz w:val="28"/>
          <w:szCs w:val="28"/>
          <w:rtl w:val="true"/>
          <w:lang w:bidi="ar-SA"/>
        </w:rPr>
        <w:t>و غيره</w:t>
      </w:r>
      <w:r>
        <w:rPr>
          <w:rStyle w:val="FootnoteAnchor"/>
          <w:rtl w:val="true"/>
        </w:rPr>
        <w:footnoteReference w:id="2320"/>
      </w:r>
      <w:r>
        <w:rPr>
          <w:rFonts w:ascii="Amiri" w:hAnsi="Amiri" w:eastAsia="Amiri" w:cs="Amiri"/>
          <w:color w:val="111111"/>
          <w:sz w:val="28"/>
          <w:sz w:val="28"/>
          <w:szCs w:val="28"/>
          <w:rtl w:val="true"/>
          <w:lang w:bidi="ar-SA"/>
        </w:rPr>
        <w:t>، المنفيّ عنه الخلاف في كلام جماعة</w:t>
      </w:r>
      <w:r>
        <w:rPr>
          <w:rStyle w:val="FootnoteAnchor"/>
          <w:rtl w:val="true"/>
        </w:rPr>
        <w:footnoteReference w:id="2321"/>
      </w:r>
      <w:r>
        <w:rPr>
          <w:rFonts w:ascii="Amiri" w:hAnsi="Amiri" w:eastAsia="Amiri" w:cs="Amiri"/>
          <w:color w:val="111111"/>
          <w:sz w:val="28"/>
          <w:sz w:val="28"/>
          <w:szCs w:val="28"/>
          <w:rtl w:val="true"/>
          <w:lang w:bidi="ar-SA"/>
        </w:rPr>
        <w:t>، بل عن الغنية</w:t>
      </w:r>
      <w:r>
        <w:rPr>
          <w:rStyle w:val="FootnoteAnchor"/>
          <w:rtl w:val="true"/>
        </w:rPr>
        <w:footnoteReference w:id="2322"/>
      </w:r>
      <w:r>
        <w:rPr>
          <w:rFonts w:ascii="IRNazanin" w:hAnsi="IRNazanin" w:eastAsia="IRNazanin"/>
          <w:color w:val="111111"/>
          <w:sz w:val="28"/>
          <w:sz w:val="28"/>
          <w:szCs w:val="28"/>
          <w:rtl w:val="true"/>
          <w:lang w:bidi="fa-IR"/>
        </w:rPr>
        <w:t>و السرائر</w:t>
      </w:r>
      <w:r>
        <w:rPr>
          <w:rStyle w:val="FootnoteAnchor"/>
          <w:rtl w:val="true"/>
        </w:rPr>
        <w:footnoteReference w:id="2323"/>
      </w:r>
      <w:r>
        <w:rPr>
          <w:rFonts w:ascii="Amiri" w:hAnsi="Amiri" w:eastAsia="Amiri" w:cs="Amiri"/>
          <w:color w:val="111111"/>
          <w:sz w:val="28"/>
          <w:sz w:val="28"/>
          <w:szCs w:val="28"/>
          <w:rtl w:val="true"/>
          <w:lang w:bidi="ar-SA"/>
        </w:rPr>
        <w:t>الإجماع عليه، و أمّا لحوق الثور به فقد جعله جماعة مشهورا و غيرهم وصفه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فيهما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شيء صغير فمات فيها فانزح منها دلاء، و إن وقع فيها جنب فانزح منها سبع دلاء، و إن مات فيها بعير أو صبّ فيها خمر فلينزح الماء كلّه</w:t>
      </w:r>
      <w:r>
        <w:rPr>
          <w:rFonts w:eastAsia="Amiri" w:cs="Amiri" w:ascii="Amiri" w:hAnsi="Amiri"/>
          <w:color w:val="111111"/>
          <w:sz w:val="28"/>
          <w:szCs w:val="28"/>
          <w:rtl w:val="true"/>
          <w:lang w:bidi="ar-SA"/>
        </w:rPr>
        <w:t>»</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عبد اللّه 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سقط في البئر دابّة صغيرة، أو نزل فيها جنب نزح منها سبع دلاء، و إن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خبر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يقع في البئر ما بين الفأرة و السنّور إلى الشاة؟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نقول 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الحمار و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r>
        <w:rPr>
          <w:rStyle w:val="FootnoteAnchor"/>
          <w:rtl w:val="true"/>
        </w:rPr>
        <w:footnoteReference w:id="2326"/>
      </w:r>
      <w:r>
        <w:rPr>
          <w:rFonts w:ascii="Amiri" w:hAnsi="Amiri" w:eastAsia="Amiri" w:cs="Amiri"/>
          <w:color w:val="111111"/>
          <w:sz w:val="28"/>
          <w:sz w:val="28"/>
          <w:szCs w:val="28"/>
          <w:rtl w:val="true"/>
          <w:lang w:bidi="ar-SA"/>
        </w:rPr>
        <w:t>فغير صالح لمعارضة ما ذكره لقصوره سندا بما في منتهى العلاّمة</w:t>
      </w:r>
      <w:r>
        <w:rPr>
          <w:rStyle w:val="FootnoteAnchor"/>
          <w:rtl w:val="true"/>
        </w:rPr>
        <w:footnoteReference w:id="2327"/>
      </w:r>
      <w:r>
        <w:rPr>
          <w:rFonts w:ascii="Amiri" w:hAnsi="Amiri" w:eastAsia="Amiri" w:cs="Amiri"/>
          <w:color w:val="111111"/>
          <w:sz w:val="28"/>
          <w:sz w:val="28"/>
          <w:szCs w:val="28"/>
          <w:rtl w:val="true"/>
          <w:lang w:bidi="ar-SA"/>
        </w:rPr>
        <w:t>من أنّ عمرو هذا فطحيّ، و الأصحاب لم يعملوا بهذه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بما في حواشي الاستبصار</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عمرو بن سعيد بن هلال لم ينصّ عليه علمائنا بمدح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الشيخ في الاستبصار لدفع التنافي بتخصيصه التقدير المذكور بالحمار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يمتنع أن يكون عليه السّلام أجاب بما يختصّ حكم الحمار، و عوّل في حكم الجمل على ما سمع منه من وجوب نزح الماء كلّه</w:t>
      </w:r>
      <w:r>
        <w:rPr>
          <w:rFonts w:eastAsia="Amiri" w:cs="Amiri" w:ascii="Amiri" w:hAnsi="Amiri"/>
          <w:color w:val="111111"/>
          <w:sz w:val="28"/>
          <w:szCs w:val="28"/>
          <w:rtl w:val="true"/>
          <w:lang w:bidi="ar-SA"/>
        </w:rPr>
        <w:t>»</w:t>
      </w:r>
      <w:r>
        <w:rPr>
          <w:rStyle w:val="FootnoteAnchor"/>
          <w:rtl w:val="true"/>
        </w:rPr>
        <w:footnoteReference w:id="2329"/>
      </w:r>
      <w:r>
        <w:rPr>
          <w:rFonts w:ascii="Amiri" w:hAnsi="Amiri" w:eastAsia="Amiri" w:cs="Amiri"/>
          <w:color w:val="111111"/>
          <w:sz w:val="28"/>
          <w:sz w:val="28"/>
          <w:szCs w:val="28"/>
          <w:rtl w:val="true"/>
          <w:lang w:bidi="ar-SA"/>
        </w:rPr>
        <w:t>، و هذا التأويل كما ترى لا يلائم ما في المدارك</w:t>
      </w:r>
      <w:r>
        <w:rPr>
          <w:rStyle w:val="FootnoteAnchor"/>
          <w:rtl w:val="true"/>
        </w:rPr>
        <w:footnoteReference w:id="2330"/>
      </w:r>
      <w:r>
        <w:rPr>
          <w:rFonts w:ascii="Amiri" w:hAnsi="Amiri" w:eastAsia="Amiri" w:cs="Amiri"/>
          <w:color w:val="111111"/>
          <w:sz w:val="28"/>
          <w:sz w:val="28"/>
          <w:szCs w:val="28"/>
          <w:rtl w:val="true"/>
          <w:lang w:bidi="ar-SA"/>
        </w:rPr>
        <w:t>عن الشيخين</w:t>
      </w:r>
      <w:r>
        <w:rPr>
          <w:rStyle w:val="FootnoteAnchor"/>
          <w:rtl w:val="true"/>
        </w:rPr>
        <w:footnoteReference w:id="2331"/>
      </w:r>
      <w:r>
        <w:rPr>
          <w:rFonts w:ascii="IRNazanin" w:hAnsi="IRNazanin" w:eastAsia="IRNazanin"/>
          <w:color w:val="111111"/>
          <w:sz w:val="28"/>
          <w:sz w:val="28"/>
          <w:szCs w:val="28"/>
          <w:rtl w:val="true"/>
          <w:lang w:bidi="fa-IR"/>
        </w:rPr>
        <w:t>، و أتباعهما</w:t>
      </w:r>
      <w:r>
        <w:rPr>
          <w:rStyle w:val="FootnoteAnchor"/>
          <w:rtl w:val="true"/>
        </w:rPr>
        <w:footnoteReference w:id="2332"/>
      </w:r>
      <w:r>
        <w:rPr>
          <w:rFonts w:ascii="Amiri" w:hAnsi="Amiri" w:eastAsia="Amiri" w:cs="Amiri"/>
          <w:color w:val="111111"/>
          <w:sz w:val="28"/>
          <w:sz w:val="28"/>
          <w:szCs w:val="28"/>
          <w:rtl w:val="true"/>
          <w:lang w:bidi="ar-SA"/>
        </w:rPr>
        <w:t>، من أنّهم أوجبوا في البقرة كرّا، بناء على أنّ تاءها للوحدة و المجرّد عنها اسم جنس يقع على الذكر و الانثى كما في المجمع</w:t>
      </w:r>
      <w:r>
        <w:rPr>
          <w:rStyle w:val="FootnoteAnchor"/>
          <w:rtl w:val="true"/>
        </w:rPr>
        <w:footnoteReference w:id="2333"/>
      </w:r>
      <w:r>
        <w:rPr>
          <w:rFonts w:ascii="Amiri" w:hAnsi="Amiri" w:eastAsia="Amiri" w:cs="Amiri"/>
          <w:color w:val="111111"/>
          <w:sz w:val="28"/>
          <w:sz w:val="28"/>
          <w:szCs w:val="28"/>
          <w:rtl w:val="true"/>
          <w:lang w:bidi="ar-SA"/>
        </w:rPr>
        <w:t>، و كأنّه وجد عن الشيخ في كتابه الآخر، و على أيّ نحو كان فهو ضعيف و إن أرادوا بالبقرة خصوص الانثى كما يظهر عن صاحب المدارك</w:t>
      </w:r>
      <w:r>
        <w:rPr>
          <w:rStyle w:val="FootnoteAnchor"/>
          <w:rtl w:val="true"/>
        </w:rPr>
        <w:footnoteReference w:id="2334"/>
      </w:r>
      <w:r>
        <w:rPr>
          <w:rFonts w:ascii="Amiri" w:hAnsi="Amiri" w:eastAsia="Amiri" w:cs="Amiri"/>
          <w:color w:val="111111"/>
          <w:sz w:val="28"/>
          <w:sz w:val="28"/>
          <w:szCs w:val="28"/>
          <w:rtl w:val="true"/>
          <w:lang w:bidi="ar-SA"/>
        </w:rPr>
        <w:t>، و مثله في الضعف ما عن ابن إدريس</w:t>
      </w:r>
      <w:r>
        <w:rPr>
          <w:rStyle w:val="FootnoteAnchor"/>
          <w:rtl w:val="true"/>
        </w:rPr>
        <w:footnoteReference w:id="2335"/>
      </w:r>
      <w:r>
        <w:rPr>
          <w:rFonts w:ascii="Amiri" w:hAnsi="Amiri" w:eastAsia="Amiri" w:cs="Amiri"/>
          <w:color w:val="111111"/>
          <w:sz w:val="28"/>
          <w:sz w:val="28"/>
          <w:szCs w:val="28"/>
          <w:rtl w:val="true"/>
          <w:lang w:bidi="ar-SA"/>
        </w:rPr>
        <w:t>من أنّه اكتفى في الثور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الخبرين المتقدّمين يدلاّن على حكم ما تقدّم فكذلك يدلاّن على حكم وقوع الخمر على ما استدلّ عليه بهما الجماعة، مصرّحين بعدم الفرق بين قليله و كثيره، و جعله الشيخ مؤيّدا لصحيحة معاوية بن عمّار عن أبي عبد اللّه في البئر يبول فيها الصبيّ، أو يصبّ فيها بول أو 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و اعترض في تعميم الحكم بالقياس إلى القليل بمنع تناول الخبرين له، لأنّ التعبير بالصبّ يفهم منه الكثرة، و من هنا ذهب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Style w:val="FootnoteAnchor"/>
          <w:rtl w:val="true"/>
        </w:rPr>
        <w:footnoteReference w:id="2337"/>
      </w:r>
      <w:r>
        <w:rPr>
          <w:rFonts w:ascii="Amiri" w:hAnsi="Amiri" w:eastAsia="Amiri" w:cs="Amiri"/>
          <w:color w:val="111111"/>
          <w:sz w:val="28"/>
          <w:sz w:val="28"/>
          <w:szCs w:val="28"/>
          <w:rtl w:val="true"/>
          <w:lang w:bidi="ar-SA"/>
        </w:rPr>
        <w:t>في المقنع</w:t>
      </w:r>
      <w:r>
        <w:rPr>
          <w:rStyle w:val="FootnoteAnchor"/>
          <w:rtl w:val="true"/>
        </w:rPr>
        <w:footnoteReference w:id="2338"/>
      </w:r>
      <w:r>
        <w:rPr>
          <w:rFonts w:ascii="Amiri" w:hAnsi="Amiri" w:eastAsia="Amiri" w:cs="Amiri"/>
          <w:color w:val="111111"/>
          <w:sz w:val="28"/>
          <w:sz w:val="28"/>
          <w:szCs w:val="28"/>
          <w:rtl w:val="true"/>
          <w:lang w:bidi="ar-SA"/>
        </w:rPr>
        <w:t>إلى التفصيل بين القطرة فخصّها بعشرين دلوا، محتجّا بما رواه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قطر فيها دم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 الخمر و الميّت و لحم الخنزير في ذلك كلّه واحد، ينزح منه عشرون دلوا، و إن غلبت الريح نزحت حتّى تطيب</w:t>
      </w:r>
      <w:r>
        <w:rPr>
          <w:rFonts w:eastAsia="Amiri" w:cs="Amiri" w:ascii="Amiri" w:hAnsi="Amiri"/>
          <w:color w:val="111111"/>
          <w:sz w:val="28"/>
          <w:szCs w:val="28"/>
          <w:rtl w:val="true"/>
          <w:lang w:bidi="ar-SA"/>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لها التقدير بثلاثين أيضا كما في خبر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2340"/>
      </w:r>
      <w:r>
        <w:rPr>
          <w:rFonts w:ascii="Amiri" w:hAnsi="Amiri" w:eastAsia="Amiri" w:cs="Amiri"/>
          <w:color w:val="111111"/>
          <w:sz w:val="28"/>
          <w:sz w:val="28"/>
          <w:szCs w:val="28"/>
          <w:rtl w:val="true"/>
          <w:lang w:bidi="ar-SA"/>
        </w:rPr>
        <w:t>و أجاب في المختلف عن الاعتراض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دلالة الأنصاب على الكثير، بل مفهومه الوقوع لذي الأجزاء على الاتّصال سواء قلّ أو كثر، و الخمر الوارد في الحديث نكرة لا يدلّ على قلّة و لا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بالمنع من صحّة سنديهما، لأنّ في طريقيهما من لا يحضرني الآن حاله</w:t>
      </w:r>
      <w:r>
        <w:rPr>
          <w:rFonts w:eastAsia="Amiri" w:cs="Amiri" w:ascii="Amiri" w:hAnsi="Amiri"/>
          <w:color w:val="111111"/>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و على فرض الصحّة فإعراض المعظم عنهما يخرجهما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المسكرات فإلحاقها بالخمر محكيّ عن المفيد</w:t>
      </w:r>
      <w:r>
        <w:rPr>
          <w:rStyle w:val="FootnoteAnchor"/>
          <w:rtl w:val="true"/>
        </w:rPr>
        <w:footnoteReference w:id="2342"/>
      </w:r>
      <w:r>
        <w:rPr>
          <w:rFonts w:ascii="Amiri" w:hAnsi="Amiri" w:eastAsia="Amiri" w:cs="Amiri"/>
          <w:color w:val="111111"/>
          <w:sz w:val="28"/>
          <w:sz w:val="28"/>
          <w:szCs w:val="28"/>
          <w:rtl w:val="true"/>
          <w:lang w:bidi="ar-SA"/>
        </w:rPr>
        <w:t>، و الشيخ</w:t>
      </w:r>
      <w:r>
        <w:rPr>
          <w:rStyle w:val="FootnoteAnchor"/>
          <w:rtl w:val="true"/>
        </w:rPr>
        <w:footnoteReference w:id="2343"/>
      </w:r>
      <w:r>
        <w:rPr>
          <w:rFonts w:ascii="Amiri" w:hAnsi="Amiri" w:eastAsia="Amiri" w:cs="Amiri"/>
          <w:color w:val="111111"/>
          <w:sz w:val="28"/>
          <w:sz w:val="28"/>
          <w:szCs w:val="28"/>
          <w:rtl w:val="true"/>
          <w:lang w:bidi="ar-SA"/>
        </w:rPr>
        <w:t>، و المرتضى، و قد يدّعي فيه الشهرة العظيمة، بل عن الغنية</w:t>
      </w:r>
      <w:r>
        <w:rPr>
          <w:rStyle w:val="FootnoteAnchor"/>
          <w:rtl w:val="true"/>
        </w:rPr>
        <w:footnoteReference w:id="2344"/>
      </w:r>
      <w:r>
        <w:rPr>
          <w:rFonts w:ascii="IRNazanin" w:hAnsi="IRNazanin" w:eastAsia="IRNazanin"/>
          <w:color w:val="111111"/>
          <w:sz w:val="28"/>
          <w:sz w:val="28"/>
          <w:szCs w:val="28"/>
          <w:rtl w:val="true"/>
          <w:lang w:bidi="fa-IR"/>
        </w:rPr>
        <w:t>، و السرائر</w:t>
      </w:r>
      <w:r>
        <w:rPr>
          <w:rStyle w:val="FootnoteAnchor"/>
          <w:rtl w:val="true"/>
        </w:rPr>
        <w:footnoteReference w:id="2345"/>
      </w:r>
      <w:r>
        <w:rPr>
          <w:rFonts w:ascii="Amiri" w:hAnsi="Amiri" w:eastAsia="Amiri" w:cs="Amiri"/>
          <w:color w:val="111111"/>
          <w:sz w:val="28"/>
          <w:sz w:val="28"/>
          <w:szCs w:val="28"/>
          <w:rtl w:val="true"/>
          <w:lang w:bidi="ar-SA"/>
        </w:rPr>
        <w:t>الإجماع عليه، و قيّدها جماعة بالمائع بالأصالة احترازا عن الجامد كالحشيشة للاتّفاق على عدم نجاسته، كما في كلام المحقّق الخوانساري</w:t>
      </w:r>
      <w:r>
        <w:rPr>
          <w:rStyle w:val="FootnoteAnchor"/>
          <w:rtl w:val="true"/>
        </w:rPr>
        <w:footnoteReference w:id="2346"/>
      </w:r>
      <w:r>
        <w:rPr>
          <w:rFonts w:ascii="Amiri" w:hAnsi="Amiri" w:eastAsia="Amiri" w:cs="Amiri"/>
          <w:color w:val="111111"/>
          <w:sz w:val="28"/>
          <w:sz w:val="28"/>
          <w:szCs w:val="28"/>
          <w:rtl w:val="true"/>
          <w:lang w:bidi="ar-SA"/>
        </w:rPr>
        <w:t>لكنّهم لم يذكروا هنا في أصل الحكم حديثا، بل اعترف بعدم الظفر عليه غير واحد منهم العلاّمة في المنتهى</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المصرّح به في جملة كلماتهم كما في المنتهى</w:t>
      </w:r>
      <w:r>
        <w:rPr>
          <w:rStyle w:val="FootnoteAnchor"/>
          <w:rtl w:val="true"/>
        </w:rPr>
        <w:footnoteReference w:id="2348"/>
      </w:r>
      <w:r>
        <w:rPr>
          <w:rFonts w:ascii="Amiri" w:hAnsi="Amiri" w:eastAsia="Amiri" w:cs="Amiri"/>
          <w:color w:val="111111"/>
          <w:sz w:val="28"/>
          <w:sz w:val="28"/>
          <w:szCs w:val="28"/>
          <w:rtl w:val="true"/>
          <w:lang w:bidi="ar-SA"/>
        </w:rPr>
        <w:t>، و غيره، و عن المعتبر</w:t>
      </w:r>
      <w:r>
        <w:rPr>
          <w:rStyle w:val="FootnoteAnchor"/>
          <w:rtl w:val="true"/>
        </w:rPr>
        <w:footnoteReference w:id="2349"/>
      </w:r>
      <w:r>
        <w:rPr>
          <w:rFonts w:ascii="Amiri" w:hAnsi="Amiri" w:eastAsia="Amiri" w:cs="Amiri"/>
          <w:color w:val="111111"/>
          <w:sz w:val="28"/>
          <w:sz w:val="28"/>
          <w:szCs w:val="28"/>
          <w:rtl w:val="true"/>
          <w:lang w:bidi="ar-SA"/>
        </w:rPr>
        <w:t xml:space="preserve">، و غيره أنّ ذلك من جهة إطلاق الخمر على كلّ مسكر في كثير من الأخبار، كرواية عطاء </w:t>
      </w:r>
    </w:p>
    <w:p>
      <w:pPr>
        <w:pStyle w:val="BookText"/>
        <w:rPr/>
      </w:pPr>
      <w:r>
        <w:rPr>
          <w:rFonts w:ascii="Amiri" w:hAnsi="Amiri" w:eastAsia="Amiri" w:cs="Amiri"/>
          <w:color w:val="111111"/>
          <w:sz w:val="28"/>
          <w:sz w:val="28"/>
          <w:szCs w:val="28"/>
          <w:rtl w:val="true"/>
          <w:lang w:bidi="ar-SA"/>
        </w:rPr>
        <w:t>ابن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r>
        <w:rPr>
          <w:rStyle w:val="FootnoteAnchor"/>
          <w:rtl w:val="true"/>
        </w:rPr>
        <w:footnoteReference w:id="2350"/>
      </w:r>
      <w:r>
        <w:rPr>
          <w:rFonts w:ascii="Amiri" w:hAnsi="Amiri" w:eastAsia="Amiri" w:cs="Amiri"/>
          <w:color w:val="111111"/>
          <w:sz w:val="28"/>
          <w:sz w:val="28"/>
          <w:szCs w:val="28"/>
          <w:rtl w:val="true"/>
          <w:lang w:bidi="ar-SA"/>
        </w:rPr>
        <w:t>، و رواية عليّ بن يقطين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الخمر لاسمها، و 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يعترض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بنى على هذا العموم لزم عدم الفرق بين الجامد و المائع، و لو بنى على ظهور التنزيل في حرمة التناول خاصّة خرج ما عدا الخمر، لاختصاص ما فيه من الأمر بنزح الكلّ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المدارك</w:t>
      </w:r>
      <w:r>
        <w:rPr>
          <w:rStyle w:val="FootnoteAnchor"/>
          <w:rtl w:val="true"/>
        </w:rPr>
        <w:footnoteReference w:id="2352"/>
      </w:r>
      <w:r>
        <w:rPr>
          <w:rFonts w:ascii="Amiri" w:hAnsi="Amiri" w:eastAsia="Amiri" w:cs="Amiri"/>
          <w:color w:val="111111"/>
          <w:sz w:val="28"/>
          <w:sz w:val="28"/>
          <w:szCs w:val="28"/>
          <w:rtl w:val="true"/>
          <w:lang w:bidi="ar-SA"/>
        </w:rPr>
        <w:t>من أنّ الإطلاق أعمّ من الحقيقة، و المجاز خير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الأوّل مع القول بموجب العموم المذكور لو لا ما يوجب الخروج عنه بالقياس إلى الجامد من الدلالة على عدم نجاسته، و قد عرفت نقل الاتّفاق عليه، و كلّ عامّ قابل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بالإطلاق ليس لغرض إثبات الوضع و الحقيقة حتّى يقابل بما ذكر، مع ما فيه من عدم جريانه بالنسبة إلى احتمال الاشتراك المعنوي كما قرّر في محلّه، و إنّما المقصود به إثبات الإطلاق على نحو الاستعارة و التشبيه ليحرز به ما هو مناط قاعدتهم المعروفة من أنّ التشبيه يفيد المشاركة في الأحكام مطلقة أو الظاهرة منها خاصّة، نعم يشكل ذلك بمنع كون وجوب نزح الجميع من الأحكام الظاهرة، و المحقّق عدم اقتضاء التشبيه إلاّ المشاركة فيها خاصّة، و من هنا اتّجه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قيل بنزح الجميع فيما لا نصّ فيه عمّ الحكم لغير الخمر أيضا و إلاّ فللتأمّل فيه مجال واسع</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تبيّن الحال في الفقّاع الّذي حكى عن الشيخ</w:t>
      </w:r>
      <w:r>
        <w:rPr>
          <w:rStyle w:val="FootnoteAnchor"/>
          <w:rtl w:val="true"/>
        </w:rPr>
        <w:footnoteReference w:id="2353"/>
      </w:r>
      <w:r>
        <w:rPr>
          <w:rFonts w:ascii="Amiri" w:hAnsi="Amiri" w:eastAsia="Amiri" w:cs="Amiri"/>
          <w:color w:val="111111"/>
          <w:sz w:val="28"/>
          <w:sz w:val="28"/>
          <w:szCs w:val="28"/>
          <w:rtl w:val="true"/>
          <w:lang w:bidi="ar-SA"/>
        </w:rPr>
        <w:t>إلحاقه بالخمر، و عن أبي الصلاح</w:t>
      </w:r>
      <w:r>
        <w:rPr>
          <w:rStyle w:val="FootnoteAnchor"/>
          <w:rtl w:val="true"/>
        </w:rPr>
        <w:footnoteReference w:id="2354"/>
      </w:r>
      <w:r>
        <w:rPr>
          <w:rFonts w:ascii="Amiri" w:hAnsi="Amiri" w:eastAsia="Amiri" w:cs="Amiri"/>
          <w:color w:val="111111"/>
          <w:sz w:val="28"/>
          <w:sz w:val="28"/>
          <w:szCs w:val="28"/>
          <w:rtl w:val="true"/>
          <w:lang w:bidi="ar-SA"/>
        </w:rPr>
        <w:t>أنّه تبعه، و كذلك ابن إدريس</w:t>
      </w:r>
      <w:r>
        <w:rPr>
          <w:rStyle w:val="FootnoteAnchor"/>
          <w:rtl w:val="true"/>
        </w:rPr>
        <w:footnoteReference w:id="2355"/>
      </w:r>
      <w:r>
        <w:rPr>
          <w:rFonts w:ascii="Amiri" w:hAnsi="Amiri" w:eastAsia="Amiri" w:cs="Amiri"/>
          <w:color w:val="111111"/>
          <w:sz w:val="28"/>
          <w:sz w:val="28"/>
          <w:szCs w:val="28"/>
          <w:rtl w:val="true"/>
          <w:lang w:bidi="ar-SA"/>
        </w:rPr>
        <w:t>و غيره</w:t>
      </w:r>
      <w:r>
        <w:rPr>
          <w:rStyle w:val="FootnoteAnchor"/>
          <w:rtl w:val="true"/>
        </w:rPr>
        <w:footnoteReference w:id="2356"/>
      </w:r>
      <w:r>
        <w:rPr>
          <w:rFonts w:ascii="IRNazanin" w:hAnsi="IRNazanin" w:eastAsia="IRNazanin"/>
          <w:color w:val="111111"/>
          <w:sz w:val="28"/>
          <w:sz w:val="28"/>
          <w:szCs w:val="28"/>
          <w:rtl w:val="true"/>
          <w:lang w:bidi="fa-IR"/>
        </w:rPr>
        <w:t>، بل عنه</w:t>
      </w:r>
      <w:r>
        <w:rPr>
          <w:rStyle w:val="FootnoteAnchor"/>
          <w:rtl w:val="true"/>
        </w:rPr>
        <w:footnoteReference w:id="2357"/>
      </w:r>
      <w:r>
        <w:rPr>
          <w:rFonts w:ascii="Amiri" w:hAnsi="Amiri" w:eastAsia="Amiri" w:cs="Amiri"/>
          <w:color w:val="111111"/>
          <w:sz w:val="28"/>
          <w:sz w:val="28"/>
          <w:szCs w:val="28"/>
          <w:rtl w:val="true"/>
          <w:lang w:bidi="ar-SA"/>
        </w:rPr>
        <w:t>كابن زهرة</w:t>
      </w:r>
      <w:r>
        <w:rPr>
          <w:rStyle w:val="FootnoteAnchor"/>
          <w:rtl w:val="true"/>
        </w:rPr>
        <w:footnoteReference w:id="2358"/>
      </w:r>
      <w:r>
        <w:rPr>
          <w:rFonts w:ascii="Amiri" w:hAnsi="Amiri" w:eastAsia="Amiri" w:cs="Amiri"/>
          <w:color w:val="111111"/>
          <w:sz w:val="28"/>
          <w:sz w:val="28"/>
          <w:szCs w:val="28"/>
          <w:rtl w:val="true"/>
          <w:lang w:bidi="ar-SA"/>
        </w:rPr>
        <w:t xml:space="preserve">دعوى الإجماع عليه، فإنّ ذلك أيضا ممّا لا مستند له في الأخبار عدا ورود إطلاق الخمر عليه </w:t>
      </w:r>
    </w:p>
    <w:p>
      <w:pPr>
        <w:pStyle w:val="BookText"/>
        <w:rPr/>
      </w:pPr>
      <w:r>
        <w:rPr>
          <w:rFonts w:ascii="Amiri" w:hAnsi="Amiri" w:eastAsia="Amiri" w:cs="Amiri"/>
          <w:color w:val="111111"/>
          <w:sz w:val="28"/>
          <w:sz w:val="28"/>
          <w:szCs w:val="28"/>
          <w:rtl w:val="true"/>
          <w:lang w:bidi="ar-SA"/>
        </w:rPr>
        <w:t>في كثير منها، كرواية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الفقّاع؟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فإنّه خمر مجهول</w:t>
      </w:r>
      <w:r>
        <w:rPr>
          <w:rFonts w:eastAsia="IRNazanin" w:cs="IRNazanin"/>
          <w:color w:val="111111"/>
          <w:sz w:val="28"/>
          <w:szCs w:val="28"/>
          <w:rtl w:val="true"/>
          <w:lang w:bidi="fa-IR"/>
        </w:rPr>
        <w:t>»</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حرام و هو خمر</w:t>
      </w:r>
      <w:r>
        <w:rPr>
          <w:rFonts w:eastAsia="Amiri" w:cs="Amiri" w:ascii="Amiri" w:hAnsi="Amiri"/>
          <w:color w:val="111111"/>
          <w:sz w:val="28"/>
          <w:szCs w:val="28"/>
          <w:rtl w:val="true"/>
          <w:lang w:bidi="ar-SA"/>
        </w:rPr>
        <w:t>»</w:t>
      </w:r>
      <w:r>
        <w:rPr>
          <w:rStyle w:val="FootnoteAnchor"/>
          <w:rtl w:val="true"/>
        </w:rPr>
        <w:footnoteReference w:id="2360"/>
      </w:r>
      <w:r>
        <w:rPr>
          <w:rFonts w:ascii="Amiri" w:hAnsi="Amiri" w:eastAsia="Amiri" w:cs="Amiri"/>
          <w:color w:val="111111"/>
          <w:sz w:val="28"/>
          <w:sz w:val="28"/>
          <w:szCs w:val="28"/>
          <w:rtl w:val="true"/>
          <w:lang w:bidi="ar-SA"/>
        </w:rPr>
        <w:t>و عن أبي الحسن الأخير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خمر استصغرها الناس</w:t>
      </w:r>
      <w:r>
        <w:rPr>
          <w:rFonts w:eastAsia="Amiri" w:cs="Amiri" w:ascii="Amiri" w:hAnsi="Amiri"/>
          <w:color w:val="111111"/>
          <w:sz w:val="28"/>
          <w:szCs w:val="28"/>
          <w:rtl w:val="true"/>
          <w:lang w:bidi="ar-SA"/>
        </w:rPr>
        <w:t>»</w:t>
      </w:r>
      <w:r>
        <w:rPr>
          <w:rStyle w:val="FootnoteAnchor"/>
          <w:rtl w:val="true"/>
        </w:rPr>
        <w:footnoteReference w:id="2361"/>
      </w:r>
      <w:r>
        <w:rPr>
          <w:rFonts w:ascii="Amiri" w:hAnsi="Amiri" w:eastAsia="Amiri" w:cs="Amiri"/>
          <w:color w:val="111111"/>
          <w:sz w:val="28"/>
          <w:sz w:val="28"/>
          <w:szCs w:val="28"/>
          <w:rtl w:val="true"/>
          <w:lang w:bidi="ar-SA"/>
        </w:rPr>
        <w:t>و الظاهر أنّ هذا هو مستند الحكم كما في كلام جماعة، و اعترض عليه أيضا في المدارك</w:t>
      </w:r>
      <w:r>
        <w:rPr>
          <w:rStyle w:val="FootnoteAnchor"/>
          <w:rtl w:val="true"/>
        </w:rPr>
        <w:footnoteReference w:id="2362"/>
      </w:r>
      <w:r>
        <w:rPr>
          <w:rFonts w:ascii="Amiri" w:hAnsi="Amiri" w:eastAsia="Amiri" w:cs="Amiri"/>
          <w:color w:val="111111"/>
          <w:sz w:val="28"/>
          <w:sz w:val="28"/>
          <w:szCs w:val="28"/>
          <w:rtl w:val="true"/>
          <w:lang w:bidi="ar-SA"/>
        </w:rPr>
        <w:t>بنحو ما مرّ، و قد تقدّم الجواب عنه مع المناقشة في أصل الاستدلال من وجه آخر، بل النظر في سياق الأخبار و ملاحظة صدرها و ذيلها يعطي عدم ورودها إلاّ لإفادة حكم التحريم، و إن بنينا في أصل مسألة التشبيه على التعميم، فالإشكال في الفقّاع هو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موضوع الفقّاع فعن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كرمّان، هذا الّذي يشرب، و إنّما سمّي بذلك لما يرتفع في رأسه من الزبد</w:t>
      </w:r>
      <w:r>
        <w:rPr>
          <w:rFonts w:eastAsia="Amiri" w:cs="Amiri" w:ascii="Amiri" w:hAnsi="Amiri"/>
          <w:color w:val="111111"/>
          <w:sz w:val="28"/>
          <w:szCs w:val="28"/>
          <w:rtl w:val="true"/>
          <w:lang w:bidi="ar-SA"/>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يشرب يتّخذ من ماء الشعير فقط و ليس بمسكر و لكن ورد النهي عنه</w:t>
      </w:r>
      <w:r>
        <w:rPr>
          <w:rFonts w:eastAsia="Amiri" w:cs="Amiri" w:ascii="Amiri" w:hAnsi="Amiri"/>
          <w:color w:val="111111"/>
          <w:sz w:val="28"/>
          <w:szCs w:val="28"/>
          <w:rtl w:val="true"/>
          <w:lang w:bidi="ar-SA"/>
        </w:rPr>
        <w:t>»</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الفقّاع هو الشراب المتّخذ من الشعير</w:t>
      </w:r>
      <w:r>
        <w:rPr>
          <w:rFonts w:eastAsia="Amiri" w:cs="Amiri" w:ascii="Amiri" w:hAnsi="Amiri"/>
          <w:color w:val="111111"/>
          <w:sz w:val="28"/>
          <w:szCs w:val="28"/>
          <w:rtl w:val="true"/>
          <w:lang w:bidi="ar-SA"/>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الشيخ عليّ للشرائع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به ما يتّخذ من الشعير و يسمّى بالغبيراء</w:t>
      </w:r>
      <w:r>
        <w:rPr>
          <w:rFonts w:eastAsia="Amiri" w:cs="Amiri" w:ascii="Amiri" w:hAnsi="Amiri"/>
          <w:color w:val="111111"/>
          <w:sz w:val="28"/>
          <w:szCs w:val="28"/>
          <w:rtl w:val="true"/>
          <w:lang w:bidi="ar-SA"/>
        </w:rPr>
        <w:t>»</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في الذكرى إلحاق العصير العنبي به بعد ما غلى و اشتدّ</w:t>
      </w:r>
      <w:r>
        <w:rPr>
          <w:rStyle w:val="FootnoteAnchor"/>
          <w:rtl w:val="true"/>
        </w:rPr>
        <w:footnoteReference w:id="2367"/>
      </w:r>
      <w:r>
        <w:rPr>
          <w:rFonts w:ascii="Amiri" w:hAnsi="Amiri" w:eastAsia="Amiri" w:cs="Amiri"/>
          <w:color w:val="111111"/>
          <w:sz w:val="28"/>
          <w:sz w:val="28"/>
          <w:szCs w:val="28"/>
          <w:rtl w:val="true"/>
          <w:lang w:bidi="ar-SA"/>
        </w:rPr>
        <w:t>، و استبعده في الروضة</w:t>
      </w:r>
      <w:r>
        <w:rPr>
          <w:rStyle w:val="FootnoteAnchor"/>
          <w:rtl w:val="true"/>
        </w:rPr>
        <w:footnoteReference w:id="2368"/>
      </w:r>
      <w:r>
        <w:rPr>
          <w:rFonts w:ascii="Amiri" w:hAnsi="Amiri" w:eastAsia="Amiri" w:cs="Amiri"/>
          <w:color w:val="111111"/>
          <w:sz w:val="28"/>
          <w:sz w:val="28"/>
          <w:szCs w:val="28"/>
          <w:rtl w:val="true"/>
          <w:lang w:bidi="ar-SA"/>
        </w:rPr>
        <w:t>، و منعه في المدارك</w:t>
      </w:r>
      <w:r>
        <w:rPr>
          <w:rStyle w:val="FootnoteAnchor"/>
          <w:rtl w:val="true"/>
        </w:rPr>
        <w:footnoteReference w:id="2369"/>
      </w:r>
      <w:r>
        <w:rPr>
          <w:rFonts w:ascii="Amiri" w:hAnsi="Amiri" w:eastAsia="Amiri" w:cs="Amiri"/>
          <w:color w:val="111111"/>
          <w:sz w:val="28"/>
          <w:sz w:val="28"/>
          <w:szCs w:val="28"/>
          <w:rtl w:val="true"/>
          <w:lang w:bidi="ar-SA"/>
        </w:rPr>
        <w:t>عملا بالأصل السالم عن المعارض، و عن حاشية المدارك للمحقّق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ما نقل في المسكر و الفقّاع وارد في العصير أيضا، بل </w:t>
      </w:r>
    </w:p>
    <w:p>
      <w:pPr>
        <w:pStyle w:val="BookText"/>
        <w:rPr/>
      </w:pPr>
      <w:r>
        <w:rPr>
          <w:rFonts w:ascii="Amiri" w:hAnsi="Amiri" w:eastAsia="Amiri" w:cs="Amiri"/>
          <w:color w:val="111111"/>
          <w:sz w:val="28"/>
          <w:sz w:val="28"/>
          <w:szCs w:val="28"/>
          <w:rtl w:val="true"/>
          <w:lang w:bidi="ar-SA"/>
        </w:rPr>
        <w:t>و أشدّ، يظهر ذلك من الأخبار الواردة في علّة حرمة الخمر، لاحظ الكافي و غيره</w:t>
      </w:r>
      <w:r>
        <w:rPr>
          <w:rFonts w:eastAsia="Amiri" w:cs="Amiri" w:ascii="Amiri" w:hAnsi="Amiri"/>
          <w:color w:val="111111"/>
          <w:sz w:val="28"/>
          <w:szCs w:val="28"/>
          <w:rtl w:val="true"/>
          <w:lang w:bidi="ar-SA"/>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يجعل من تلك الأخبار المشار إليها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 البتع من العسل، و المزر من الشعير، و النبيذ من التمر</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 جماعة بمنيّ ذي النفس السائلة إنسانا كان أو غيره، و قيل باختصاصه بمنيّ الإنسان و أنّ غيره ملحق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النوعين كذلك</w:t>
      </w:r>
      <w:r>
        <w:rPr>
          <w:rStyle w:val="FootnoteAnchor"/>
          <w:rtl w:val="true"/>
        </w:rPr>
        <w:footnoteReference w:id="2372"/>
      </w:r>
      <w:r>
        <w:rPr>
          <w:rFonts w:ascii="Amiri" w:hAnsi="Amiri" w:eastAsia="Amiri" w:cs="Amiri"/>
          <w:color w:val="111111"/>
          <w:sz w:val="28"/>
          <w:sz w:val="28"/>
          <w:szCs w:val="28"/>
          <w:rtl w:val="true"/>
          <w:lang w:bidi="ar-SA"/>
        </w:rPr>
        <w:t>و الوجه في ذلك ما اعترف به غير واحد كما في المنتهى</w:t>
      </w:r>
      <w:r>
        <w:rPr>
          <w:rStyle w:val="FootnoteAnchor"/>
          <w:rtl w:val="true"/>
        </w:rPr>
        <w:footnoteReference w:id="23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عن 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النهاية لأبي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يقفوا فيه على نصّ، و لا ورد فيه مقدّر شرعي، و إن كان ممّا قال به الشيخ و تبعه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الشيخ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اشتهر القول بذلك بين الأصحاب</w:t>
      </w:r>
      <w:r>
        <w:rPr>
          <w:rFonts w:eastAsia="Amiri" w:cs="Amiri" w:ascii="Amiri" w:hAnsi="Amiri"/>
          <w:color w:val="111111"/>
          <w:sz w:val="28"/>
          <w:szCs w:val="28"/>
          <w:rtl w:val="true"/>
          <w:lang w:bidi="ar-SA"/>
        </w:rPr>
        <w:t>»</w:t>
      </w:r>
      <w:r>
        <w:rPr>
          <w:rStyle w:val="FootnoteAnchor"/>
          <w:rtl w:val="true"/>
        </w:rPr>
        <w:footnoteReference w:id="2374"/>
      </w:r>
      <w:r>
        <w:rPr>
          <w:rFonts w:ascii="Amiri" w:hAnsi="Amiri" w:eastAsia="Amiri" w:cs="Amiri"/>
          <w:color w:val="111111"/>
          <w:sz w:val="28"/>
          <w:sz w:val="28"/>
          <w:szCs w:val="28"/>
          <w:rtl w:val="true"/>
          <w:lang w:bidi="ar-SA"/>
        </w:rPr>
        <w:t>، بل عن الغنية</w:t>
      </w:r>
      <w:r>
        <w:rPr>
          <w:rStyle w:val="FootnoteAnchor"/>
          <w:rtl w:val="true"/>
        </w:rPr>
        <w:footnoteReference w:id="2375"/>
      </w:r>
      <w:r>
        <w:rPr>
          <w:rFonts w:ascii="IRNazanin" w:hAnsi="IRNazanin" w:eastAsia="IRNazanin"/>
          <w:color w:val="111111"/>
          <w:sz w:val="28"/>
          <w:sz w:val="28"/>
          <w:szCs w:val="28"/>
          <w:rtl w:val="true"/>
          <w:lang w:bidi="fa-IR"/>
        </w:rPr>
        <w:t>و السرائر</w:t>
      </w:r>
      <w:r>
        <w:rPr>
          <w:rStyle w:val="FootnoteAnchor"/>
          <w:rtl w:val="true"/>
        </w:rPr>
        <w:footnoteReference w:id="2376"/>
      </w:r>
      <w:r>
        <w:rPr>
          <w:rFonts w:ascii="Amiri" w:hAnsi="Amiri" w:eastAsia="Amiri" w:cs="Amiri"/>
          <w:color w:val="111111"/>
          <w:sz w:val="28"/>
          <w:sz w:val="28"/>
          <w:szCs w:val="28"/>
          <w:rtl w:val="true"/>
          <w:lang w:bidi="ar-SA"/>
        </w:rPr>
        <w:t xml:space="preserve">الإجماع عليه، و في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القول بأنّه ماء محكوم بنجاسته، و تقدير بعض المنزوحات ترجيح من غير مرجّح فيجب الجميع</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قياسه الكلام في الدماء الثلاثة، فإنّ القول بوجوب نزح الجميع فيها منقول عن الشيخ</w:t>
      </w:r>
      <w:r>
        <w:rPr>
          <w:rStyle w:val="FootnoteAnchor"/>
          <w:rtl w:val="true"/>
        </w:rPr>
        <w:footnoteReference w:id="2377"/>
      </w:r>
      <w:r>
        <w:rPr>
          <w:rFonts w:ascii="IRNazanin" w:hAnsi="IRNazanin" w:eastAsia="IRNazanin"/>
          <w:color w:val="111111"/>
          <w:sz w:val="28"/>
          <w:sz w:val="28"/>
          <w:szCs w:val="28"/>
          <w:rtl w:val="true"/>
          <w:lang w:bidi="fa-IR"/>
        </w:rPr>
        <w:t>و تبعه السلاّر</w:t>
      </w:r>
      <w:r>
        <w:rPr>
          <w:rStyle w:val="FootnoteAnchor"/>
          <w:rtl w:val="true"/>
        </w:rPr>
        <w:footnoteReference w:id="2378"/>
      </w:r>
      <w:r>
        <w:rPr>
          <w:rFonts w:ascii="IRNazanin" w:hAnsi="IRNazanin" w:eastAsia="IRNazanin"/>
          <w:color w:val="111111"/>
          <w:sz w:val="28"/>
          <w:sz w:val="28"/>
          <w:szCs w:val="28"/>
          <w:rtl w:val="true"/>
          <w:lang w:bidi="fa-IR"/>
        </w:rPr>
        <w:t>، و ابن البرّاج</w:t>
      </w:r>
      <w:r>
        <w:rPr>
          <w:rStyle w:val="FootnoteAnchor"/>
          <w:rtl w:val="true"/>
        </w:rPr>
        <w:footnoteReference w:id="2379"/>
      </w:r>
      <w:r>
        <w:rPr>
          <w:rFonts w:ascii="Amiri" w:hAnsi="Amiri" w:eastAsia="Amiri" w:cs="Amiri"/>
          <w:color w:val="111111"/>
          <w:sz w:val="28"/>
          <w:sz w:val="28"/>
          <w:szCs w:val="28"/>
          <w:rtl w:val="true"/>
          <w:lang w:bidi="ar-SA"/>
        </w:rPr>
        <w:t>، و ابن إدريس</w:t>
      </w:r>
      <w:r>
        <w:rPr>
          <w:rStyle w:val="FootnoteAnchor"/>
          <w:rtl w:val="true"/>
        </w:rPr>
        <w:footnoteReference w:id="2380"/>
      </w:r>
      <w:r>
        <w:rPr>
          <w:rFonts w:ascii="Amiri" w:hAnsi="Amiri" w:eastAsia="Amiri" w:cs="Amiri"/>
          <w:color w:val="111111"/>
          <w:sz w:val="28"/>
          <w:sz w:val="28"/>
          <w:szCs w:val="28"/>
          <w:rtl w:val="true"/>
          <w:lang w:bidi="ar-SA"/>
        </w:rPr>
        <w:t>، و ابن الزهرة</w:t>
      </w:r>
      <w:r>
        <w:rPr>
          <w:rStyle w:val="FootnoteAnchor"/>
          <w:rtl w:val="true"/>
        </w:rPr>
        <w:footnoteReference w:id="2381"/>
      </w:r>
      <w:r>
        <w:rPr>
          <w:rFonts w:ascii="Amiri" w:hAnsi="Amiri" w:eastAsia="Amiri" w:cs="Amiri"/>
          <w:color w:val="111111"/>
          <w:sz w:val="28"/>
          <w:sz w:val="28"/>
          <w:szCs w:val="28"/>
          <w:rtl w:val="true"/>
          <w:lang w:bidi="ar-SA"/>
        </w:rPr>
        <w:t>، بل عنهما دعوى الإجماع عليه، و اعترف غير هؤلاء بعدم ورود حديث في ذلك، و لذا عزي إلى المفيد</w:t>
      </w:r>
      <w:r>
        <w:rPr>
          <w:rStyle w:val="FootnoteAnchor"/>
          <w:rtl w:val="true"/>
        </w:rPr>
        <w:footnoteReference w:id="2382"/>
      </w:r>
      <w:r>
        <w:rPr>
          <w:rFonts w:ascii="Amiri" w:hAnsi="Amiri" w:eastAsia="Amiri" w:cs="Amiri"/>
          <w:color w:val="111111"/>
          <w:sz w:val="28"/>
          <w:sz w:val="28"/>
          <w:szCs w:val="28"/>
          <w:rtl w:val="true"/>
          <w:lang w:bidi="ar-SA"/>
        </w:rPr>
        <w:t>إطلاق القول في الدم بنزح عشرة لكثيره و خمسة لقليله، و مثله ابن بابويه و أبوه</w:t>
      </w:r>
      <w:r>
        <w:rPr>
          <w:rStyle w:val="FootnoteAnchor"/>
          <w:rtl w:val="true"/>
        </w:rPr>
        <w:footnoteReference w:id="2383"/>
      </w:r>
      <w:r>
        <w:rPr>
          <w:rFonts w:ascii="Amiri" w:hAnsi="Amiri" w:eastAsia="Amiri" w:cs="Amiri"/>
          <w:color w:val="111111"/>
          <w:sz w:val="28"/>
          <w:sz w:val="28"/>
          <w:szCs w:val="28"/>
          <w:rtl w:val="true"/>
          <w:lang w:bidi="ar-SA"/>
        </w:rPr>
        <w:t>في عدم التفصيل و إن خالفاه في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المعتبر أنّه كسائر الدماء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قول الشيخ بعد الاعتراف بعدم عثوره على نصّ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الشيخ نظر إلى اختصاص دم الحيض بوجوب إزالة قليله و كثيره من الثوب، فغلّظ حكمه في البئر و ألحق به الدمين الآخرين، لكن هذا التعليل ضعيف، فالأصل أنّ حكمه حكم بقيّة الدماء عملا بالأحاديث المطلقة</w:t>
      </w:r>
      <w:r>
        <w:rPr>
          <w:rFonts w:eastAsia="Amiri" w:cs="Amiri" w:ascii="Amiri" w:hAnsi="Amiri"/>
          <w:color w:val="111111"/>
          <w:sz w:val="28"/>
          <w:szCs w:val="28"/>
          <w:rtl w:val="true"/>
          <w:lang w:bidi="ar-SA"/>
        </w:rPr>
        <w:t>»</w:t>
      </w:r>
      <w:r>
        <w:rPr>
          <w:rStyle w:val="FootnoteAnchor"/>
          <w:rtl w:val="true"/>
        </w:rPr>
        <w:footnoteReference w:id="23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تنظر فيما ادّعاه من إطلاق الأحاديث بعد ما استوجه التسوية بينه و بين بقيّة الدماء، و استحسن ما ذكره من ضعف التعلّق بالتوجيه المذكور، و لعلّ وجه النظر في دعوى الإطلاق ما قيل فيه من دعوى الانصراف، المقتضي للحوق المقام بما لا نصّ فيه، لكنّه عند التأمّل في حيّز المنع، و الظاهر أنّ الإطلاق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يحكى عن ابن البرّاج</w:t>
      </w:r>
      <w:r>
        <w:rPr>
          <w:rStyle w:val="FootnoteAnchor"/>
          <w:rtl w:val="true"/>
        </w:rPr>
        <w:footnoteReference w:id="2385"/>
      </w:r>
      <w:r>
        <w:rPr>
          <w:rFonts w:ascii="Amiri" w:hAnsi="Amiri" w:eastAsia="Amiri" w:cs="Amiri"/>
          <w:color w:val="111111"/>
          <w:sz w:val="28"/>
          <w:sz w:val="28"/>
          <w:szCs w:val="28"/>
          <w:rtl w:val="true"/>
          <w:lang w:bidi="ar-SA"/>
        </w:rPr>
        <w:t>قول بوجوب نزح الجميع لعرق الجنب حراما، و عرق الإبل الجلاّلة، و الفيل، و آخر عن أبي الصلاح</w:t>
      </w:r>
      <w:r>
        <w:rPr>
          <w:rStyle w:val="FootnoteAnchor"/>
          <w:rtl w:val="true"/>
        </w:rPr>
        <w:footnoteReference w:id="2386"/>
      </w:r>
      <w:r>
        <w:rPr>
          <w:rFonts w:ascii="Amiri" w:hAnsi="Amiri" w:eastAsia="Amiri" w:cs="Amiri"/>
          <w:color w:val="111111"/>
          <w:sz w:val="28"/>
          <w:sz w:val="28"/>
          <w:szCs w:val="28"/>
          <w:rtl w:val="true"/>
          <w:lang w:bidi="ar-SA"/>
        </w:rPr>
        <w:t>بوجوبه لروث و بول ما لا يؤكل لحمه مطلقا، كما نسبه العلاّمة في المختلف</w:t>
      </w:r>
      <w:r>
        <w:rPr>
          <w:rStyle w:val="FootnoteAnchor"/>
          <w:rtl w:val="true"/>
        </w:rPr>
        <w:footnoteReference w:id="2387"/>
      </w:r>
      <w:r>
        <w:rPr>
          <w:rFonts w:ascii="Amiri" w:hAnsi="Amiri" w:eastAsia="Amiri" w:cs="Amiri"/>
          <w:color w:val="111111"/>
          <w:sz w:val="28"/>
          <w:sz w:val="28"/>
          <w:szCs w:val="28"/>
          <w:rtl w:val="true"/>
          <w:lang w:bidi="ar-SA"/>
        </w:rPr>
        <w:t>أو في غير بول الصبي و الرجل كما نسبه في الذكرى</w:t>
      </w:r>
      <w:r>
        <w:rPr>
          <w:rStyle w:val="FootnoteAnchor"/>
          <w:rtl w:val="true"/>
        </w:rPr>
        <w:footnoteReference w:id="2388"/>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الجميع بعدم ورود الدليل عليه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القائل لعلّه يقول بوجوب نزح الجميع فيما لا نصّ فيه، فاعترض بأن لا وجه حينئذ لإفراد هذه الامور بالذكر، و كأنّه لذا عدّ الشهيد في الدروس</w:t>
      </w:r>
      <w:r>
        <w:rPr>
          <w:rStyle w:val="FootnoteAnchor"/>
          <w:rtl w:val="true"/>
        </w:rPr>
        <w:footnoteReference w:id="2389"/>
      </w:r>
      <w:r>
        <w:rPr>
          <w:rFonts w:ascii="Amiri" w:hAnsi="Amiri" w:eastAsia="Amiri" w:cs="Amiri"/>
          <w:color w:val="111111"/>
          <w:sz w:val="28"/>
          <w:sz w:val="28"/>
          <w:szCs w:val="28"/>
          <w:rtl w:val="true"/>
          <w:lang w:bidi="ar-SA"/>
        </w:rPr>
        <w:t>من جملة ما يجب فيه نزح الجميع نجاسة لا نصّ فيها بناء له على الأحوط، و نحوه محكيّ عن الشيخ في المبسوط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الاحتياط يقتضي نزح جميع الماء</w:t>
      </w:r>
      <w:r>
        <w:rPr>
          <w:rFonts w:eastAsia="Amiri" w:cs="Amiri" w:ascii="Amiri" w:hAnsi="Amiri"/>
          <w:color w:val="111111"/>
          <w:sz w:val="28"/>
          <w:szCs w:val="28"/>
          <w:rtl w:val="true"/>
          <w:lang w:bidi="ar-SA"/>
        </w:rPr>
        <w:t>»</w:t>
      </w:r>
      <w:r>
        <w:rPr>
          <w:rStyle w:val="FootnoteAnchor"/>
          <w:rtl w:val="true"/>
        </w:rPr>
        <w:footnoteReference w:id="2390"/>
      </w:r>
      <w:r>
        <w:rPr>
          <w:rFonts w:ascii="Amiri" w:hAnsi="Amiri" w:eastAsia="Amiri" w:cs="Amiri"/>
          <w:color w:val="111111"/>
          <w:sz w:val="28"/>
          <w:sz w:val="28"/>
          <w:szCs w:val="28"/>
          <w:rtl w:val="true"/>
          <w:lang w:bidi="ar-SA"/>
        </w:rPr>
        <w:t xml:space="preserve">و يظهر منه الميل إلى اختيار أربعين الّذي هو أحد أقوال المسألة،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الكلام المذكور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أربعين دلوا منها،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دلوا إن صارت مبخرة</w:t>
      </w:r>
      <w:r>
        <w:rPr>
          <w:rFonts w:eastAsia="Amiri" w:cs="Amiri" w:ascii="Amiri" w:hAnsi="Amiri"/>
          <w:color w:val="111111"/>
          <w:sz w:val="28"/>
          <w:szCs w:val="28"/>
          <w:rtl w:val="true"/>
          <w:lang w:bidi="ar-SA"/>
        </w:rPr>
        <w:t>»</w:t>
      </w:r>
      <w:r>
        <w:rPr>
          <w:rStyle w:val="FootnoteAnchor"/>
          <w:rtl w:val="true"/>
        </w:rPr>
        <w:footnoteReference w:id="2391"/>
      </w:r>
      <w:r>
        <w:rPr>
          <w:rFonts w:ascii="Amiri" w:hAnsi="Amiri" w:eastAsia="Amiri" w:cs="Amiri"/>
          <w:color w:val="111111"/>
          <w:sz w:val="28"/>
          <w:sz w:val="28"/>
          <w:szCs w:val="28"/>
          <w:rtl w:val="true"/>
          <w:lang w:bidi="ar-SA"/>
        </w:rPr>
        <w:t xml:space="preserve">، و في بعض النسخ المحكيّة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صارت منجرة</w:t>
      </w:r>
      <w:r>
        <w:rPr>
          <w:rFonts w:eastAsia="Amiri" w:cs="Amiri" w:ascii="Amiri" w:hAnsi="Amiri"/>
          <w:color w:val="111111"/>
          <w:sz w:val="28"/>
          <w:szCs w:val="28"/>
          <w:rtl w:val="true"/>
          <w:lang w:bidi="ar-SA"/>
        </w:rPr>
        <w:t>»</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نعقل معنى هذه الرواية و لا وجه الاستدلال بها، مع ما فيها من ضعف السند بالإرسال، و لذا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ذلك في كتب الأخبار مع عدم معلوميّة حال سنده بل و قصور دلالته، لمكان عدم كون متعلّق نزح أربعين مذكورا و الدلالة موقوفة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هذا كاف في القدح و إن قلنا بما قيل في دفع الأوّلين من أنّ الشيخ ثقة ثبت فلا يضرّ إرساله، لأنّه لا يرسل إلاّ من الثقات، و القول بأنّ الظاهر من احتجاجه دلالة صدره على محلّ النزاع في دفع الأخير ممّا لا ينبغي الإصغاء إليه، بعد ملاحظة أنّ الخطاء غير مأمون على المجتهد و لا عبرة باجتهاد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رواية اخرى ذكرها العلاّمة في المختلف</w:t>
      </w:r>
      <w:r>
        <w:rPr>
          <w:rStyle w:val="FootnoteAnchor"/>
          <w:rtl w:val="true"/>
        </w:rPr>
        <w:footnoteReference w:id="2393"/>
      </w:r>
      <w:r>
        <w:rPr>
          <w:rFonts w:ascii="Amiri" w:hAnsi="Amiri" w:eastAsia="Amiri" w:cs="Amiri"/>
          <w:color w:val="111111"/>
          <w:sz w:val="28"/>
          <w:sz w:val="28"/>
          <w:szCs w:val="28"/>
          <w:rtl w:val="true"/>
          <w:lang w:bidi="ar-SA"/>
        </w:rPr>
        <w:t>عن كتابه المسمّى بمدارك الأحكام، و هو ما رواه الحسين بن سعيد، عن محمّد بن أبي عمير، عن كردويه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بئر يدخلها ماء المطر فيه البول، و العذرة، و أبوال الدوابّ و أرواثها، و خرء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 و إن كانت مبخرة</w:t>
      </w:r>
      <w:r>
        <w:rPr>
          <w:rFonts w:eastAsia="Amiri" w:cs="Amiri" w:ascii="Amiri" w:hAnsi="Amiri"/>
          <w:color w:val="111111"/>
          <w:sz w:val="28"/>
          <w:szCs w:val="28"/>
          <w:rtl w:val="true"/>
          <w:lang w:bidi="ar-SA"/>
        </w:rPr>
        <w:t>»</w:t>
      </w:r>
      <w:r>
        <w:rPr>
          <w:rStyle w:val="FootnoteAnchor"/>
          <w:rtl w:val="true"/>
        </w:rPr>
        <w:footnoteReference w:id="2394"/>
      </w:r>
      <w:r>
        <w:rPr>
          <w:rFonts w:ascii="Amiri" w:hAnsi="Amiri" w:eastAsia="Amiri" w:cs="Amiri"/>
          <w:color w:val="111111"/>
          <w:sz w:val="28"/>
          <w:sz w:val="28"/>
          <w:szCs w:val="28"/>
          <w:rtl w:val="true"/>
          <w:lang w:bidi="ar-SA"/>
        </w:rPr>
        <w:t>و لكنّه كما ترى لا يرتبط بمحلّ البحث أوّلا، و بالقول المذكور ثانيا، و كيف كان فلهم في مسألة ما لا نصّ فيه أقوال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نزح الجميع، المحكيّ عن ابن إدريس</w:t>
      </w:r>
      <w:r>
        <w:rPr>
          <w:rStyle w:val="FootnoteAnchor"/>
          <w:rtl w:val="true"/>
        </w:rPr>
        <w:footnoteReference w:id="2395"/>
      </w:r>
      <w:r>
        <w:rPr>
          <w:rFonts w:ascii="Amiri" w:hAnsi="Amiri" w:eastAsia="Amiri" w:cs="Amiri"/>
          <w:color w:val="111111"/>
          <w:sz w:val="28"/>
          <w:sz w:val="28"/>
          <w:szCs w:val="28"/>
          <w:rtl w:val="true"/>
          <w:lang w:bidi="ar-SA"/>
        </w:rPr>
        <w:t>، و بن زهرة</w:t>
      </w:r>
      <w:r>
        <w:rPr>
          <w:rStyle w:val="FootnoteAnchor"/>
          <w:rtl w:val="true"/>
        </w:rPr>
        <w:footnoteReference w:id="2396"/>
      </w:r>
      <w:r>
        <w:rPr>
          <w:rFonts w:ascii="Amiri" w:hAnsi="Amiri" w:eastAsia="Amiri" w:cs="Amiri"/>
          <w:color w:val="111111"/>
          <w:sz w:val="28"/>
          <w:sz w:val="28"/>
          <w:szCs w:val="28"/>
          <w:rtl w:val="true"/>
          <w:lang w:bidi="ar-SA"/>
        </w:rPr>
        <w:t>، و عن الغنية</w:t>
      </w:r>
      <w:r>
        <w:rPr>
          <w:rStyle w:val="FootnoteAnchor"/>
          <w:rtl w:val="true"/>
        </w:rPr>
        <w:footnoteReference w:id="239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نزح أربعين، المنسوب إلى بعض الأصحاب</w:t>
      </w:r>
      <w:r>
        <w:rPr>
          <w:rStyle w:val="FootnoteAnchor"/>
          <w:rtl w:val="true"/>
        </w:rPr>
        <w:footnoteReference w:id="2398"/>
      </w:r>
      <w:r>
        <w:rPr>
          <w:rFonts w:ascii="Amiri" w:hAnsi="Amiri" w:eastAsia="Amiri" w:cs="Amiri"/>
          <w:color w:val="111111"/>
          <w:sz w:val="28"/>
          <w:sz w:val="28"/>
          <w:szCs w:val="28"/>
          <w:rtl w:val="true"/>
          <w:lang w:bidi="ar-SA"/>
        </w:rPr>
        <w:t xml:space="preserve">، الظاهر من الشيخ </w:t>
      </w:r>
      <w:r>
        <w:rPr>
          <w:rStyle w:val="FootnoteAnchor"/>
          <w:rtl w:val="true"/>
        </w:rPr>
        <w:footnoteReference w:id="2399"/>
      </w:r>
      <w:r>
        <w:rPr>
          <w:rFonts w:ascii="Amiri" w:hAnsi="Amiri" w:eastAsia="Amiri" w:cs="Amiri"/>
          <w:color w:val="111111"/>
          <w:sz w:val="28"/>
          <w:sz w:val="28"/>
          <w:szCs w:val="28"/>
          <w:rtl w:val="true"/>
          <w:lang w:bidi="ar-SA"/>
        </w:rPr>
        <w:t>فيما عرفت، و عزي إلى العلاّمة أيضا في بعض كتبه</w:t>
      </w:r>
      <w:r>
        <w:rPr>
          <w:rStyle w:val="FootnoteAnchor"/>
          <w:rtl w:val="true"/>
        </w:rPr>
        <w:footnoteReference w:id="2400"/>
      </w:r>
      <w:r>
        <w:rPr>
          <w:rFonts w:ascii="Amiri" w:hAnsi="Amiri" w:eastAsia="Amiri" w:cs="Amiri"/>
          <w:color w:val="111111"/>
          <w:sz w:val="28"/>
          <w:sz w:val="28"/>
          <w:szCs w:val="28"/>
          <w:rtl w:val="true"/>
          <w:lang w:bidi="ar-SA"/>
        </w:rPr>
        <w:t>، و إلى الشهيد في شرح الإرشاد</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نزح ثلاثين، المحكيّ عن السيّد جمال الدين بن طاوس في البشرى</w:t>
      </w:r>
      <w:r>
        <w:rPr>
          <w:rStyle w:val="FootnoteAnchor"/>
          <w:rtl w:val="true"/>
        </w:rPr>
        <w:footnoteReference w:id="2402"/>
      </w:r>
      <w:r>
        <w:rPr>
          <w:rFonts w:ascii="Amiri" w:hAnsi="Amiri" w:eastAsia="Amiri" w:cs="Amiri"/>
          <w:color w:val="111111"/>
          <w:sz w:val="28"/>
          <w:sz w:val="28"/>
          <w:szCs w:val="28"/>
          <w:rtl w:val="true"/>
          <w:lang w:bidi="ar-SA"/>
        </w:rPr>
        <w:t>، و عن الشهيد</w:t>
      </w:r>
      <w:r>
        <w:rPr>
          <w:rStyle w:val="FootnoteAnchor"/>
          <w:rtl w:val="true"/>
        </w:rPr>
        <w:footnoteReference w:id="2403"/>
      </w:r>
      <w:r>
        <w:rPr>
          <w:rFonts w:ascii="Amiri" w:hAnsi="Amiri" w:eastAsia="Amiri" w:cs="Amiri"/>
          <w:color w:val="111111"/>
          <w:sz w:val="28"/>
          <w:sz w:val="28"/>
          <w:szCs w:val="28"/>
          <w:rtl w:val="true"/>
          <w:lang w:bidi="ar-SA"/>
        </w:rPr>
        <w:t>نفي البأس عنه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احتجّ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w:t>
      </w:r>
      <w:r>
        <w:rPr>
          <w:rStyle w:val="FootnoteAnchor"/>
          <w:rtl w:val="true"/>
        </w:rPr>
        <w:footnoteReference w:id="2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ماء محكوم بنجاسته، فلا بدّ من النزح و التخصيص ببعض المقادير ترجيح من غير مرجّح، فوجب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إمّا إلى الاحتياط كما تقدّم عن الشيخ</w:t>
      </w:r>
      <w:r>
        <w:rPr>
          <w:rStyle w:val="FootnoteAnchor"/>
          <w:rtl w:val="true"/>
        </w:rPr>
        <w:footnoteReference w:id="2405"/>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نزح الجميع يحصل القطع بجواز الاستعمال و مع نزح البعض لا يحصل اليقين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الاستصحاب كما في كلام جماعة و هو الظاهر، و يمكن كونه وجها آخر غيرهما كما هو الأظهر، و على أيّ حال فهذا القول هو الأقرب بناء على القول بالنجاسة، للاستصحاب السليم عن المعارض، و لا مجال لأصل البراءة هنا لأنّه لا يفيد حكم الطهارة عند الشكّ في النجاسة، و كذا الحال لو قلنا بوجوب النزح وجوبا شرطيّا لرجوع الشكّ حينئذ إلى ارتفاع المنع عن الاستعمال بغير نزح الجميع، و واضح 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تقدير كون وجوبه في قول من لم يقل بالنجاسة تعبّديّا صرفا كان المتّجه الاكتفاء بالأقلّ و هو نزح ثلاثين، لو قلنا بانحصار أقوال المسألة في الثلاثة انحصارا نافيا للقول الرابع، كما هو الأصل المقرّر في كلّ أكثر و أقلّ يدور الأمر بينهما في التعبّديّات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هنا على القول المختار من استحباب النزح من حيث أنّه في جميع موارده يتبع النصّ و لو ضعيفا، و لا نصّ هنا بالقياس إلى شيء من أقوال المسألة، و لو قيل باستحباب نزح الجميع احتياطا خروجا عن شبهة النجاسة أو الوجوب تعبّدا لم يكن بعيدا كما لا يخفى</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للقول بالأربعين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عن الشيخ</w:t>
      </w:r>
      <w:r>
        <w:rPr>
          <w:rStyle w:val="FootnoteAnchor"/>
          <w:rtl w:val="true"/>
        </w:rPr>
        <w:footnoteReference w:id="2406"/>
      </w:r>
      <w:r>
        <w:rPr>
          <w:rFonts w:ascii="Amiri" w:hAnsi="Amiri" w:eastAsia="Amiri" w:cs="Amiri"/>
          <w:color w:val="111111"/>
          <w:sz w:val="28"/>
          <w:sz w:val="28"/>
          <w:szCs w:val="28"/>
          <w:rtl w:val="true"/>
          <w:lang w:bidi="ar-SA"/>
        </w:rPr>
        <w:t xml:space="preserve">و قد عرفت عدم نهوضه دليلا عليه في سنده و لا دلالته،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القدح فيما ذكر بنحو ما مرّ مفصّلا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الاستدلال عليه بصحيحة محمّد بن إسماعيل بن بزيع المتقدّمة في أدلّة الطهارة، فإنّها صريحة في الاكتفاء في طهارة البئر مع تغيّره بنزح ما يزيل التغيّر خاصّة و عدم وجوب نزح الماء كلّه، و متى انتفى وجوب نزح الجميع مع التغيّر انتفى مع عدمه بطريق أولى، فيثبت الأربعون لعدم الجزم بحصول الطهارة بالثلاثين</w:t>
      </w:r>
      <w:r>
        <w:rPr>
          <w:rFonts w:eastAsia="Amiri" w:cs="Amiri" w:ascii="Amiri" w:hAnsi="Amiri"/>
          <w:color w:val="111111"/>
          <w:sz w:val="28"/>
          <w:szCs w:val="28"/>
          <w:rtl w:val="true"/>
          <w:lang w:bidi="ar-SA"/>
        </w:rPr>
        <w:t>»</w:t>
      </w:r>
      <w:r>
        <w:rPr>
          <w:rStyle w:val="FootnoteAnchor"/>
          <w:rtl w:val="true"/>
        </w:rPr>
        <w:footnoteReference w:id="24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كما ترى لا يفيد إلاّ نفي وجوب نزح الجميع على تقدير تسليم أصل الدلالة، و أمّا تعيين أربعين فلا، إلاّ إذا ثبت الإجماع على نفي القول الرابع الزائد على الأقوال المذكورة، و هو بمحلّ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كردويه المتقدّمة</w:t>
      </w:r>
      <w:r>
        <w:rPr>
          <w:rStyle w:val="FootnoteAnchor"/>
          <w:rtl w:val="true"/>
        </w:rPr>
        <w:footnoteReference w:id="2408"/>
      </w:r>
      <w:r>
        <w:rPr>
          <w:rFonts w:ascii="Amiri" w:hAnsi="Amiri" w:eastAsia="Amiri" w:cs="Amiri"/>
          <w:color w:val="111111"/>
          <w:sz w:val="28"/>
          <w:sz w:val="28"/>
          <w:szCs w:val="28"/>
          <w:rtl w:val="true"/>
          <w:lang w:bidi="ar-SA"/>
        </w:rPr>
        <w:t>، 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أوّلا، و قصور الدلالة ثانيا، بوضوح اختصاصها بأشياء مخصوصة من دون أن يكون فيها دلالة على الحكم عموما، فالحكم الوارد فيها في الحقيقة من جملة المقدّرات الخاصّة لا أنّه حاكم لما لا تقدير له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المسألة وجه آخر احتمله المحقّق في المعتبر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يقال فيه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لم يقدّر له منزوح لا يجب فيه نزح، عملا برواية معاوية المتضمّنة لقول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الثوب و لا يعاد الصلاة ممّا يقع في البئر إلاّ أن ينتن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 ريحه أو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بالعموم فيخرج منه ما دلّت عليه النصوص بمنطوقها أو فحواها، و يبقى الباقي داخلا تحت هذا العموم</w:t>
      </w:r>
      <w:r>
        <w:rPr>
          <w:rFonts w:eastAsia="Amiri" w:cs="Amiri" w:ascii="Amiri" w:hAnsi="Amiri"/>
          <w:color w:val="111111"/>
          <w:sz w:val="28"/>
          <w:szCs w:val="28"/>
          <w:rtl w:val="true"/>
          <w:lang w:bidi="ar-SA"/>
        </w:rPr>
        <w:t>»</w:t>
      </w:r>
      <w:r>
        <w:rPr>
          <w:rStyle w:val="FootnoteAnchor"/>
          <w:rtl w:val="true"/>
        </w:rPr>
        <w:footnoteReference w:id="24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إنّما يتّجه على القول بوجوب النزح لمجرّد التعبّد كما اعترف به هو في ذيل تلك العبارة، و إلاّ فالمتّجه تعيّن نزح الجميع عملا بالأصل المتقدّم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عن الشيخين</w:t>
      </w:r>
      <w:r>
        <w:rPr>
          <w:rStyle w:val="FootnoteAnchor"/>
          <w:rtl w:val="true"/>
        </w:rPr>
        <w:footnoteReference w:id="2410"/>
      </w:r>
      <w:r>
        <w:rPr>
          <w:rFonts w:ascii="IRNazanin" w:hAnsi="IRNazanin" w:eastAsia="IRNazanin"/>
          <w:color w:val="111111"/>
          <w:sz w:val="28"/>
          <w:sz w:val="28"/>
          <w:szCs w:val="28"/>
          <w:rtl w:val="true"/>
          <w:lang w:bidi="fa-IR"/>
        </w:rPr>
        <w:t>و أتباعهما</w:t>
      </w:r>
      <w:r>
        <w:rPr>
          <w:rStyle w:val="FootnoteAnchor"/>
          <w:rtl w:val="true"/>
        </w:rPr>
        <w:footnoteReference w:id="2411"/>
      </w:r>
      <w:r>
        <w:rPr>
          <w:rFonts w:ascii="Amiri" w:hAnsi="Amiri" w:eastAsia="Amiri" w:cs="Amiri"/>
          <w:color w:val="111111"/>
          <w:sz w:val="28"/>
          <w:sz w:val="28"/>
          <w:szCs w:val="28"/>
          <w:rtl w:val="true"/>
          <w:lang w:bidi="ar-SA"/>
        </w:rPr>
        <w:t xml:space="preserve">فيما تعذّر استيعاب ماء البئر فيما يجب نزح الجميع الحكم بالاكتفاء بالتراوح، و هو أن ينزح أربعة، كلّ اثنين دفعة يوما إلى الليل،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الراحة، لأنّ كلّ اثنين يريحان صاحبيهما، و كون ذلك كافيا ممّا جعله في شرح الدروس</w:t>
      </w:r>
      <w:r>
        <w:rPr>
          <w:rStyle w:val="FootnoteAnchor"/>
          <w:rtl w:val="true"/>
        </w:rPr>
        <w:footnoteReference w:id="2412"/>
      </w:r>
      <w:r>
        <w:rPr>
          <w:rFonts w:ascii="Amiri" w:hAnsi="Amiri" w:eastAsia="Amiri" w:cs="Amiri"/>
          <w:color w:val="111111"/>
          <w:sz w:val="28"/>
          <w:sz w:val="28"/>
          <w:szCs w:val="28"/>
          <w:rtl w:val="true"/>
          <w:lang w:bidi="ar-SA"/>
        </w:rPr>
        <w:t>مشهورا بين الأصحاب، بل في منتهى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أعرف مخالفا من القائلين بالنجاسة</w:t>
      </w:r>
      <w:r>
        <w:rPr>
          <w:rFonts w:eastAsia="Amiri" w:cs="Amiri" w:ascii="Amiri" w:hAnsi="Amiri"/>
          <w:color w:val="111111"/>
          <w:sz w:val="28"/>
          <w:szCs w:val="28"/>
          <w:rtl w:val="true"/>
          <w:lang w:bidi="ar-SA"/>
        </w:rPr>
        <w:t>»</w:t>
      </w:r>
      <w:r>
        <w:rPr>
          <w:rStyle w:val="FootnoteAnchor"/>
          <w:rtl w:val="true"/>
        </w:rPr>
        <w:footnoteReference w:id="2413"/>
      </w:r>
      <w:r>
        <w:rPr>
          <w:rFonts w:ascii="Amiri" w:hAnsi="Amiri" w:eastAsia="Amiri" w:cs="Amiri"/>
          <w:color w:val="111111"/>
          <w:sz w:val="28"/>
          <w:sz w:val="28"/>
          <w:szCs w:val="28"/>
          <w:rtl w:val="true"/>
          <w:lang w:bidi="ar-SA"/>
        </w:rPr>
        <w:t xml:space="preserve">، و عن المحقّق في المعتبر تعليل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إذا وجب نزح الماء كلّه و تعذّر فالتعطيل غير جائز، و الاقتصار على نزح </w:t>
      </w:r>
    </w:p>
    <w:p>
      <w:pPr>
        <w:pStyle w:val="BookText"/>
        <w:rPr/>
      </w:pPr>
      <w:r>
        <w:rPr>
          <w:rFonts w:ascii="Amiri" w:hAnsi="Amiri" w:eastAsia="Amiri" w:cs="Amiri"/>
          <w:color w:val="111111"/>
          <w:sz w:val="28"/>
          <w:sz w:val="28"/>
          <w:szCs w:val="28"/>
          <w:rtl w:val="true"/>
          <w:lang w:bidi="ar-SA"/>
        </w:rPr>
        <w:t>البعض تحكّم، و النزح يوما يتحقّق معه زوال ما كان في البئر فيكون العمل به لازما</w:t>
      </w:r>
      <w:r>
        <w:rPr>
          <w:rFonts w:eastAsia="Amiri" w:cs="Amiri" w:ascii="Amiri" w:hAnsi="Amiri"/>
          <w:color w:val="111111"/>
          <w:sz w:val="28"/>
          <w:szCs w:val="28"/>
          <w:rtl w:val="true"/>
          <w:lang w:bidi="ar-SA"/>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واضح بعد ملاحظة كون بعض مقدّماته ممنوعة و بعضها الآخر مصادرة، و العمدة في المستند موثّقة عمّار المرويّة في التهذيب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ينزف كلّها، فإن غلب عليه الماء فلينزف يوما إلى الليل، ثمّ يقام عليها قوم يتراوحون اثنين اثنين، فينزفون يوما إلى الليل و قد طهرت</w:t>
      </w:r>
      <w:r>
        <w:rPr>
          <w:rFonts w:eastAsia="Amiri" w:cs="Amiri" w:ascii="Amiri" w:hAnsi="Amiri"/>
          <w:color w:val="111111"/>
          <w:sz w:val="28"/>
          <w:szCs w:val="28"/>
          <w:rtl w:val="true"/>
          <w:lang w:bidi="ar-SA"/>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ما روي عن فقه الرضا عليه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تغيّر الماء وجب أن ينزح الماء كلّه، فإن كان كثيرا و صعب نزحه فالواجب عليه أن يكتري عليه أربعة رجال يستقون منها على التراوح من الغدوة إلى الليل</w:t>
      </w:r>
      <w:r>
        <w:rPr>
          <w:rFonts w:eastAsia="Amiri" w:cs="Amiri" w:ascii="Amiri" w:hAnsi="Amiri"/>
          <w:color w:val="111111"/>
          <w:sz w:val="28"/>
          <w:szCs w:val="28"/>
          <w:rtl w:val="true"/>
          <w:lang w:bidi="ar-SA"/>
        </w:rPr>
        <w:t>»</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على الأوّل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سنده من حيث إنّ جماعة من رجاله فطحيّة فلا 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جماعة من رواته و إن كانت فطحيّة غير أنّها ثقات، فيعمل بما رووه مع سلامته عن المعارض و اعتضاده بعمل الأصحاب؛ و ما عن الشيخ في العدّة</w:t>
      </w:r>
      <w:r>
        <w:rPr>
          <w:rStyle w:val="FootnoteAnchor"/>
          <w:rtl w:val="true"/>
        </w:rPr>
        <w:footnoteReference w:id="2417"/>
      </w:r>
      <w:r>
        <w:rPr>
          <w:rFonts w:ascii="Amiri" w:hAnsi="Amiri" w:eastAsia="Amiri" w:cs="Amiri"/>
          <w:color w:val="111111"/>
          <w:sz w:val="28"/>
          <w:sz w:val="28"/>
          <w:szCs w:val="28"/>
          <w:rtl w:val="true"/>
          <w:lang w:bidi="ar-SA"/>
        </w:rPr>
        <w:t>من دعوى إجماع الإماميّة على العمل برواية عمّار مع تأيّده بالرضوي المذكور،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بتهافت متنه من حيث تضمّنه إيجاب نزح الجميع لما لا قائل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نزح الجميع هنا إمّا محمول على الاستحباب، أو على صورة التغيّر كما صرّح به الشيخ في التهذيب؛</w:t>
      </w:r>
      <w:r>
        <w:rPr>
          <w:rStyle w:val="FootnoteAnchor"/>
          <w:rtl w:val="true"/>
        </w:rPr>
        <w:footnoteReference w:id="2418"/>
      </w:r>
      <w:r>
        <w:rPr>
          <w:rFonts w:ascii="Amiri" w:hAnsi="Amiri" w:eastAsia="Amiri" w:cs="Amiri"/>
          <w:color w:val="111111"/>
          <w:sz w:val="28"/>
          <w:sz w:val="28"/>
          <w:szCs w:val="28"/>
          <w:rtl w:val="true"/>
          <w:lang w:bidi="ar-SA"/>
        </w:rPr>
        <w:t>و أيّا ما كان فليس ممّا لا قائل به، و يثبت به بدليّة التراوح عن نزح الجميع و هو المطلوب</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الحمل على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 إلى غيره إلى الأولويّة، فإنّه إذا أجزأ التراوح في صورة التغيّر عن نزح الجميع عند العجز عنه، أجزأ عنه في المقام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استفادة البدليّة المطلقة على تقدير الحمل على الاستحباب كما هو الظاهر، فإنّ بدليّة مستحبّ عن مستحبّ لا يقضي ببدليّة مثل ذلك المستحبّ عن واجب، سيّما إذا اعتبرناه للتطهير لا لمجرّد التعبّد، و حمله على التعبّد تأويل لا شاهد له يصلح التعويل عليه، و على صحّة التعويل عليه هنا فهو في أشياء مخصوصة ليس معها ما يدلّ بعموم الحكم، و سقوط الخصوصيّة و لو سلّم فأقصى ما يسلّم فيه من العموم إنّما هو بالنسبة إلى أفراد التغيّر لا مطلقا، و الأولويّة المدّعاة ممنوعة، كيف و التغيّر أقوى سببي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 يدلّ على وجوب التراوح يوما بعد وجوب نزحه يوما، و حاصله الدلالة على وجوب نزحه يومين،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يقام عليها قوم يتراوحون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فلينزف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للترتيب، لجواز كونها لغيره، كما ورد كثيرا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عدم وجوب ما عدا التراوح، فهو قرينة ظاهرة على عدم إرادة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يكونا من كلام الراوي، كما يرشد إليه ما في سابقه في التهذيب</w:t>
      </w:r>
      <w:r>
        <w:rPr>
          <w:rStyle w:val="FootnoteAnchor"/>
          <w:rtl w:val="true"/>
        </w:rPr>
        <w:footnoteReference w:id="2420"/>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كونه للشيخ، لمكان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ما عن بعض النسخ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مع قوّة احتمال زيادة تلك اللفظة كما عن المعتبر</w:t>
      </w:r>
      <w:r>
        <w:rPr>
          <w:rStyle w:val="FootnoteAnchor"/>
          <w:rtl w:val="true"/>
        </w:rPr>
        <w:footnoteReference w:id="2421"/>
      </w:r>
      <w:r>
        <w:rPr>
          <w:rFonts w:ascii="Amiri" w:hAnsi="Amiri" w:eastAsia="Amiri" w:cs="Amiri"/>
          <w:color w:val="111111"/>
          <w:sz w:val="28"/>
          <w:sz w:val="28"/>
          <w:szCs w:val="28"/>
          <w:rtl w:val="true"/>
          <w:lang w:bidi="ar-SA"/>
        </w:rPr>
        <w:t>من عدم ذكره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بالنزف يوما نزح الجميع في يوم، ثمّ إذا لم ينزف في يوم تراوح عليها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للإشارة، فيكون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يقام في تلك الحال و ذلك الوقت يقام عليها قوم،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لكيفيّة النزف</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 الكلّ من التكلّف؛ و في المقام فروع ينبغي الإشارة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يقتضيه عبارة المقنعة</w:t>
      </w:r>
      <w:r>
        <w:rPr>
          <w:rStyle w:val="FootnoteAnchor"/>
          <w:rtl w:val="true"/>
        </w:rPr>
        <w:footnoteReference w:id="2422"/>
      </w:r>
      <w:r>
        <w:rPr>
          <w:rFonts w:ascii="Amiri" w:hAnsi="Amiri" w:eastAsia="Amiri" w:cs="Amiri"/>
          <w:color w:val="111111"/>
          <w:sz w:val="28"/>
          <w:sz w:val="28"/>
          <w:szCs w:val="28"/>
          <w:rtl w:val="true"/>
          <w:lang w:bidi="ar-SA"/>
        </w:rPr>
        <w:t>المحكيّة في التهذيب كون حكم التراوح معلّقا على صعوبة نزح الجميع و تعسّره،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مات فيها بعير نزح جميع ما فيها، فإن صعب ذلك لغزارة الماء و كثرته تراوح على نزحه أربعة رجال</w:t>
      </w:r>
      <w:r>
        <w:rPr>
          <w:rFonts w:eastAsia="Amiri" w:cs="Amiri" w:ascii="Amiri" w:hAnsi="Amiri"/>
          <w:color w:val="111111"/>
          <w:sz w:val="28"/>
          <w:szCs w:val="28"/>
          <w:rtl w:val="true"/>
          <w:lang w:bidi="ar-SA"/>
        </w:rPr>
        <w:t>»</w:t>
      </w:r>
      <w:r>
        <w:rPr>
          <w:rStyle w:val="FootnoteAnchor"/>
          <w:rtl w:val="true"/>
        </w:rPr>
        <w:footnoteReference w:id="242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مقتضى صريح الجماعة كونه معلّقا على التعذّر، و الخبر المتقدّم</w:t>
      </w:r>
      <w:r>
        <w:rPr>
          <w:rStyle w:val="FootnoteAnchor"/>
          <w:rtl w:val="true"/>
        </w:rPr>
        <w:footnoteReference w:id="2424"/>
      </w:r>
      <w:r>
        <w:rPr>
          <w:rFonts w:ascii="Amiri" w:hAnsi="Amiri" w:eastAsia="Amiri" w:cs="Amiri"/>
          <w:color w:val="111111"/>
          <w:sz w:val="28"/>
          <w:sz w:val="28"/>
          <w:szCs w:val="28"/>
          <w:rtl w:val="true"/>
          <w:lang w:bidi="ar-SA"/>
        </w:rPr>
        <w:t>الّذي هو مستند الحكم يعضد الأوّل، لوقوع التعبير فيه بالغلبة الّتي هي أعمّ من موجب التعذّر، بل يوافقه صريح الرضوي</w:t>
      </w:r>
      <w:r>
        <w:rPr>
          <w:rStyle w:val="FootnoteAnchor"/>
          <w:rtl w:val="true"/>
        </w:rPr>
        <w:footnoteReference w:id="2425"/>
      </w:r>
      <w:r>
        <w:rPr>
          <w:rFonts w:ascii="Amiri" w:hAnsi="Amiri" w:eastAsia="Amiri" w:cs="Amiri"/>
          <w:color w:val="111111"/>
          <w:sz w:val="28"/>
          <w:sz w:val="28"/>
          <w:szCs w:val="28"/>
          <w:rtl w:val="true"/>
          <w:lang w:bidi="ar-SA"/>
        </w:rPr>
        <w:t>إن قلنا بالعمل به، و لعلّ كلام الجماعة مبنيّ على خارج بلغهم من إجماع و غيره، و إلاّ فلا يساعدهم الدليل النقلي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ابتناؤه على مراعاة الاحتياط الّذي هو حسن على كلّ حال، و إن كان كلامهم فيما نعلم خلوّا عن التعليل به، بل عن التعرّض لذكر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فالمعتبر في التعذّر أو التعسّر الموجبين للاكتفاء بالتراوح كونه ناشئا عن كثرة الماء و غزارته المانعة عن نزح جميعه، كما هو المصرّح به في كلماتهم، المنصوص عليه في الخبرين المتقدّمين، فلا يجتزأ به لو كان العذر أو العسر لمانع خارجي، اقتصارا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المشار إليها وقوع النزح في النهار القائم المتّصل طويلا كان أو قصيرا لإطلاق النصّ، فلا يكفي مقداره من الليل و لا الملفّق من الليل و النهار كائنا ما كان، و لا نصف النهار لو فرض فيه وقوع ما يقع في النهار التامّ من العمل، كما أنّه لا يجب تحرّي أطول الأيّام، بل هو في كثير من الصور منفيّ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تحديد النهار هنا من حيث احتمال كون العبرة فيه بما بين طلوع الشمس و غيبوبتها، كما هو في ظاهر العرف المنصرف إليه الإطلاق في النذور و الإجارات و غيرها من العقود، أو بما هو معتبر في يوم الصوم كما يساعد عليه الاحتياط و خرج به في كلام جماعة من الأصحاب</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فيجب تهيئة الأسباب قبل الوقت، بل أخذ شيء من الطرفين للعمل شروعا و ختما مقدّمة للعلم، و ربّما يقال بوجوب التهيّؤ قبل الوقت حتّى بالقياس إلى </w:t>
      </w:r>
    </w:p>
    <w:p>
      <w:pPr>
        <w:pStyle w:val="BookText"/>
        <w:rPr/>
      </w:pPr>
      <w:r>
        <w:rPr>
          <w:rFonts w:ascii="Amiri" w:hAnsi="Amiri" w:eastAsia="Amiri" w:cs="Amiri"/>
          <w:color w:val="111111"/>
          <w:sz w:val="28"/>
          <w:sz w:val="28"/>
          <w:szCs w:val="28"/>
          <w:rtl w:val="true"/>
          <w:lang w:bidi="ar-SA"/>
        </w:rPr>
        <w:t>إرسال الدلو إلى البئر، و هو بعيد بل منفيّ ببطلان الترجيح من غير مرجّح، حيث إنّ ذلك لا يعقل إلاّ في الدلو الأوّل الّذي يشرع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القاعدة المشار إليها بملاحظة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الرجال إن لم نقل باختصاصه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المحكيّ عن الصحاح</w:t>
      </w:r>
      <w:r>
        <w:rPr>
          <w:rStyle w:val="FootnoteAnchor"/>
          <w:rtl w:val="true"/>
        </w:rPr>
        <w:footnoteReference w:id="2426"/>
      </w:r>
      <w:r>
        <w:rPr>
          <w:rFonts w:ascii="Amiri" w:hAnsi="Amiri" w:eastAsia="Amiri" w:cs="Amiri"/>
          <w:color w:val="111111"/>
          <w:sz w:val="28"/>
          <w:sz w:val="28"/>
          <w:szCs w:val="28"/>
          <w:rtl w:val="true"/>
          <w:lang w:bidi="ar-SA"/>
        </w:rPr>
        <w:t>و النهاية الأثيريّة</w:t>
      </w:r>
      <w:r>
        <w:rPr>
          <w:rStyle w:val="FootnoteAnchor"/>
          <w:rtl w:val="true"/>
        </w:rPr>
        <w:footnoteReference w:id="2427"/>
      </w:r>
      <w:r>
        <w:rPr>
          <w:rFonts w:ascii="Amiri" w:hAnsi="Amiri" w:eastAsia="Amiri" w:cs="Amiri"/>
          <w:color w:val="111111"/>
          <w:sz w:val="28"/>
          <w:sz w:val="28"/>
          <w:szCs w:val="28"/>
          <w:rtl w:val="true"/>
          <w:lang w:bidi="ar-SA"/>
        </w:rPr>
        <w:t>، 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وَ لاٰ نِسٰاءٌ مِنْ نِسٰاءٍ </w:t>
      </w:r>
      <w:r>
        <w:rPr>
          <w:rStyle w:val="FootnoteAnchor"/>
          <w:rtl w:val="true"/>
        </w:rPr>
        <w:footnoteReference w:id="2428"/>
      </w: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آل حصن أم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ورود التصريح بهم بالخصوص في الرضوي على تقدير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الاجتزاء بالنسوان و لا الصبيان و لا الخناثي، و إن نهض كلّ واحد من هؤلاء بعمل الرجال، و هو المصرّح به في كلام غير واحد عدا العلاّمة في المنتهى</w:t>
      </w:r>
      <w:r>
        <w:rPr>
          <w:rStyle w:val="FootnoteAnchor"/>
          <w:rtl w:val="true"/>
        </w:rPr>
        <w:footnoteReference w:id="2429"/>
      </w:r>
      <w:r>
        <w:rPr>
          <w:rFonts w:ascii="Amiri" w:hAnsi="Amiri" w:eastAsia="Amiri" w:cs="Amiri"/>
          <w:color w:val="111111"/>
          <w:sz w:val="28"/>
          <w:sz w:val="28"/>
          <w:szCs w:val="28"/>
          <w:rtl w:val="true"/>
          <w:lang w:bidi="ar-SA"/>
        </w:rPr>
        <w:t xml:space="preserve">، حيث استشكل في عدم إجزاء هؤلاء لو ساوت قوّتهم قوّة الرجال، بل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w:t>
      </w:r>
      <w:r>
        <w:rPr>
          <w:rStyle w:val="FootnoteAnchor"/>
          <w:rtl w:val="true"/>
        </w:rPr>
        <w:footnoteReference w:id="2430"/>
      </w:r>
      <w:r>
        <w:rPr>
          <w:rFonts w:ascii="Amiri" w:hAnsi="Amiri" w:eastAsia="Amiri" w:cs="Amiri"/>
          <w:color w:val="111111"/>
          <w:sz w:val="28"/>
          <w:sz w:val="28"/>
          <w:szCs w:val="28"/>
          <w:rtl w:val="true"/>
          <w:lang w:bidi="ar-SA"/>
        </w:rPr>
        <w:t>الاجتزاء بهم، و استحسنه في الكتاب على تقدير عدم قصور نزحهم عن نزح الرجال، و هذا جيّد على القول بكون النزح للتطهير، للقطع بعدم مدخليّة الرجوليّة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به تعبّدا فالإشكال قويّ في غاية القوّة، و لعلّه الداعي إلى ما عرفته من العلاّمة من حيث إنّه في المسألة قائل بطهارة البئر و وجوب النزح تعبّدا كما تبيّن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يتراوحون 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العدد المعتبر هنا في الأربعة، و كفاية الزائد عليه ما لم يؤدّ الكثرة إلى صرف الوقت بالبطء و نحوه، و لا ينافيه ما في الرضوي من تخصيص الأربعة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أنّ العدد لا مفهوم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قضيّة ما ذكر من اعتبار التراوح بين اثنين اثنين في النزح عدم كفاية ما دون الأربعة اقتصارا على مورد النصّ، كما صرّح به غير واحد، و إن كان العلاّمة في المنتهى</w:t>
      </w:r>
      <w:r>
        <w:rPr>
          <w:rStyle w:val="FootnoteAnchor"/>
          <w:rtl w:val="true"/>
        </w:rPr>
        <w:footnoteReference w:id="2431"/>
      </w:r>
      <w:r>
        <w:rPr>
          <w:rFonts w:ascii="Amiri" w:hAnsi="Amiri" w:eastAsia="Amiri" w:cs="Amiri"/>
          <w:color w:val="111111"/>
          <w:sz w:val="28"/>
          <w:sz w:val="28"/>
          <w:szCs w:val="28"/>
          <w:rtl w:val="true"/>
          <w:lang w:bidi="ar-SA"/>
        </w:rPr>
        <w:t>قد استقرب إجزاء نزح الاثنين إن امتدّ نزحهما إلى الليل و علم مساواته لتراوح الأربعة، و هذا قويّ على تقدير اعتبار النزح للتطهير كما عرفت</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قيام الآخرين للنزح في أوّل زمان تعب الأوّلين و كلّهما تحصيلا </w:t>
      </w:r>
    </w:p>
    <w:p>
      <w:pPr>
        <w:pStyle w:val="BookText"/>
        <w:rPr/>
      </w:pPr>
      <w:r>
        <w:rPr>
          <w:rFonts w:ascii="Amiri" w:hAnsi="Amiri" w:eastAsia="Amiri" w:cs="Amiri"/>
          <w:color w:val="111111"/>
          <w:sz w:val="28"/>
          <w:sz w:val="28"/>
          <w:szCs w:val="28"/>
          <w:rtl w:val="true"/>
          <w:lang w:bidi="ar-SA"/>
        </w:rPr>
        <w:t>لصدق الإراحة، و ليس ببعيد سيّما على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لهم الصلاة جماعة، لا جميعا بدونها، و لا الأكل كذلك</w:t>
      </w:r>
      <w:r>
        <w:rPr>
          <w:rFonts w:eastAsia="Amiri" w:cs="Amiri" w:ascii="Amiri" w:hAnsi="Amiri"/>
          <w:color w:val="111111"/>
          <w:sz w:val="28"/>
          <w:szCs w:val="28"/>
          <w:rtl w:val="true"/>
          <w:lang w:bidi="ar-SA"/>
        </w:rPr>
        <w:t>»</w:t>
      </w:r>
      <w:r>
        <w:rPr>
          <w:rStyle w:val="FootnoteAnchor"/>
          <w:rtl w:val="true"/>
        </w:rPr>
        <w:footnoteReference w:id="2432"/>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لهم الأكل جميعا، و الصلاة جماعة</w:t>
      </w:r>
      <w:r>
        <w:rPr>
          <w:rFonts w:eastAsia="Amiri" w:cs="Amiri" w:ascii="Amiri" w:hAnsi="Amiri"/>
          <w:color w:val="111111"/>
          <w:sz w:val="28"/>
          <w:szCs w:val="28"/>
          <w:rtl w:val="true"/>
          <w:lang w:bidi="ar-SA"/>
        </w:rPr>
        <w:t>»</w:t>
      </w:r>
      <w:r>
        <w:rPr>
          <w:rStyle w:val="FootnoteAnchor"/>
          <w:rtl w:val="true"/>
        </w:rPr>
        <w:footnoteReference w:id="2433"/>
      </w:r>
      <w:r>
        <w:rPr>
          <w:rFonts w:ascii="Amiri" w:hAnsi="Amiri" w:eastAsia="Amiri" w:cs="Amiri"/>
          <w:color w:val="111111"/>
          <w:sz w:val="28"/>
          <w:sz w:val="28"/>
          <w:szCs w:val="28"/>
          <w:rtl w:val="true"/>
          <w:lang w:bidi="ar-SA"/>
        </w:rPr>
        <w:t>، ثمّ نفى عنه البأس تعليلا بقضاء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مسألة التراوح حكم شرعي فلا دخل لمعرفة العرف فيه، و ظاهر الخبر امتداد النزح إلى الليل، و الغالب فيه التعبّد، و لذا لا يكفي فيه الليل و لا الملفّق</w:t>
      </w:r>
      <w:r>
        <w:rPr>
          <w:rFonts w:eastAsia="Amiri" w:cs="Amiri" w:ascii="Amiri" w:hAnsi="Amiri"/>
          <w:color w:val="111111"/>
          <w:sz w:val="28"/>
          <w:szCs w:val="28"/>
          <w:rtl w:val="true"/>
          <w:lang w:bidi="ar-SA"/>
        </w:rPr>
        <w:t>»</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المتمسّك بالعرف أنّه يفهم من خطاب التراوح عرفا الترخيص في الاجتماع للأكل و الصلاة، فلا ينافيه كون مسألة التراوح حكما شرعيّا، و لا ظهور الخبر في الامتداد إلى الليل، لأنّ معنى الامتداد حينئذ عدم التقاعد عن الاشتغال جميعا في غير ما ساعد العرف على الترخيص فيه، و عدم منافاته للامتداد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المحقّقين الاستشكال في الاجتماع لغير صلاة الجمعة، إذ دليل الجماعة أعمّ من دليل التراوح من وجه و الأصل بقاء نجاسة البئر، كيف و لو اعتبر هذا العموم لدخل سائر المستحبّات كقضاء حاجة المؤمن و تشييع الجنازة، و دعوى استثناء الصلاة من اللفظ عرفا أو عادة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يتأمّل أيضا في طهارة البئر لو ترك النزح لصلاة الجمعة أيضا، لإمكان تطهيرها في غير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على دعوى استثناء الجماعة للصلاة بأنّ اللازم عليهم استثناء زمان مقدّمات الجماعة كالسعي و الانصراف إلى المسجد و نحوه، و بالجملة هذه الأحكام كلّها على خلاف الاحتياط؛ و بناء العرف في خصوص المقام غير معلوم و إن ادّعي ثبوته على الترخيص في الاجتماع</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المدّعى عليه الشهرة كون العبرة في كيفيّة تراوح القوم اثنين اثنين اشتغال كلّ اثنين معا بالنزح، بأن يستقيا بدلو واحد و يتجاذبا إيّاه إلى أن يتعبا فيقعدان و قام الآخران مشتغلين متجاذبين كذلك، و عن ثاني الشهيدين في 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bookmarkStart w:id="859" w:name="pg16144_233581"/>
    </w:p>
    <w:p>
      <w:pPr>
        <w:pStyle w:val="BookText"/>
        <w:rPr/>
      </w:pPr>
      <w:bookmarkEnd w:id="859"/>
      <w:r>
        <w:rPr>
          <w:rFonts w:ascii="Amiri" w:hAnsi="Amiri" w:eastAsia="Amiri" w:cs="Amiri"/>
          <w:color w:val="111111"/>
          <w:sz w:val="28"/>
          <w:sz w:val="28"/>
          <w:szCs w:val="28"/>
          <w:rtl w:val="true"/>
          <w:lang w:bidi="ar-SA"/>
        </w:rPr>
        <w:t>أحد المتراوحين يكون فوق البئر يمتح الدلو و الآخر فيها يملؤه</w:t>
      </w:r>
      <w:r>
        <w:rPr>
          <w:rFonts w:eastAsia="Amiri" w:cs="Amiri" w:ascii="Amiri" w:hAnsi="Amiri"/>
          <w:color w:val="111111"/>
          <w:sz w:val="28"/>
          <w:szCs w:val="28"/>
          <w:rtl w:val="true"/>
          <w:lang w:bidi="ar-SA"/>
        </w:rPr>
        <w:t>»</w:t>
      </w:r>
      <w:r>
        <w:rPr>
          <w:rStyle w:val="FootnoteAnchor"/>
          <w:rtl w:val="true"/>
        </w:rPr>
        <w:footnoteReference w:id="2435"/>
      </w:r>
      <w:r>
        <w:rPr>
          <w:rFonts w:ascii="Amiri" w:hAnsi="Amiri" w:eastAsia="Amiri" w:cs="Amiri"/>
          <w:color w:val="111111"/>
          <w:sz w:val="28"/>
          <w:sz w:val="28"/>
          <w:szCs w:val="28"/>
          <w:rtl w:val="true"/>
          <w:lang w:bidi="ar-SA"/>
        </w:rPr>
        <w:t>، و الأولى كونهما معا فوق البئر كما في المدارك</w:t>
      </w:r>
      <w:r>
        <w:rPr>
          <w:rStyle w:val="FootnoteAnchor"/>
          <w:rtl w:val="true"/>
        </w:rPr>
        <w:footnoteReference w:id="2436"/>
      </w:r>
      <w:r>
        <w:rPr>
          <w:rFonts w:ascii="Amiri" w:hAnsi="Amiri" w:eastAsia="Amiri" w:cs="Amiri"/>
          <w:color w:val="111111"/>
          <w:sz w:val="28"/>
          <w:sz w:val="28"/>
          <w:szCs w:val="28"/>
          <w:rtl w:val="true"/>
          <w:lang w:bidi="ar-SA"/>
        </w:rPr>
        <w:t>لأنّه المتعارف، و عن المولى التقيّ المجلسي قدّس سرّه</w:t>
      </w:r>
      <w:r>
        <w:rPr>
          <w:rStyle w:val="FootnoteAnchor"/>
          <w:rtl w:val="true"/>
        </w:rPr>
        <w:footnoteReference w:id="2437"/>
      </w:r>
      <w:r>
        <w:rPr>
          <w:rFonts w:ascii="Amiri" w:hAnsi="Amiri" w:eastAsia="Amiri" w:cs="Amiri"/>
          <w:color w:val="111111"/>
          <w:sz w:val="28"/>
          <w:sz w:val="28"/>
          <w:szCs w:val="28"/>
          <w:rtl w:val="true"/>
          <w:lang w:bidi="ar-SA"/>
        </w:rPr>
        <w:t>أنّه احتاط في ذلك بدخول واحد في البئر و وقوف اثنين في الفوق للنزح خروجا عن الشبهة</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1805018_1280447820"/>
      <w:bookmarkStart w:id="861" w:name="_Toc340"/>
      <w:bookmarkEnd w:id="860"/>
      <w:r>
        <w:rPr>
          <w:rtl w:val="true"/>
        </w:rPr>
        <w:t>المسألة الثانية</w:t>
      </w:r>
      <w:r>
        <w:rPr>
          <w:rtl w:val="true"/>
        </w:rPr>
        <w:t xml:space="preserve">: </w:t>
      </w:r>
      <w:r>
        <w:rPr>
          <w:rtl w:val="true"/>
        </w:rPr>
        <w:t>ما يوجب نزح كرّ من ماء البئر،</w:t>
      </w:r>
      <w:bookmarkEnd w:id="861"/>
    </w:p>
    <w:p>
      <w:pPr>
        <w:pStyle w:val="BookText"/>
        <w:rPr/>
      </w:pPr>
      <w:r>
        <w:rPr>
          <w:rFonts w:ascii="Amiri" w:hAnsi="Amiri" w:eastAsia="Amiri" w:cs="Amiri"/>
          <w:color w:val="111111"/>
          <w:sz w:val="28"/>
          <w:sz w:val="28"/>
          <w:szCs w:val="28"/>
          <w:rtl w:val="true"/>
          <w:lang w:bidi="ar-SA"/>
        </w:rPr>
        <w:t>و هو على ما ضبطه الشهيد في الدروس</w:t>
      </w:r>
      <w:r>
        <w:rPr>
          <w:rStyle w:val="FootnoteAnchor"/>
          <w:rtl w:val="true"/>
        </w:rPr>
        <w:footnoteReference w:id="2438"/>
      </w:r>
      <w:r>
        <w:rPr>
          <w:rFonts w:ascii="Amiri" w:hAnsi="Amiri" w:eastAsia="Amiri" w:cs="Amiri"/>
          <w:color w:val="111111"/>
          <w:sz w:val="28"/>
          <w:sz w:val="28"/>
          <w:szCs w:val="28"/>
          <w:rtl w:val="true"/>
          <w:lang w:bidi="ar-SA"/>
        </w:rPr>
        <w:t>و أفتى فيه بالحكم المذكور، الدابّة، و البغل، و الحمار، و البقرة، و نقل عنه مثله في الذكرى</w:t>
      </w:r>
      <w:r>
        <w:rPr>
          <w:rStyle w:val="FootnoteAnchor"/>
          <w:rtl w:val="true"/>
        </w:rPr>
        <w:footnoteReference w:id="2439"/>
      </w:r>
      <w:r>
        <w:rPr>
          <w:rFonts w:ascii="Amiri" w:hAnsi="Amiri" w:eastAsia="Amiri" w:cs="Amiri"/>
          <w:color w:val="111111"/>
          <w:sz w:val="28"/>
          <w:sz w:val="28"/>
          <w:szCs w:val="28"/>
          <w:rtl w:val="true"/>
          <w:lang w:bidi="ar-SA"/>
        </w:rPr>
        <w:t>و البيان</w:t>
      </w:r>
      <w:r>
        <w:rPr>
          <w:rStyle w:val="FootnoteAnchor"/>
          <w:rtl w:val="true"/>
        </w:rPr>
        <w:footnoteReference w:id="2440"/>
      </w:r>
      <w:r>
        <w:rPr>
          <w:rFonts w:ascii="Amiri" w:hAnsi="Amiri" w:eastAsia="Amiri" w:cs="Amiri"/>
          <w:color w:val="111111"/>
          <w:sz w:val="28"/>
          <w:sz w:val="28"/>
          <w:szCs w:val="28"/>
          <w:rtl w:val="true"/>
          <w:lang w:bidi="ar-SA"/>
        </w:rPr>
        <w:t>و مثله في اللمعة</w:t>
      </w:r>
      <w:r>
        <w:rPr>
          <w:rStyle w:val="FootnoteAnchor"/>
          <w:rtl w:val="true"/>
        </w:rPr>
        <w:footnoteReference w:id="2441"/>
      </w:r>
      <w:r>
        <w:rPr>
          <w:rFonts w:ascii="Amiri" w:hAnsi="Amiri" w:eastAsia="Amiri" w:cs="Amiri"/>
          <w:color w:val="111111"/>
          <w:sz w:val="28"/>
          <w:sz w:val="28"/>
          <w:szCs w:val="28"/>
          <w:rtl w:val="true"/>
          <w:lang w:bidi="ar-SA"/>
        </w:rPr>
        <w:t xml:space="preserve">أيضا و لكن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في ذلك لشرائع</w:t>
      </w:r>
      <w:r>
        <w:rPr>
          <w:rStyle w:val="FootnoteAnchor"/>
          <w:rtl w:val="true"/>
        </w:rPr>
        <w:footnoteReference w:id="2442"/>
      </w:r>
      <w:r>
        <w:rPr>
          <w:rFonts w:ascii="Amiri" w:hAnsi="Amiri" w:eastAsia="Amiri" w:cs="Amiri"/>
          <w:color w:val="111111"/>
          <w:sz w:val="28"/>
          <w:sz w:val="28"/>
          <w:szCs w:val="28"/>
          <w:rtl w:val="true"/>
          <w:lang w:bidi="ar-SA"/>
        </w:rPr>
        <w:t xml:space="preserve">المحقّق، و قرينة المقابلة تعطي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دون ما يدبّ على الأرض، و لا ما يركب على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المشهور و المنصوص منها، مع ضعف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و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غايته أن ينجبر ضعفه بعمل الأصحاب، فيبقى إلحاق الدابّة و البقرة بما لا نصّ فيه أولى</w:t>
      </w:r>
      <w:r>
        <w:rPr>
          <w:rFonts w:eastAsia="Amiri" w:cs="Amiri" w:ascii="Amiri" w:hAnsi="Amiri"/>
          <w:color w:val="111111"/>
          <w:sz w:val="28"/>
          <w:szCs w:val="28"/>
          <w:rtl w:val="true"/>
          <w:lang w:bidi="ar-SA"/>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الامور المذكورة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الحمار، فقد ذهب إليه أكثر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البقرة و الفرس، فقد قال الشيخ و السيّد المرتضى و المفيد بمساواتهما للحمار في الكرّ</w:t>
      </w:r>
      <w:r>
        <w:rPr>
          <w:rFonts w:eastAsia="Amiri" w:cs="Amiri" w:ascii="Amiri" w:hAnsi="Amiri"/>
          <w:color w:val="111111"/>
          <w:sz w:val="28"/>
          <w:szCs w:val="28"/>
          <w:rtl w:val="true"/>
          <w:lang w:bidi="ar-SA"/>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السرائر</w:t>
      </w:r>
      <w:r>
        <w:rPr>
          <w:rStyle w:val="FootnoteAnchor"/>
          <w:rtl w:val="true"/>
        </w:rPr>
        <w:footnoteReference w:id="2445"/>
      </w:r>
      <w:r>
        <w:rPr>
          <w:rFonts w:ascii="Amiri" w:hAnsi="Amiri" w:eastAsia="Amiri" w:cs="Amiri"/>
          <w:color w:val="111111"/>
          <w:sz w:val="28"/>
          <w:sz w:val="28"/>
          <w:szCs w:val="28"/>
          <w:rtl w:val="true"/>
          <w:lang w:bidi="ar-SA"/>
        </w:rPr>
        <w:t>أنّه ذكر الخيل، و البغال، و الحمير أهليّة كانت أو غير أهليّة، و البقرة وحشيّة أو غير وحشيّة، أو ما ماثلها في مقدار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الوسيلة</w:t>
      </w:r>
      <w:r>
        <w:rPr>
          <w:rStyle w:val="FootnoteAnchor"/>
          <w:rtl w:val="true"/>
        </w:rPr>
        <w:footnoteReference w:id="2446"/>
      </w:r>
      <w:r>
        <w:rPr>
          <w:rFonts w:ascii="IRNazanin" w:hAnsi="IRNazanin" w:eastAsia="IRNazanin"/>
          <w:color w:val="111111"/>
          <w:sz w:val="28"/>
          <w:sz w:val="28"/>
          <w:szCs w:val="28"/>
          <w:rtl w:val="true"/>
          <w:lang w:bidi="fa-IR"/>
        </w:rPr>
        <w:t>، و الإصباح</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و البقرة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المهذّب</w:t>
      </w:r>
      <w:r>
        <w:rPr>
          <w:rStyle w:val="FootnoteAnchor"/>
          <w:rtl w:val="true"/>
        </w:rPr>
        <w:footnoteReference w:id="2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 البغال، و الحمير، و ما أشبههما في الجسم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الغنية</w:t>
      </w:r>
      <w:r>
        <w:rPr>
          <w:rStyle w:val="FootnoteAnchor"/>
          <w:rtl w:val="true"/>
        </w:rPr>
        <w:footnoteReference w:id="2449"/>
      </w:r>
      <w:r>
        <w:rPr>
          <w:rFonts w:ascii="Amiri" w:hAnsi="Amiri" w:eastAsia="Amiri" w:cs="Amiri"/>
          <w:color w:val="111111"/>
          <w:sz w:val="28"/>
          <w:sz w:val="28"/>
          <w:szCs w:val="28"/>
          <w:rtl w:val="true"/>
          <w:lang w:bidi="ar-SA"/>
        </w:rPr>
        <w:t xml:space="preserve">دعوى الإجماع على الخيل و شبهها، و عن المعتبر المناقشة في هذا التعميم،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نسب إلحاق الفرس و البقر بالحمار إلى الثلاثة </w:t>
      </w:r>
      <w:r>
        <w:rPr>
          <w:rFonts w:eastAsia="Amiri" w:cs="Amiri" w:ascii="Amiri" w:hAnsi="Amiri"/>
          <w:color w:val="111111"/>
          <w:sz w:val="28"/>
          <w:szCs w:val="28"/>
          <w:rtl w:val="true"/>
          <w:lang w:bidi="ar-SA"/>
        </w:rPr>
        <w:t>-</w:t>
      </w:r>
      <w:r>
        <w:rPr>
          <w:rStyle w:val="FootnoteAnchor"/>
          <w:rtl w:val="true"/>
        </w:rPr>
        <w:footnoteReference w:id="2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نطالبهم بدليل ذلك، فإن احتجّوا برواية عمرو بن سعيد،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مقصورة على الجمل </w:t>
      </w:r>
    </w:p>
    <w:p>
      <w:pPr>
        <w:pStyle w:val="BookText"/>
        <w:rPr/>
      </w:pPr>
      <w:r>
        <w:rPr>
          <w:rFonts w:ascii="Amiri" w:hAnsi="Amiri" w:eastAsia="Amiri" w:cs="Amiri"/>
          <w:color w:val="111111"/>
          <w:sz w:val="28"/>
          <w:sz w:val="28"/>
          <w:szCs w:val="28"/>
          <w:rtl w:val="true"/>
          <w:lang w:bidi="ar-SA"/>
        </w:rPr>
        <w:t>و الحمار و البغل، فمن أين يلزم في البقرة و الفرس،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مثلها في العظم، طالبنا هم بدليل التخطّي إلى المماثل من أين عرفوه، لا بدّ له من دليل، و لو ساغ البناء على المماثلة في العظم لكانت البقرة كالثور، و لكان الجاموس كالجمل، و ربّما كانت الفرس في عظم الجمل، فلا تعلّق إذا بهذا و شبهه، و من المقلّدة من لو طالبته بدليل ذلك لادّعى الإجماع بوجوده في كتب الثلاثة، و هو غلط و جهالة إن لم يكن تجاهلا، فالأوجه أن يجعل الفرس و البقرة في قسم ما لم يتناوله نصّ على الخصوص</w:t>
      </w:r>
      <w:r>
        <w:rPr>
          <w:rFonts w:eastAsia="Amiri" w:cs="Amiri" w:ascii="Amiri" w:hAnsi="Amiri"/>
          <w:color w:val="111111"/>
          <w:sz w:val="28"/>
          <w:szCs w:val="28"/>
          <w:rtl w:val="true"/>
          <w:lang w:bidi="ar-SA"/>
        </w:rPr>
        <w:t>»</w:t>
      </w:r>
      <w:r>
        <w:rPr>
          <w:rStyle w:val="FootnoteAnchor"/>
          <w:rtl w:val="true"/>
        </w:rPr>
        <w:footnoteReference w:id="24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مراده بالمقلّد المدّعي للإجماع هو ابن الزهرة</w:t>
      </w:r>
      <w:r>
        <w:rPr>
          <w:rStyle w:val="FootnoteAnchor"/>
          <w:rtl w:val="true"/>
        </w:rPr>
        <w:footnoteReference w:id="2452"/>
      </w:r>
      <w:r>
        <w:rPr>
          <w:rFonts w:ascii="Amiri" w:hAnsi="Amiri" w:eastAsia="Amiri" w:cs="Amiri"/>
          <w:color w:val="111111"/>
          <w:sz w:val="28"/>
          <w:sz w:val="28"/>
          <w:szCs w:val="28"/>
          <w:rtl w:val="true"/>
          <w:lang w:bidi="ar-SA"/>
        </w:rPr>
        <w:t>، و مراده برواية عمرو بن سعيد ما تقدّم إليه الإشارة في المسألة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عمّا يقع في البئر ما بين الفأرة و السنّور إلى الشاة؟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نقول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الحمار و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مستند الحكم هنا هو هذه الرواية و لو بالنسبة إلى بعض المذكورات، و قد تقدّم عن العلاّمة</w:t>
      </w:r>
      <w:r>
        <w:rPr>
          <w:rStyle w:val="FootnoteAnchor"/>
          <w:rtl w:val="true"/>
        </w:rPr>
        <w:footnoteReference w:id="2454"/>
      </w:r>
      <w:r>
        <w:rPr>
          <w:rFonts w:ascii="IRNazanin" w:hAnsi="IRNazanin" w:eastAsia="IRNazanin"/>
          <w:color w:val="111111"/>
          <w:sz w:val="28"/>
          <w:sz w:val="28"/>
          <w:szCs w:val="28"/>
          <w:rtl w:val="true"/>
          <w:lang w:bidi="fa-IR"/>
        </w:rPr>
        <w:t>، و صاحب المعالم</w:t>
      </w:r>
      <w:r>
        <w:rPr>
          <w:rStyle w:val="FootnoteAnchor"/>
          <w:rtl w:val="true"/>
        </w:rPr>
        <w:footnoteReference w:id="2455"/>
      </w:r>
      <w:r>
        <w:rPr>
          <w:rFonts w:ascii="Amiri" w:hAnsi="Amiri" w:eastAsia="Amiri" w:cs="Amiri"/>
          <w:color w:val="111111"/>
          <w:sz w:val="28"/>
          <w:sz w:val="28"/>
          <w:szCs w:val="28"/>
          <w:rtl w:val="true"/>
          <w:lang w:bidi="ar-SA"/>
        </w:rPr>
        <w:t>، القدح في سندها، فإنّ العلاّمة رمى عمرو بن سعيد بالفطحيّة كما عنه أيضا في المختلف</w:t>
      </w:r>
      <w:r>
        <w:rPr>
          <w:rStyle w:val="FootnoteAnchor"/>
          <w:rtl w:val="true"/>
        </w:rPr>
        <w:footnoteReference w:id="2456"/>
      </w:r>
      <w:r>
        <w:rPr>
          <w:rFonts w:ascii="Amiri" w:hAnsi="Amiri" w:eastAsia="Amiri" w:cs="Amiri"/>
          <w:color w:val="111111"/>
          <w:sz w:val="28"/>
          <w:sz w:val="28"/>
          <w:szCs w:val="28"/>
          <w:rtl w:val="true"/>
          <w:lang w:bidi="ar-SA"/>
        </w:rPr>
        <w:t>، و عن المحقّق في المعتبر</w:t>
      </w:r>
      <w:r>
        <w:rPr>
          <w:rStyle w:val="FootnoteAnchor"/>
          <w:rtl w:val="true"/>
        </w:rPr>
        <w:footnoteReference w:id="2457"/>
      </w:r>
      <w:r>
        <w:rPr>
          <w:rFonts w:ascii="Amiri" w:hAnsi="Amiri" w:eastAsia="Amiri" w:cs="Amiri"/>
          <w:color w:val="111111"/>
          <w:sz w:val="28"/>
          <w:sz w:val="28"/>
          <w:szCs w:val="28"/>
          <w:rtl w:val="true"/>
          <w:lang w:bidi="ar-SA"/>
        </w:rPr>
        <w:t>و عن الشهيد في الذكرى</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يستفاد توثيقه عن بعض الأخبار</w:t>
      </w:r>
      <w:r>
        <w:rPr>
          <w:rStyle w:val="FootnoteAnchor"/>
          <w:rtl w:val="true"/>
        </w:rPr>
        <w:footnoteReference w:id="2459"/>
      </w:r>
      <w:r>
        <w:rPr>
          <w:rFonts w:ascii="Amiri" w:hAnsi="Amiri" w:eastAsia="Amiri" w:cs="Amiri"/>
          <w:color w:val="111111"/>
          <w:sz w:val="28"/>
          <w:sz w:val="28"/>
          <w:szCs w:val="28"/>
          <w:rtl w:val="true"/>
          <w:lang w:bidi="ar-SA"/>
        </w:rPr>
        <w:t>، بل وثاقته و جلالة شانه عن كلام بعض العلماء الأخيار كالكليني، حيث وصف في الروضة</w:t>
      </w:r>
      <w:r>
        <w:rPr>
          <w:rStyle w:val="FootnoteAnchor"/>
          <w:rtl w:val="true"/>
        </w:rPr>
        <w:footnoteReference w:id="2460"/>
      </w:r>
      <w:r>
        <w:rPr>
          <w:rFonts w:ascii="Amiri" w:hAnsi="Amiri" w:eastAsia="Amiri" w:cs="Amiri"/>
          <w:color w:val="111111"/>
          <w:sz w:val="28"/>
          <w:sz w:val="28"/>
          <w:szCs w:val="28"/>
          <w:rtl w:val="true"/>
          <w:lang w:bidi="ar-SA"/>
        </w:rPr>
        <w:t xml:space="preserve">الحديث الّذي هو في سنده </w:t>
      </w:r>
    </w:p>
    <w:p>
      <w:pPr>
        <w:pStyle w:val="BookText"/>
        <w:rPr/>
      </w:pPr>
      <w:r>
        <w:rPr>
          <w:rFonts w:ascii="Amiri" w:hAnsi="Amiri" w:eastAsia="Amiri" w:cs="Amiri"/>
          <w:color w:val="111111"/>
          <w:sz w:val="28"/>
          <w:sz w:val="28"/>
          <w:szCs w:val="28"/>
          <w:rtl w:val="true"/>
          <w:lang w:bidi="ar-SA"/>
        </w:rPr>
        <w:t>بالصحّة، و بالجملة فهو إمّا صحيح أو موثّق أو منجبر بعمل الأصحاب، و لا يقدح في اعتباره اشتماله على الجمل الّذي لم يقل بذلك الحكم فيه أحد، لأنّ ذلك يوجب الوهن فيه في هذا المقدار، أو أنّه لا جابر له بالقياس إلى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بعض ما ذكرناه يشير عبارة المنتهى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ضعيفة من حيث السند، و من حيث التسوية بين الحمار و الجمل، إلاّ أنّ أصحابنا عملوا فيها بالحمار و التسوية سقطت باعتبار حصول المعارض، فلا يلزم نفي الحكم عمّا فقد عنه المعارض</w:t>
      </w:r>
      <w:r>
        <w:rPr>
          <w:rFonts w:eastAsia="Amiri" w:cs="Amiri" w:ascii="Amiri" w:hAnsi="Amiri"/>
          <w:color w:val="111111"/>
          <w:sz w:val="28"/>
          <w:szCs w:val="28"/>
          <w:rtl w:val="true"/>
          <w:lang w:bidi="ar-SA"/>
        </w:rPr>
        <w:t>».</w:t>
      </w:r>
      <w:r>
        <w:rPr>
          <w:rStyle w:val="FootnoteAnchor"/>
          <w:rtl w:val="true"/>
        </w:rPr>
        <w:footnoteReference w:id="2461"/>
      </w:r>
      <w:r>
        <w:rPr>
          <w:rFonts w:ascii="Amiri" w:hAnsi="Amiri" w:eastAsia="Amiri" w:cs="Amiri"/>
          <w:color w:val="111111"/>
          <w:sz w:val="28"/>
          <w:sz w:val="28"/>
          <w:szCs w:val="28"/>
          <w:rtl w:val="true"/>
          <w:lang w:bidi="ar-SA"/>
        </w:rPr>
        <w:t xml:space="preserve">و أمّا دلالته من حيث الصراحة فترى أنّها مقصورة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في النسخ الموجودة الآن بأيدينا، أو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ثاني الشهيدين</w:t>
      </w:r>
      <w:r>
        <w:rPr>
          <w:rStyle w:val="FootnoteAnchor"/>
          <w:rtl w:val="true"/>
        </w:rPr>
        <w:footnoteReference w:id="2462"/>
      </w:r>
      <w:r>
        <w:rPr>
          <w:rFonts w:ascii="Amiri" w:hAnsi="Amiri" w:eastAsia="Amiri" w:cs="Amiri"/>
          <w:color w:val="111111"/>
          <w:sz w:val="28"/>
          <w:sz w:val="28"/>
          <w:szCs w:val="28"/>
          <w:rtl w:val="true"/>
          <w:lang w:bidi="ar-SA"/>
        </w:rPr>
        <w:t>و المحقّق</w:t>
      </w:r>
      <w:r>
        <w:rPr>
          <w:rStyle w:val="FootnoteAnchor"/>
          <w:rtl w:val="true"/>
        </w:rPr>
        <w:footnoteReference w:id="2463"/>
      </w:r>
      <w:r>
        <w:rPr>
          <w:rFonts w:ascii="Amiri" w:hAnsi="Amiri" w:eastAsia="Amiri" w:cs="Amiri"/>
          <w:color w:val="111111"/>
          <w:sz w:val="28"/>
          <w:sz w:val="28"/>
          <w:szCs w:val="28"/>
          <w:rtl w:val="true"/>
          <w:lang w:bidi="ar-SA"/>
        </w:rPr>
        <w:t>فيما تقدّم، و عن المعتبر</w:t>
      </w:r>
      <w:r>
        <w:rPr>
          <w:rStyle w:val="FootnoteAnchor"/>
          <w:rtl w:val="true"/>
        </w:rPr>
        <w:footnoteReference w:id="2464"/>
      </w:r>
      <w:r>
        <w:rPr>
          <w:rFonts w:ascii="Amiri" w:hAnsi="Amiri" w:eastAsia="Amiri" w:cs="Amiri"/>
          <w:color w:val="111111"/>
          <w:sz w:val="28"/>
          <w:sz w:val="28"/>
          <w:szCs w:val="28"/>
          <w:rtl w:val="true"/>
          <w:lang w:bidi="ar-SA"/>
        </w:rPr>
        <w:t xml:space="preserve">أنّه نقل الرواية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محكيّ عن المهذّب</w:t>
      </w:r>
      <w:r>
        <w:rPr>
          <w:rStyle w:val="FootnoteAnchor"/>
          <w:rtl w:val="true"/>
        </w:rPr>
        <w:footnoteReference w:id="2465"/>
      </w:r>
      <w:r>
        <w:rPr>
          <w:rFonts w:ascii="Amiri" w:hAnsi="Amiri" w:eastAsia="Amiri" w:cs="Amiri"/>
          <w:color w:val="111111"/>
          <w:sz w:val="28"/>
          <w:sz w:val="28"/>
          <w:szCs w:val="28"/>
          <w:rtl w:val="true"/>
          <w:lang w:bidi="ar-SA"/>
        </w:rPr>
        <w:t>، بل عن شرح الفاضل الهندي</w:t>
      </w:r>
      <w:r>
        <w:rPr>
          <w:rStyle w:val="FootnoteAnchor"/>
          <w:rtl w:val="true"/>
        </w:rPr>
        <w:footnoteReference w:id="2466"/>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موضع من التهذيب</w:t>
      </w:r>
      <w:r>
        <w:rPr>
          <w:rStyle w:val="FootnoteAnchor"/>
          <w:rtl w:val="true"/>
        </w:rPr>
        <w:footnoteReference w:id="2467"/>
      </w:r>
      <w:r>
        <w:rPr>
          <w:rFonts w:ascii="Amiri" w:hAnsi="Amiri" w:eastAsia="Amiri" w:cs="Amiri"/>
          <w:color w:val="111111"/>
          <w:sz w:val="28"/>
          <w:sz w:val="28"/>
          <w:szCs w:val="28"/>
          <w:rtl w:val="true"/>
          <w:lang w:bidi="ar-SA"/>
        </w:rPr>
        <w:t>، و نحوه عن كشف الالتباس</w:t>
      </w:r>
      <w:r>
        <w:rPr>
          <w:rStyle w:val="FootnoteAnchor"/>
          <w:rtl w:val="true"/>
        </w:rPr>
        <w:footnoteReference w:id="2468"/>
      </w:r>
      <w:r>
        <w:rPr>
          <w:rFonts w:ascii="IRNazanin" w:hAnsi="IRNazanin" w:eastAsia="IRNazanin"/>
          <w:color w:val="111111"/>
          <w:sz w:val="28"/>
          <w:sz w:val="28"/>
          <w:szCs w:val="28"/>
          <w:rtl w:val="true"/>
          <w:lang w:bidi="fa-IR"/>
        </w:rPr>
        <w:t>و المقتصر</w:t>
      </w:r>
      <w:r>
        <w:rPr>
          <w:rStyle w:val="FootnoteAnchor"/>
          <w:rtl w:val="true"/>
        </w:rPr>
        <w:footnoteReference w:id="2469"/>
      </w:r>
      <w:r>
        <w:rPr>
          <w:rFonts w:ascii="IRNazanin" w:hAnsi="IRNazanin" w:eastAsia="IRNazanin"/>
          <w:color w:val="111111"/>
          <w:sz w:val="28"/>
          <w:sz w:val="28"/>
          <w:szCs w:val="28"/>
          <w:rtl w:val="true"/>
          <w:lang w:bidi="fa-IR"/>
        </w:rPr>
        <w:t>و الروض</w:t>
      </w:r>
      <w:r>
        <w:rPr>
          <w:rStyle w:val="FootnoteAnchor"/>
          <w:rtl w:val="true"/>
        </w:rPr>
        <w:footnoteReference w:id="2470"/>
      </w:r>
      <w:r>
        <w:rPr>
          <w:rFonts w:ascii="Amiri" w:hAnsi="Amiri" w:eastAsia="Amiri" w:cs="Amiri"/>
          <w:color w:val="111111"/>
          <w:sz w:val="28"/>
          <w:sz w:val="28"/>
          <w:szCs w:val="28"/>
          <w:rtl w:val="true"/>
          <w:lang w:bidi="ar-SA"/>
        </w:rPr>
        <w:t>و الذكرى</w:t>
      </w:r>
      <w:r>
        <w:rPr>
          <w:rStyle w:val="FootnoteAnchor"/>
          <w:rtl w:val="true"/>
        </w:rPr>
        <w:footnoteReference w:id="2471"/>
      </w:r>
      <w:r>
        <w:rPr>
          <w:rFonts w:ascii="Amiri" w:hAnsi="Amiri" w:eastAsia="Amiri" w:cs="Amiri"/>
          <w:color w:val="111111"/>
          <w:sz w:val="28"/>
          <w:sz w:val="28"/>
          <w:szCs w:val="28"/>
          <w:rtl w:val="true"/>
          <w:lang w:bidi="ar-SA"/>
        </w:rPr>
        <w:t xml:space="preserve">، و عن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نسخة من التهذيب حتّى بلغت الحمار و البغل و الجمل، و ظاهرها أنّ الراوي كان يسأل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حيوان بترتيب الجثّة من الصغر إلى الكبر،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بلغت الحمار 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بلغت جثّة الحمار، ثمّ بعدها إلى أن بلغت جثّة الجمل، و معلوم أنّ جثّة البقر جثّة الحمار، و أمّا جثّة الدابّة فهي الجثّة المتوسّطة بين جثّة الحمار و جثّة الجمل، هذا على النسخة المشهورة، و أمّا على النسخة الغير المشهورة فغير خفيّ أنّ جثّتها جثّة البغل</w:t>
      </w:r>
      <w:r>
        <w:rPr>
          <w:rFonts w:eastAsia="Amiri" w:cs="Amiri" w:ascii="Amiri" w:hAnsi="Amiri"/>
          <w:color w:val="111111"/>
          <w:sz w:val="28"/>
          <w:szCs w:val="28"/>
          <w:rtl w:val="true"/>
          <w:lang w:bidi="ar-SA"/>
        </w:rPr>
        <w:t>»</w:t>
      </w:r>
      <w:r>
        <w:rPr>
          <w:rStyle w:val="FootnoteAnchor"/>
          <w:rtl w:val="true"/>
        </w:rPr>
        <w:footnoteReference w:id="24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هذا التحقيق جعل الرواية متضمّنة لجميع الامور المذكورة حتّى الدابّة و البقرة و ليس ببعيد، بل الظاهر من سوق الرواية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النسخة المشهورة وارد من باب المثال، و إلاّ فغرض السائل سؤاله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يشبهه أو يقرب منه في الجثّة، كما تنبّه عليه بعض مشايخنا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يظهر من سوق </w:t>
      </w:r>
    </w:p>
    <w:p>
      <w:pPr>
        <w:pStyle w:val="BookText"/>
        <w:rPr/>
      </w:pPr>
      <w:r>
        <w:rPr>
          <w:rFonts w:ascii="Amiri" w:hAnsi="Amiri" w:eastAsia="Amiri" w:cs="Amiri"/>
          <w:color w:val="111111"/>
          <w:sz w:val="28"/>
          <w:sz w:val="28"/>
          <w:szCs w:val="28"/>
          <w:rtl w:val="true"/>
          <w:lang w:bidi="ar-SA"/>
        </w:rPr>
        <w:t>الرواية عموم حكم الحمار لما ماثلها في الجنّة، حيث جعل الحيوانات أصنافا بحسب الجثّة فيشمل البقرة</w:t>
      </w:r>
      <w:r>
        <w:rPr>
          <w:rFonts w:eastAsia="Amiri" w:cs="Amiri" w:ascii="Amiri" w:hAnsi="Amiri"/>
          <w:color w:val="111111"/>
          <w:sz w:val="28"/>
          <w:szCs w:val="28"/>
          <w:rtl w:val="true"/>
          <w:lang w:bidi="ar-SA"/>
        </w:rPr>
        <w:t>»</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ذلك نزّل ما تقدّم من عبارات القدماء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أنّ الكلّ فهموا من رواية الحمار و غيرها ما ذكرنا من إرادة المثال</w:t>
      </w:r>
      <w:r>
        <w:rPr>
          <w:rFonts w:eastAsia="Amiri" w:cs="Amiri" w:ascii="Amiri" w:hAnsi="Amiri"/>
          <w:color w:val="111111"/>
          <w:sz w:val="28"/>
          <w:szCs w:val="28"/>
          <w:rtl w:val="true"/>
          <w:lang w:bidi="ar-SA"/>
        </w:rPr>
        <w:t>»</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على الفطن العارف أنّ ذلك في غاية الجودة، و أجود ممّا رامه العلاّمة في المنتهى</w:t>
      </w:r>
      <w:r>
        <w:rPr>
          <w:rStyle w:val="FootnoteAnchor"/>
          <w:rtl w:val="true"/>
        </w:rPr>
        <w:footnoteReference w:id="2475"/>
      </w:r>
      <w:r>
        <w:rPr>
          <w:rFonts w:ascii="Amiri" w:hAnsi="Amiri" w:eastAsia="Amiri" w:cs="Amiri"/>
          <w:color w:val="111111"/>
          <w:sz w:val="28"/>
          <w:sz w:val="28"/>
          <w:szCs w:val="28"/>
          <w:rtl w:val="true"/>
          <w:lang w:bidi="ar-SA"/>
        </w:rPr>
        <w:t xml:space="preserve">من الاستناد في تعميم الحكم إلى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الفضلاء الثلاثة زرارة، و محمّد بن مسلم، و بريد بن معاوية العجلي، عن أبي عبد اللّه و أبي جعفر عليهما السّلام في البئر يقع فيها الدابّة و الفأرة و الكلب و 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اشرب و توضّأ</w:t>
      </w:r>
      <w:r>
        <w:rPr>
          <w:rFonts w:eastAsia="Amiri" w:cs="Amiri" w:ascii="Amiri" w:hAnsi="Amiri"/>
          <w:color w:val="111111"/>
          <w:sz w:val="28"/>
          <w:szCs w:val="28"/>
          <w:rtl w:val="true"/>
          <w:lang w:bidi="ar-SA"/>
        </w:rPr>
        <w:t>»</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لكلّ ما يدبّ على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ما يركب،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 على المعنى الأوّل و إلاّ لعمّ، و هو باطل لما يأتي، فيجب حمله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للعهد، لعدم سبق معهود يرجع إليه، فإمّا أن يكون للعموم كما ذهب إليه الجبّائيان، أو لتعريف الماهيّة على المذهب الحقّ، و على التقديرين يلزم العموم في كلّ 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تعليق الحكم على الماهيّة يستدعي ثبوته في جميع صور وجودها و إلاّ لم يكن علّة، هذا خلف، و إذا ثبت العموم دخل فيه الحمار، و الفرس، و البغل، و الإبل، و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الإبل و الثور خرجا بما دلّ بمنطوقه على نزح الجميع، فيكون الحكم ثابتا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التسوية بين ما عدّده الإمامان عليهما السّلام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استثنى بدليل منفصل، فيبقى الباقي لعدم المعارض،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حاصلة من حيث الحكم بوجوب نزح الدلاء، و إن افترقت بالكثرة و القلّة، و ذلك شيء </w:t>
      </w:r>
    </w:p>
    <w:p>
      <w:pPr>
        <w:pStyle w:val="BookText"/>
        <w:rPr/>
      </w:pPr>
      <w:r>
        <w:rPr>
          <w:rFonts w:ascii="Amiri" w:hAnsi="Amiri" w:eastAsia="Amiri" w:cs="Amiri"/>
          <w:color w:val="111111"/>
          <w:sz w:val="28"/>
          <w:sz w:val="28"/>
          <w:szCs w:val="28"/>
          <w:rtl w:val="true"/>
          <w:lang w:bidi="ar-SA"/>
        </w:rPr>
        <w:t>لم يتعرّضا عليهما السّلام له، إلاّ 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ذكرتموه لا يدلّ على بلوغ الكرّيّة، و يمكن التمحّل بأن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يبلغ الكرّ جمعا بين المطلق و المقيّد خصوصا مع الإتيان بصيغة جمع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الجمع على الكثرة استحال إرادة القلّة منه، و إلاّ لزم الجمع بين إرادتي الحقيقة و المجاز، و إن حمل على القلّة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استحالة التالي، سلّمناه لكن إن حمل على إرادة معناه المجازي و هو مطلق الجمع لم يلزم ما ذكرتم، على أنّ لنا في كون الصيغ المذكورة حقائق أو مجازات في القلّة و الكثرة نظرا</w:t>
      </w:r>
      <w:r>
        <w:rPr>
          <w:rFonts w:eastAsia="Amiri" w:cs="Amiri" w:ascii="Amiri" w:hAnsi="Amiri"/>
          <w:color w:val="111111"/>
          <w:sz w:val="28"/>
          <w:szCs w:val="28"/>
          <w:rtl w:val="true"/>
          <w:lang w:bidi="ar-SA"/>
        </w:rPr>
        <w:t>»</w:t>
      </w:r>
      <w:r>
        <w:rPr>
          <w:rStyle w:val="FootnoteAnchor"/>
          <w:rtl w:val="true"/>
        </w:rPr>
        <w:footnoteReference w:id="2477"/>
      </w:r>
      <w:r>
        <w:rPr>
          <w:rFonts w:ascii="Amiri" w:hAnsi="Amiri" w:eastAsia="Amiri" w:cs="Amiri"/>
          <w:color w:val="111111"/>
          <w:sz w:val="28"/>
          <w:sz w:val="28"/>
          <w:szCs w:val="28"/>
          <w:rtl w:val="true"/>
          <w:lang w:bidi="ar-SA"/>
        </w:rPr>
        <w:t>، إلى آخر ما ذكره، و لا يخفى ما في هذا التقريب من وجوه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لزوم الحمل على المعنى الثاني إنّما هو لقرينة المقابلة فيما بين الدابّة و الفأرة و الكلب و الطير لا العموم الموهوم، و إلاّ سهل علاجه بتطرّق التخصيص، كما يعالج ذلك على الحمل على المعنى الثاني أيضا بالقياس إلى الثور، و الحمل بالتخصيص حسبما اعترف به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الداعي إلى الفرق لزوم تخصيص الأكثر على التخصيص الأوّل دون الثاني،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غير موضوع الحكم هنا ليس من باب التخصيص المصطلح، حيث لا عامّ في المقام، بل هو من باب تقييد المطلق و هو جائز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الحمل عليه يقضي بعدم تناول الحكم للبقرة، لعدم كونها بحسب العادة من جنس المركوب، و الركوب عليها عند بعض الطوائف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بعد ملاحظة أنّ المطلق لا ينصرف إلى الأفراد النادرة، و يرد ذلك بعينه بالنسبة إلى الحمار و البقر الوحشيّين مطلقا كما لا يخفى، مع أنّ ظاهر الجماعة بل صريح بعضهم عدم الفرق في الحكم المذكور بين الوحشي من الأنواع المذكورة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جعل اللام للعهد الذهني أيضا ممكن، مع عموم الحكم لجميع الأنواع المذكورة كما لا يخفى، و لا يبعد أخذ ورود السؤال بعنوان الوقوع قرينة على ذلك، بملاحظة أنّ الوقوع من عوارض الشخص دون الجنس و الماهيّة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بعد اللتيّا و الّتي لا يجدي نفعا في ثبوت التحديد بالكرّيّة، </w:t>
      </w:r>
      <w:bookmarkStart w:id="862" w:name="pg16144_233586"/>
    </w:p>
    <w:p>
      <w:pPr>
        <w:pStyle w:val="BookText"/>
        <w:rPr/>
      </w:pPr>
      <w:bookmarkEnd w:id="862"/>
      <w:r>
        <w:rPr>
          <w:rFonts w:ascii="Amiri" w:hAnsi="Amiri" w:eastAsia="Amiri" w:cs="Amiri"/>
          <w:color w:val="111111"/>
          <w:sz w:val="28"/>
          <w:sz w:val="28"/>
          <w:szCs w:val="28"/>
          <w:rtl w:val="true"/>
          <w:lang w:bidi="ar-SA"/>
        </w:rPr>
        <w:t>و التمحّل له بالجمع بين المطلق و المقيّد غير مفهوم المعنى، حيث لم يرد التقدير بالكرّيّة للدابّة، إلاّ أن يراد به ما ورد في الرواية السابقة بالقياس إلى الحمار أو هو و البغل،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ورد في هاتين الروايتين أشبه بكونه من باب المجمل و المبيّن، مع ما في التشبّث بتلك القاعدة من إخراج الرواية أجنبيّة عن المطلوب،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الرواية أيضا مطلقة، فيحمل على مقيّد الرواية السابقة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المقيّد عبارة عمّا دلّ لا على شايع في جنسه، إلاّ أن يتفصّى بعدم المنافاة بينهما من هذه الجهة الّذي هو الداعي إلى الجمع و حمل أحدهما على الآخر، بخلاف ما بين التحديد بالدلاء و التحديد بالكرّيّة، المفيد أوّلهما الاجتزاء بما دون الكرّ كما لا يخفى، ثمّ حمل الجمع على الكثرة لا يقضي بتعيّن الكرّيّة، لأنّ الكثرة لها مراتب منها الكرّيّة، و منها ما فوقها، و منها ما دونها في الجملة، و كون اعتبار الزائد عليها هنا منفيّا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بنفي اعتبار ما دونها إذا اندرج في مفهوم الكثرة عرفا، إلاّ أن يتشبّث لنفي كفاية الأقلّ أيضا بالإجماع، فيتّضح حينئذ منعه مع عدم جدواه في تتميم الاستدلال بالرواية كما هو مقصود المقام، لكون المطلب إنّما ثبت حينئذ بالإجماع على نفي طرفي الكرّ</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805020_1280447820"/>
      <w:bookmarkStart w:id="864" w:name="_Toc341"/>
      <w:bookmarkEnd w:id="863"/>
      <w:r>
        <w:rPr>
          <w:rtl w:val="true"/>
        </w:rPr>
        <w:t>المسألة الثالثة</w:t>
      </w:r>
      <w:r>
        <w:rPr>
          <w:rtl w:val="true"/>
        </w:rPr>
        <w:t xml:space="preserve">: </w:t>
      </w:r>
      <w:r>
        <w:rPr>
          <w:rtl w:val="true"/>
        </w:rPr>
        <w:t>فيما ينزح له سبعون دلوا بما اعتاده البئر،</w:t>
      </w:r>
      <w:bookmarkEnd w:id="864"/>
    </w:p>
    <w:p>
      <w:pPr>
        <w:pStyle w:val="BookText"/>
        <w:rPr/>
      </w:pPr>
      <w:r>
        <w:rPr>
          <w:rFonts w:ascii="Amiri" w:hAnsi="Amiri" w:eastAsia="Amiri" w:cs="Amiri"/>
          <w:color w:val="111111"/>
          <w:sz w:val="28"/>
          <w:sz w:val="28"/>
          <w:szCs w:val="28"/>
          <w:rtl w:val="true"/>
          <w:lang w:bidi="ar-SA"/>
        </w:rPr>
        <w:t>و مع الاختلاف فالأغلب كما هو صريح الروضة</w:t>
      </w:r>
      <w:r>
        <w:rPr>
          <w:rStyle w:val="FootnoteAnchor"/>
          <w:rtl w:val="true"/>
        </w:rPr>
        <w:footnoteReference w:id="2478"/>
      </w:r>
      <w:r>
        <w:rPr>
          <w:rFonts w:ascii="Amiri" w:hAnsi="Amiri" w:eastAsia="Amiri" w:cs="Amiri"/>
          <w:color w:val="111111"/>
          <w:sz w:val="28"/>
          <w:sz w:val="28"/>
          <w:szCs w:val="28"/>
          <w:rtl w:val="true"/>
          <w:lang w:bidi="ar-SA"/>
        </w:rPr>
        <w:t>و غيرها، و هو على ما اتّفقت عليه كلمة أهل القول بالتنجيس و غيرهم ممّن يوجب النزح و لو تعبّدا موت الإنسان</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القائلين بالتنجيس</w:t>
      </w:r>
      <w:r>
        <w:rPr>
          <w:rFonts w:eastAsia="Amiri" w:cs="Amiri" w:ascii="Amiri" w:hAnsi="Amiri"/>
          <w:color w:val="111111"/>
          <w:sz w:val="28"/>
          <w:szCs w:val="28"/>
          <w:rtl w:val="true"/>
          <w:lang w:bidi="ar-SA"/>
        </w:rPr>
        <w:t>»</w:t>
      </w:r>
      <w:r>
        <w:rPr>
          <w:rStyle w:val="FootnoteAnchor"/>
          <w:rtl w:val="true"/>
        </w:rPr>
        <w:footnoteReference w:id="2479"/>
      </w:r>
      <w:r>
        <w:rPr>
          <w:rFonts w:ascii="Amiri" w:hAnsi="Amiri" w:eastAsia="Amiri" w:cs="Amiri"/>
          <w:color w:val="111111"/>
          <w:sz w:val="28"/>
          <w:sz w:val="28"/>
          <w:szCs w:val="28"/>
          <w:rtl w:val="true"/>
          <w:lang w:bidi="ar-SA"/>
        </w:rPr>
        <w:t>، 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أصحابنا</w:t>
      </w:r>
      <w:r>
        <w:rPr>
          <w:rFonts w:eastAsia="Amiri" w:cs="Amiri" w:ascii="Amiri" w:hAnsi="Amiri"/>
          <w:color w:val="111111"/>
          <w:sz w:val="28"/>
          <w:szCs w:val="28"/>
          <w:rtl w:val="true"/>
          <w:lang w:bidi="ar-SA"/>
        </w:rPr>
        <w:t>»</w:t>
      </w:r>
      <w:r>
        <w:rPr>
          <w:rStyle w:val="FootnoteAnchor"/>
          <w:rtl w:val="true"/>
        </w:rPr>
        <w:footnoteReference w:id="2480"/>
      </w:r>
      <w:r>
        <w:rPr>
          <w:rFonts w:ascii="Amiri" w:hAnsi="Amiri" w:eastAsia="Amiri" w:cs="Amiri"/>
          <w:color w:val="111111"/>
          <w:sz w:val="28"/>
          <w:sz w:val="28"/>
          <w:szCs w:val="28"/>
          <w:rtl w:val="true"/>
          <w:lang w:bidi="ar-SA"/>
        </w:rPr>
        <w:t>و عن الغنية</w:t>
      </w:r>
      <w:r>
        <w:rPr>
          <w:rStyle w:val="FootnoteAnchor"/>
          <w:rtl w:val="true"/>
        </w:rPr>
        <w:footnoteReference w:id="2481"/>
      </w:r>
      <w:r>
        <w:rPr>
          <w:rFonts w:ascii="IRNazanin" w:hAnsi="IRNazanin" w:eastAsia="IRNazanin"/>
          <w:color w:val="111111"/>
          <w:sz w:val="28"/>
          <w:sz w:val="28"/>
          <w:szCs w:val="28"/>
          <w:rtl w:val="true"/>
          <w:lang w:bidi="fa-IR"/>
        </w:rPr>
        <w:t>و ظاهر المعتبر</w:t>
      </w:r>
      <w:r>
        <w:rPr>
          <w:rStyle w:val="FootnoteAnchor"/>
          <w:rtl w:val="true"/>
        </w:rPr>
        <w:footnoteReference w:id="2482"/>
      </w:r>
      <w:r>
        <w:rPr>
          <w:rFonts w:ascii="Amiri" w:hAnsi="Amiri" w:eastAsia="Amiri" w:cs="Amiri"/>
          <w:color w:val="111111"/>
          <w:sz w:val="28"/>
          <w:sz w:val="28"/>
          <w:szCs w:val="28"/>
          <w:rtl w:val="true"/>
          <w:lang w:bidi="ar-SA"/>
        </w:rPr>
        <w:t>دعوى الإجماع عليه، و مستنده على ما في كلام غير واحد موثّقة عمّار الساباطي المرويّة في التهذيب، قال سئل أبو عبد اللّه عن رجل ذبح طيرا فوقع بدمه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تنزح منها دلاء، هذا إذا كان ذكيّا فهو هكذا، و ما سوى ذلك ممّا يقع في بئر الماء فيموت فيه فأكثره الإنسان ينزح منها سبعون دلوا، و أقلّه العصفور ينزح دلوا واحدا، و ما سوى ذلك فيما بين هذين</w:t>
      </w:r>
      <w:r>
        <w:rPr>
          <w:rFonts w:eastAsia="Amiri" w:cs="Amiri" w:ascii="Amiri" w:hAnsi="Amiri"/>
          <w:color w:val="111111"/>
          <w:sz w:val="28"/>
          <w:szCs w:val="28"/>
          <w:rtl w:val="true"/>
          <w:lang w:bidi="ar-SA"/>
        </w:rPr>
        <w:t>»</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قدح فيها العلاّمة في المنتهى بكون رواتها فطحيّة</w:t>
      </w:r>
      <w:r>
        <w:rPr>
          <w:rStyle w:val="FootnoteAnchor"/>
          <w:rtl w:val="true"/>
        </w:rPr>
        <w:footnoteReference w:id="2484"/>
      </w:r>
      <w:r>
        <w:rPr>
          <w:rFonts w:ascii="Amiri" w:hAnsi="Amiri" w:eastAsia="Amiri" w:cs="Amiri"/>
          <w:color w:val="111111"/>
          <w:sz w:val="28"/>
          <w:sz w:val="28"/>
          <w:szCs w:val="28"/>
          <w:rtl w:val="true"/>
          <w:lang w:bidi="ar-SA"/>
        </w:rPr>
        <w:t>، غير أنّه واضح الدفع بالعمل و الوثاقة كما هو صريح المحكيّ عن المعتبر</w:t>
      </w:r>
      <w:r>
        <w:rPr>
          <w:rStyle w:val="FootnoteAnchor"/>
          <w:rtl w:val="true"/>
        </w:rPr>
        <w:footnoteReference w:id="2485"/>
      </w:r>
      <w:r>
        <w:rPr>
          <w:rFonts w:ascii="Amiri" w:hAnsi="Amiri" w:eastAsia="Amiri" w:cs="Amiri"/>
          <w:color w:val="111111"/>
          <w:sz w:val="28"/>
          <w:sz w:val="28"/>
          <w:szCs w:val="28"/>
          <w:rtl w:val="true"/>
          <w:lang w:bidi="ar-SA"/>
        </w:rPr>
        <w:t xml:space="preserve">، و قضيّة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فيه بين الكبير و الصغير، و لا السمين و المهزول، و لا الذكر و الانثى، كما هو المصرّح به في كلام غير واحد، مع دعوى الاتّفاق عليه في بعض العبائر، و في شموله للكافر كشموله للمسلم قضيّة للإطلاق خلاف، فالأكثر على الشمول، و غيرهم كابن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منعه، لقوله في الكافر بوجوب نزح الجميع، محتجّا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الكافر نجس، فعند ملاقاته حيّا يجب نزح البئر أجمع، و الموت لا يطهر فلا يزول وجوب نزح الماء</w:t>
      </w:r>
      <w:r>
        <w:rPr>
          <w:rFonts w:eastAsia="Amiri" w:cs="Amiri" w:ascii="Amiri" w:hAnsi="Amiri"/>
          <w:color w:val="111111"/>
          <w:sz w:val="28"/>
          <w:szCs w:val="28"/>
          <w:rtl w:val="true"/>
          <w:lang w:bidi="ar-SA"/>
        </w:rPr>
        <w:t>»</w:t>
      </w:r>
      <w:r>
        <w:rPr>
          <w:rStyle w:val="FootnoteAnchor"/>
          <w:rtl w:val="true"/>
        </w:rPr>
        <w:footnoteReference w:id="2486"/>
      </w:r>
      <w:r>
        <w:rPr>
          <w:rFonts w:ascii="Amiri" w:hAnsi="Amiri" w:eastAsia="Amiri" w:cs="Amiri"/>
          <w:color w:val="111111"/>
          <w:sz w:val="28"/>
          <w:sz w:val="28"/>
          <w:szCs w:val="28"/>
          <w:rtl w:val="true"/>
          <w:lang w:bidi="ar-SA"/>
        </w:rPr>
        <w:t xml:space="preserve">، ثمّ دفع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للجنب إذا ارتمس في البئر المحمول على المسلم، مع أنّه بإطلاقه يعمّ الكافر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بمنع وجوب نزح الجميع في مباشرة الكافر حيّا، لابتنائه على وجوب نزح الجميع فيما لا مقدّر له بالخصوص في النصوص، و هو في حيّز المنع، و ما ذكر من القياس ضعيف حيث أنّه لا جامع بين المقامين، إلاّ من حيث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هذا لا يوجب أن لو قيّد أحد المطلقين بوصف وجب أن يقيّد به المطلق الآخر، كيف و لو صحّ ذلك لاطّرد في كلّ اسم جنس حلّي باللاّم، فوجب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أَحَلَّ اَللّٰهُ اَلْبَيْعَ </w:t>
      </w:r>
      <w:r>
        <w:rPr>
          <w:rStyle w:val="FootnoteAnchor"/>
          <w:rtl w:val="true"/>
        </w:rPr>
        <w:footnoteReference w:id="2487"/>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ليس للعموم،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للعموم، و لا ريب في فساد ذلك،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بالقياس إلى الجنب مخصّص امتنع القياس، و إلاّ كان التقييد فيه أيضا ممنوعا، مع أنّ دعوى عدم النصّ هنا غير مسلّمة، كيف و أنّ النصّ كما يدلّ بمنطوقه فكذلك قد يدلّ بمفهومه الّذي هو ثابت هنا،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يتناول المسلم و الكافر، فيجري مجرى النطق بهما معا، فإذا وجب في موته سبعون لم يجب في مباشرته أكثر، لأنّ الموت يتضمّن المباشرة فيعلم نفي ما زاد من مفهوم النصّ، سلّمنا، لكن نمنع بقاء نجاسة الكفر بعد الموت، و إنّما يحصل له نجاسة بالموت مغايرة لنجاسة حالة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حكم شرعي يتّبع مورد النصّ، و الكافر إنّما لحقه حكم التنجيس باعتبار كفره و جحوده الحقّ، و قد انتفى ذلك بموته فينتفي الحكم التابع له، و يلحقه حكم آخر شرعي بالموت، و الحكمان متغايران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ملخّصا</w:t>
      </w:r>
      <w:r>
        <w:rPr>
          <w:rStyle w:val="FootnoteAnchor"/>
          <w:rtl w:val="true"/>
        </w:rPr>
        <w:footnoteReference w:id="2488"/>
      </w:r>
      <w:r>
        <w:rPr>
          <w:rFonts w:ascii="IRNazanin" w:hAnsi="IRNazanin" w:eastAsia="IRNazanin"/>
          <w:color w:val="111111"/>
          <w:sz w:val="28"/>
          <w:sz w:val="28"/>
          <w:szCs w:val="28"/>
          <w:rtl w:val="true"/>
          <w:lang w:bidi="fa-IR"/>
        </w:rPr>
        <w:t>، و عن المعتبر</w:t>
      </w:r>
      <w:r>
        <w:rPr>
          <w:rStyle w:val="FootnoteAnchor"/>
          <w:rtl w:val="true"/>
        </w:rPr>
        <w:footnoteReference w:id="2489"/>
      </w:r>
      <w:r>
        <w:rPr>
          <w:rFonts w:ascii="Amiri" w:hAnsi="Amiri" w:eastAsia="Amiri" w:cs="Amiri"/>
          <w:color w:val="111111"/>
          <w:sz w:val="28"/>
          <w:sz w:val="28"/>
          <w:szCs w:val="28"/>
          <w:rtl w:val="true"/>
          <w:lang w:bidi="ar-SA"/>
        </w:rPr>
        <w:t>أيضا الاعتراض على الحلّي بما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جميع ذلك من المكابرة و دفع ضرورة الوجدان، القاضي بكون المتّجه هو ما ذكره الحلّي</w:t>
      </w:r>
      <w:r>
        <w:rPr>
          <w:rStyle w:val="FootnoteAnchor"/>
          <w:rtl w:val="true"/>
        </w:rPr>
        <w:footnoteReference w:id="2490"/>
      </w:r>
      <w:r>
        <w:rPr>
          <w:rFonts w:ascii="Amiri" w:hAnsi="Amiri" w:eastAsia="Amiri" w:cs="Amiri"/>
          <w:color w:val="111111"/>
          <w:sz w:val="28"/>
          <w:sz w:val="28"/>
          <w:szCs w:val="28"/>
          <w:rtl w:val="true"/>
          <w:lang w:bidi="ar-SA"/>
        </w:rPr>
        <w:t xml:space="preserve">، و وافقه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عدم كون المطلق في إفادة الإطلاق واردا مورد حكم آخر، و لذا لا يقولون بحلّيّة أكل الصيد كيفما اتّفق و لو قبل تطهير موضع عضّ الكلب، تمسّكا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2491"/>
      </w:r>
      <w:r>
        <w:rPr>
          <w:rFonts w:ascii="Amiri" w:hAnsi="Amiri" w:eastAsia="Amiri" w:cs="Amiri"/>
          <w:color w:val="111111"/>
          <w:sz w:val="28"/>
          <w:sz w:val="28"/>
          <w:szCs w:val="28"/>
          <w:rtl w:val="true"/>
          <w:lang w:bidi="ar-SA"/>
        </w:rPr>
        <w:t>و ليس ذلك إلاّ من جهة أنّ ملاقاة الكلب برطوبة كعدم وقوع الذبح الشرعي جهة مقتضية للمنع، على نحو يكون كلّ منهما سببا مستقلاّ له، و كان المطلق مسوقا لرفع ما يقتضيه الجهة الثانية من المنع ساكتا عن الجهة الاولى نفيا و إثباتا، فيطهر حينئذ ثمّ يؤكل عملا بالدليلين الغير المتعارضين، المقتضي أحدهما اشتراط إباحة أكل ما لاقته النجاسة بتطهيره، و الآخر حلّيّة الصيد مع عدم وقوع الذبح الشرعي عليه، كيف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الآية لرفع مقتضي الجهة الاولى، أو لرفع مقتضي الجهة الثانية، أو لرفع مقتضي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يأباه التعبير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الأخير يأباه متفاهم العرف، فتعيّن الأوسط، لأنّه الّذي يساعد عليه العرف، و لا ريب أنّ المقام ليس إلاّ من هذا الباب، فإنّ موت الإنسان في البئر أو وقوعه ميّتا بنفسه جهة مقتضية للنزح و نجاسة الكفر أيضا جهة اخرى مقتضية له، و إلاّ لزم الفرق في النجاسات بينها و بين غيرها و هو منفيّ باتّفاق الأقوال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سوى ذلك ممّا يقع في بئر الماء، فيموت فيه فأكثره الإنسان ينزح منها سبعون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لبيان ما اقتضته كلتا الجهتين فلا يساعد عليه متفاهم العرف، أو لبيان ما اقتضته الجهة الثانية فينافيه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السياق صدرا و ذيلا، فتعيّن كونه لبيان ما اقتضته الجهة الاولى و هو الّذي يساعد عليه العرف، </w:t>
      </w:r>
    </w:p>
    <w:p>
      <w:pPr>
        <w:pStyle w:val="BookText"/>
        <w:rPr/>
      </w:pPr>
      <w:r>
        <w:rPr>
          <w:rFonts w:ascii="Amiri" w:hAnsi="Amiri" w:eastAsia="Amiri" w:cs="Amiri"/>
          <w:color w:val="111111"/>
          <w:sz w:val="28"/>
          <w:sz w:val="28"/>
          <w:szCs w:val="28"/>
          <w:rtl w:val="true"/>
          <w:lang w:bidi="ar-SA"/>
        </w:rPr>
        <w:t xml:space="preserve">كيف و لو لا ذلك لزم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معنى لكون إحدى الجهتين مستلزمة لإرادة المطلق، و الاخرى مستلزمة لإرادة المقيّد، و لا يكفي فيه إرادة المطلق فقط لعدم كون الجهة الثانية من لوازم مطلق الماهيّة و احتمال كفاية سبعين عن الجهتين معا فلا يضرّ فيه إرادة المطلق مبنيّ على تداخل السببين، و هو منفيّ بما قرّر في محلّه من 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من حيث نجاسة كفره في حكم المسكوت عنه، و معه لا يعقل الحكم بكفاية السبعين الوارد لنجاسة الموت عن نجاسة الكفر أيضا، فيجب المراجعة من حيث النجاسة المسكوت عنها إلى ما يقتضيه دليلها خصوصا أو عموما، و لمّا لم يرد لها دليل خاصّ فالواجب مراجعة الدليل العامّ الجاري في غير المنصوص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الكافر عن حكم الموت المنصوص على مقدّره ليس بأولى من تخصيصه عن حكم الكفر الغير المنصوص على مقدّره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ليس من باب التخصيص بل هو عمل بالدليلين، بناء على عدم التداخل إن قلنا في غير المنصوص بوجوب ثلاثين أو أربعين، نعم لو قلنا فيه بوجوب نزح الجميع كان الكافر خارجا عن حكم الموت المقدّر بسبعين، لكن لا بعنوان التخصيص بل من جهة انتفاء موضوع هذا المقدّر، نظرا إلى أنّ الماء إذا وجب نزح جميعه، فلا يبقى لنزح سبعين محلّ حتّى يمتثل الأمر به إلاّ في موضع التراوح، فيجب الجمع أيضا بين مقدّر الموت و التراوح قضيّة لعدم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اندفع ما يقال في الاعتراض على القول بأنّ النصّ و إن كان شاملا للكافر إلاّ أنّه أوجب نزح سبعين لأجل موته، فهو ساكت عمّا يجب نزحه للكفر،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الجهتين في الكافر متلازمتان فلا معنى للسكوت عن إحداهما، فهو نظير ما إذا حكم الشارع بصحّة الصلاة في ثوب عليه عذرة الكلب ناسيا، فإنّه لا يمكن القول بأنّ الحكم بالصحة من جهة نجاسة الثوب بالعذرة لا من جهة استصحاب فضلة ما لا يؤكل لحمه أو العكس، لأنّ الجهتين متلازمتان يقبح السكوت عن إحداهما في مقام البيان</w:t>
      </w:r>
      <w:r>
        <w:rPr>
          <w:rFonts w:eastAsia="Amiri" w:cs="Amiri" w:ascii="Amiri" w:hAnsi="Amiri"/>
          <w:color w:val="111111"/>
          <w:sz w:val="28"/>
          <w:szCs w:val="28"/>
          <w:rtl w:val="true"/>
          <w:lang w:bidi="ar-SA"/>
        </w:rPr>
        <w:t>»</w:t>
      </w:r>
      <w:r>
        <w:rPr>
          <w:rStyle w:val="FootnoteAnchor"/>
          <w:rtl w:val="true"/>
        </w:rPr>
        <w:footnoteReference w:id="24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الجهتين المتلازمتين إنّما تشاركتا في اقتضاء أمر واحد بحكم العقل، إذا لم </w:t>
      </w:r>
    </w:p>
    <w:p>
      <w:pPr>
        <w:pStyle w:val="BookText"/>
        <w:rPr/>
      </w:pPr>
      <w:r>
        <w:rPr>
          <w:rFonts w:ascii="Amiri" w:hAnsi="Amiri" w:eastAsia="Amiri" w:cs="Amiri"/>
          <w:color w:val="111111"/>
          <w:sz w:val="28"/>
          <w:sz w:val="28"/>
          <w:szCs w:val="28"/>
          <w:rtl w:val="true"/>
          <w:lang w:bidi="ar-SA"/>
        </w:rPr>
        <w:t>يمكن تفارقهما باقتضاء أمرين مختلفين كالصحّة و عدمها في المثال المفروض، فيفارقه المقام لكون مقتضي الجهتين فيه أمرين وجوديّين يمكن اجتماعهما مختلفين بالزيادة و النقصان، فبطلت المقايسة بوضوح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قرّرناه تبيّن إصابة ما ذكره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الاعتراض على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للعلاّمة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الاعتراض على ابن إدريس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الحيثيّة معتبرة في جميع موجبات النزح، فمعنى وجوب نزح السبعين 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موته يقتضي ذلك، فالعموم الواقع فيه إنّما يدلّ على تساوي المسلم و الكافر في الاكتفاء لنجاسة موتهما بنزح السبعين، فإذا انضمّ إلى ذلك جهة اخرى للنجاسة كالكفر و نحوه لم يكن للّفظ دلالة على الكفاية، أ لا ترى أنّه لو كان بدن المسلم متنجّسا بشيء من النجاسات و كانت العين غير موجودة لم يكف نزح المقدّر عن الأمرين، و لو تمّ ما ذكروه لاقتضى الاكتفاء و 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فالكفر أمر عرضي للإنسان كملاقاة النجاسة، و لكلّ منهما تأثير في بدنه بالتنجيس، لكن الأوّل يشمل جميع بدنه، و الثاني يختصّ بما يلاقيه، فكما أنّ العموم غير متناول لنجاسة الملاقاة، لا يتناول نجاسة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أنّ معارضة الحلّي في محلّها، إذ حاصلها أنّ الحيثيّة متبادرة من اللفظ، و لذلك فرّقوا بين المسلم و الكافر في مسألة الجنب، فينبغي مثل ذلك هاهنا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بنقض على مسألتنا بل نقض على استعمال اللاّم في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جدّا، لأنّ اللازم من عدم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لنجاسة الكفر عدم تناول الزاني و السارق و نحوهما لغير حيثيّة الزنا و السرقة بحيث يكون الحدّ المذكور لكلّ واحد منهما كافيا عنه و عن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نقلناه بطوله لاشتماله على دفع أكثر ما سمعته عن العلاّمة كما لا يخفى على المتأمّل، و يمكن أن يستشهد على ما ادّعاه من اعتبار الحيثيّة في جميع موجبات النزح بصدر رواية المقام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ذكيّا، و ما سوى ذلك ممّا يقع في بئر الماء فيموت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أعطاه من الحكم بنزح دلاء لوقوع الطير المذبوح بدمه، </w:t>
      </w:r>
    </w:p>
    <w:p>
      <w:pPr>
        <w:pStyle w:val="BookText"/>
        <w:rPr/>
      </w:pPr>
      <w:r>
        <w:rPr>
          <w:rFonts w:ascii="Amiri" w:hAnsi="Amiri" w:eastAsia="Amiri" w:cs="Amiri"/>
          <w:color w:val="111111"/>
          <w:sz w:val="28"/>
          <w:sz w:val="28"/>
          <w:szCs w:val="28"/>
          <w:rtl w:val="true"/>
          <w:lang w:bidi="ar-SA"/>
        </w:rPr>
        <w:t>نظرا إلى أنّه كان محلاّ لتوهّم الإطلاق بالقياس إلى أحوال وقوع الطير بالدم الّتي فيها وقوعه ميّتا بغير التذكية، أو تحقّق موته في الماء لغير الذبح الواقع عليه في مفروض السائل، بأن يستند موته إلى الماء دون الذبح، فإنّه عليه السّلام لمّا التفت إلى هذا المعنى فردع عنه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لحيثيّة الموت بما أفاده بعد ذلك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هذا الالتفات أنّه لو فرض تحقّق موت الطير المفروض في الماء مستندا إليه لم يكن مطلق الدلاء كافيا في نزحه، و هو عين ما عرفته عن صاحب المعالم و فهمه الحلّي، و لازم ما ذكره الجماعة و عرفته عن المحقّق و العلاّمة كون ذلك كافيا، فانظر كي تعرف المحقّ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في المختلف صرّح بعدم الفرق في الكافر بين وقوعه ميّتا، و وقوعه حيّا ثمّ موته في البئر، فاكتفى في الجميع بنزح السبعين،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الحلّي و احتجاجه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تفريعا على القول بالتنجيس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ميّتا نزح له سبعون للعموم، و تمنع من زيادة نجاسته، فإنّ نجاسته حيّا إنّما هو بسبب اعتقاده، و هو منفي بعد الموت، و إن وقع حيّا و مات في البئر فكذلك، لأنّه لو باشرها حيّا نزح له ثلاثون لحديث كردويه</w:t>
      </w:r>
      <w:r>
        <w:rPr>
          <w:rFonts w:eastAsia="Amiri" w:cs="Amiri" w:ascii="Amiri" w:hAnsi="Amiri"/>
          <w:color w:val="111111"/>
          <w:sz w:val="28"/>
          <w:szCs w:val="28"/>
          <w:rtl w:val="true"/>
          <w:lang w:bidi="ar-SA"/>
        </w:rPr>
        <w:t>»</w:t>
      </w:r>
      <w:r>
        <w:rPr>
          <w:rStyle w:val="FootnoteAnchor"/>
          <w:rtl w:val="true"/>
        </w:rPr>
        <w:footnoteReference w:id="24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محصّله في كلا الشقّين يرجع إلى التمسّك بالعموم، و الظاهر ابتناؤه في الشقّ الثاني على القول بالتداخل، و إلاّ لم يكن للاكتفاء بالسبعين مع إيجاب الثلاثين لمباشرته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مصيره إليه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 على أيّ حال كان فوهنه واضح بعد ملاحظة ما تقدّم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w:t>
      </w:r>
      <w:r>
        <w:rPr>
          <w:rStyle w:val="FootnoteAnchor"/>
          <w:rtl w:val="true"/>
        </w:rPr>
        <w:footnoteReference w:id="2494"/>
      </w:r>
      <w:r>
        <w:rPr>
          <w:rFonts w:ascii="Amiri" w:hAnsi="Amiri" w:eastAsia="Amiri" w:cs="Amiri"/>
          <w:color w:val="111111"/>
          <w:sz w:val="28"/>
          <w:sz w:val="28"/>
          <w:szCs w:val="28"/>
          <w:rtl w:val="true"/>
          <w:lang w:bidi="ar-SA"/>
        </w:rPr>
        <w:t>و الشهيد الثانيين</w:t>
      </w:r>
      <w:r>
        <w:rPr>
          <w:rStyle w:val="FootnoteAnchor"/>
          <w:rtl w:val="true"/>
        </w:rPr>
        <w:footnoteReference w:id="2495"/>
      </w:r>
      <w:r>
        <w:rPr>
          <w:rFonts w:ascii="Amiri" w:hAnsi="Amiri" w:eastAsia="Amiri" w:cs="Amiri"/>
          <w:color w:val="111111"/>
          <w:sz w:val="28"/>
          <w:sz w:val="28"/>
          <w:szCs w:val="28"/>
          <w:rtl w:val="true"/>
          <w:lang w:bidi="ar-SA"/>
        </w:rPr>
        <w:t>الفرق بين وقوعه ميّتا فيكتفى بنزح السبعين للعموم، و موته في البئر بعد وقوعه حيّا فينزح الجميع إن قلنا به فيما لا نصّ فيه، و إلاّ فثلاثون أو أربعون على الخلاف، فلو كان المعهود عنهما موافقة العلاّمة في القول بزوال نجاسة الكفر بالموت لكان ذلك وجها ظاهرا في هذا الفرق، غير أنّ المحكيّ عن الشهيد في شرح الإرشاد</w:t>
      </w:r>
      <w:r>
        <w:rPr>
          <w:rStyle w:val="FootnoteAnchor"/>
          <w:rtl w:val="true"/>
        </w:rPr>
        <w:footnoteReference w:id="2496"/>
      </w:r>
      <w:r>
        <w:rPr>
          <w:rFonts w:ascii="Amiri" w:hAnsi="Amiri" w:eastAsia="Amiri" w:cs="Amiri"/>
          <w:color w:val="111111"/>
          <w:sz w:val="28"/>
          <w:sz w:val="28"/>
          <w:szCs w:val="28"/>
          <w:rtl w:val="true"/>
          <w:lang w:bidi="ar-SA"/>
        </w:rPr>
        <w:t xml:space="preserve">دفع كلام العلاّمة في دعوى زوال نجاسة الكفر، فحينئذ </w:t>
      </w:r>
      <w:bookmarkStart w:id="865" w:name="pg16144_233592"/>
    </w:p>
    <w:p>
      <w:pPr>
        <w:pStyle w:val="BookText"/>
        <w:rPr/>
      </w:pPr>
      <w:bookmarkEnd w:id="865"/>
      <w:r>
        <w:rPr>
          <w:rFonts w:ascii="Amiri" w:hAnsi="Amiri" w:eastAsia="Amiri" w:cs="Amiri"/>
          <w:color w:val="111111"/>
          <w:sz w:val="28"/>
          <w:sz w:val="28"/>
          <w:szCs w:val="28"/>
          <w:rtl w:val="true"/>
          <w:lang w:bidi="ar-SA"/>
        </w:rPr>
        <w:t>يشكل الحال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يوجّه</w:t>
      </w:r>
      <w:r>
        <w:rPr>
          <w:rFonts w:eastAsia="Amiri" w:cs="Amiri" w:ascii="Amiri" w:hAnsi="Amiri"/>
          <w:color w:val="111111"/>
          <w:sz w:val="28"/>
          <w:szCs w:val="28"/>
          <w:rtl w:val="true"/>
          <w:lang w:bidi="ar-SA"/>
        </w:rPr>
        <w:t>:</w:t>
      </w:r>
      <w:r>
        <w:rPr>
          <w:rStyle w:val="FootnoteAnchor"/>
          <w:rtl w:val="true"/>
        </w:rPr>
        <w:footnoteReference w:id="2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نظر المفصّل إلى أنّ المستفاد من النصّ أنّ السبعين لأجل نجاسة الموت مطلقا لا خصوص موت المسلم، و لا فرق بين المسلم، و الكافر في النجاسة الحاصلة بالموت، و أمّا إيجاب نزح الجميع لموت الكافر فليس للفرق بين موته و موت المسلم، بل لخصوص نجاسة الكفر حال الحياة</w:t>
      </w:r>
      <w:r>
        <w:rPr>
          <w:rFonts w:eastAsia="Amiri" w:cs="Amiri" w:ascii="Amiri" w:hAnsi="Amiri"/>
          <w:color w:val="111111"/>
          <w:sz w:val="28"/>
          <w:szCs w:val="28"/>
          <w:rtl w:val="true"/>
          <w:lang w:bidi="ar-SA"/>
        </w:rPr>
        <w:t>»</w:t>
      </w:r>
      <w:r>
        <w:rPr>
          <w:rStyle w:val="FootnoteAnchor"/>
          <w:rtl w:val="true"/>
        </w:rPr>
        <w:footnoteReference w:id="2498"/>
      </w:r>
      <w:r>
        <w:rPr>
          <w:rFonts w:ascii="Amiri" w:hAnsi="Amiri" w:eastAsia="Amiri" w:cs="Amiri"/>
          <w:color w:val="111111"/>
          <w:sz w:val="28"/>
          <w:sz w:val="28"/>
          <w:szCs w:val="28"/>
          <w:rtl w:val="true"/>
          <w:lang w:bidi="ar-SA"/>
        </w:rPr>
        <w:t>، و عليه يبنى ما تعرفه من الاعتراض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الكفر إذا كانت مؤثّرة في اقتضاء نزح الجميع و لو من جهة البناء على حكم ما لا نصّ فيه، فما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ألغاها</w:t>
      </w:r>
      <w:r>
        <w:rPr>
          <w:rFonts w:eastAsia="Amiri" w:cs="Amiri" w:ascii="Amiri" w:hAnsi="Amiri"/>
          <w:color w:val="111111"/>
          <w:sz w:val="28"/>
          <w:szCs w:val="28"/>
          <w:rtl w:val="true"/>
          <w:lang w:bidi="ar-SA"/>
        </w:rPr>
        <w:t>]</w:t>
      </w:r>
      <w:r>
        <w:rPr>
          <w:rStyle w:val="FootnoteAnchor"/>
          <w:rtl w:val="true"/>
        </w:rPr>
        <w:footnoteReference w:id="2499"/>
      </w:r>
      <w:r>
        <w:rPr>
          <w:rFonts w:ascii="Amiri" w:hAnsi="Amiri" w:eastAsia="Amiri" w:cs="Amiri"/>
          <w:color w:val="111111"/>
          <w:sz w:val="28"/>
          <w:sz w:val="28"/>
          <w:szCs w:val="28"/>
          <w:rtl w:val="true"/>
          <w:lang w:bidi="ar-SA"/>
        </w:rPr>
        <w:t>في صورة ما لو وقع ميّتا إلاّ على ما يراه العلاّمة من زوالها بعد الموت، و لا أظنّ أنّ الموجّه لحدّة نظره يرضى بذلك، و عليه فما اعترض عليهما الخوانساري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الرواية صريحة في الوقوع حيّا ثمّ الموت بعده، فإن عمل على عمومها مع عدم اعتبار الحيثيّة لزم الاكتفاء بالسبعين في الموضعين، و إن لم يعمل على عمومها أو يعتبر الحيثيّة المقتضية لقصر السبعين على نجاسة الموت فقط يجب أن لا يكتفي به على التقديرين، إذ كما أنّ في الصورة الثانية يجتمع جهتان للنجاسة بالقياس إلى الكفر و الموت، فكذا في الصورة الاولى</w:t>
      </w:r>
      <w:r>
        <w:rPr>
          <w:rFonts w:eastAsia="Amiri" w:cs="Amiri" w:ascii="Amiri" w:hAnsi="Amiri"/>
          <w:color w:val="111111"/>
          <w:sz w:val="28"/>
          <w:szCs w:val="28"/>
          <w:rtl w:val="true"/>
          <w:lang w:bidi="ar-SA"/>
        </w:rPr>
        <w:t>»</w:t>
      </w:r>
      <w:r>
        <w:rPr>
          <w:rStyle w:val="FootnoteAnchor"/>
          <w:rtl w:val="true"/>
        </w:rPr>
        <w:footnoteReference w:id="2500"/>
      </w:r>
      <w:r>
        <w:rPr>
          <w:rFonts w:ascii="Amiri" w:hAnsi="Amiri" w:eastAsia="Amiri" w:cs="Amiri"/>
          <w:color w:val="111111"/>
          <w:sz w:val="28"/>
          <w:sz w:val="28"/>
          <w:szCs w:val="28"/>
          <w:rtl w:val="true"/>
          <w:lang w:bidi="ar-SA"/>
        </w:rPr>
        <w:t>كان متّجها ثمّ الظاهر في المسلم عدم الفرق في اعتبار السبعين بين وقوعه ميّتا أو وقوعه حيّا و موته في البئر، لظهور النصّ في إناطة الحكم بالموت كائنا ما كان، و لا ينافيه ورود فرض الرواية في الوقوع حيّا، بعد ملاحظة كونه آخذا بما غلب وقوعه فليتأمّل، و الاحتياط طريق لا ينبغي الإغماض عنه</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1805022_1280447820"/>
      <w:bookmarkStart w:id="867" w:name="_Toc342"/>
      <w:bookmarkEnd w:id="866"/>
      <w:r>
        <w:rPr>
          <w:rtl w:val="true"/>
        </w:rPr>
        <w:t>المسألة الرابعة</w:t>
      </w:r>
      <w:r>
        <w:rPr>
          <w:rtl w:val="true"/>
        </w:rPr>
        <w:t xml:space="preserve">: </w:t>
      </w:r>
      <w:r>
        <w:rPr>
          <w:rtl w:val="true"/>
        </w:rPr>
        <w:t>فيما ينزح له خمسون دلوا، و هو على ما في كلام غير واحد من الأصحاب أمران</w:t>
      </w:r>
      <w:r>
        <w:rPr>
          <w:rtl w:val="true"/>
        </w:rPr>
        <w:t>:</w:t>
      </w:r>
      <w:bookmarkEnd w:id="867"/>
    </w:p>
    <w:p>
      <w:pPr>
        <w:pStyle w:val="Heading6"/>
        <w:numPr>
          <w:ilvl w:val="5"/>
          <w:numId w:val="1"/>
        </w:numPr>
        <w:rPr/>
      </w:pPr>
      <w:bookmarkStart w:id="868" w:name="__RefHeading___Toc1805024_1280447820"/>
      <w:bookmarkStart w:id="869" w:name="_Toc343"/>
      <w:bookmarkEnd w:id="868"/>
      <w:r>
        <w:rPr>
          <w:rtl w:val="true"/>
        </w:rPr>
        <w:t>أحدهما</w:t>
      </w:r>
      <w:r>
        <w:rPr>
          <w:rtl w:val="true"/>
        </w:rPr>
        <w:t xml:space="preserve">: </w:t>
      </w:r>
      <w:r>
        <w:rPr>
          <w:rtl w:val="true"/>
        </w:rPr>
        <w:t>العذرة،</w:t>
      </w:r>
      <w:bookmarkEnd w:id="869"/>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ظاهرهم كصريح بعضهم أنّ المراد بالعذرة هنا فضلة الإنسان، مع </w:t>
      </w:r>
    </w:p>
    <w:p>
      <w:pPr>
        <w:pStyle w:val="BookText"/>
        <w:rPr/>
      </w:pPr>
      <w:r>
        <w:rPr>
          <w:rFonts w:ascii="Amiri" w:hAnsi="Amiri" w:eastAsia="Amiri" w:cs="Amiri"/>
          <w:color w:val="111111"/>
          <w:sz w:val="28"/>
          <w:sz w:val="28"/>
          <w:szCs w:val="28"/>
          <w:rtl w:val="true"/>
          <w:lang w:bidi="ar-SA"/>
        </w:rPr>
        <w:t>أنّهم في غير هذا الموضع اختلفوا في اختصاصها بها، و قد تقدّم عن صاحب المدارك</w:t>
      </w:r>
      <w:r>
        <w:rPr>
          <w:rStyle w:val="FootnoteAnchor"/>
          <w:rtl w:val="true"/>
        </w:rPr>
        <w:footnoteReference w:id="2501"/>
      </w:r>
      <w:r>
        <w:rPr>
          <w:rFonts w:ascii="Amiri" w:hAnsi="Amiri" w:eastAsia="Amiri" w:cs="Amiri"/>
          <w:color w:val="111111"/>
          <w:sz w:val="28"/>
          <w:sz w:val="28"/>
          <w:szCs w:val="28"/>
          <w:rtl w:val="true"/>
          <w:lang w:bidi="ar-SA"/>
        </w:rPr>
        <w:t>التصريح بأنّها لغة و عرفا فضلة الإنسان، و عن المعتبر</w:t>
      </w:r>
      <w:r>
        <w:rPr>
          <w:rStyle w:val="FootnoteAnchor"/>
          <w:rtl w:val="true"/>
        </w:rPr>
        <w:footnoteReference w:id="2502"/>
      </w:r>
      <w:r>
        <w:rPr>
          <w:rFonts w:ascii="Amiri" w:hAnsi="Amiri" w:eastAsia="Amiri" w:cs="Amiri"/>
          <w:color w:val="111111"/>
          <w:sz w:val="28"/>
          <w:sz w:val="28"/>
          <w:szCs w:val="28"/>
          <w:rtl w:val="true"/>
          <w:lang w:bidi="ar-SA"/>
        </w:rPr>
        <w:t>التصريح بأنّ العذرة و الخرء مترادفان يعمّان فضلة كلّ حيوان، و هو ظاهر المحكيّ عن الحلّي</w:t>
      </w:r>
      <w:r>
        <w:rPr>
          <w:rStyle w:val="FootnoteAnchor"/>
          <w:rtl w:val="true"/>
        </w:rPr>
        <w:footnoteReference w:id="2503"/>
      </w:r>
      <w:r>
        <w:rPr>
          <w:rFonts w:ascii="Amiri" w:hAnsi="Amiri" w:eastAsia="Amiri" w:cs="Amiri"/>
          <w:color w:val="111111"/>
          <w:sz w:val="28"/>
          <w:sz w:val="28"/>
          <w:szCs w:val="28"/>
          <w:rtl w:val="true"/>
          <w:lang w:bidi="ar-SA"/>
        </w:rPr>
        <w:t>حيث أضافها هنا إلى ابن آدم، بناء على أنّ القيد ظاهر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بعض الأخبار إطلاقها على ما يعمّ فضلة غير الإنسان أيضا، كخبر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 في ثوبه عذرة من إنسان أو سنّور أو كلب</w:t>
      </w:r>
      <w:r>
        <w:rPr>
          <w:rFonts w:eastAsia="Amiri" w:cs="Amiri" w:ascii="Amiri" w:hAnsi="Amiri"/>
          <w:color w:val="111111"/>
          <w:sz w:val="28"/>
          <w:szCs w:val="28"/>
          <w:rtl w:val="true"/>
          <w:lang w:bidi="ar-SA"/>
        </w:rPr>
        <w:t>»</w:t>
      </w:r>
      <w:r>
        <w:rPr>
          <w:rStyle w:val="FootnoteAnchor"/>
          <w:rtl w:val="true"/>
        </w:rPr>
        <w:footnoteReference w:id="2504"/>
      </w:r>
      <w:r>
        <w:rPr>
          <w:rFonts w:ascii="Amiri" w:hAnsi="Amiri" w:eastAsia="Amiri" w:cs="Amiri"/>
          <w:color w:val="111111"/>
          <w:sz w:val="28"/>
          <w:sz w:val="28"/>
          <w:szCs w:val="28"/>
          <w:rtl w:val="true"/>
          <w:lang w:bidi="ar-SA"/>
        </w:rPr>
        <w:t xml:space="preserve">، و رواية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يقع فيها شيء من العذرة كالبعرة و نحوها</w:t>
      </w:r>
      <w:r>
        <w:rPr>
          <w:rFonts w:eastAsia="Amiri" w:cs="Amiri" w:ascii="Amiri" w:hAnsi="Amiri"/>
          <w:color w:val="111111"/>
          <w:sz w:val="28"/>
          <w:szCs w:val="28"/>
          <w:rtl w:val="true"/>
          <w:lang w:bidi="ar-SA"/>
        </w:rPr>
        <w:t>»</w:t>
      </w:r>
      <w:r>
        <w:rPr>
          <w:rStyle w:val="FootnoteAnchor"/>
          <w:rtl w:val="true"/>
        </w:rPr>
        <w:footnoteReference w:id="2505"/>
      </w:r>
      <w:r>
        <w:rPr>
          <w:rFonts w:ascii="Amiri" w:hAnsi="Amiri" w:eastAsia="Amiri" w:cs="Amiri"/>
          <w:color w:val="111111"/>
          <w:sz w:val="28"/>
          <w:sz w:val="28"/>
          <w:szCs w:val="28"/>
          <w:rtl w:val="true"/>
          <w:lang w:bidi="ar-SA"/>
        </w:rPr>
        <w:t>، و مقتضى قاعدتهم في استعمال اللفظ في معنيين خاصّ و عامّ كونه حقيقة في العامّ إلاّ إذا غلب الاستعمال في الخاصّ، فيكون حقيقة فيه خاصّة؛ و الظاهر ثبوت تلك الغلبة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بأنّ مقتضى قاعدتهم الاخرى في تعارض قول نقلة اللغة كون اللفظ حقيقة في العامّ إذا كان الاختلاف بينهما في العموم و الخصوص المطلقين، و قد عرفت وجود هذا الخلاف بين قولي المعتبر و المدارك، و مثله موجود في كلام أئمّة اللغة، فإنّ المحكيّ عن جماعة منهم كون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الإنسان، و ظاهر المصباح المنير و المجمع كونها للعامّ، حيث فسّرا بمطلق الخرء،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كلمة الخرء و لا يعرف تخفيفها و تطلق العذرة على فناء الدار، لأنّهم كانوا يلقون الخرء فيه، فهو مجاز من باب تسمية الظرف باسم المظروف</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العذرة وزان كلمة الخرء، و قد تكرّر ذكرها في الحديث، و سمّي فناء الدار</w:t>
      </w:r>
      <w:r>
        <w:rPr>
          <w:rStyle w:val="FootnoteAnchor"/>
          <w:rtl w:val="true"/>
        </w:rPr>
        <w:footnoteReference w:id="2507"/>
      </w:r>
      <w:r>
        <w:rPr>
          <w:rFonts w:ascii="Amiri" w:hAnsi="Amiri" w:eastAsia="Amiri" w:cs="Amiri"/>
          <w:color w:val="111111"/>
          <w:sz w:val="28"/>
          <w:sz w:val="28"/>
          <w:szCs w:val="28"/>
          <w:rtl w:val="true"/>
          <w:lang w:bidi="ar-SA"/>
        </w:rPr>
        <w:t>عذرة لمكان إلقاء العذرة هناك</w:t>
      </w:r>
      <w:r>
        <w:rPr>
          <w:rFonts w:eastAsia="Amiri" w:cs="Amiri" w:ascii="Amiri" w:hAnsi="Amiri"/>
          <w:color w:val="111111"/>
          <w:sz w:val="28"/>
          <w:szCs w:val="28"/>
          <w:rtl w:val="true"/>
          <w:lang w:bidi="ar-SA"/>
        </w:rPr>
        <w:t>»</w:t>
      </w:r>
      <w:r>
        <w:rPr>
          <w:rStyle w:val="FootnoteAnchor"/>
          <w:rtl w:val="true"/>
        </w:rPr>
        <w:footnoteReference w:id="2508"/>
      </w:r>
      <w:r>
        <w:rPr>
          <w:rFonts w:ascii="Amiri" w:hAnsi="Amiri" w:eastAsia="Amiri" w:cs="Amiri"/>
          <w:color w:val="111111"/>
          <w:sz w:val="28"/>
          <w:sz w:val="28"/>
          <w:szCs w:val="28"/>
          <w:rtl w:val="true"/>
          <w:lang w:bidi="ar-SA"/>
        </w:rPr>
        <w:t>، و لعلّ الخلاف نشأ عن ملاحظة المطلق من غير نظر إلى انصرافه، و عن الأخذ بموجب الانصراف توهّما، و يمكن حمل التفسيرين على المسامحة في التعبير، كما يوهمه عبارة اخرى في المجمع في عنوان الخرء، قائلة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تكرّر ذكر الخرء كخرء الطير و الكلاب و نحو ذلك، و المراد ما خرج منها كالعذرة </w:t>
      </w:r>
    </w:p>
    <w:p>
      <w:pPr>
        <w:pStyle w:val="BookText"/>
        <w:rPr/>
      </w:pPr>
      <w:r>
        <w:rPr>
          <w:rFonts w:ascii="IRNazanin" w:hAnsi="IRNazanin" w:eastAsia="IRNazanin"/>
          <w:color w:val="111111"/>
          <w:sz w:val="28"/>
          <w:sz w:val="28"/>
          <w:szCs w:val="28"/>
          <w:rtl w:val="true"/>
          <w:lang w:bidi="fa-IR"/>
        </w:rPr>
        <w:t>من الإنسان</w:t>
      </w:r>
      <w:r>
        <w:rPr>
          <w:rFonts w:eastAsia="IRNazanin" w:cs="IRNazanin"/>
          <w:color w:val="111111"/>
          <w:sz w:val="28"/>
          <w:szCs w:val="28"/>
          <w:rtl w:val="true"/>
          <w:lang w:bidi="fa-IR"/>
        </w:rPr>
        <w:t>»</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ما يوهم اختصاص الخرء أيضا بالإنسان، لأنّه إذا أخذ بشرح تلك المادّة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خرئ بالهمزة يخرأ من باب تعب، إذا تغوّط و اسم الخارج خرء</w:t>
      </w:r>
      <w:r>
        <w:rPr>
          <w:rFonts w:eastAsia="Amiri" w:cs="Amiri" w:ascii="Amiri" w:hAnsi="Amiri"/>
          <w:color w:val="111111"/>
          <w:sz w:val="28"/>
          <w:szCs w:val="28"/>
          <w:rtl w:val="true"/>
          <w:lang w:bidi="ar-SA"/>
        </w:rPr>
        <w:t>»</w:t>
      </w:r>
      <w:r>
        <w:rPr>
          <w:rStyle w:val="FootnoteAnchor"/>
          <w:rtl w:val="true"/>
        </w:rPr>
        <w:footnoteReference w:id="2510"/>
      </w:r>
      <w:r>
        <w:rPr>
          <w:rFonts w:ascii="Amiri" w:hAnsi="Amiri" w:eastAsia="Amiri" w:cs="Amiri"/>
          <w:color w:val="111111"/>
          <w:sz w:val="28"/>
          <w:sz w:val="28"/>
          <w:szCs w:val="28"/>
          <w:rtl w:val="true"/>
          <w:lang w:bidi="ar-SA"/>
        </w:rPr>
        <w:t>، و إذا أخذ بشرح مادّة التغوّط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الغائط اسم للمكان المطمئنّ الواسع من الأرض، ثمّ أطلق الغائط على الخارج المتقذّر من الإنسان كراهية تسميته باسمه الخاصّ، لأنّهم كانوا يقضون حوائجهم في الأمكنة المطمئنّة فهو من باب مجاز المجاورة، ثمّ توسّعوا فيه حتّى اشتقّوا منه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تغوّط الإنسان انتهى</w:t>
      </w:r>
      <w:r>
        <w:rPr>
          <w:rFonts w:eastAsia="Amiri" w:cs="Amiri" w:ascii="Amiri" w:hAnsi="Amiri"/>
          <w:color w:val="111111"/>
          <w:sz w:val="28"/>
          <w:szCs w:val="28"/>
          <w:rtl w:val="true"/>
          <w:lang w:bidi="ar-SA"/>
        </w:rPr>
        <w:t>»</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فالعذرة إمّا اسم خاصّ أو اسم عامّ منصرف إلى مسمّى خاصّ، و على كلّ تقدير فيبقى فضلات سائر الحيوانات النجسة داخلة في عنوان ما لا نصّ فيه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الحكم المذكور للعذرة مشهور، و نقل الشهرة عليه في حدّ الاستفاضة، بل عليه نقل الإجماع عن ابن الزهرة</w:t>
      </w:r>
      <w:r>
        <w:rPr>
          <w:rStyle w:val="FootnoteAnchor"/>
          <w:rtl w:val="true"/>
        </w:rPr>
        <w:footnoteReference w:id="2512"/>
      </w:r>
      <w:r>
        <w:rPr>
          <w:rFonts w:ascii="IRNazanin" w:hAnsi="IRNazanin" w:eastAsia="IRNazanin"/>
          <w:color w:val="111111"/>
          <w:sz w:val="28"/>
          <w:sz w:val="28"/>
          <w:szCs w:val="28"/>
          <w:rtl w:val="true"/>
          <w:lang w:bidi="fa-IR"/>
        </w:rPr>
        <w:t>، و عن الصدوق</w:t>
      </w:r>
      <w:r>
        <w:rPr>
          <w:rStyle w:val="FootnoteAnchor"/>
          <w:rtl w:val="true"/>
        </w:rPr>
        <w:footnoteReference w:id="2513"/>
      </w:r>
      <w:r>
        <w:rPr>
          <w:rFonts w:ascii="Amiri" w:hAnsi="Amiri" w:eastAsia="Amiri" w:cs="Amiri"/>
          <w:color w:val="111111"/>
          <w:sz w:val="28"/>
          <w:sz w:val="28"/>
          <w:szCs w:val="28"/>
          <w:rtl w:val="true"/>
          <w:lang w:bidi="ar-SA"/>
        </w:rPr>
        <w:t>و المحقّق في المعتبر</w:t>
      </w:r>
      <w:r>
        <w:rPr>
          <w:rStyle w:val="FootnoteAnchor"/>
          <w:rtl w:val="true"/>
        </w:rPr>
        <w:footnoteReference w:id="2514"/>
      </w:r>
      <w:r>
        <w:rPr>
          <w:rFonts w:ascii="IRNazanin" w:hAnsi="IRNazanin" w:eastAsia="IRNazanin"/>
          <w:color w:val="111111"/>
          <w:sz w:val="28"/>
          <w:sz w:val="28"/>
          <w:szCs w:val="28"/>
          <w:rtl w:val="true"/>
          <w:lang w:bidi="fa-IR"/>
        </w:rPr>
        <w:t>و النافع</w:t>
      </w:r>
      <w:r>
        <w:rPr>
          <w:rStyle w:val="FootnoteAnchor"/>
          <w:rtl w:val="true"/>
        </w:rPr>
        <w:footnoteReference w:id="2515"/>
      </w:r>
      <w:r>
        <w:rPr>
          <w:rFonts w:ascii="Amiri" w:hAnsi="Amiri" w:eastAsia="Amiri" w:cs="Amiri"/>
          <w:color w:val="111111"/>
          <w:sz w:val="28"/>
          <w:sz w:val="28"/>
          <w:szCs w:val="28"/>
          <w:rtl w:val="true"/>
          <w:lang w:bidi="ar-SA"/>
        </w:rPr>
        <w:t>الحكم بالأربعين إلى الخمسين، و عن الأوّل في الأوّل عدم الوقوف على شاهد للأوّل، و لعلّه لتوهّم كون الترديد في الرواية المذكورة مستندة له من الإمام عليه السّلام، و هي رواية أبي بصير المرويّة في التهذيبين، و رواية عليّ بن أبي حمزة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عبد اللّه عليه السّلام عن العذرة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عشرة دلاء، فإن ذابت فأربعون أو خمسون دلوا</w:t>
      </w:r>
      <w:r>
        <w:rPr>
          <w:rFonts w:eastAsia="Amiri" w:cs="Amiri" w:ascii="Amiri" w:hAnsi="Amiri"/>
          <w:color w:val="111111"/>
          <w:sz w:val="28"/>
          <w:szCs w:val="28"/>
          <w:rtl w:val="true"/>
          <w:lang w:bidi="ar-SA"/>
        </w:rPr>
        <w:t>»</w:t>
      </w:r>
      <w:r>
        <w:rPr>
          <w:rStyle w:val="FootnoteAnchor"/>
          <w:rtl w:val="true"/>
        </w:rPr>
        <w:footnoteReference w:id="2516"/>
      </w:r>
      <w:r>
        <w:rPr>
          <w:rFonts w:ascii="Amiri" w:hAnsi="Amiri" w:eastAsia="Amiri" w:cs="Amiri"/>
          <w:color w:val="111111"/>
          <w:sz w:val="28"/>
          <w:sz w:val="28"/>
          <w:szCs w:val="28"/>
          <w:rtl w:val="true"/>
          <w:lang w:bidi="ar-SA"/>
        </w:rPr>
        <w:t xml:space="preserve">غير أنّ نظر المشهور في الاستناد إلى احتمال كونه من الراوي، الموجب للشكّ المحرز لموضوع الاستصحاب، و قصور سندها باشتراك أبي بصير و ضعف عليّ بن أبي حمزة منجبر بالعمل، مع أنّه يرد على المحقّق عدم انطباق قوله على الرواية لو حمل الترديد على كونه من الإمام عليه السّلام، لقضائه بالتخيير بين المقدّرين مع كون الزيادة للاستحباب و الأفضليّة كما عليه جماعة، و للوجوب كما عليه البعض مع قوّته عندنا، و القول المتقدّم يستدعي الاكتفاء بما بين المقدّرين أيضا و هو ليس من مقتضى النصّ في شيء، إلاّ أن يوجّه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على بيان البدليّة، على حدّ </w:t>
      </w:r>
    </w:p>
    <w:p>
      <w:pPr>
        <w:pStyle w:val="BookText"/>
        <w:rPr/>
      </w:pPr>
      <w:r>
        <w:rPr>
          <w:rFonts w:ascii="Amiri" w:hAnsi="Amiri" w:eastAsia="Amiri" w:cs="Amiri"/>
          <w:color w:val="111111"/>
          <w:sz w:val="28"/>
          <w:sz w:val="28"/>
          <w:szCs w:val="28"/>
          <w:rtl w:val="true"/>
          <w:lang w:bidi="ar-SA"/>
        </w:rPr>
        <w:t>ما هو في كلامهم في حدّ الواجب المخيّر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جاز تركه إلى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 الواجب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يجوز تركه لا إلى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أيّ حال فالأخذ بالمشهور أخذ بالأحوط فلا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صريح الرواية اشتراط هذا التقدير للعذرة بذوبانها، كما أنّ قضيّة ما فيها من الإطلاق عدم الفرق بين وقوعها رطبة أو يابسة فذابت في الماء، و أمّا الذوبان ففي كلام غير واحد الانتشار و تفرّق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ذابت العذرة في الماء أي تفرّقت أجزاؤها و شاعت فيه</w:t>
      </w:r>
      <w:r>
        <w:rPr>
          <w:rFonts w:eastAsia="Amiri" w:cs="Amiri" w:ascii="Amiri" w:hAnsi="Amiri"/>
          <w:color w:val="111111"/>
          <w:sz w:val="28"/>
          <w:szCs w:val="28"/>
          <w:rtl w:val="true"/>
          <w:lang w:bidi="ar-SA"/>
        </w:rPr>
        <w:t>»</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الذائب خلاف الجامد</w:t>
      </w:r>
      <w:r>
        <w:rPr>
          <w:rFonts w:eastAsia="Amiri" w:cs="Amiri" w:ascii="Amiri" w:hAnsi="Amiri"/>
          <w:color w:val="111111"/>
          <w:sz w:val="28"/>
          <w:szCs w:val="28"/>
          <w:rtl w:val="true"/>
          <w:lang w:bidi="ar-SA"/>
        </w:rPr>
        <w:t>»</w:t>
      </w:r>
      <w:r>
        <w:rPr>
          <w:rStyle w:val="FootnoteAnchor"/>
          <w:rtl w:val="true"/>
        </w:rPr>
        <w:footnoteReference w:id="2518"/>
      </w:r>
      <w:r>
        <w:rPr>
          <w:rFonts w:ascii="Amiri" w:hAnsi="Amiri" w:eastAsia="Amiri" w:cs="Amiri"/>
          <w:color w:val="111111"/>
          <w:sz w:val="28"/>
          <w:sz w:val="28"/>
          <w:szCs w:val="28"/>
          <w:rtl w:val="true"/>
          <w:lang w:bidi="ar-SA"/>
        </w:rPr>
        <w:t>و ذكر هذا الشرط وارد في كلام جماعة كالشرائع</w:t>
      </w:r>
      <w:r>
        <w:rPr>
          <w:rStyle w:val="FootnoteAnchor"/>
          <w:rtl w:val="true"/>
        </w:rPr>
        <w:footnoteReference w:id="2519"/>
      </w:r>
      <w:r>
        <w:rPr>
          <w:rFonts w:ascii="IRNazanin" w:hAnsi="IRNazanin" w:eastAsia="IRNazanin"/>
          <w:color w:val="111111"/>
          <w:sz w:val="28"/>
          <w:sz w:val="28"/>
          <w:szCs w:val="28"/>
          <w:rtl w:val="true"/>
          <w:lang w:bidi="fa-IR"/>
        </w:rPr>
        <w:t>، و النافع</w:t>
      </w:r>
      <w:r>
        <w:rPr>
          <w:rStyle w:val="FootnoteAnchor"/>
          <w:rtl w:val="true"/>
        </w:rPr>
        <w:footnoteReference w:id="2520"/>
      </w:r>
      <w:r>
        <w:rPr>
          <w:rFonts w:ascii="IRNazanin" w:hAnsi="IRNazanin" w:eastAsia="IRNazanin"/>
          <w:color w:val="111111"/>
          <w:sz w:val="28"/>
          <w:sz w:val="28"/>
          <w:szCs w:val="28"/>
          <w:rtl w:val="true"/>
          <w:lang w:bidi="fa-IR"/>
        </w:rPr>
        <w:t>، و عن المعتبر</w:t>
      </w:r>
      <w:r>
        <w:rPr>
          <w:rStyle w:val="FootnoteAnchor"/>
          <w:rtl w:val="true"/>
        </w:rPr>
        <w:footnoteReference w:id="2521"/>
      </w:r>
      <w:r>
        <w:rPr>
          <w:rFonts w:ascii="Amiri" w:hAnsi="Amiri" w:eastAsia="Amiri" w:cs="Amiri"/>
          <w:color w:val="111111"/>
          <w:sz w:val="28"/>
          <w:sz w:val="28"/>
          <w:szCs w:val="28"/>
          <w:rtl w:val="true"/>
          <w:lang w:bidi="ar-SA"/>
        </w:rPr>
        <w:t>، و التذكرة</w:t>
      </w:r>
      <w:r>
        <w:rPr>
          <w:rStyle w:val="FootnoteAnchor"/>
          <w:rtl w:val="true"/>
        </w:rPr>
        <w:footnoteReference w:id="2522"/>
      </w:r>
      <w:r>
        <w:rPr>
          <w:rFonts w:ascii="Amiri" w:hAnsi="Amiri" w:eastAsia="Amiri" w:cs="Amiri"/>
          <w:color w:val="111111"/>
          <w:sz w:val="28"/>
          <w:sz w:val="28"/>
          <w:szCs w:val="28"/>
          <w:rtl w:val="true"/>
          <w:lang w:bidi="ar-SA"/>
        </w:rPr>
        <w:t>، و الذكرى</w:t>
      </w:r>
      <w:r>
        <w:rPr>
          <w:rStyle w:val="FootnoteAnchor"/>
          <w:rtl w:val="true"/>
        </w:rPr>
        <w:footnoteReference w:id="2523"/>
      </w:r>
      <w:r>
        <w:rPr>
          <w:rFonts w:ascii="Amiri" w:hAnsi="Amiri" w:eastAsia="Amiri" w:cs="Amiri"/>
          <w:color w:val="111111"/>
          <w:sz w:val="28"/>
          <w:sz w:val="28"/>
          <w:szCs w:val="28"/>
          <w:rtl w:val="true"/>
          <w:lang w:bidi="ar-SA"/>
        </w:rPr>
        <w:t>، و الهداية</w:t>
      </w:r>
      <w:r>
        <w:rPr>
          <w:rStyle w:val="FootnoteAnchor"/>
          <w:rtl w:val="true"/>
        </w:rPr>
        <w:footnoteReference w:id="2524"/>
      </w:r>
      <w:r>
        <w:rPr>
          <w:rFonts w:ascii="Amiri" w:hAnsi="Amiri" w:eastAsia="Amiri" w:cs="Amiri"/>
          <w:color w:val="111111"/>
          <w:sz w:val="28"/>
          <w:sz w:val="28"/>
          <w:szCs w:val="28"/>
          <w:rtl w:val="true"/>
          <w:lang w:bidi="ar-SA"/>
        </w:rPr>
        <w:t>، و مصباح السيّد</w:t>
      </w:r>
      <w:r>
        <w:rPr>
          <w:rStyle w:val="FootnoteAnchor"/>
          <w:rtl w:val="true"/>
        </w:rPr>
        <w:footnoteReference w:id="2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في المختلف</w:t>
      </w:r>
      <w:r>
        <w:rPr>
          <w:rStyle w:val="FootnoteAnchor"/>
          <w:rtl w:val="true"/>
        </w:rPr>
        <w:footnoteReference w:id="2526"/>
      </w:r>
      <w:r>
        <w:rPr>
          <w:rFonts w:ascii="Amiri" w:hAnsi="Amiri" w:eastAsia="Amiri" w:cs="Amiri"/>
          <w:color w:val="111111"/>
          <w:sz w:val="28"/>
          <w:sz w:val="28"/>
          <w:szCs w:val="28"/>
          <w:rtl w:val="true"/>
          <w:lang w:bidi="ar-SA"/>
        </w:rPr>
        <w:t>عن الشيخين</w:t>
      </w:r>
      <w:r>
        <w:rPr>
          <w:rStyle w:val="FootnoteAnchor"/>
          <w:rtl w:val="true"/>
        </w:rPr>
        <w:footnoteReference w:id="2527"/>
      </w:r>
      <w:r>
        <w:rPr>
          <w:rFonts w:ascii="Amiri" w:hAnsi="Amiri" w:eastAsia="Amiri" w:cs="Amiri"/>
          <w:color w:val="111111"/>
          <w:sz w:val="28"/>
          <w:sz w:val="28"/>
          <w:szCs w:val="28"/>
          <w:rtl w:val="true"/>
          <w:lang w:bidi="ar-SA"/>
        </w:rPr>
        <w:t>و التقيّ‌</w:t>
      </w:r>
      <w:r>
        <w:rPr>
          <w:rStyle w:val="FootnoteAnchor"/>
          <w:rtl w:val="true"/>
        </w:rPr>
        <w:footnoteReference w:id="2528"/>
      </w:r>
      <w:r>
        <w:rPr>
          <w:rFonts w:ascii="Amiri" w:hAnsi="Amiri" w:eastAsia="Amiri" w:cs="Amiri"/>
          <w:color w:val="111111"/>
          <w:sz w:val="28"/>
          <w:sz w:val="28"/>
          <w:szCs w:val="28"/>
          <w:rtl w:val="true"/>
          <w:lang w:bidi="ar-SA"/>
        </w:rPr>
        <w:t>و الديلمي</w:t>
      </w:r>
      <w:r>
        <w:rPr>
          <w:rStyle w:val="FootnoteAnchor"/>
          <w:rtl w:val="true"/>
        </w:rPr>
        <w:footnoteReference w:id="2529"/>
      </w:r>
      <w:r>
        <w:rPr>
          <w:rFonts w:ascii="Amiri" w:hAnsi="Amiri" w:eastAsia="Amiri" w:cs="Amiri"/>
          <w:color w:val="111111"/>
          <w:sz w:val="28"/>
          <w:sz w:val="28"/>
          <w:szCs w:val="28"/>
          <w:rtl w:val="true"/>
          <w:lang w:bidi="ar-SA"/>
        </w:rPr>
        <w:t>و القاضي</w:t>
      </w:r>
      <w:r>
        <w:rPr>
          <w:rStyle w:val="FootnoteAnchor"/>
          <w:rtl w:val="true"/>
        </w:rPr>
        <w:footnoteReference w:id="2530"/>
      </w:r>
      <w:r>
        <w:rPr>
          <w:rFonts w:ascii="Amiri" w:hAnsi="Amiri" w:eastAsia="Amiri" w:cs="Amiri"/>
          <w:color w:val="111111"/>
          <w:sz w:val="28"/>
          <w:sz w:val="28"/>
          <w:szCs w:val="28"/>
          <w:rtl w:val="true"/>
          <w:lang w:bidi="ar-SA"/>
        </w:rPr>
        <w:t>و العجلي</w:t>
      </w:r>
      <w:r>
        <w:rPr>
          <w:rStyle w:val="FootnoteAnchor"/>
          <w:rtl w:val="true"/>
        </w:rPr>
        <w:footnoteReference w:id="2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اللمعة</w:t>
      </w:r>
      <w:r>
        <w:rPr>
          <w:rStyle w:val="FootnoteAnchor"/>
          <w:rtl w:val="true"/>
        </w:rPr>
        <w:footnoteReference w:id="2532"/>
      </w:r>
      <w:r>
        <w:rPr>
          <w:rFonts w:ascii="Amiri" w:hAnsi="Amiri" w:eastAsia="Amiri" w:cs="Amiri"/>
          <w:color w:val="111111"/>
          <w:sz w:val="28"/>
          <w:sz w:val="28"/>
          <w:szCs w:val="28"/>
          <w:rtl w:val="true"/>
          <w:lang w:bidi="ar-SA"/>
        </w:rPr>
        <w:t>كما عن البيان</w:t>
      </w:r>
      <w:r>
        <w:rPr>
          <w:rStyle w:val="FootnoteAnchor"/>
          <w:rtl w:val="true"/>
        </w:rPr>
        <w:footnoteReference w:id="2533"/>
      </w:r>
      <w:r>
        <w:rPr>
          <w:rFonts w:ascii="Amiri" w:hAnsi="Amiri" w:eastAsia="Amiri" w:cs="Amiri"/>
          <w:color w:val="111111"/>
          <w:sz w:val="28"/>
          <w:sz w:val="28"/>
          <w:szCs w:val="28"/>
          <w:rtl w:val="true"/>
          <w:lang w:bidi="ar-SA"/>
        </w:rPr>
        <w:t>و نهاية الشيخ</w:t>
      </w:r>
      <w:r>
        <w:rPr>
          <w:rStyle w:val="FootnoteAnchor"/>
          <w:rtl w:val="true"/>
        </w:rPr>
        <w:footnoteReference w:id="2534"/>
      </w:r>
      <w:r>
        <w:rPr>
          <w:rFonts w:ascii="Amiri" w:hAnsi="Amiri" w:eastAsia="Amiri" w:cs="Amiri"/>
          <w:color w:val="111111"/>
          <w:sz w:val="28"/>
          <w:sz w:val="28"/>
          <w:szCs w:val="28"/>
          <w:rtl w:val="true"/>
          <w:lang w:bidi="ar-SA"/>
        </w:rPr>
        <w:t>و مبسوطة</w:t>
      </w:r>
      <w:r>
        <w:rPr>
          <w:rStyle w:val="FootnoteAnchor"/>
          <w:rtl w:val="true"/>
        </w:rPr>
        <w:footnoteReference w:id="2535"/>
      </w:r>
      <w:r>
        <w:rPr>
          <w:rFonts w:ascii="Amiri" w:hAnsi="Amiri" w:eastAsia="Amiri" w:cs="Amiri"/>
          <w:color w:val="111111"/>
          <w:sz w:val="28"/>
          <w:sz w:val="28"/>
          <w:szCs w:val="28"/>
          <w:rtl w:val="true"/>
          <w:lang w:bidi="ar-SA"/>
        </w:rPr>
        <w:t>و الوسيلة</w:t>
      </w:r>
      <w:r>
        <w:rPr>
          <w:rStyle w:val="FootnoteAnchor"/>
          <w:rtl w:val="true"/>
        </w:rPr>
        <w:footnoteReference w:id="2536"/>
      </w:r>
      <w:r>
        <w:rPr>
          <w:rFonts w:ascii="IRNazanin" w:hAnsi="IRNazanin" w:eastAsia="IRNazanin"/>
          <w:color w:val="111111"/>
          <w:sz w:val="28"/>
          <w:sz w:val="28"/>
          <w:szCs w:val="28"/>
          <w:rtl w:val="true"/>
          <w:lang w:bidi="fa-IR"/>
        </w:rPr>
        <w:t>و المراسم</w:t>
      </w:r>
      <w:r>
        <w:rPr>
          <w:rStyle w:val="FootnoteAnchor"/>
          <w:rtl w:val="true"/>
        </w:rPr>
        <w:footnoteReference w:id="2537"/>
      </w:r>
      <w:r>
        <w:rPr>
          <w:rFonts w:ascii="IRNazanin" w:hAnsi="IRNazanin" w:eastAsia="IRNazanin"/>
          <w:color w:val="111111"/>
          <w:sz w:val="28"/>
          <w:sz w:val="28"/>
          <w:szCs w:val="28"/>
          <w:rtl w:val="true"/>
          <w:lang w:bidi="fa-IR"/>
        </w:rPr>
        <w:t>و الإصباح</w:t>
      </w:r>
      <w:r>
        <w:rPr>
          <w:rStyle w:val="FootnoteAnchor"/>
          <w:rtl w:val="true"/>
        </w:rPr>
        <w:footnoteReference w:id="2538"/>
      </w:r>
      <w:r>
        <w:rPr>
          <w:rFonts w:ascii="Amiri" w:hAnsi="Amiri" w:eastAsia="Amiri" w:cs="Amiri"/>
          <w:color w:val="111111"/>
          <w:sz w:val="28"/>
          <w:sz w:val="28"/>
          <w:szCs w:val="28"/>
          <w:rtl w:val="true"/>
          <w:lang w:bidi="ar-SA"/>
        </w:rPr>
        <w:t>و النهاية</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Style w:val="FootnoteAnchor"/>
          <w:rtl w:val="true"/>
        </w:rPr>
        <w:footnoteReference w:id="2540"/>
      </w:r>
      <w:r>
        <w:rPr>
          <w:rFonts w:ascii="Amiri" w:hAnsi="Amiri" w:eastAsia="Amiri" w:cs="Amiri"/>
          <w:color w:val="111111"/>
          <w:sz w:val="28"/>
          <w:sz w:val="28"/>
          <w:szCs w:val="28"/>
          <w:rtl w:val="true"/>
          <w:lang w:bidi="ar-SA"/>
        </w:rPr>
        <w:t>اعتبار كونها رطبة، و في الدروس</w:t>
      </w:r>
      <w:r>
        <w:rPr>
          <w:rStyle w:val="FootnoteAnchor"/>
          <w:rtl w:val="true"/>
        </w:rPr>
        <w:footnoteReference w:id="2541"/>
      </w:r>
      <w:r>
        <w:rPr>
          <w:rFonts w:ascii="Amiri" w:hAnsi="Amiri" w:eastAsia="Amiri" w:cs="Amiri"/>
          <w:color w:val="111111"/>
          <w:sz w:val="28"/>
          <w:sz w:val="28"/>
          <w:szCs w:val="28"/>
          <w:rtl w:val="true"/>
          <w:lang w:bidi="ar-SA"/>
        </w:rPr>
        <w:t xml:space="preserve">كما عن الإرشاد </w:t>
      </w:r>
      <w:r>
        <w:rPr>
          <w:rStyle w:val="FootnoteAnchor"/>
          <w:rtl w:val="true"/>
        </w:rPr>
        <w:footnoteReference w:id="2542"/>
      </w:r>
      <w:r>
        <w:rPr>
          <w:rFonts w:ascii="Amiri" w:hAnsi="Amiri" w:eastAsia="Amiri" w:cs="Amiri"/>
          <w:color w:val="111111"/>
          <w:sz w:val="28"/>
          <w:sz w:val="28"/>
          <w:szCs w:val="28"/>
          <w:rtl w:val="true"/>
          <w:lang w:bidi="ar-SA"/>
        </w:rPr>
        <w:t>و التحرير</w:t>
      </w:r>
      <w:r>
        <w:rPr>
          <w:rStyle w:val="FootnoteAnchor"/>
          <w:rtl w:val="true"/>
        </w:rPr>
        <w:footnoteReference w:id="2543"/>
      </w:r>
      <w:r>
        <w:rPr>
          <w:rFonts w:ascii="Amiri" w:hAnsi="Amiri" w:eastAsia="Amiri" w:cs="Amiri"/>
          <w:color w:val="111111"/>
          <w:sz w:val="28"/>
          <w:sz w:val="28"/>
          <w:szCs w:val="28"/>
          <w:rtl w:val="true"/>
          <w:lang w:bidi="ar-SA"/>
        </w:rPr>
        <w:t>اعتبار أحد الأمرين الذوبان أو الرطوبة، و عن الموجز</w:t>
      </w:r>
      <w:r>
        <w:rPr>
          <w:rStyle w:val="FootnoteAnchor"/>
          <w:rtl w:val="true"/>
        </w:rPr>
        <w:footnoteReference w:id="2544"/>
      </w:r>
      <w:r>
        <w:rPr>
          <w:rFonts w:ascii="Amiri" w:hAnsi="Amiri" w:eastAsia="Amiri" w:cs="Amiri"/>
          <w:color w:val="111111"/>
          <w:sz w:val="28"/>
          <w:sz w:val="28"/>
          <w:szCs w:val="28"/>
          <w:rtl w:val="true"/>
          <w:lang w:bidi="ar-SA"/>
        </w:rPr>
        <w:t>الاقتصار على التقطّع، و لعلّه يرادف الذوبان بالمعنى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اعتبار الرطوبة أو أحد الأمرين منها و من الذوبان فلعلّه على خلاف النصّ، و توجيهه بلزوم الذوبان للعذرة الرطبة عادة ممّا يؤدّي إلى عراء اعتبار الرطوبة مع الذوبان، و العطف بينهما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اعتبار كونه للتفسير، و كيف كان فلا دليل على الاكتفاء بمجرّد الرطوبة ما لم يصادفها الذوبان، و عليه فلو وقعت العذرة رطبة من دون أن تذوب فأخرجت لزمها نزح عشرة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إطلاق العذرة أيضا عدم الفرق بين الكبير و الصغير، و لا بين الذكر و الانثى، و لا بين العاقل و المجنون، و لا بين المسلم و الكافر، إلاّ أن يدّعى الانصراف، فيكون عذرة الكافر حينئذ مندرجة في غير المنصوص، كما جزم به بعض مشايخنا</w:t>
      </w:r>
      <w:r>
        <w:rPr>
          <w:rStyle w:val="FootnoteAnchor"/>
          <w:rtl w:val="true"/>
        </w:rPr>
        <w:footnoteReference w:id="2545"/>
      </w:r>
      <w:r>
        <w:rPr>
          <w:rFonts w:ascii="Amiri" w:hAnsi="Amiri" w:eastAsia="Amiri" w:cs="Amiri"/>
          <w:color w:val="111111"/>
          <w:sz w:val="28"/>
          <w:sz w:val="28"/>
          <w:szCs w:val="28"/>
          <w:rtl w:val="true"/>
          <w:lang w:bidi="ar-SA"/>
        </w:rPr>
        <w:t>و أمّا مقدارها فالظاهر أنّه لا حدّ له، بل يكفي مسمّاه عرفا ما لم يدخل من جهة القلّة فيما لا يتناوله الإطلاق كحبّة من خردل، غير أنّه لا يجدي في سقوط المقدّر المذكور حيث أنّه لا تقدير لقليلها كذلك، و إلحاقه بما لا نصّ فيه يبطله الأولويّة إن قلنا فيه بنزح الجميع، نعم على القولين الآخرين لا يبعد اعتبار مقدّريهما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اعتبار مقدّر الكثير و هو الخمسون، أو هو و الأربعون تخييرا، و لم نقف من الأصحاب على كلام في هذا الفرع سوى ما نسب إلى المحقّق البهبهاني في شرحه للمفاتيح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حدّ لمقدار العذرة، بل يكفي مسمّاه عرفا بأن يكون فردا متبادرا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كونها قدر حبّة من خردل و أقلّ منه، و على القول بالانفعال لعلّه يكفي لانفعال البئر به و احتياجها إلى مطهّر شرعي، و هو منحصر في النزح عند القائل به، فبنزح الخمسين يحصل الطهارة البتة بخلاف ما هو أقلّ منه</w:t>
      </w:r>
      <w:r>
        <w:rPr>
          <w:rFonts w:eastAsia="Amiri" w:cs="Amiri" w:ascii="Amiri" w:hAnsi="Amiri"/>
          <w:color w:val="111111"/>
          <w:sz w:val="28"/>
          <w:szCs w:val="28"/>
          <w:rtl w:val="true"/>
          <w:lang w:bidi="ar-SA"/>
        </w:rPr>
        <w:t>»</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لهم في اعتبار ذوبان الجميع أو كفاية ذوبان البعض كلاما، فقيل بالأوّل لأنّ الرواية أسندت الذوبان إلى العذرة الواقعة في البئر، و هو إنّما يحصل بذوبان الجميع، و قيل بالثاني لعدم اعتبار القلّة و الكثرة، فلو سقط مقدار البعض الذائب منفردا و ذاب كان كافيا في التأثير، فانضمام الغير إليه لا يمنعه عن التأثير، و هذا أوجه كما أنّ الأخذ بموجبه أحوط</w:t>
      </w:r>
      <w:r>
        <w:rPr>
          <w:rFonts w:eastAsia="Amiri" w:cs="Amiri" w:ascii="Amiri" w:hAnsi="Amiri"/>
          <w:color w:val="111111"/>
          <w:sz w:val="28"/>
          <w:szCs w:val="28"/>
          <w:rtl w:val="true"/>
          <w:lang w:bidi="ar-SA"/>
        </w:rPr>
        <w:t xml:space="preserve">. </w:t>
      </w:r>
      <w:bookmarkStart w:id="870" w:name="pg16144_233597"/>
    </w:p>
    <w:p>
      <w:pPr>
        <w:pStyle w:val="Heading6"/>
        <w:numPr>
          <w:ilvl w:val="5"/>
          <w:numId w:val="1"/>
        </w:numPr>
        <w:rPr/>
      </w:pPr>
      <w:bookmarkStart w:id="871" w:name="__RefHeading___Toc1805026_1280447820"/>
      <w:bookmarkStart w:id="872" w:name="_Toc344"/>
      <w:bookmarkEnd w:id="870"/>
      <w:bookmarkEnd w:id="871"/>
      <w:r>
        <w:rPr>
          <w:rtl w:val="true"/>
        </w:rPr>
        <w:t>و ثانيهما</w:t>
      </w:r>
      <w:r>
        <w:rPr>
          <w:rtl w:val="true"/>
        </w:rPr>
        <w:t xml:space="preserve">: </w:t>
      </w:r>
      <w:r>
        <w:rPr>
          <w:rtl w:val="true"/>
        </w:rPr>
        <w:t>كثير الدم الّذي مثّلوه بدم ذبح الشاة،</w:t>
      </w:r>
      <w:bookmarkEnd w:id="872"/>
    </w:p>
    <w:p>
      <w:pPr>
        <w:pStyle w:val="BookText"/>
        <w:rPr/>
      </w:pPr>
      <w:r>
        <w:rPr>
          <w:rFonts w:ascii="Amiri" w:hAnsi="Amiri" w:eastAsia="Amiri" w:cs="Amiri"/>
          <w:color w:val="111111"/>
          <w:sz w:val="28"/>
          <w:sz w:val="28"/>
          <w:szCs w:val="28"/>
          <w:rtl w:val="true"/>
          <w:lang w:bidi="ar-SA"/>
        </w:rPr>
        <w:t>و في عبارة محكيّة عن السرائر</w:t>
      </w:r>
      <w:r>
        <w:rPr>
          <w:rStyle w:val="FootnoteAnchor"/>
          <w:rtl w:val="true"/>
        </w:rPr>
        <w:footnoteReference w:id="2547"/>
      </w:r>
      <w:r>
        <w:rPr>
          <w:rFonts w:ascii="Amiri" w:hAnsi="Amiri" w:eastAsia="Amiri" w:cs="Amiri"/>
          <w:color w:val="111111"/>
          <w:sz w:val="28"/>
          <w:sz w:val="28"/>
          <w:szCs w:val="28"/>
          <w:rtl w:val="true"/>
          <w:lang w:bidi="ar-SA"/>
        </w:rPr>
        <w:t>تحديد أقلّ الكثير بدم الشاة، و تحديد قليل الدم بما نقص عن دم الشاة، و عن القطب الراوندي</w:t>
      </w:r>
      <w:r>
        <w:rPr>
          <w:rStyle w:val="FootnoteAnchor"/>
          <w:rtl w:val="true"/>
        </w:rPr>
        <w:footnoteReference w:id="2548"/>
      </w:r>
      <w:r>
        <w:rPr>
          <w:rFonts w:ascii="Amiri" w:hAnsi="Amiri" w:eastAsia="Amiri" w:cs="Amiri"/>
          <w:color w:val="111111"/>
          <w:sz w:val="28"/>
          <w:sz w:val="28"/>
          <w:szCs w:val="28"/>
          <w:rtl w:val="true"/>
          <w:lang w:bidi="ar-SA"/>
        </w:rPr>
        <w:t>ملاحظة الكثرة و القلّة بالإضافة إلى ماء البئر كثرة و قلّة، فتختلفان باختلافهما فيه، خلافا للمشهور المحكيّ عنهم ملاحظة الكثرة بالإضافة إلى نفس الدم، و قد تقيّد الكثرة بالعرفيّة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نظر لخلوّها عن المستند، و عدم ورود الحكم في النصوص منوطا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ينظر في مفهوميهما، و القول بأنّ المراد من الكثير ما ظهر من مورد الرواية في مقابل القليل و هما بالنسبة إلى الدم نفسه، واضح الدفع،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الرواية على ما فهموا منه الكثير ليس إلاّ ذبح الشاة، و على ما فهموا منه القليل ليس إلاّ ذبح الدجاجة، أو دم رعاف، على ما في رواية عليّ بن جعفر الآتية</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قضاء الرواية بالخمسين تعيينا و لا تخييرا، حتّى يقال بإناطته بالكثرة المفهومة من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قضائها بوقوع دم الشاة المذبوحة بأجمعه في البئر، حتّى يجعل ذلك ميزانا لمعرفة مناط الحكم، بل المتأمّل في مورد السؤال يعطي وقوع البعض المطلق أو القليل منه فيها، كما أنّ ذلك هو المفهوم من سؤال الدجاجة، ثمّ أنّه على تقدير انفهام الكثرة عن مورد تلك الرواية فهي كثرة إضافيّة بالقياس إلى مقابلة دم الدجاجة، و ذلك لا يوجب أصلا كلّيّا مطّردا في جميع أنواع الدم الكثير حتّى ما كان منه دم إنسان أو ثور أو بعير أو نحو ذلك، فالتعدّي حينئذ ممّا لا مسوّغ له إلاّ القياس المبنيّ على استنباط ظنّي بل وهمي، و هو كما ترى</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السرائر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لسائر الدماء النجسة من سائر دماء الحيوانات سواء كان مأكول اللحم أو غيره، نجس العين أو غيره، ما عدا دم الحيض و الاستحاضة و النفاس إذا كان الدم كثيرا، و حدّ أقلّ الكثير دم شاة خمسون دلوا، و للقليل منه وحده ما نقص عن دم شاة عشرة دلاء بغير خلاف، إلى آخره</w:t>
      </w:r>
      <w:r>
        <w:rPr>
          <w:rFonts w:eastAsia="Amiri" w:cs="Amiri" w:ascii="Amiri" w:hAnsi="Amiri"/>
          <w:color w:val="111111"/>
          <w:sz w:val="28"/>
          <w:szCs w:val="28"/>
          <w:rtl w:val="true"/>
          <w:lang w:bidi="ar-SA"/>
        </w:rPr>
        <w:t>»</w:t>
      </w:r>
      <w:r>
        <w:rPr>
          <w:rStyle w:val="FootnoteAnchor"/>
          <w:rtl w:val="true"/>
        </w:rPr>
        <w:footnoteReference w:id="2550"/>
      </w:r>
      <w:r>
        <w:rPr>
          <w:rFonts w:ascii="Amiri" w:hAnsi="Amiri" w:eastAsia="Amiri" w:cs="Amiri"/>
          <w:color w:val="111111"/>
          <w:sz w:val="28"/>
          <w:sz w:val="28"/>
          <w:szCs w:val="28"/>
          <w:rtl w:val="true"/>
          <w:lang w:bidi="ar-SA"/>
        </w:rPr>
        <w:t xml:space="preserve">، ممّا لم يعرف له مستند، و لو </w:t>
      </w:r>
    </w:p>
    <w:p>
      <w:pPr>
        <w:pStyle w:val="BookText"/>
        <w:rPr/>
      </w:pPr>
      <w:r>
        <w:rPr>
          <w:rFonts w:ascii="Amiri" w:hAnsi="Amiri" w:eastAsia="Amiri" w:cs="Amiri"/>
          <w:color w:val="111111"/>
          <w:sz w:val="28"/>
          <w:sz w:val="28"/>
          <w:szCs w:val="28"/>
          <w:rtl w:val="true"/>
          <w:lang w:bidi="ar-SA"/>
        </w:rPr>
        <w:t>كان مبناه على ما ذكر فليس إلاّ قياسات في قياس، و كيف كان فالحكم المذكور لكثير الدم موصوف في كلامهم بكونه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كشرح الفاضل على القواعد</w:t>
      </w:r>
      <w:r>
        <w:rPr>
          <w:rStyle w:val="FootnoteAnchor"/>
          <w:rtl w:val="true"/>
        </w:rPr>
        <w:footnoteReference w:id="2551"/>
      </w:r>
      <w:r>
        <w:rPr>
          <w:rFonts w:ascii="Amiri" w:hAnsi="Amiri" w:eastAsia="Amiri" w:cs="Amiri"/>
          <w:color w:val="111111"/>
          <w:sz w:val="28"/>
          <w:sz w:val="28"/>
          <w:szCs w:val="28"/>
          <w:rtl w:val="true"/>
          <w:lang w:bidi="ar-SA"/>
        </w:rPr>
        <w:t>، و الكفاية</w:t>
      </w:r>
      <w:r>
        <w:rPr>
          <w:rStyle w:val="FootnoteAnchor"/>
          <w:rtl w:val="true"/>
        </w:rPr>
        <w:footnoteReference w:id="2552"/>
      </w:r>
      <w:r>
        <w:rPr>
          <w:rFonts w:ascii="Amiri" w:hAnsi="Amiri" w:eastAsia="Amiri" w:cs="Amiri"/>
          <w:color w:val="111111"/>
          <w:sz w:val="28"/>
          <w:sz w:val="28"/>
          <w:szCs w:val="28"/>
          <w:rtl w:val="true"/>
          <w:lang w:bidi="ar-SA"/>
        </w:rPr>
        <w:t>، و الذكرى</w:t>
      </w:r>
      <w:r>
        <w:rPr>
          <w:rStyle w:val="FootnoteAnchor"/>
          <w:rtl w:val="true"/>
        </w:rPr>
        <w:footnoteReference w:id="2553"/>
      </w:r>
      <w:r>
        <w:rPr>
          <w:rFonts w:ascii="Amiri" w:hAnsi="Amiri" w:eastAsia="Amiri" w:cs="Amiri"/>
          <w:color w:val="111111"/>
          <w:sz w:val="28"/>
          <w:sz w:val="28"/>
          <w:szCs w:val="28"/>
          <w:rtl w:val="true"/>
          <w:lang w:bidi="ar-SA"/>
        </w:rPr>
        <w:t>، و الرياض</w:t>
      </w:r>
      <w:r>
        <w:rPr>
          <w:rStyle w:val="FootnoteAnchor"/>
          <w:rtl w:val="true"/>
        </w:rPr>
        <w:footnoteReference w:id="2554"/>
      </w:r>
      <w:r>
        <w:rPr>
          <w:rFonts w:ascii="IRNazanin" w:hAnsi="IRNazanin" w:eastAsia="IRNazanin"/>
          <w:color w:val="111111"/>
          <w:sz w:val="28"/>
          <w:sz w:val="28"/>
          <w:szCs w:val="28"/>
          <w:rtl w:val="true"/>
          <w:lang w:bidi="fa-IR"/>
        </w:rPr>
        <w:t>، و المجمع</w:t>
      </w:r>
      <w:r>
        <w:rPr>
          <w:rStyle w:val="FootnoteAnchor"/>
          <w:rtl w:val="true"/>
        </w:rPr>
        <w:footnoteReference w:id="2555"/>
      </w:r>
      <w:r>
        <w:rPr>
          <w:rFonts w:ascii="Amiri" w:hAnsi="Amiri" w:eastAsia="Amiri" w:cs="Amiri"/>
          <w:color w:val="111111"/>
          <w:sz w:val="28"/>
          <w:sz w:val="28"/>
          <w:szCs w:val="28"/>
          <w:rtl w:val="true"/>
          <w:lang w:bidi="ar-SA"/>
        </w:rPr>
        <w:t>نقل الشهرة عليه، و عن الغنية</w:t>
      </w:r>
      <w:r>
        <w:rPr>
          <w:rStyle w:val="FootnoteAnchor"/>
          <w:rtl w:val="true"/>
        </w:rPr>
        <w:footnoteReference w:id="2556"/>
      </w:r>
      <w:r>
        <w:rPr>
          <w:rFonts w:ascii="Amiri" w:hAnsi="Amiri" w:eastAsia="Amiri" w:cs="Amiri"/>
          <w:color w:val="111111"/>
          <w:sz w:val="28"/>
          <w:sz w:val="28"/>
          <w:szCs w:val="28"/>
          <w:rtl w:val="true"/>
          <w:lang w:bidi="ar-SA"/>
        </w:rPr>
        <w:t>الإجماع عليه، و في العبارة المتقدّمة من</w:t>
      </w:r>
      <w:r>
        <w:rPr>
          <w:rStyle w:val="FootnoteAnchor"/>
          <w:rtl w:val="true"/>
        </w:rPr>
        <w:footnoteReference w:id="2557"/>
      </w:r>
      <w:r>
        <w:rPr>
          <w:rFonts w:ascii="Amiri" w:hAnsi="Amiri" w:eastAsia="Amiri" w:cs="Amiri"/>
          <w:color w:val="111111"/>
          <w:sz w:val="28"/>
          <w:sz w:val="28"/>
          <w:szCs w:val="28"/>
          <w:rtl w:val="true"/>
          <w:lang w:bidi="ar-SA"/>
        </w:rPr>
        <w:t>السرائر نفي الخلاف عنه، و حكاه في المنتهى</w:t>
      </w:r>
      <w:r>
        <w:rPr>
          <w:rStyle w:val="FootnoteAnchor"/>
          <w:rtl w:val="true"/>
        </w:rPr>
        <w:footnoteReference w:id="2558"/>
      </w:r>
      <w:r>
        <w:rPr>
          <w:rFonts w:ascii="Amiri" w:hAnsi="Amiri" w:eastAsia="Amiri" w:cs="Amiri"/>
          <w:color w:val="111111"/>
          <w:sz w:val="28"/>
          <w:sz w:val="28"/>
          <w:szCs w:val="28"/>
          <w:rtl w:val="true"/>
          <w:lang w:bidi="ar-SA"/>
        </w:rPr>
        <w:t>و غيره عن الشيخ في النهاية</w:t>
      </w:r>
      <w:r>
        <w:rPr>
          <w:rStyle w:val="FootnoteAnchor"/>
          <w:rtl w:val="true"/>
        </w:rPr>
        <w:footnoteReference w:id="2559"/>
      </w:r>
      <w:r>
        <w:rPr>
          <w:rFonts w:ascii="IRNazanin" w:hAnsi="IRNazanin" w:eastAsia="IRNazanin"/>
          <w:color w:val="111111"/>
          <w:sz w:val="28"/>
          <w:sz w:val="28"/>
          <w:szCs w:val="28"/>
          <w:rtl w:val="true"/>
          <w:lang w:bidi="fa-IR"/>
        </w:rPr>
        <w:t>و المبسوط</w:t>
      </w:r>
      <w:r>
        <w:rPr>
          <w:rStyle w:val="FootnoteAnchor"/>
          <w:rtl w:val="true"/>
        </w:rPr>
        <w:footnoteReference w:id="2560"/>
      </w:r>
      <w:r>
        <w:rPr>
          <w:rFonts w:ascii="Amiri" w:hAnsi="Amiri" w:eastAsia="Amiri" w:cs="Amiri"/>
          <w:color w:val="111111"/>
          <w:sz w:val="28"/>
          <w:sz w:val="28"/>
          <w:szCs w:val="28"/>
          <w:rtl w:val="true"/>
          <w:lang w:bidi="ar-SA"/>
        </w:rPr>
        <w:t>، لكن أضاف إليه العشرة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مع ذلك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 في المقنعة</w:t>
      </w:r>
      <w:r>
        <w:rPr>
          <w:rStyle w:val="FootnoteAnchor"/>
          <w:rtl w:val="true"/>
        </w:rPr>
        <w:footnoteReference w:id="2561"/>
      </w:r>
      <w:r>
        <w:rPr>
          <w:rFonts w:ascii="Amiri" w:hAnsi="Amiri" w:eastAsia="Amiri" w:cs="Amiri"/>
          <w:color w:val="111111"/>
          <w:sz w:val="28"/>
          <w:sz w:val="28"/>
          <w:szCs w:val="28"/>
          <w:rtl w:val="true"/>
          <w:lang w:bidi="ar-SA"/>
        </w:rPr>
        <w:t>من أنّ لكثير الدم عشر دلاء و لقليله خمس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الصدوق</w:t>
      </w:r>
      <w:r>
        <w:rPr>
          <w:rStyle w:val="FootnoteAnchor"/>
          <w:rtl w:val="true"/>
        </w:rPr>
        <w:footnoteReference w:id="2562"/>
      </w:r>
      <w:r>
        <w:rPr>
          <w:rFonts w:ascii="Amiri" w:hAnsi="Amiri" w:eastAsia="Amiri" w:cs="Amiri"/>
          <w:color w:val="111111"/>
          <w:sz w:val="28"/>
          <w:sz w:val="28"/>
          <w:szCs w:val="28"/>
          <w:rtl w:val="true"/>
          <w:lang w:bidi="ar-SA"/>
        </w:rPr>
        <w:t>من وجوب ثلاثين إلى ربعين في الكثير و دلاء يسيرة في القليل، و عن المعتبر</w:t>
      </w:r>
      <w:r>
        <w:rPr>
          <w:rStyle w:val="FootnoteAnchor"/>
          <w:rtl w:val="true"/>
        </w:rPr>
        <w:footnoteReference w:id="2563"/>
      </w:r>
      <w:r>
        <w:rPr>
          <w:rFonts w:ascii="Amiri" w:hAnsi="Amiri" w:eastAsia="Amiri" w:cs="Amiri"/>
          <w:color w:val="111111"/>
          <w:sz w:val="28"/>
          <w:sz w:val="28"/>
          <w:szCs w:val="28"/>
          <w:rtl w:val="true"/>
          <w:lang w:bidi="ar-SA"/>
        </w:rPr>
        <w:t>أنّه مال إليه، و عن الشهيد في الذكرى</w:t>
      </w:r>
      <w:r>
        <w:rPr>
          <w:rStyle w:val="FootnoteAnchor"/>
          <w:rtl w:val="true"/>
        </w:rPr>
        <w:footnoteReference w:id="2564"/>
      </w:r>
      <w:r>
        <w:rPr>
          <w:rFonts w:ascii="Amiri" w:hAnsi="Amiri" w:eastAsia="Amiri" w:cs="Amiri"/>
          <w:color w:val="111111"/>
          <w:sz w:val="28"/>
          <w:sz w:val="28"/>
          <w:szCs w:val="28"/>
          <w:rtl w:val="true"/>
          <w:lang w:bidi="ar-SA"/>
        </w:rPr>
        <w:t>أنّه حسّنه، و عن الفاضل الهندي أنّه قرّبه،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يخلو عن قرب</w:t>
      </w:r>
      <w:r>
        <w:rPr>
          <w:rFonts w:eastAsia="Amiri" w:cs="Amiri" w:ascii="Amiri" w:hAnsi="Amiri"/>
          <w:color w:val="111111"/>
          <w:sz w:val="28"/>
          <w:szCs w:val="28"/>
          <w:rtl w:val="true"/>
          <w:lang w:bidi="ar-SA"/>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المرويّ صحيحا عن عليّ بن جعفر عن أخيه عليه السّلام في رجل ذبح شاة فاضطربت فوقعت في البئر، و أوداجها تشخب 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ثلاثين إلى أربعين</w:t>
      </w:r>
      <w:r>
        <w:rPr>
          <w:rFonts w:eastAsia="Amiri" w:cs="Amiri" w:ascii="Amiri" w:hAnsi="Amiri"/>
          <w:color w:val="111111"/>
          <w:sz w:val="28"/>
          <w:szCs w:val="28"/>
          <w:rtl w:val="true"/>
          <w:lang w:bidi="ar-SA"/>
        </w:rPr>
        <w:t>»</w:t>
      </w:r>
      <w:r>
        <w:rPr>
          <w:rStyle w:val="FootnoteAnchor"/>
          <w:rtl w:val="true"/>
        </w:rPr>
        <w:footnoteReference w:id="2566"/>
      </w:r>
      <w:r>
        <w:rPr>
          <w:rFonts w:ascii="Amiri" w:hAnsi="Amiri" w:eastAsia="Amiri" w:cs="Amiri"/>
          <w:color w:val="111111"/>
          <w:sz w:val="28"/>
          <w:sz w:val="28"/>
          <w:szCs w:val="28"/>
          <w:rtl w:val="true"/>
          <w:lang w:bidi="ar-SA"/>
        </w:rPr>
        <w:t>و طرح هذا الصحيح لأجل الشهرة و الإجماع المدّعى في الغنية، و عدم الخلاف المدّعى في السرائر، مع مخالفة المشايخ الأربعة من القدماء و الفاضلين و الشهيدين من المتأخّرين في غير محلّه، نعم العمل بالمشهور أحوط</w:t>
      </w:r>
      <w:r>
        <w:rPr>
          <w:rFonts w:eastAsia="Amiri" w:cs="Amiri" w:ascii="Amiri" w:hAnsi="Amiri"/>
          <w:color w:val="111111"/>
          <w:sz w:val="28"/>
          <w:szCs w:val="28"/>
          <w:rtl w:val="true"/>
          <w:lang w:bidi="ar-SA"/>
        </w:rPr>
        <w:t>»</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المرتضى في المصباح</w:t>
      </w:r>
      <w:r>
        <w:rPr>
          <w:rStyle w:val="FootnoteAnchor"/>
          <w:rtl w:val="true"/>
        </w:rPr>
        <w:footnoteReference w:id="2568"/>
      </w:r>
      <w:r>
        <w:rPr>
          <w:rFonts w:ascii="Amiri" w:hAnsi="Amiri" w:eastAsia="Amiri" w:cs="Amiri"/>
          <w:color w:val="111111"/>
          <w:sz w:val="28"/>
          <w:sz w:val="28"/>
          <w:szCs w:val="28"/>
          <w:rtl w:val="true"/>
          <w:lang w:bidi="ar-SA"/>
        </w:rPr>
        <w:t>من أنّ الدم فيه ما بين الدلو الواحدة إلى عشرين، و أمّا روايات الباب فعدّة أخبار لا بأس بإيرادها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المشار إليها في كلام الفاضل، و هي على ما في الاستبصار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شاة فاضطربت فوقعت في بئر ماء و أوداجها تشخب دما هل يتوضّأ من تلك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الثلاثين إلى الأربعين دلوا و يتوضّأ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ذبح دجاجة أو حمامة فوقعت في بئر هل يصلح أن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 يسيرة ثمّ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يستقي من بئر فرعف فيها هل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 يسيرة</w:t>
      </w:r>
      <w:r>
        <w:rPr>
          <w:rFonts w:eastAsia="Amiri" w:cs="Amiri" w:ascii="Amiri" w:hAnsi="Amiri"/>
          <w:color w:val="111111"/>
          <w:sz w:val="28"/>
          <w:szCs w:val="28"/>
          <w:rtl w:val="true"/>
          <w:lang w:bidi="ar-SA"/>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الاولى من رواية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في المسألة المذكورة من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بئر قطر فيها قطرة دم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 الخمر و الميّت و لحم الخنزير في ذلك كلّه واحد ينزح منه عشرون دلوا</w:t>
      </w:r>
      <w:r>
        <w:rPr>
          <w:rFonts w:eastAsia="Amiri" w:cs="Amiri" w:ascii="Amiri" w:hAnsi="Amiri"/>
          <w:color w:val="111111"/>
          <w:sz w:val="28"/>
          <w:szCs w:val="28"/>
          <w:rtl w:val="true"/>
          <w:lang w:bidi="ar-SA"/>
        </w:rPr>
        <w:t>»</w:t>
      </w:r>
      <w:r>
        <w:rPr>
          <w:rStyle w:val="FootnoteAnchor"/>
          <w:rtl w:val="true"/>
        </w:rPr>
        <w:footnoteReference w:id="257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الثالثة من رواية عمّار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ذبح طيرا فوقع بدمه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 هذا إذا كان ذكيّا</w:t>
      </w:r>
      <w:r>
        <w:rPr>
          <w:rFonts w:eastAsia="Amiri" w:cs="Amiri" w:ascii="Amiri" w:hAnsi="Amiri"/>
          <w:color w:val="111111"/>
          <w:sz w:val="28"/>
          <w:szCs w:val="28"/>
          <w:rtl w:val="true"/>
          <w:lang w:bidi="ar-SA"/>
        </w:rPr>
        <w:t xml:space="preserve">» </w:t>
      </w:r>
      <w:r>
        <w:rPr>
          <w:rStyle w:val="FootnoteAnchor"/>
          <w:rtl w:val="true"/>
        </w:rPr>
        <w:footnoteReference w:id="257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أدلّة القائلين بنجاسة البئر بالملاقاة من رواية ابن إسماعيل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الرضا عليه السّلام عن البئر تكون في المنزل للوضوء، فيقطر فيها قطرات من بول أو دم، أو يسقط فيها شيء من العذرة كالبعرة و نحوها، ما الّذي يطهّرها حتّى يحلّ الوضوء منها للصلاة؟ فوقّع عليه السّلام بخطّه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دلاء منها</w:t>
      </w:r>
      <w:r>
        <w:rPr>
          <w:rFonts w:eastAsia="Amiri" w:cs="Amiri" w:ascii="Amiri" w:hAnsi="Amiri"/>
          <w:color w:val="111111"/>
          <w:sz w:val="28"/>
          <w:szCs w:val="28"/>
          <w:rtl w:val="true"/>
          <w:lang w:bidi="ar-SA"/>
        </w:rPr>
        <w:t>»</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أنت خبير بأنّ هذه الروايات لا ينطبق شيء منها على شيء من الأقوال المتقدّمة حتّى قول الصدوق أيضا، لأنّ قضيّة ذلك القول دخول الثلاثين في التحديد القاضي بجواز الاكتفاء به، و ما يمكن توهّم انطباقه عليه من الروايات إنّما هو 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فهمه الفاضل </w:t>
      </w:r>
      <w:r>
        <w:rPr>
          <w:rFonts w:eastAsia="Amiri" w:cs="Amiri" w:ascii="Amiri" w:hAnsi="Amiri"/>
          <w:color w:val="111111"/>
          <w:sz w:val="28"/>
          <w:szCs w:val="28"/>
          <w:rtl w:val="true"/>
          <w:lang w:bidi="ar-SA"/>
        </w:rPr>
        <w:t>-</w:t>
      </w:r>
      <w:r>
        <w:rPr>
          <w:rStyle w:val="FootnoteAnchor"/>
          <w:rtl w:val="true"/>
        </w:rPr>
        <w:footnoteReference w:id="2574"/>
      </w:r>
      <w:r>
        <w:rPr>
          <w:rFonts w:ascii="Amiri" w:hAnsi="Amiri" w:eastAsia="Amiri" w:cs="Amiri"/>
          <w:color w:val="111111"/>
          <w:sz w:val="28"/>
          <w:sz w:val="28"/>
          <w:szCs w:val="28"/>
          <w:rtl w:val="true"/>
          <w:lang w:bidi="ar-SA"/>
        </w:rPr>
        <w:t>و هي كما ترى ظاهرة في الخروج، و كون العبرة بما بين الثلاثين و الأربعين من الأعداد، و أقصى ما يتكلّف في ذلك إدراج الطرف الثاني و هو الأربعون في الحدّ، بناء على أنّ التقييد بالغاية ظاهر في دخول الغاية في المغيّا، و أمّا الطرف الأوّل فلا مقتضي لاندراجه بحسب الدلالة اللفظيّة، و ادّعاء فهم العرف للدخول غير مسموع؛ و المفروض أنّه لا أولويّة في البين أيضا لتوجب ظنّ الدخول، و كون مستند دخوله الإجماع ينفيه الخلاف الفاحش المتقدّم و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في الاحتجاج للمفيد بمكاتبة ابن بزيع الحاكمة بنزح دلاء، من أنّ أكثر عدد يضاف إلى هذا الجمع عشرة فيجب أن يؤخذ به و يصير إليه، إذ لا دليل على ما دونه، على ما حكي عن الشيخ</w:t>
      </w:r>
      <w:r>
        <w:rPr>
          <w:rStyle w:val="FootnoteAnchor"/>
          <w:rtl w:val="true"/>
        </w:rPr>
        <w:footnoteReference w:id="2575"/>
      </w:r>
      <w:r>
        <w:rPr>
          <w:rFonts w:ascii="Amiri" w:hAnsi="Amiri" w:eastAsia="Amiri" w:cs="Amiri"/>
          <w:color w:val="111111"/>
          <w:sz w:val="28"/>
          <w:sz w:val="28"/>
          <w:szCs w:val="28"/>
          <w:rtl w:val="true"/>
          <w:lang w:bidi="ar-SA"/>
        </w:rPr>
        <w:t>من هذا التقرير للاحتجاج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انطباق مورد الرواية على القول المذكور، مع عدم تبيّن وجه الحكم في تعيّن الخمس لقليل الدم، نظرا إلى أنّ السؤال مفروض في القطرات المنبئة عن القلّة، و تعيّن العشرة في ذلك القول مفروض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الاختلاف في مفاد صيغ الجمع في نظر العرف على ما قرّر في محلّه، و ما عليه النحاة من الفرق بين جموع القلّة و جموع الكثرة بكون أقلّ الأوّل ثلاثة و أكثره عشرة و هي أقلّ الثاني اصطلاح لا شاهد عليه، بل العرف شاهد بخلافه، فلا يعدل عنه في خطابات الشرع، و مقتضاه الاقتصار على الثلاثة في الجميع عملا بالإطلاق القاضي بكفاية أقلّ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جموع القلّة على ما هو مضبوط عندهم، و مع كونه من جموع الكثرة فقضيّة البناء على الفرق المذكور كون العشرة أقلّ عدد يضاف إلى هذا الجمع لا أكثره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تعيّن الحمل على الأكثر بعد تسليم المقدّمتين، بل القاعدة تقتضي </w:t>
      </w:r>
      <w:bookmarkStart w:id="873" w:name="pg16144_233601"/>
    </w:p>
    <w:p>
      <w:pPr>
        <w:pStyle w:val="BookText"/>
        <w:rPr/>
      </w:pPr>
      <w:bookmarkEnd w:id="873"/>
      <w:r>
        <w:rPr>
          <w:rFonts w:ascii="Amiri" w:hAnsi="Amiri" w:eastAsia="Amiri" w:cs="Amiri"/>
          <w:color w:val="111111"/>
          <w:sz w:val="28"/>
          <w:sz w:val="28"/>
          <w:szCs w:val="28"/>
          <w:rtl w:val="true"/>
          <w:lang w:bidi="ar-SA"/>
        </w:rPr>
        <w:t xml:space="preserve">الاكتفاء بالأقلّ كما عرفت، و من هنا لو ذهب الوهم إلى اعتبار ذلك مستندا لقول الشيخ بالعشرة في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عنه في النهاية</w:t>
      </w:r>
      <w:r>
        <w:rPr>
          <w:rStyle w:val="FootnoteAnchor"/>
          <w:rtl w:val="true"/>
        </w:rPr>
        <w:footnoteReference w:id="2576"/>
      </w:r>
      <w:r>
        <w:rPr>
          <w:rFonts w:ascii="IRNazanin" w:hAnsi="IRNazanin" w:eastAsia="IRNazanin"/>
          <w:color w:val="111111"/>
          <w:sz w:val="28"/>
          <w:sz w:val="28"/>
          <w:szCs w:val="28"/>
          <w:rtl w:val="true"/>
          <w:lang w:bidi="fa-IR"/>
        </w:rPr>
        <w:t xml:space="preserve">و المبسوط </w:t>
      </w:r>
      <w:r>
        <w:rPr>
          <w:rFonts w:eastAsia="IRNazanin" w:cs="IRNazanin"/>
          <w:color w:val="111111"/>
          <w:sz w:val="28"/>
          <w:szCs w:val="28"/>
          <w:rtl w:val="true"/>
          <w:lang w:bidi="fa-IR"/>
        </w:rPr>
        <w:t>-</w:t>
      </w:r>
      <w:r>
        <w:rPr>
          <w:rStyle w:val="FootnoteAnchor"/>
          <w:rtl w:val="true"/>
        </w:rPr>
        <w:footnoteReference w:id="2577"/>
      </w:r>
      <w:r>
        <w:rPr>
          <w:rFonts w:ascii="Amiri" w:hAnsi="Amiri" w:eastAsia="Amiri" w:cs="Amiri"/>
          <w:color w:val="111111"/>
          <w:sz w:val="28"/>
          <w:sz w:val="28"/>
          <w:szCs w:val="28"/>
          <w:rtl w:val="true"/>
          <w:lang w:bidi="ar-SA"/>
        </w:rPr>
        <w:t>و هو الّذي نسب إلى المشهور أيضا في بعض المسائل الآتية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العدد أقلّ ما يضاف إلى جمع الكثرة، لاتّجه المنع إليه بابتنائه على الفرق المتقدّم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المسألة لا يخلو عن اضطراب و تشويش، حيث لا مستند لشيء منها يكون واضح الدلالة على المطلق حتّى المشهور، و إن حكي عليه الإجماع و الشهرة، لأنّهما ما لم يوجبا أو لم يقترنهما ما يوجب الاطمئنان لا عبرة بهما، و مع ذلك فهو الأحوط لكونه أجمع الأقوال بعدم خروج شيء منها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تأييده بما عرفت من مصير الشيخ في النهاية إليه، بناء على أنّه بمنزلة الرواية المرسلة لما اعترف به من أنّه لا يفتي فيها إلاّ بمتون الروايات</w:t>
      </w:r>
      <w:r>
        <w:rPr>
          <w:rStyle w:val="FootnoteAnchor"/>
          <w:rtl w:val="true"/>
        </w:rPr>
        <w:footnoteReference w:id="2578"/>
      </w:r>
      <w:r>
        <w:rPr>
          <w:rFonts w:ascii="Amiri" w:hAnsi="Amiri" w:eastAsia="Amiri" w:cs="Amiri"/>
          <w:color w:val="111111"/>
          <w:sz w:val="28"/>
          <w:sz w:val="28"/>
          <w:szCs w:val="28"/>
          <w:rtl w:val="true"/>
          <w:lang w:bidi="ar-SA"/>
        </w:rPr>
        <w:t>، فالمصير إليه حينئذ أولى عملا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الأصحاب يقضي بشمول الحكم لدم نجس العين، بل هو صريح ما تقدّم عن ابن إدريس</w:t>
      </w:r>
      <w:r>
        <w:rPr>
          <w:rStyle w:val="FootnoteAnchor"/>
          <w:rtl w:val="true"/>
        </w:rPr>
        <w:footnoteReference w:id="2579"/>
      </w:r>
      <w:r>
        <w:rPr>
          <w:rFonts w:ascii="Amiri" w:hAnsi="Amiri" w:eastAsia="Amiri" w:cs="Amiri"/>
          <w:color w:val="111111"/>
          <w:sz w:val="28"/>
          <w:sz w:val="28"/>
          <w:szCs w:val="28"/>
          <w:rtl w:val="true"/>
          <w:lang w:bidi="ar-SA"/>
        </w:rPr>
        <w:t>، غير أنّ التأمّل في ظاهر الروايات و لو من جهة الانصراف ممّا يعطي خلافه، فالأولى على القول بوجوب نزح الجميع في غير المنصوص إلحاقه به، و إلاّ فإلحاقه بغيره من الدماء مع البناء فيها على المشهور أولى و أحوط، و على قياسه الدماء الثلاث الّتي قد عرفت عن الحلّي</w:t>
      </w:r>
      <w:r>
        <w:rPr>
          <w:rStyle w:val="FootnoteAnchor"/>
          <w:rtl w:val="true"/>
        </w:rPr>
        <w:footnoteReference w:id="2580"/>
      </w:r>
      <w:r>
        <w:rPr>
          <w:rFonts w:ascii="Amiri" w:hAnsi="Amiri" w:eastAsia="Amiri" w:cs="Amiri"/>
          <w:color w:val="111111"/>
          <w:sz w:val="28"/>
          <w:sz w:val="28"/>
          <w:szCs w:val="28"/>
          <w:rtl w:val="true"/>
          <w:lang w:bidi="ar-SA"/>
        </w:rPr>
        <w:t>التصريح باستثنائها من عنوان المسألة،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1805028_1280447820"/>
      <w:bookmarkStart w:id="875" w:name="_Toc345"/>
      <w:bookmarkEnd w:id="874"/>
      <w:r>
        <w:rPr>
          <w:rtl w:val="true"/>
        </w:rPr>
        <w:t>المسألة الخامسة</w:t>
      </w:r>
      <w:r>
        <w:rPr>
          <w:rtl w:val="true"/>
        </w:rPr>
        <w:t xml:space="preserve">: </w:t>
      </w:r>
      <w:r>
        <w:rPr>
          <w:rtl w:val="true"/>
        </w:rPr>
        <w:t>فيما ينزح له أربعون دلوا،</w:t>
      </w:r>
      <w:bookmarkEnd w:id="875"/>
    </w:p>
    <w:p>
      <w:pPr>
        <w:pStyle w:val="BookText"/>
        <w:rPr/>
      </w:pPr>
      <w:r>
        <w:rPr>
          <w:rFonts w:ascii="Amiri" w:hAnsi="Amiri" w:eastAsia="Amiri" w:cs="Amiri"/>
          <w:color w:val="111111"/>
          <w:sz w:val="28"/>
          <w:sz w:val="28"/>
          <w:szCs w:val="28"/>
          <w:rtl w:val="true"/>
          <w:lang w:bidi="ar-SA"/>
        </w:rPr>
        <w:t>و قد اختلفت كلمة الأصحاب في ضبط ذلك و حصره عددا، ففي شرائع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لموت الثعلب، و الأرنب، و الخنزير، و السنّور، و الكلب، و شبهه، و بول الرجل</w:t>
      </w:r>
      <w:r>
        <w:rPr>
          <w:rFonts w:eastAsia="Amiri" w:cs="Amiri" w:ascii="Amiri" w:hAnsi="Amiri"/>
          <w:color w:val="111111"/>
          <w:sz w:val="28"/>
          <w:szCs w:val="28"/>
          <w:rtl w:val="true"/>
          <w:lang w:bidi="ar-SA"/>
        </w:rPr>
        <w:t>»</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المنتهى</w:t>
      </w:r>
      <w:r>
        <w:rPr>
          <w:rStyle w:val="FootnoteAnchor"/>
          <w:rtl w:val="true"/>
        </w:rPr>
        <w:footnoteReference w:id="2582"/>
      </w:r>
      <w:r>
        <w:rPr>
          <w:rFonts w:ascii="Amiri" w:hAnsi="Amiri" w:eastAsia="Amiri" w:cs="Amiri"/>
          <w:color w:val="111111"/>
          <w:sz w:val="28"/>
          <w:sz w:val="28"/>
          <w:szCs w:val="28"/>
          <w:rtl w:val="true"/>
          <w:lang w:bidi="ar-SA"/>
        </w:rPr>
        <w:t xml:space="preserve">عزاه في الجميع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الشيخين، ثمّ نسب إلى السيّد أنّه وافقهما في الكلب و بول الرجل، و إلى ابن بابويه أنّه وافقهم في البول</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وافقهم في الجميع إلاّ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الدروس</w:t>
      </w:r>
      <w:r>
        <w:rPr>
          <w:rStyle w:val="FootnoteAnchor"/>
          <w:rtl w:val="true"/>
        </w:rPr>
        <w:footnoteReference w:id="2583"/>
      </w:r>
      <w:r>
        <w:rPr>
          <w:rFonts w:ascii="Amiri" w:hAnsi="Amiri" w:eastAsia="Amiri" w:cs="Amiri"/>
          <w:color w:val="111111"/>
          <w:sz w:val="28"/>
          <w:sz w:val="28"/>
          <w:szCs w:val="28"/>
          <w:rtl w:val="true"/>
          <w:lang w:bidi="ar-SA"/>
        </w:rPr>
        <w:t>و اللمعة</w:t>
      </w:r>
      <w:r>
        <w:rPr>
          <w:rStyle w:val="FootnoteAnchor"/>
          <w:rtl w:val="true"/>
        </w:rPr>
        <w:footnoteReference w:id="2584"/>
      </w:r>
      <w:r>
        <w:rPr>
          <w:rFonts w:ascii="IRNazanin" w:hAnsi="IRNazanin" w:eastAsia="IRNazanin"/>
          <w:color w:val="111111"/>
          <w:sz w:val="28"/>
          <w:sz w:val="28"/>
          <w:szCs w:val="28"/>
          <w:rtl w:val="true"/>
          <w:lang w:bidi="fa-IR"/>
        </w:rPr>
        <w:t xml:space="preserve">، و عن </w:t>
      </w:r>
    </w:p>
    <w:p>
      <w:pPr>
        <w:pStyle w:val="BookText"/>
        <w:rPr/>
      </w:pPr>
      <w:r>
        <w:rPr>
          <w:rFonts w:ascii="IRNazanin" w:hAnsi="IRNazanin" w:eastAsia="IRNazanin"/>
          <w:color w:val="111111"/>
          <w:sz w:val="28"/>
          <w:sz w:val="28"/>
          <w:szCs w:val="28"/>
          <w:rtl w:val="true"/>
          <w:lang w:bidi="fa-IR"/>
        </w:rPr>
        <w:t>السرائر</w:t>
      </w:r>
      <w:r>
        <w:rPr>
          <w:rStyle w:val="FootnoteAnchor"/>
          <w:rtl w:val="true"/>
        </w:rPr>
        <w:footnoteReference w:id="2585"/>
      </w:r>
      <w:r>
        <w:rPr>
          <w:rFonts w:ascii="Amiri" w:hAnsi="Amiri" w:eastAsia="Amiri" w:cs="Amiri"/>
          <w:color w:val="111111"/>
          <w:sz w:val="28"/>
          <w:sz w:val="28"/>
          <w:szCs w:val="28"/>
          <w:rtl w:val="true"/>
          <w:lang w:bidi="ar-SA"/>
        </w:rPr>
        <w:t>زيادة الشاة، و الغزال، و ابن آوى، و ابن عرس، على ما عرفت عن الشرائع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أشبه ذلك في مقدار الجسم على التقريب</w:t>
      </w:r>
      <w:r>
        <w:rPr>
          <w:rFonts w:eastAsia="Amiri" w:cs="Amiri" w:ascii="Amiri" w:hAnsi="Amiri"/>
          <w:color w:val="111111"/>
          <w:sz w:val="28"/>
          <w:szCs w:val="28"/>
          <w:rtl w:val="true"/>
          <w:lang w:bidi="ar-SA"/>
        </w:rPr>
        <w:t>»</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الغنية</w:t>
      </w:r>
      <w:r>
        <w:rPr>
          <w:rStyle w:val="FootnoteAnchor"/>
          <w:rtl w:val="true"/>
        </w:rPr>
        <w:footnoteReference w:id="2587"/>
      </w:r>
      <w:r>
        <w:rPr>
          <w:rFonts w:ascii="Amiri" w:hAnsi="Amiri" w:eastAsia="Amiri" w:cs="Amiri"/>
          <w:color w:val="111111"/>
          <w:sz w:val="28"/>
          <w:sz w:val="28"/>
          <w:szCs w:val="28"/>
          <w:rtl w:val="true"/>
          <w:lang w:bidi="ar-SA"/>
        </w:rPr>
        <w:t xml:space="preserve">الإجماع على المذكورات و أشباهها، و في الروضة </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شرح المفاتيح </w:t>
      </w:r>
      <w:r>
        <w:rPr>
          <w:rFonts w:eastAsia="Amiri" w:cs="Amiri" w:ascii="Amiri" w:hAnsi="Amiri"/>
          <w:color w:val="111111"/>
          <w:sz w:val="28"/>
          <w:szCs w:val="28"/>
          <w:rtl w:val="true"/>
          <w:lang w:bidi="ar-SA"/>
        </w:rPr>
        <w:t xml:space="preserve">- </w:t>
      </w:r>
      <w:r>
        <w:rPr>
          <w:rStyle w:val="FootnoteAnchor"/>
          <w:rtl w:val="true"/>
        </w:rPr>
        <w:footnoteReference w:id="2589"/>
      </w:r>
      <w:r>
        <w:rPr>
          <w:rFonts w:ascii="Amiri" w:hAnsi="Amiri" w:eastAsia="Amiri" w:cs="Amiri"/>
          <w:color w:val="111111"/>
          <w:sz w:val="28"/>
          <w:sz w:val="28"/>
          <w:szCs w:val="28"/>
          <w:rtl w:val="true"/>
          <w:lang w:bidi="ar-SA"/>
        </w:rPr>
        <w:t>جعل الحكم مشهورا، و عن الذكرى</w:t>
      </w:r>
      <w:r>
        <w:rPr>
          <w:rStyle w:val="FootnoteAnchor"/>
          <w:rtl w:val="true"/>
        </w:rPr>
        <w:footnoteReference w:id="2590"/>
      </w:r>
      <w:r>
        <w:rPr>
          <w:rFonts w:ascii="Amiri" w:hAnsi="Amiri" w:eastAsia="Amiri" w:cs="Amiri"/>
          <w:color w:val="111111"/>
          <w:sz w:val="28"/>
          <w:sz w:val="28"/>
          <w:szCs w:val="28"/>
          <w:rtl w:val="true"/>
          <w:lang w:bidi="ar-SA"/>
        </w:rPr>
        <w:t>أنّ الحكم في الكلب و السنّور مشهور، و عن الكفاية</w:t>
      </w:r>
      <w:r>
        <w:rPr>
          <w:rStyle w:val="FootnoteAnchor"/>
          <w:rtl w:val="true"/>
        </w:rPr>
        <w:footnoteReference w:id="2591"/>
      </w:r>
      <w:r>
        <w:rPr>
          <w:rFonts w:ascii="Amiri" w:hAnsi="Amiri" w:eastAsia="Amiri" w:cs="Amiri"/>
          <w:color w:val="111111"/>
          <w:sz w:val="28"/>
          <w:sz w:val="28"/>
          <w:szCs w:val="28"/>
          <w:rtl w:val="true"/>
          <w:lang w:bidi="ar-SA"/>
        </w:rPr>
        <w:t>شهرته في الكلب و السنّور، قال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وقع فيها كلب نزح منها ثلاثون دلوا إلى أربعين دلوا، فإن وقع فيها سنّور نزح منها سبع دلاء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بال فيها رجل استقى منها 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وقعت شاة و ما أشبهها في بئر ينزح منها تسعة دلاء إلى عشرة دلاء</w:t>
      </w:r>
      <w:r>
        <w:rPr>
          <w:rFonts w:eastAsia="Amiri" w:cs="Amiri" w:ascii="Amiri" w:hAnsi="Amiri"/>
          <w:color w:val="111111"/>
          <w:sz w:val="28"/>
          <w:szCs w:val="28"/>
          <w:rtl w:val="true"/>
          <w:lang w:bidi="ar-SA"/>
        </w:rPr>
        <w:t>»</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 فيها كلب أو سنّور فانزح ثلاثين دلوا إلى أربعين، و قد روى سبع دلاء</w:t>
      </w:r>
      <w:r>
        <w:rPr>
          <w:rFonts w:eastAsia="Amiri" w:cs="Amiri" w:ascii="Amiri" w:hAnsi="Amiri"/>
          <w:color w:val="111111"/>
          <w:sz w:val="28"/>
          <w:szCs w:val="28"/>
          <w:rtl w:val="true"/>
          <w:lang w:bidi="ar-SA"/>
        </w:rPr>
        <w:t>»</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المشهور في غير بول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أو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 قبل أن ينتن نزحت منها سبع دلاء، و إن كانت سنّورا أو أكبر منه نزحت منها ثلاثين دلوا أو أربعين دلوا</w:t>
      </w:r>
      <w:r>
        <w:rPr>
          <w:rFonts w:eastAsia="Amiri" w:cs="Amiri" w:ascii="Amiri" w:hAnsi="Amiri"/>
          <w:color w:val="111111"/>
          <w:sz w:val="28"/>
          <w:szCs w:val="28"/>
          <w:rtl w:val="true"/>
          <w:lang w:bidi="ar-SA"/>
        </w:rPr>
        <w:t>»</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القاسم عن عليّ المرويّة فيهما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الطير و الدجاجة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 و السنّور عشرون، أو ثلاثون، أو أربعون دلوا، و الكلب و شبهه</w:t>
      </w:r>
      <w:r>
        <w:rPr>
          <w:rFonts w:eastAsia="Amiri" w:cs="Amiri" w:ascii="Amiri" w:hAnsi="Amiri"/>
          <w:color w:val="111111"/>
          <w:sz w:val="28"/>
          <w:szCs w:val="28"/>
          <w:rtl w:val="true"/>
          <w:lang w:bidi="ar-SA"/>
        </w:rPr>
        <w:t>»</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يذهب عليك أنّ هذه الرواية كسابقتها إنّما تقتضي الأربعين على جهة التخيير، و هو ينافي التعيين الّذي صار إليه الجماعة، و لكن ظاهرهم أنّهم إنّما صاروا إليه من </w:t>
      </w:r>
    </w:p>
    <w:p>
      <w:pPr>
        <w:pStyle w:val="BookText"/>
        <w:rPr/>
      </w:pPr>
      <w:r>
        <w:rPr>
          <w:rFonts w:ascii="Amiri" w:hAnsi="Amiri" w:eastAsia="Amiri" w:cs="Amiri"/>
          <w:color w:val="111111"/>
          <w:sz w:val="28"/>
          <w:sz w:val="28"/>
          <w:szCs w:val="28"/>
          <w:rtl w:val="true"/>
          <w:lang w:bidi="ar-SA"/>
        </w:rPr>
        <w:t>جهة الاستصحاب كما هو صريح البعض، أو لمراعاة الاحتياط خروجا عن شبهة الخلاف، و عملا بجميع ما ورد في هذا الباب من الأخبار، و إن شئت فانظر إلى كلام الشيخ في التهذيب في وجه الاحتجاج بالروايتين،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عملتم على أربعين دلوا في السنّور و الكلب و شبههما، و في الدجاجة و الطير على سبع دلاء، و في هذين الخبرين ليس القطع إلى أربعين دلوا، بل إنّما يتضمّن على جهة التخيير، و هلاّ عملتم بغير هذين الخبرين ممّا يتضمّن نقصان ما ذهبتم إليه؟ لأنّا إذا عملنا على ما ذكرناه من نزح أربعين دلوا ممّا وقع فيه الكلب و شبهه،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 ممّا وقع فيه الدجاج و شبهه، فلا خلاف بين أصحابنا في جواز استعمال ما بقي من الماء، و يكون أيضا الأخبار تتضمّن الأقلّ من ذلك داخلة في جملته، و إذا عملنا على غير ذلك نكون دافعين لهذين الخبرين جملة و صائرين إلى المختلف فيه، فلأجل هذا عملنا على نهاية ما وردت به الأخبار</w:t>
      </w:r>
      <w:r>
        <w:rPr>
          <w:rFonts w:eastAsia="Amiri" w:cs="Amiri" w:ascii="Amiri" w:hAnsi="Amiri"/>
          <w:color w:val="111111"/>
          <w:sz w:val="28"/>
          <w:szCs w:val="28"/>
          <w:rtl w:val="true"/>
          <w:lang w:bidi="ar-SA"/>
        </w:rPr>
        <w:t>»</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اعتذر بمثل ذلك في الاستبصار</w:t>
      </w:r>
      <w:r>
        <w:rPr>
          <w:rStyle w:val="FootnoteAnchor"/>
          <w:rtl w:val="true"/>
        </w:rPr>
        <w:footnoteReference w:id="2597"/>
      </w:r>
      <w:r>
        <w:rPr>
          <w:rFonts w:ascii="Amiri" w:hAnsi="Amiri" w:eastAsia="Amiri" w:cs="Amiri"/>
          <w:color w:val="111111"/>
          <w:sz w:val="28"/>
          <w:sz w:val="28"/>
          <w:szCs w:val="28"/>
          <w:rtl w:val="true"/>
          <w:lang w:bidi="ar-SA"/>
        </w:rPr>
        <w:t>، و أضاف فيه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بالخبرين ممّا يوجب العلم بزوال النجاسة، و لا يحصل مع العمل على غيرهما، و على هذا فيظهر ثمرة الاستدلال بالخبرين في نفي اعتبار ما زاد على أربعين، لأنّه أقصى ما ورد به النصّ، و حينئذ فلا إشكال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جواز الاعتماد على الرواية الثانية باعتبار سنده الّذي هو بنفسه ضعيف بواسطة القاسم بن محمّد، و عليّ بن أبي حمزة، و لذا وصفه في المنتهى</w:t>
      </w:r>
      <w:r>
        <w:rPr>
          <w:rStyle w:val="FootnoteAnchor"/>
          <w:rtl w:val="true"/>
        </w:rPr>
        <w:footnoteReference w:id="2598"/>
      </w:r>
      <w:r>
        <w:rPr>
          <w:rFonts w:ascii="Amiri" w:hAnsi="Amiri" w:eastAsia="Amiri" w:cs="Amiri"/>
          <w:color w:val="111111"/>
          <w:sz w:val="28"/>
          <w:sz w:val="28"/>
          <w:szCs w:val="28"/>
          <w:rtl w:val="true"/>
          <w:lang w:bidi="ar-SA"/>
        </w:rPr>
        <w:t>بالضعف تعليلا بكون الرجلين واقفيّين، و لكن الخطب في ذلك بعد ملاحظة انجباره بالشهرة و بعمل من لا يعتمد على أخبار الآحاد كالحلّي</w:t>
      </w:r>
      <w:r>
        <w:rPr>
          <w:rStyle w:val="FootnoteAnchor"/>
          <w:rtl w:val="true"/>
        </w:rPr>
        <w:footnoteReference w:id="2599"/>
      </w:r>
      <w:r>
        <w:rPr>
          <w:rFonts w:ascii="Amiri" w:hAnsi="Amiri" w:eastAsia="Amiri" w:cs="Amiri"/>
          <w:color w:val="111111"/>
          <w:sz w:val="28"/>
          <w:sz w:val="28"/>
          <w:szCs w:val="28"/>
          <w:rtl w:val="true"/>
          <w:lang w:bidi="ar-SA"/>
        </w:rPr>
        <w:t>، مع ما ستعرفه في عليّ، ممّا يوجب الاطمئنان به، مع أنّ تعويل الشيخ عليه من أمارات الاعتبار عندهم</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بيّنّاه من ظاهر دلالة الخبرين ظهر وجه الاختلاف بينهم و بين الصدوق، فإنّ ظاهره أنّه أخذ بظاهر التخيير من دون التفات إلى احتياط و غيره، مع ظهور كون مستنده الموثّقة أو ما هو نظيرها في الاقتصار على ما يشمل الكلب و السنّور، لكنّه مع </w:t>
      </w:r>
    </w:p>
    <w:p>
      <w:pPr>
        <w:pStyle w:val="BookText"/>
        <w:rPr/>
      </w:pPr>
      <w:r>
        <w:rPr>
          <w:rFonts w:ascii="Amiri" w:hAnsi="Amiri" w:eastAsia="Amiri" w:cs="Amiri"/>
          <w:color w:val="111111"/>
          <w:sz w:val="28"/>
          <w:sz w:val="28"/>
          <w:szCs w:val="28"/>
          <w:rtl w:val="true"/>
          <w:lang w:bidi="ar-SA"/>
        </w:rPr>
        <w:t>إشكال في دعوى الانحصار لا ينطبق إلاّ على فتواه في المقنع</w:t>
      </w:r>
      <w:r>
        <w:rPr>
          <w:rStyle w:val="FootnoteAnchor"/>
          <w:rtl w:val="true"/>
        </w:rPr>
        <w:footnoteReference w:id="2600"/>
      </w:r>
      <w:r>
        <w:rPr>
          <w:rFonts w:ascii="Amiri" w:hAnsi="Amiri" w:eastAsia="Amiri" w:cs="Amiri"/>
          <w:color w:val="111111"/>
          <w:sz w:val="28"/>
          <w:sz w:val="28"/>
          <w:szCs w:val="28"/>
          <w:rtl w:val="true"/>
          <w:lang w:bidi="ar-SA"/>
        </w:rPr>
        <w:t xml:space="preserve">، و أمّا فتواه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عرفته عن الفقيه </w:t>
      </w:r>
      <w:r>
        <w:rPr>
          <w:rFonts w:eastAsia="Amiri" w:cs="Amiri" w:ascii="Amiri" w:hAnsi="Amiri"/>
          <w:color w:val="111111"/>
          <w:sz w:val="28"/>
          <w:szCs w:val="28"/>
          <w:rtl w:val="true"/>
          <w:lang w:bidi="ar-SA"/>
        </w:rPr>
        <w:t>-</w:t>
      </w:r>
      <w:r>
        <w:rPr>
          <w:rStyle w:val="FootnoteAnchor"/>
          <w:rtl w:val="true"/>
        </w:rPr>
        <w:footnoteReference w:id="2601"/>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 رواية إسحاق بن عمّار عن جعفر عن أبيه، أنّ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الدجاجة و مثلها يموت في البئر نزح منها دلوان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فإذا كانت شاة و ما أشبهها فتسعة أو عشرة</w:t>
      </w:r>
      <w:r>
        <w:rPr>
          <w:rFonts w:eastAsia="Amiri" w:cs="Amiri" w:ascii="Amiri" w:hAnsi="Amiri"/>
          <w:color w:val="111111"/>
          <w:sz w:val="28"/>
          <w:szCs w:val="28"/>
          <w:rtl w:val="true"/>
          <w:lang w:bidi="ar-SA"/>
        </w:rPr>
        <w:t>»</w:t>
      </w:r>
      <w:r>
        <w:rPr>
          <w:rStyle w:val="FootnoteAnchor"/>
          <w:rtl w:val="true"/>
        </w:rPr>
        <w:footnoteReference w:id="26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699/237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مع روايات اخر قد خرجت على خلاف المذهب المشهور، و لأجل ذا سقطت عن الاعتبار، سيّما الروايات الاخر الّتي لا عامل بها أصلا، و هي الّتي بين ما دلّ على وجوب نزح الجميع كرواية عمّار عن أبي عبد اللّه عليه السّلام قال 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حملها الشيخ</w:t>
      </w:r>
      <w:r>
        <w:rPr>
          <w:rStyle w:val="FootnoteAnchor"/>
          <w:rtl w:val="true"/>
        </w:rPr>
        <w:footnoteReference w:id="2603"/>
      </w:r>
      <w:r>
        <w:rPr>
          <w:rFonts w:ascii="Amiri" w:hAnsi="Amiri" w:eastAsia="Amiri" w:cs="Amiri"/>
          <w:color w:val="111111"/>
          <w:sz w:val="28"/>
          <w:sz w:val="28"/>
          <w:szCs w:val="28"/>
          <w:rtl w:val="true"/>
          <w:lang w:bidi="ar-SA"/>
        </w:rPr>
        <w:t>على صورة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نزح دلاء كرواية الفضل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في البئر يقع فيها الفأرة، أو الدابّة، أو الكلب، أو 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يشرب منه و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يقطين عن أبي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يقع فيها الحمامة، و الدجاجة، أو الفأرة، أو الكلب، أو الهرّة؟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تنزح منها دلاء، فإنّ ذلك يطهّره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معناهما روايات اخر، و حملهما الشيخ على إرادة بيان الحكم لبعض المذكورات كالفأرة و الطير، أو أنّ الدلاء جمع كثرة و هو ما زاد على عشرة فلا يمتنع أن يكون المراد به أربعين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كفاية السبع كرواية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يقع في البئر ما بين الفأرة و السنّور إلى الشاة؟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نقول سبع دلاء</w:t>
      </w:r>
      <w:r>
        <w:rPr>
          <w:rFonts w:eastAsia="Amiri" w:cs="Amiri" w:ascii="Amiri" w:hAnsi="Amiri"/>
          <w:color w:val="111111"/>
          <w:sz w:val="28"/>
          <w:szCs w:val="28"/>
          <w:rtl w:val="true"/>
          <w:lang w:bidi="ar-SA"/>
        </w:rPr>
        <w:t xml:space="preserve">» </w:t>
      </w:r>
      <w:r>
        <w:rPr>
          <w:rStyle w:val="FootnoteAnchor"/>
          <w:rtl w:val="true"/>
        </w:rPr>
        <w:footnoteReference w:id="2604"/>
      </w:r>
      <w:r>
        <w:rPr>
          <w:rFonts w:ascii="Amiri" w:hAnsi="Amiri" w:eastAsia="Amiri" w:cs="Amiri"/>
          <w:color w:val="111111"/>
          <w:sz w:val="28"/>
          <w:sz w:val="28"/>
          <w:szCs w:val="28"/>
          <w:rtl w:val="true"/>
          <w:lang w:bidi="ar-SA"/>
        </w:rPr>
        <w:t>إلى آخره، و ما دلّ على كفاية الخمس كرواية أبي أسامة عن أبي عبد اللّه عليه السّلام في الفأرة، و السنّور، و الدجاجة، و الكلب، 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لم يتفسّخ، أو يتغيّر طعم الماء، فيكفيك خمس </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Style w:val="FootnoteAnchor"/>
          <w:rtl w:val="true"/>
        </w:rPr>
        <w:footnoteReference w:id="2605"/>
      </w:r>
      <w:r>
        <w:rPr>
          <w:rFonts w:ascii="Amiri" w:hAnsi="Amiri" w:eastAsia="Amiri" w:cs="Amiri"/>
          <w:color w:val="111111"/>
          <w:sz w:val="28"/>
          <w:sz w:val="28"/>
          <w:szCs w:val="28"/>
          <w:rtl w:val="true"/>
          <w:lang w:bidi="ar-SA"/>
        </w:rPr>
        <w:t>و حملها الشيخ على نظير ما سبق من إرادة بيان الحكم لبعض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اختلاف هذه الروايات و غيرها من روايات البول قرينة واضحة على المختار من عدم نجاسة البئر و عدم وجوب نزحها، لأنّ الاستحباب هو الّذي لا ينافيه هذا الاختلاف، لاختلاف مراتب الفضل 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 بول الرجل فقد أسنده في المدارك</w:t>
      </w:r>
      <w:r>
        <w:rPr>
          <w:rStyle w:val="FootnoteAnchor"/>
          <w:rtl w:val="true"/>
        </w:rPr>
        <w:footnoteReference w:id="2606"/>
      </w:r>
      <w:r>
        <w:rPr>
          <w:rFonts w:ascii="Amiri" w:hAnsi="Amiri" w:eastAsia="Amiri" w:cs="Amiri"/>
          <w:color w:val="111111"/>
          <w:sz w:val="28"/>
          <w:sz w:val="28"/>
          <w:szCs w:val="28"/>
          <w:rtl w:val="true"/>
          <w:lang w:bidi="ar-SA"/>
        </w:rPr>
        <w:t>إلى الخمسة و أتباعهم، و عن الغنية</w:t>
      </w:r>
      <w:r>
        <w:rPr>
          <w:rStyle w:val="FootnoteAnchor"/>
          <w:rtl w:val="true"/>
        </w:rPr>
        <w:footnoteReference w:id="2607"/>
      </w:r>
      <w:r>
        <w:rPr>
          <w:rFonts w:ascii="IRNazanin" w:hAnsi="IRNazanin" w:eastAsia="IRNazanin"/>
          <w:color w:val="111111"/>
          <w:sz w:val="28"/>
          <w:sz w:val="28"/>
          <w:szCs w:val="28"/>
          <w:rtl w:val="true"/>
          <w:lang w:bidi="fa-IR"/>
        </w:rPr>
        <w:t>و السرائر</w:t>
      </w:r>
      <w:r>
        <w:rPr>
          <w:rStyle w:val="FootnoteAnchor"/>
          <w:rtl w:val="true"/>
        </w:rPr>
        <w:footnoteReference w:id="2608"/>
      </w:r>
      <w:r>
        <w:rPr>
          <w:rFonts w:ascii="Amiri" w:hAnsi="Amiri" w:eastAsia="Amiri" w:cs="Amiri"/>
          <w:color w:val="111111"/>
          <w:sz w:val="28"/>
          <w:sz w:val="28"/>
          <w:szCs w:val="28"/>
          <w:rtl w:val="true"/>
          <w:lang w:bidi="ar-SA"/>
        </w:rPr>
        <w:t xml:space="preserve">الإجماع عليه، و مستنده الرواية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الفطيم يقع في البئر؟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w:t>
      </w:r>
      <w:r>
        <w:rPr>
          <w:rFonts w:eastAsia="Amiri" w:cs="Amiri" w:ascii="Amiri" w:hAnsi="Amiri"/>
          <w:color w:val="111111"/>
          <w:sz w:val="28"/>
          <w:szCs w:val="28"/>
          <w:rtl w:val="true"/>
          <w:lang w:bidi="ar-SA"/>
        </w:rPr>
        <w:t>»</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واضحة الدلالة على المطلوب، غير أنّه قد يستشكل بالنظر إلى سندها من جهة عليّ بن أبي حمزة المجروح عندهم، المرميّ بالوقف، لكن الخطب فيه أيضا سهل بعد ملاحظة الانجبار بالشهرة كما صرّح به جماعة 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مجبورة بعمل الأصحاب</w:t>
      </w:r>
      <w:r>
        <w:rPr>
          <w:rFonts w:eastAsia="Amiri" w:cs="Amiri" w:ascii="Amiri" w:hAnsi="Amiri"/>
          <w:color w:val="111111"/>
          <w:sz w:val="28"/>
          <w:szCs w:val="28"/>
          <w:rtl w:val="true"/>
          <w:lang w:bidi="ar-SA"/>
        </w:rPr>
        <w:t>»</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 بن حمزة لا يعوّل على روايته، غير أنّ الأصحاب قبلوها و بذلك يطرح ما يعارضها من الأخبار</w:t>
      </w:r>
      <w:r>
        <w:rPr>
          <w:rFonts w:eastAsia="Amiri" w:cs="Amiri" w:ascii="Amiri" w:hAnsi="Amiri"/>
          <w:color w:val="111111"/>
          <w:sz w:val="28"/>
          <w:szCs w:val="28"/>
          <w:rtl w:val="true"/>
          <w:lang w:bidi="ar-SA"/>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البهبهاني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الشيخ ادّعى إجماع الإماميّة على العمل برواية عليّ بن أبي حمزة، مضافا إلى أنّ هذه الرواية منجبرة بالشهرة</w:t>
      </w:r>
      <w:r>
        <w:rPr>
          <w:rFonts w:eastAsia="Amiri" w:cs="Amiri" w:ascii="Amiri" w:hAnsi="Amiri"/>
          <w:color w:val="111111"/>
          <w:sz w:val="28"/>
          <w:szCs w:val="28"/>
          <w:rtl w:val="true"/>
          <w:lang w:bidi="ar-SA"/>
        </w:rPr>
        <w:t>»</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المحقّق في المعتبر أنّه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الانجبار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كونه واقفيّا غير قادح في اعتبار روايته، لأنّ تغيّره إنّما كان بعد موت الكاظم عليه السّلام فلا يقدح فيما قبله</w:t>
      </w:r>
      <w:r>
        <w:rPr>
          <w:rFonts w:eastAsia="Amiri" w:cs="Amiri" w:ascii="Amiri" w:hAnsi="Amiri"/>
          <w:color w:val="111111"/>
          <w:sz w:val="28"/>
          <w:szCs w:val="28"/>
          <w:rtl w:val="true"/>
          <w:lang w:bidi="ar-SA"/>
        </w:rPr>
        <w:t>»</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استضعفه في المدارك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في عدالة الراوي بوقت الأداء لا التحمّل، و من المعلوم انتفاء تحقّق ذلك</w:t>
      </w:r>
      <w:r>
        <w:rPr>
          <w:rFonts w:eastAsia="Amiri" w:cs="Amiri" w:ascii="Amiri" w:hAnsi="Amiri"/>
          <w:color w:val="111111"/>
          <w:sz w:val="28"/>
          <w:szCs w:val="28"/>
          <w:rtl w:val="true"/>
          <w:lang w:bidi="ar-SA"/>
        </w:rPr>
        <w:t>»</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صاحب المعالم نظير ذلك مع وجه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حمزة إنّما تغيّر في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إذ ليس الاعتبار في عدالة الراوي بحال التحمّل بل بحال الرواية، و كيف يعلم بمجرّد إسنادها إلى الصادق عليه السّلام أنّ روايته لها وقعت قبل تغيّره؟ و ما هذا إلاّ محض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الجزم بإرادة ابن أبي حمزة البطائني الّذي هو واقفي لا وجه له، لاشتراك الاسم بينه و بين ابن أبي حمزة الثمالي، و أيّ قرينة واضحة على التمييز</w:t>
      </w:r>
      <w:r>
        <w:rPr>
          <w:rFonts w:eastAsia="Amiri" w:cs="Amiri" w:ascii="Amiri" w:hAnsi="Amiri"/>
          <w:color w:val="111111"/>
          <w:sz w:val="28"/>
          <w:szCs w:val="28"/>
          <w:rtl w:val="true"/>
          <w:lang w:bidi="ar-SA"/>
        </w:rPr>
        <w:t>»</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قرينة التميّز لكون الثمالي بنفسه ثقة مصرّحا بتوثيقه في كلام غير واحد، فلا وجه لما ذكره إن أراد به القدح من جهة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لتوجيه كلام المحقّق دفعا للاعتراض المذكور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غرض المحقّق أنّ الأصحاب يعملون بروايته مع أنّ عادتهم عدم الاتّفاق على العمل برواية من أنكر الحقّ عنادا، و أكل أموال الكاظم عليه السّلام ظلما و عدوانا، فالظاهر أنّهم إنّما أخذوا الرواية عنه قبل أن يصدر منه ما صدر</w:t>
      </w:r>
      <w:r>
        <w:rPr>
          <w:rFonts w:eastAsia="Amiri" w:cs="Amiri" w:ascii="Amiri" w:hAnsi="Amiri"/>
          <w:color w:val="111111"/>
          <w:sz w:val="28"/>
          <w:szCs w:val="28"/>
          <w:rtl w:val="true"/>
          <w:lang w:bidi="ar-SA"/>
        </w:rPr>
        <w:t>»</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يوجّه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لعلّه لأنّ الظاهر أنّ من تحمّل الحديث عن الإمام عليه السّلام يبادر إلى نقله و روايته لغيره و ثبته في كتابه، و الظاهر أنّ من سمعه إنّما سمعه منه قبل موت الكاظم عليه السّلام، و يبعد أن يكون قد ترك الرواية من زمان الصادق عليه السّلام إلى زمان الرضا غير مرويّة و لا مثبتة في الكتاب</w:t>
      </w:r>
      <w:r>
        <w:rPr>
          <w:rFonts w:eastAsia="Amiri" w:cs="Amiri" w:ascii="Amiri" w:hAnsi="Amiri"/>
          <w:color w:val="111111"/>
          <w:sz w:val="28"/>
          <w:szCs w:val="28"/>
          <w:rtl w:val="true"/>
          <w:lang w:bidi="ar-SA"/>
        </w:rPr>
        <w:t>»</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قولان آخران</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الأقرب عندي في العمل الأخذ </w:t>
      </w:r>
    </w:p>
    <w:p>
      <w:pPr>
        <w:pStyle w:val="BookText"/>
        <w:rPr/>
      </w:pPr>
      <w:r>
        <w:rPr>
          <w:rFonts w:ascii="Amiri" w:hAnsi="Amiri" w:eastAsia="Amiri" w:cs="Amiri"/>
          <w:color w:val="111111"/>
          <w:sz w:val="28"/>
          <w:sz w:val="28"/>
          <w:szCs w:val="28"/>
          <w:rtl w:val="true"/>
          <w:lang w:bidi="ar-SA"/>
        </w:rPr>
        <w:t xml:space="preserve">برواية محمّد بن بزيع لسلامة سندها، و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البول على رواية كردويه، فإنّها لا بأس بها</w:t>
      </w:r>
      <w:r>
        <w:rPr>
          <w:rFonts w:eastAsia="Amiri" w:cs="Amiri" w:ascii="Amiri" w:hAnsi="Amiri"/>
          <w:color w:val="111111"/>
          <w:sz w:val="28"/>
          <w:szCs w:val="28"/>
          <w:rtl w:val="true"/>
          <w:lang w:bidi="ar-SA"/>
        </w:rPr>
        <w:t>»</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من رواية محمّد بن بزيع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tl w:val="true"/>
        </w:rPr>
        <w:footnoteReference w:id="2619"/>
      </w:r>
      <w:r>
        <w:rPr>
          <w:rFonts w:ascii="Amiri" w:hAnsi="Amiri" w:eastAsia="Amiri" w:cs="Amiri"/>
          <w:color w:val="111111"/>
          <w:sz w:val="28"/>
          <w:sz w:val="28"/>
          <w:szCs w:val="28"/>
          <w:rtl w:val="true"/>
          <w:lang w:bidi="ar-SA"/>
        </w:rPr>
        <w:t>و برواية كردويه ما تقدّم من قوله سألت أبا الحسن عليه السّلام عن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الحمل الّذي اعتبره بين الروايتين مبنيّ على توهّم عطف البول في رواية كردويه على المضاف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المضاف إليه، و إلاّ لم يكن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على ثلاثين 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r>
        <w:rPr>
          <w:rStyle w:val="FootnoteAnchor"/>
          <w:rtl w:val="true"/>
        </w:rPr>
        <w:footnoteReference w:id="2621"/>
      </w:r>
      <w:r>
        <w:rPr>
          <w:rFonts w:ascii="Amiri" w:hAnsi="Amiri" w:eastAsia="Amiri" w:cs="Amiri"/>
          <w:color w:val="111111"/>
          <w:sz w:val="28"/>
          <w:sz w:val="28"/>
          <w:szCs w:val="28"/>
          <w:rtl w:val="true"/>
          <w:lang w:bidi="ar-SA"/>
        </w:rPr>
        <w:t>لاختصاصه بالقطرة، و مع ذلك فأصل القول شاذّ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صاحب المدارك</w:t>
      </w:r>
      <w:r>
        <w:rPr>
          <w:rStyle w:val="FootnoteAnchor"/>
          <w:rtl w:val="true"/>
        </w:rPr>
        <w:footnoteReference w:id="2622"/>
      </w:r>
      <w:r>
        <w:rPr>
          <w:rFonts w:ascii="Amiri" w:hAnsi="Amiri" w:eastAsia="Amiri" w:cs="Amiri"/>
          <w:color w:val="111111"/>
          <w:sz w:val="28"/>
          <w:sz w:val="28"/>
          <w:szCs w:val="28"/>
          <w:rtl w:val="true"/>
          <w:lang w:bidi="ar-SA"/>
        </w:rPr>
        <w:t>من نزح دلاء للقطرات من البول مطلقا، لصحيحة محمّد بن إسماعيل بن بزيع عن الرضا عليه السّلام</w:t>
      </w:r>
      <w:r>
        <w:rPr>
          <w:rStyle w:val="FootnoteAnchor"/>
          <w:rtl w:val="true"/>
        </w:rPr>
        <w:footnoteReference w:id="2623"/>
      </w:r>
      <w:r>
        <w:rPr>
          <w:rFonts w:ascii="Amiri" w:hAnsi="Amiri" w:eastAsia="Amiri" w:cs="Amiri"/>
          <w:color w:val="111111"/>
          <w:sz w:val="28"/>
          <w:sz w:val="28"/>
          <w:szCs w:val="28"/>
          <w:rtl w:val="true"/>
          <w:lang w:bidi="ar-SA"/>
        </w:rPr>
        <w:t>، و نزح الجميع لانصبابه فيها مطلقا، لصحيحة معاوية بن عمّار عن الصادق عليه السّلام في البئر يبول فيها الصبي، أو يصبّ فيها بول، أو 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الميل إليه من صاحب المعالم أيضا،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المتّجه العمل بصحيحة معاوية بن عمّار في الكثير، لدلالة الانصباب عليه، و بصحيحة محمّد بن إسماعيل في القليل، لظهور القطرات فيه، إلاّ أن يتحقّق إجماع على خلافه، لا مجرّد عدم ظهور القائل به كما يقال</w:t>
      </w:r>
      <w:r>
        <w:rPr>
          <w:rFonts w:eastAsia="Amiri" w:cs="Amiri" w:ascii="Amiri" w:hAnsi="Amiri"/>
          <w:color w:val="111111"/>
          <w:sz w:val="28"/>
          <w:szCs w:val="28"/>
          <w:rtl w:val="true"/>
          <w:lang w:bidi="ar-SA"/>
        </w:rPr>
        <w:t>»</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كسابقه في الشذوذ المسقط للاعتبار</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أنّ مورد النصّ و الفتوى هو الرجل، و هو ظاهر في الذكر البالغ، تعلم أنّ الحكم لا يتناول المرأة، فحصل الفرق إذن بينهما، و هو المحكيّ عن </w:t>
      </w:r>
    </w:p>
    <w:p>
      <w:pPr>
        <w:pStyle w:val="BookText"/>
        <w:rPr/>
      </w:pPr>
      <w:r>
        <w:rPr>
          <w:rFonts w:ascii="Amiri" w:hAnsi="Amiri" w:eastAsia="Amiri" w:cs="Amiri"/>
          <w:color w:val="111111"/>
          <w:sz w:val="28"/>
          <w:sz w:val="28"/>
          <w:szCs w:val="28"/>
          <w:rtl w:val="true"/>
          <w:lang w:bidi="ar-SA"/>
        </w:rPr>
        <w:t>الأكثر المصرّح به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المرويّ عن السرائر</w:t>
      </w:r>
      <w:r>
        <w:rPr>
          <w:rStyle w:val="FootnoteAnchor"/>
          <w:rtl w:val="true"/>
        </w:rPr>
        <w:footnoteReference w:id="2626"/>
      </w:r>
      <w:r>
        <w:rPr>
          <w:rFonts w:ascii="Amiri" w:hAnsi="Amiri" w:eastAsia="Amiri" w:cs="Amiri"/>
          <w:color w:val="111111"/>
          <w:sz w:val="28"/>
          <w:sz w:val="28"/>
          <w:szCs w:val="28"/>
          <w:rtl w:val="true"/>
          <w:lang w:bidi="ar-SA"/>
        </w:rPr>
        <w:t>عدم الفرق تعليلا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متواترة من الأئمّة الطاهرين عليهم السّلام على أنّه ينزح لبول الإنسان أربعون دلوا، و ظاهره الشمول للمرأة فضلا عن الصغير،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التحرير</w:t>
      </w:r>
      <w:r>
        <w:rPr>
          <w:rStyle w:val="FootnoteAnchor"/>
          <w:rtl w:val="true"/>
        </w:rPr>
        <w:footnoteReference w:id="2627"/>
      </w:r>
      <w:r>
        <w:rPr>
          <w:rFonts w:ascii="Amiri" w:hAnsi="Amiri" w:eastAsia="Amiri" w:cs="Amiri"/>
          <w:color w:val="111111"/>
          <w:sz w:val="28"/>
          <w:sz w:val="28"/>
          <w:szCs w:val="28"/>
          <w:rtl w:val="true"/>
          <w:lang w:bidi="ar-SA"/>
        </w:rPr>
        <w:t>، بل و عن الغنية</w:t>
      </w:r>
      <w:r>
        <w:rPr>
          <w:rStyle w:val="FootnoteAnchor"/>
          <w:rtl w:val="true"/>
        </w:rPr>
        <w:footnoteReference w:id="2628"/>
      </w:r>
      <w:r>
        <w:rPr>
          <w:rFonts w:ascii="IRNazanin" w:hAnsi="IRNazanin" w:eastAsia="IRNazanin"/>
          <w:color w:val="111111"/>
          <w:sz w:val="28"/>
          <w:sz w:val="28"/>
          <w:szCs w:val="28"/>
          <w:rtl w:val="true"/>
          <w:lang w:bidi="fa-IR"/>
        </w:rPr>
        <w:t>، و الإصباح</w:t>
      </w:r>
      <w:r>
        <w:rPr>
          <w:rStyle w:val="FootnoteAnchor"/>
          <w:rtl w:val="true"/>
        </w:rPr>
        <w:footnoteReference w:id="2629"/>
      </w:r>
      <w:r>
        <w:rPr>
          <w:rFonts w:ascii="Amiri" w:hAnsi="Amiri" w:eastAsia="Amiri" w:cs="Amiri"/>
          <w:color w:val="111111"/>
          <w:sz w:val="28"/>
          <w:sz w:val="28"/>
          <w:szCs w:val="28"/>
          <w:rtl w:val="true"/>
          <w:lang w:bidi="ar-SA"/>
        </w:rPr>
        <w:t>و الإشارة</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المفاتيح</w:t>
      </w:r>
      <w:r>
        <w:rPr>
          <w:rStyle w:val="FootnoteAnchor"/>
          <w:rtl w:val="true"/>
        </w:rPr>
        <w:footnoteReference w:id="2631"/>
      </w:r>
      <w:r>
        <w:rPr>
          <w:rFonts w:ascii="Amiri" w:hAnsi="Amiri" w:eastAsia="Amiri" w:cs="Amiri"/>
          <w:color w:val="111111"/>
          <w:sz w:val="28"/>
          <w:sz w:val="28"/>
          <w:szCs w:val="28"/>
          <w:rtl w:val="true"/>
          <w:lang w:bidi="ar-SA"/>
        </w:rPr>
        <w:t>و غيره نقل الإجماع عن ابن زهرة عليه،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بول المرأة و الرجل، إن عملنا برواية محمّد بن بزيع أو رواية كردويه، و إن عملنا برواية عليّ بن أبي حمزة حصل الفرق، و ابن إدريس لم يفرّق بينهما من مآخذ 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إنسان، و الحكم معلّق عليه معرّفا باللام الدالّ على العموم، و مقدّماته كلّها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المرأة بين الصغيرة و الكبيرة في وجوب الأربعين</w:t>
      </w:r>
      <w:r>
        <w:rPr>
          <w:rFonts w:eastAsia="Amiri" w:cs="Amiri" w:ascii="Amiri" w:hAnsi="Amiri"/>
          <w:color w:val="111111"/>
          <w:sz w:val="28"/>
          <w:szCs w:val="28"/>
          <w:rtl w:val="true"/>
          <w:lang w:bidi="ar-SA"/>
        </w:rPr>
        <w:t>»</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بروايتي معاوية بن عمّار، و محمّد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لإطلاق البول في الروايتين</w:t>
      </w:r>
      <w:r>
        <w:rPr>
          <w:rFonts w:eastAsia="Amiri" w:cs="Amiri" w:ascii="Amiri" w:hAnsi="Amiri"/>
          <w:color w:val="111111"/>
          <w:sz w:val="28"/>
          <w:szCs w:val="28"/>
          <w:rtl w:val="true"/>
          <w:lang w:bidi="ar-SA"/>
        </w:rPr>
        <w:t>»</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المعتبر الاعتراض على ما ذكره ابن إدريس،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نسلّم أنّها إنسان، و نطالبه أين وجد الأربعين معلّقة على بول الإنسان، و لا ريب أنّه وهم</w:t>
      </w:r>
      <w:r>
        <w:rPr>
          <w:rFonts w:eastAsia="Amiri" w:cs="Amiri" w:ascii="Amiri" w:hAnsi="Amiri"/>
          <w:color w:val="111111"/>
          <w:sz w:val="28"/>
          <w:szCs w:val="28"/>
          <w:rtl w:val="true"/>
          <w:lang w:bidi="ar-SA"/>
        </w:rPr>
        <w:t>»</w:t>
      </w:r>
      <w:r>
        <w:rPr>
          <w:rStyle w:val="FootnoteAnchor"/>
          <w:rtl w:val="true"/>
        </w:rPr>
        <w:footnoteReference w:id="2634"/>
      </w:r>
      <w:r>
        <w:rPr>
          <w:rFonts w:ascii="Amiri" w:hAnsi="Amiri" w:eastAsia="Amiri" w:cs="Amiri"/>
          <w:color w:val="111111"/>
          <w:sz w:val="28"/>
          <w:sz w:val="28"/>
          <w:szCs w:val="28"/>
          <w:rtl w:val="true"/>
          <w:lang w:bidi="ar-SA"/>
        </w:rPr>
        <w:t>، و استحسنه المحقّق الخوانساري</w:t>
      </w:r>
      <w:r>
        <w:rPr>
          <w:rStyle w:val="FootnoteAnchor"/>
          <w:rtl w:val="true"/>
        </w:rPr>
        <w:footnoteReference w:id="2635"/>
      </w:r>
      <w:r>
        <w:rPr>
          <w:rFonts w:ascii="Amiri" w:hAnsi="Amiri" w:eastAsia="Amiri" w:cs="Amiri"/>
          <w:color w:val="111111"/>
          <w:sz w:val="28"/>
          <w:sz w:val="28"/>
          <w:szCs w:val="28"/>
          <w:rtl w:val="true"/>
          <w:lang w:bidi="ar-SA"/>
        </w:rPr>
        <w:t>تعليلا بعدم وقوفه في الروايات على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بالفرق اختلفوا في مقدّر المرأة، فعن جماعة منهم إلحاقه بما لا نصّ فيه، و عن المعتبر أنّه أوجب ثلاثين دلوا، سواء كان من صغيرة أو كبيرة لرواية كردويه، و حكم باستحباب نزح الجميع لرواية معاوية بن عمّار، و تنظر المحقّق الخوانساري في القولين بكليهما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فلورود النصّ فيه متعدّدا، كصحيحتي معاوية بن عمّار، و ابن بزيع </w:t>
      </w:r>
    </w:p>
    <w:p>
      <w:pPr>
        <w:pStyle w:val="BookText"/>
        <w:rPr/>
      </w:pPr>
      <w:r>
        <w:rPr>
          <w:rFonts w:ascii="Amiri" w:hAnsi="Amiri" w:eastAsia="Amiri" w:cs="Amiri"/>
          <w:color w:val="111111"/>
          <w:sz w:val="28"/>
          <w:sz w:val="28"/>
          <w:szCs w:val="28"/>
          <w:rtl w:val="true"/>
          <w:lang w:bidi="ar-SA"/>
        </w:rPr>
        <w:t>و روايتي كردويه،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لم يعمل بها الأصحاب في حكم البول فلا عبرة بها،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 الأصحاب بها إنّما هو في بول الرجل لوجود مخصّص في الخارج، و ذلك لا يستلزم عدم العمل بها في بول المرأة،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عدم العمل بها في بول الرجل فالتخصيص ليس بأولى من المجاز، فليحمل على الاستحباب؛ و كذا الحال في صحيحة ابن بزيع، و أمّا روايتا كردويه فإحداهما خارجة عن البحث لاختصاصها بالمخالط بماء المطر، و أمّا الاخرى فغير نقيّة السند، فالعمل بها مشكل، مع أنّ الأصحاب لم يعملوا بمضمونها، و أيضا أنّها مختصّة ظاهرا بقطرة البول فلا نصّ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رواية كردويه لا تصلح للاعتماد عليها مع ظهورها في القطرة، و الّذي يقتضيه النظر أن يكتفى في القليل منه بدلاء لصحيحة ابن بزيع، مع تأيّدها بالأصل، و أمّا في الكثير فلا يبعد الاكتفاء بالثلاثين، لأنّه القدر المتيقّن و لا دليل على الزائد، و الأولى الأربعون، و الأحوط الجميع</w:t>
      </w:r>
      <w:r>
        <w:rPr>
          <w:rFonts w:eastAsia="Amiri" w:cs="Amiri" w:ascii="Amiri" w:hAnsi="Amiri"/>
          <w:color w:val="111111"/>
          <w:sz w:val="28"/>
          <w:szCs w:val="28"/>
          <w:rtl w:val="true"/>
          <w:lang w:bidi="ar-SA"/>
        </w:rPr>
        <w:t>»</w:t>
      </w:r>
      <w:r>
        <w:rPr>
          <w:rStyle w:val="FootnoteAnchor"/>
          <w:rtl w:val="true"/>
        </w:rPr>
        <w:footnoteReference w:id="263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قول آخر اختاره و هو فرق في بول المرأة بعد الفرق بينه و بين بول الرجل بين قليله و كثيره، فعلم أنّ المسألة ذات أقوال، و حيث إنّا لا نقول بالنجاسة و لا بوجوب النزح فلا جدوى للتعرّض لجرح هذه الأقوال و تعديلها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الأكثر عدم لحوق الخنثى بالرجل، و عن بعضهم استقرب إلحاقه بما لا نصّ فيه، و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الأجود في بول الخنثى وجوب أكثر الأمرين من الأربعين و ما يجب لما لا نصّ فيه</w:t>
      </w:r>
      <w:r>
        <w:rPr>
          <w:rFonts w:eastAsia="Amiri" w:cs="Amiri" w:ascii="Amiri" w:hAnsi="Amiri"/>
          <w:color w:val="111111"/>
          <w:sz w:val="28"/>
          <w:szCs w:val="28"/>
          <w:rtl w:val="true"/>
          <w:lang w:bidi="ar-SA"/>
        </w:rPr>
        <w:t>»</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إلحاقه بما لا نصّ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فيما لا نصّ فيه بنزح ثلاثين أو أربعين وجب في بول الخنثى أكثر الأمرين منه و من بول الرجل مع احتمال الاجتزاء بالأقلّ</w:t>
      </w:r>
      <w:r>
        <w:rPr>
          <w:rFonts w:eastAsia="Amiri" w:cs="Amiri" w:ascii="Amiri" w:hAnsi="Amiri"/>
          <w:color w:val="111111"/>
          <w:sz w:val="28"/>
          <w:szCs w:val="28"/>
          <w:rtl w:val="true"/>
          <w:lang w:bidi="ar-SA"/>
        </w:rPr>
        <w:t>»</w:t>
      </w:r>
      <w:r>
        <w:rPr>
          <w:rStyle w:val="FootnoteAnchor"/>
          <w:rtl w:val="true"/>
        </w:rPr>
        <w:footnoteReference w:id="26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حكم الخنثى الممسوح و هو الّذي ليس له ما للرجال و لا للنساء</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إطلاق الرجل في مورد النصّ عدم الفرق فيه بين المسلم و غيره، كما </w:t>
      </w:r>
    </w:p>
    <w:p>
      <w:pPr>
        <w:pStyle w:val="BookText"/>
        <w:rPr/>
      </w:pPr>
      <w:r>
        <w:rPr>
          <w:rFonts w:ascii="Amiri" w:hAnsi="Amiri" w:eastAsia="Amiri" w:cs="Amiri"/>
          <w:color w:val="111111"/>
          <w:sz w:val="28"/>
          <w:sz w:val="28"/>
          <w:szCs w:val="28"/>
          <w:rtl w:val="true"/>
          <w:lang w:bidi="ar-SA"/>
        </w:rPr>
        <w:t>في الروضة</w:t>
      </w:r>
      <w:r>
        <w:rPr>
          <w:rStyle w:val="FootnoteAnchor"/>
          <w:rtl w:val="true"/>
        </w:rPr>
        <w:footnoteReference w:id="2639"/>
      </w:r>
      <w:r>
        <w:rPr>
          <w:rFonts w:ascii="Amiri" w:hAnsi="Amiri" w:eastAsia="Amiri" w:cs="Amiri"/>
          <w:color w:val="111111"/>
          <w:sz w:val="28"/>
          <w:sz w:val="28"/>
          <w:szCs w:val="28"/>
          <w:rtl w:val="true"/>
          <w:lang w:bidi="ar-SA"/>
        </w:rPr>
        <w:t>، و عن المسالك</w:t>
      </w:r>
      <w:r>
        <w:rPr>
          <w:rStyle w:val="FootnoteAnchor"/>
          <w:rtl w:val="true"/>
        </w:rPr>
        <w:footnoteReference w:id="2640"/>
      </w:r>
      <w:r>
        <w:rPr>
          <w:rFonts w:ascii="Amiri" w:hAnsi="Amiri" w:eastAsia="Amiri" w:cs="Amiri"/>
          <w:color w:val="111111"/>
          <w:sz w:val="28"/>
          <w:sz w:val="28"/>
          <w:szCs w:val="28"/>
          <w:rtl w:val="true"/>
          <w:lang w:bidi="ar-SA"/>
        </w:rPr>
        <w:t>، و المهذّب</w:t>
      </w:r>
      <w:r>
        <w:rPr>
          <w:rStyle w:val="FootnoteAnchor"/>
          <w:rtl w:val="true"/>
        </w:rPr>
        <w:footnoteReference w:id="2641"/>
      </w:r>
      <w:r>
        <w:rPr>
          <w:rFonts w:ascii="IRNazanin" w:hAnsi="IRNazanin" w:eastAsia="IRNazanin"/>
          <w:color w:val="111111"/>
          <w:sz w:val="28"/>
          <w:sz w:val="28"/>
          <w:szCs w:val="28"/>
          <w:rtl w:val="true"/>
          <w:lang w:bidi="fa-IR"/>
        </w:rPr>
        <w:t>، و شرح الفاضل</w:t>
      </w:r>
      <w:r>
        <w:rPr>
          <w:rStyle w:val="FootnoteAnchor"/>
          <w:rtl w:val="true"/>
        </w:rPr>
        <w:footnoteReference w:id="2642"/>
      </w:r>
      <w:r>
        <w:rPr>
          <w:rFonts w:ascii="IRNazanin" w:hAnsi="IRNazanin" w:eastAsia="IRNazanin"/>
          <w:color w:val="111111"/>
          <w:sz w:val="28"/>
          <w:sz w:val="28"/>
          <w:szCs w:val="28"/>
          <w:rtl w:val="true"/>
          <w:lang w:bidi="fa-IR"/>
        </w:rPr>
        <w:t>، بل عن السرائر</w:t>
      </w:r>
      <w:r>
        <w:rPr>
          <w:rStyle w:val="FootnoteAnchor"/>
          <w:rtl w:val="true"/>
        </w:rPr>
        <w:footnoteReference w:id="2643"/>
      </w:r>
      <w:r>
        <w:rPr>
          <w:rFonts w:ascii="Amiri" w:hAnsi="Amiri" w:eastAsia="Amiri" w:cs="Amiri"/>
          <w:color w:val="111111"/>
          <w:sz w:val="28"/>
          <w:sz w:val="28"/>
          <w:szCs w:val="28"/>
          <w:rtl w:val="true"/>
          <w:lang w:bidi="ar-SA"/>
        </w:rPr>
        <w:t>، و التحرير</w:t>
      </w:r>
      <w:r>
        <w:rPr>
          <w:rStyle w:val="FootnoteAnchor"/>
          <w:rtl w:val="true"/>
        </w:rPr>
        <w:footnoteReference w:id="2644"/>
      </w:r>
      <w:r>
        <w:rPr>
          <w:rFonts w:ascii="Amiri" w:hAnsi="Amiri" w:eastAsia="Amiri" w:cs="Amiri"/>
          <w:color w:val="111111"/>
          <w:sz w:val="28"/>
          <w:sz w:val="28"/>
          <w:szCs w:val="28"/>
          <w:rtl w:val="true"/>
          <w:lang w:bidi="ar-SA"/>
        </w:rPr>
        <w:t>، و نهاية الإحكام</w:t>
      </w:r>
      <w:r>
        <w:rPr>
          <w:rStyle w:val="FootnoteAnchor"/>
          <w:rtl w:val="true"/>
        </w:rPr>
        <w:footnoteReference w:id="2645"/>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التصريح به</w:t>
      </w:r>
      <w:r>
        <w:rPr>
          <w:rStyle w:val="FootnoteAnchor"/>
          <w:rtl w:val="true"/>
        </w:rPr>
        <w:footnoteReference w:id="2646"/>
      </w:r>
      <w:r>
        <w:rPr>
          <w:rFonts w:ascii="IRNazanin" w:hAnsi="IRNazanin" w:eastAsia="IRNazanin"/>
          <w:color w:val="111111"/>
          <w:sz w:val="28"/>
          <w:sz w:val="28"/>
          <w:szCs w:val="28"/>
          <w:rtl w:val="true"/>
          <w:lang w:bidi="fa-IR"/>
        </w:rPr>
        <w:t>، و عن المعالم</w:t>
      </w:r>
      <w:r>
        <w:rPr>
          <w:rStyle w:val="FootnoteAnchor"/>
          <w:rtl w:val="true"/>
        </w:rPr>
        <w:footnoteReference w:id="2647"/>
      </w:r>
      <w:r>
        <w:rPr>
          <w:rFonts w:ascii="Amiri" w:hAnsi="Amiri" w:eastAsia="Amiri" w:cs="Amiri"/>
          <w:color w:val="111111"/>
          <w:sz w:val="28"/>
          <w:sz w:val="28"/>
          <w:szCs w:val="28"/>
          <w:rtl w:val="true"/>
          <w:lang w:bidi="ar-SA"/>
        </w:rPr>
        <w:t>، و شرح المفاتيح</w:t>
      </w:r>
      <w:r>
        <w:rPr>
          <w:rStyle w:val="FootnoteAnchor"/>
          <w:rtl w:val="true"/>
        </w:rPr>
        <w:footnoteReference w:id="2648"/>
      </w:r>
      <w:r>
        <w:rPr>
          <w:rFonts w:ascii="Amiri" w:hAnsi="Amiri" w:eastAsia="Amiri" w:cs="Amiri"/>
          <w:color w:val="111111"/>
          <w:sz w:val="28"/>
          <w:sz w:val="28"/>
          <w:szCs w:val="28"/>
          <w:rtl w:val="true"/>
          <w:lang w:bidi="ar-SA"/>
        </w:rPr>
        <w:t>، و الذخيرة</w:t>
      </w:r>
      <w:r>
        <w:rPr>
          <w:rStyle w:val="FootnoteAnchor"/>
          <w:rtl w:val="true"/>
        </w:rPr>
        <w:footnoteReference w:id="26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شرح الدروس للخوانساري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المتقدّمين حتّى ابن إدريس القائل بالفرق بين موت المسلم و الكافر لم يفرّقوا بينهما في البول، لتناول العموم لهما، و احتمل بعض المتأخّرين الفرق لأنّ لنجاسة الكفر تأثيرا، و لهذا لو وقع في البئر ماء متنجّس بملاقاة بدن الكافر لوجب له النزح، فكيف يكتفي للبول مع ملاقاته لبدنه بأربعين، و الحكم إنّما هو منوط بنجاسة البول لا بنجاسة الكفر،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وارد في سائر فضلاته كعذرته و بوله، و مثله دم نجس العين</w:t>
      </w:r>
      <w:r>
        <w:rPr>
          <w:rFonts w:eastAsia="Amiri" w:cs="Amiri" w:ascii="Amiri" w:hAnsi="Amiri"/>
          <w:color w:val="111111"/>
          <w:sz w:val="28"/>
          <w:szCs w:val="28"/>
          <w:rtl w:val="true"/>
          <w:lang w:bidi="ar-SA"/>
        </w:rPr>
        <w:t>»</w:t>
      </w:r>
      <w:r>
        <w:rPr>
          <w:rStyle w:val="FootnoteAnchor"/>
          <w:rtl w:val="true"/>
        </w:rPr>
        <w:footnoteReference w:id="26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خبير بوهن هذا الكلام و فساد ذلك الاستنباط، فإنّ أقصى ما ثبت بالدليل من نجاسة الكافر إنّما هو نجاسة ظواهر بدنه لا بواطنه، و لا سيّما عروقه و مجاري فضلاته، و البول و ما أشبهه إنّما يخرج من الباطن من دون لصوقه لظاهر البدن كما لا يخفى، و لو فرض الكلام فيما لو لاصق ظاهر البدن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خارج عن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المنع إلى اقتضاء ذلك تأثيرا من حيث ابتنائه على قبول النجس أو المتنجّس للنجاسة ثانيا، و هو موضع منع، خصوصا في النجس بالأصل كالبول و الدم و غيرهما من الفضلات، و قياس ما نحن فيه على الماء المتنجّس بملاقاة بدن الكافر باطل لوضوح الفرق بين المقامين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الفرق بين مسألتنا هذه و ما تقدّم من مسألة الموت الّذي صرنا فيه </w:t>
      </w:r>
      <w:bookmarkStart w:id="876" w:name="pg16144_233611"/>
    </w:p>
    <w:p>
      <w:pPr>
        <w:pStyle w:val="BookText"/>
        <w:rPr/>
      </w:pPr>
      <w:bookmarkEnd w:id="876"/>
      <w:r>
        <w:rPr>
          <w:rFonts w:ascii="Amiri" w:hAnsi="Amiri" w:eastAsia="Amiri" w:cs="Amiri"/>
          <w:color w:val="111111"/>
          <w:sz w:val="28"/>
          <w:sz w:val="28"/>
          <w:szCs w:val="28"/>
          <w:rtl w:val="true"/>
          <w:lang w:bidi="ar-SA"/>
        </w:rPr>
        <w:t>إلى الفرق بينهما فيما لو وقع الكافر حيّا في البئر ثمّ اتّفق موته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البئر يلاقيه نجاسة الكفر سابقة على الموت و هي داخلة في غير المنصوص و لا يشملها حكم الموت، كما سبق تفصيل القول في تحقيقه، بخلاف المقام الّذي لم يطرأ الموضوع نجاسة اخرى غير النجاسة البوليّة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بذلك ما عن صاحب المعالم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الحيثيّة معتبرة في الجميع كما أشرنا إليه في مسألة موت الإنسان، و اللازم من ذلك عدم الاكتفاء بالمقدّر لحيثيّته عند مصاحبة اخرى لها، لما سيأتي من عدم تداخل المنزوحات عند تعدّد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ملاقاة النجاسة لنجاسة اخرى على وجه مؤثّر يوجب لها قوّة و اعتبارا زائدا على حقيقتها، و الدليل الدّال على نزح مقدار مخصوص لها غير متناول لما سواها، فكيف يكون كافيا عن الجميع بتقدير الاجتماع</w:t>
      </w:r>
      <w:r>
        <w:rPr>
          <w:rFonts w:eastAsia="Amiri" w:cs="Amiri" w:ascii="Amiri" w:hAnsi="Amiri"/>
          <w:color w:val="111111"/>
          <w:sz w:val="28"/>
          <w:szCs w:val="28"/>
          <w:rtl w:val="true"/>
          <w:lang w:bidi="ar-SA"/>
        </w:rPr>
        <w:t>»</w:t>
      </w:r>
      <w:r>
        <w:rPr>
          <w:rStyle w:val="FootnoteAnchor"/>
          <w:rtl w:val="true"/>
        </w:rPr>
        <w:footnoteReference w:id="26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اجتماع الحيثيّتين من النجاسة أو نجاستين مؤثّرتين، حيث لا مقتضى لأحدهما كما عرفت</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1805030_1280447820"/>
      <w:bookmarkStart w:id="878" w:name="_Toc346"/>
      <w:bookmarkEnd w:id="877"/>
      <w:r>
        <w:rPr>
          <w:rtl w:val="true"/>
        </w:rPr>
        <w:t>المسألة السادسة</w:t>
      </w:r>
      <w:r>
        <w:rPr>
          <w:rtl w:val="true"/>
        </w:rPr>
        <w:t xml:space="preserve">: </w:t>
      </w:r>
      <w:r>
        <w:rPr>
          <w:rtl w:val="true"/>
        </w:rPr>
        <w:t>فيما ينزح له ثلاثون دلوا،</w:t>
      </w:r>
      <w:bookmarkEnd w:id="878"/>
    </w:p>
    <w:p>
      <w:pPr>
        <w:pStyle w:val="BookText"/>
        <w:rPr/>
      </w:pPr>
      <w:r>
        <w:rPr>
          <w:rFonts w:ascii="Amiri" w:hAnsi="Amiri" w:eastAsia="Amiri" w:cs="Amiri"/>
          <w:color w:val="111111"/>
          <w:sz w:val="28"/>
          <w:sz w:val="28"/>
          <w:szCs w:val="28"/>
          <w:rtl w:val="true"/>
          <w:lang w:bidi="ar-SA"/>
        </w:rPr>
        <w:t>و هو على ما في كلام غير واحد ماء المطر المخالط للبول، و العذرة، و خرء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الحكم مشهور، و نقل الشهرة عليه إلى حدّ الاستفاضة في كلامهم مذكور، و مستنده الرواية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كردويه،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بئر يدخلها ماء المطر فيه البول، و العذرة، و أبوال الدوابّ و أرواثها، و خرء 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 و إن كانت مبخرة</w:t>
      </w:r>
      <w:r>
        <w:rPr>
          <w:rFonts w:eastAsia="Amiri" w:cs="Amiri" w:ascii="Amiri" w:hAnsi="Amiri"/>
          <w:color w:val="111111"/>
          <w:sz w:val="28"/>
          <w:szCs w:val="28"/>
          <w:rtl w:val="true"/>
          <w:lang w:bidi="ar-SA"/>
        </w:rPr>
        <w:t>»</w:t>
      </w:r>
      <w:r>
        <w:rPr>
          <w:rStyle w:val="FootnoteAnchor"/>
          <w:rtl w:val="true"/>
        </w:rPr>
        <w:footnoteReference w:id="2652"/>
      </w:r>
      <w:r>
        <w:rPr>
          <w:rFonts w:ascii="Amiri" w:hAnsi="Amiri" w:eastAsia="Amiri" w:cs="Amiri"/>
          <w:color w:val="111111"/>
          <w:sz w:val="28"/>
          <w:sz w:val="28"/>
          <w:szCs w:val="28"/>
          <w:rtl w:val="true"/>
          <w:lang w:bidi="ar-SA"/>
        </w:rPr>
        <w:t>و ضعف الرواية بكردويه لجهالته غير قادح، بعد ملاحظة قضيّة الانجبار بالشهرة و رواية ابن أبي عمير عنه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مبسوط الشيخ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وقع في البئر ماء خالطه شيء من النجاسات مثل ماء المطر و البالوعة و غير ذلك، نزح منها أربعون دلوا للخبر</w:t>
      </w:r>
      <w:r>
        <w:rPr>
          <w:rFonts w:eastAsia="Amiri" w:cs="Amiri" w:ascii="Amiri" w:hAnsi="Amiri"/>
          <w:color w:val="111111"/>
          <w:sz w:val="28"/>
          <w:szCs w:val="28"/>
          <w:rtl w:val="true"/>
          <w:lang w:bidi="ar-SA"/>
        </w:rPr>
        <w:t>»</w:t>
      </w:r>
      <w:r>
        <w:rPr>
          <w:rStyle w:val="FootnoteAnchor"/>
          <w:rtl w:val="true"/>
        </w:rPr>
        <w:footnoteReference w:id="2653"/>
      </w:r>
      <w:r>
        <w:rPr>
          <w:rFonts w:ascii="Amiri" w:hAnsi="Amiri" w:eastAsia="Amiri" w:cs="Amiri"/>
          <w:color w:val="111111"/>
          <w:sz w:val="28"/>
          <w:sz w:val="28"/>
          <w:szCs w:val="28"/>
          <w:rtl w:val="true"/>
          <w:lang w:bidi="ar-SA"/>
        </w:rPr>
        <w:t>فاسد مخالف للنصّ و الفتوى، و الخبر المشار إليه ممّا لم يعرف له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في الشذوذ ما عن الفقيه</w:t>
      </w:r>
      <w:r>
        <w:rPr>
          <w:rStyle w:val="FootnoteAnchor"/>
          <w:rtl w:val="true"/>
        </w:rPr>
        <w:footnoteReference w:id="2654"/>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ينزّل إلى إرادة ماء المطر لأنّه الغالب، و كيف فالتعدّي عن مورد النصّ غير سائغ، و إلحاق غير المنصوص هنا كالمطر المخالط بغير ما ذكر من النجاسات، و الماء المخالط لها و لغيرها بغير المنصوص المخصوص بحكم آخر متعيّن، إن لم يفهم من دليل مقدّر كلّ نجاسة منفردة شموله لها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إلى ذلك ينظر ما عن السرائر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في المبسوط غير واضح و لا محكيّ، بل تعتبر النجاسة المخالطة 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ماء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غير منصوصة دخلت في قسم غير المنصوص، و الصحيح من المذهب و الأقوال المقصودة</w:t>
      </w:r>
      <w:r>
        <w:rPr>
          <w:rStyle w:val="FootnoteAnchor"/>
          <w:rtl w:val="true"/>
        </w:rPr>
        <w:footnoteReference w:id="2655"/>
      </w:r>
      <w:r>
        <w:rPr>
          <w:rFonts w:ascii="Amiri" w:hAnsi="Amiri" w:eastAsia="Amiri" w:cs="Amiri"/>
          <w:color w:val="111111"/>
          <w:sz w:val="28"/>
          <w:sz w:val="28"/>
          <w:szCs w:val="28"/>
          <w:rtl w:val="true"/>
          <w:lang w:bidi="ar-SA"/>
        </w:rPr>
        <w:t>بالإجماع و النظر و الاعتبار و الاحتياط نزح جميع ماء البئر، و مع التعذّر التراوح</w:t>
      </w:r>
      <w:r>
        <w:rPr>
          <w:rFonts w:eastAsia="Amiri" w:cs="Amiri" w:ascii="Amiri" w:hAnsi="Amiri"/>
          <w:color w:val="111111"/>
          <w:sz w:val="28"/>
          <w:szCs w:val="28"/>
          <w:rtl w:val="true"/>
          <w:lang w:bidi="ar-SA"/>
        </w:rPr>
        <w:t>»</w:t>
      </w:r>
      <w:r>
        <w:rPr>
          <w:rStyle w:val="FootnoteAnchor"/>
          <w:rtl w:val="true"/>
        </w:rPr>
        <w:footnoteReference w:id="26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قضيّة ما عرفت عدم التعدّي عن حكم النصّ إلى ما لو انضمّ إلى المذكورات غيرها، أو وقع الغير بدل بعضها، و لمّا كان النصّ ظاهرا في اعتبار وقوع جميع المذكورات فقد يشكل الحال لو فقد بعضها، لكن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عليّ في شرحه للقواعد</w:t>
      </w:r>
      <w:r>
        <w:rPr>
          <w:rStyle w:val="FootnoteAnchor"/>
          <w:rtl w:val="true"/>
        </w:rPr>
        <w:footnoteReference w:id="2657"/>
      </w:r>
      <w:r>
        <w:rPr>
          <w:rFonts w:ascii="IRNazanin" w:hAnsi="IRNazanin" w:eastAsia="IRNazanin"/>
          <w:color w:val="111111"/>
          <w:sz w:val="28"/>
          <w:sz w:val="28"/>
          <w:szCs w:val="28"/>
          <w:rtl w:val="true"/>
          <w:lang w:bidi="fa-IR"/>
        </w:rPr>
        <w:t>، و شرح الدروس</w:t>
      </w:r>
      <w:r>
        <w:rPr>
          <w:rStyle w:val="FootnoteAnchor"/>
          <w:rtl w:val="true"/>
        </w:rPr>
        <w:footnoteReference w:id="2658"/>
      </w:r>
      <w:r>
        <w:rPr>
          <w:rFonts w:ascii="Amiri" w:hAnsi="Amiri" w:eastAsia="Amiri" w:cs="Amiri"/>
          <w:color w:val="111111"/>
          <w:sz w:val="28"/>
          <w:sz w:val="28"/>
          <w:szCs w:val="28"/>
          <w:rtl w:val="true"/>
          <w:lang w:bidi="ar-SA"/>
        </w:rPr>
        <w:t xml:space="preserve">،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حكم الجميع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للتأمّل في أمثال هذه الأولويّة مجال واسع ما لم تكن عرفيّة، و الأقرب ملاحظة حال النصّ الوارد في مقدّر النجاسة المختلطة إذا وقعت منفردة، فإن تناولها مختلطة و إلاّ فالإلحاق بغير المنصوص، من غير فرق في جميع ما ذكر بين كون مقدّر البعض المختلط مساويا للثلاثين أو زائدا عليه أو ناقصا منه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بالاقتصار على المقدّر الأقلّ من ثلاثين إن كان، و يدّعى عليه الأولويّة أيضا بالإضافة إلى حالة الانفراد و إن كان الأحوط اعتبار الثلاثين، و في </w:t>
      </w:r>
      <w:bookmarkStart w:id="879" w:name="pg16144_233613"/>
    </w:p>
    <w:p>
      <w:pPr>
        <w:pStyle w:val="BookText"/>
        <w:rPr/>
      </w:pPr>
      <w:bookmarkEnd w:id="879"/>
      <w:r>
        <w:rPr>
          <w:rFonts w:ascii="Amiri" w:hAnsi="Amiri" w:eastAsia="Amiri" w:cs="Amiri"/>
          <w:color w:val="111111"/>
          <w:sz w:val="28"/>
          <w:sz w:val="28"/>
          <w:szCs w:val="28"/>
          <w:rtl w:val="true"/>
          <w:lang w:bidi="ar-SA"/>
        </w:rPr>
        <w:t>الروضة أطلق القول بأنّ الحكم معلّق على الجميع فيجب لغيره مقدّره أو الجميع إن لم يكن له مقدّر، الأقرب بالاحتياط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إشكالا معروفا أورده بعضهم على أصل المسألة،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الاستفصال عن النجاسات المذكورة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محتملاتها في الحكم، فيستوي حال العذرة رطبة و يابسة، و حال البول إذا كان بول رجل أو غيره، و قد حكموا بنزح خمسين للعذرة الرطبة، و أربعين لبول الرجل مع انفراد كلّ منهما، فكيف تجتزئ بالثلاثين مع انضمام أحدهما إلى الآخر، و انضمام غيرهما إليهما، و هو مقتض لزيادة النجاسة و تضاعفها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تنزيل الرواية على ماء المطر المخالط لهذه النجاسات مع استهلاك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الاستهلاك لا يبقى فرق بين ماء المطر و غيره و قد 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استناد الحكم إلى التخفيف المستند إلى مصاحبة ماء المطر كما عن المسالك</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الاستبعاد غير مسموع في مقابلة النصّ، خصوصا مع ملاحظة ابتناء أحكام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الشرعيّة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جمع المتباينات و تفريق المتماثلات</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إنّما يتوجّه إذا كان دليل الحكم ناهضا بإثباته و ليس الأمر كذلك هاهنا، نظرا إلى أنّ راوي هذا الحديث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إذ لم يتعرّض له الأصحاب في كتب الرجال، و بما تقدّم ذكره تقدر على دفع ذلك</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1805032_1280447820"/>
      <w:bookmarkStart w:id="881" w:name="_Toc347"/>
      <w:bookmarkEnd w:id="880"/>
      <w:r>
        <w:rPr>
          <w:rtl w:val="true"/>
        </w:rPr>
        <w:t>المسألة السابعة</w:t>
      </w:r>
      <w:r>
        <w:rPr>
          <w:rtl w:val="true"/>
        </w:rPr>
        <w:t xml:space="preserve">: </w:t>
      </w:r>
      <w:r>
        <w:rPr>
          <w:rtl w:val="true"/>
        </w:rPr>
        <w:t>فيما ينزح له عشرة دلاء و هو أمران</w:t>
      </w:r>
      <w:r>
        <w:rPr>
          <w:rtl w:val="true"/>
        </w:rPr>
        <w:t>:</w:t>
      </w:r>
      <w:bookmarkEnd w:id="881"/>
    </w:p>
    <w:p>
      <w:pPr>
        <w:pStyle w:val="Heading6"/>
        <w:numPr>
          <w:ilvl w:val="5"/>
          <w:numId w:val="1"/>
        </w:numPr>
        <w:rPr/>
      </w:pPr>
      <w:bookmarkStart w:id="882" w:name="__RefHeading___Toc1805034_1280447820"/>
      <w:bookmarkStart w:id="883" w:name="_Toc348"/>
      <w:bookmarkEnd w:id="882"/>
      <w:r>
        <w:rPr>
          <w:rtl w:val="true"/>
        </w:rPr>
        <w:t>أحدهما</w:t>
      </w:r>
      <w:r>
        <w:rPr>
          <w:rtl w:val="true"/>
        </w:rPr>
        <w:t xml:space="preserve">: </w:t>
      </w:r>
      <w:r>
        <w:rPr>
          <w:rtl w:val="true"/>
        </w:rPr>
        <w:t>العذرة الجامدة،</w:t>
      </w:r>
      <w:bookmarkEnd w:id="883"/>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 ما يقابل الذائبة الذائبة المنزوح لها خمسون دلوا على ما تقدّم الكلام فيها مشروحا، و حيث إنّ الذوبان كان عبارة عن تفرّق الأجزاء و شيوعها في الماء فالجمود كان عبارة عمّا لم تتفرّق أجزاؤه، بأن تخرج قبل شيوعها و لو بعد صيرورتها متبتلة أو رطبة، و الحكم المذكور لها هو المشهور المحكيّ عليه الشهرة في حدّ الاستفاضة، المنفيّ عنه الخلاف كما عن السرائر</w:t>
      </w:r>
      <w:r>
        <w:rPr>
          <w:rStyle w:val="FootnoteAnchor"/>
          <w:rtl w:val="true"/>
        </w:rPr>
        <w:footnoteReference w:id="2661"/>
      </w:r>
      <w:r>
        <w:rPr>
          <w:rFonts w:ascii="Amiri" w:hAnsi="Amiri" w:eastAsia="Amiri" w:cs="Amiri"/>
          <w:color w:val="111111"/>
          <w:sz w:val="28"/>
          <w:sz w:val="28"/>
          <w:szCs w:val="28"/>
          <w:rtl w:val="true"/>
          <w:lang w:bidi="ar-SA"/>
        </w:rPr>
        <w:t xml:space="preserve">، بل المنقول عليه الإجماع عن </w:t>
      </w:r>
      <w:bookmarkStart w:id="884" w:name="pg16144_233614"/>
    </w:p>
    <w:p>
      <w:pPr>
        <w:pStyle w:val="BookText"/>
        <w:rPr/>
      </w:pPr>
      <w:bookmarkEnd w:id="884"/>
      <w:r>
        <w:rPr>
          <w:rFonts w:ascii="Amiri" w:hAnsi="Amiri" w:eastAsia="Amiri" w:cs="Amiri"/>
          <w:color w:val="111111"/>
          <w:sz w:val="28"/>
          <w:sz w:val="28"/>
          <w:szCs w:val="28"/>
          <w:rtl w:val="true"/>
          <w:lang w:bidi="ar-SA"/>
        </w:rPr>
        <w:t>الغنية</w:t>
      </w:r>
      <w:r>
        <w:rPr>
          <w:rStyle w:val="FootnoteAnchor"/>
          <w:rtl w:val="true"/>
        </w:rPr>
        <w:footnoteReference w:id="2662"/>
      </w:r>
      <w:r>
        <w:rPr>
          <w:rFonts w:ascii="Amiri" w:hAnsi="Amiri" w:eastAsia="Amiri" w:cs="Amiri"/>
          <w:color w:val="111111"/>
          <w:sz w:val="28"/>
          <w:sz w:val="28"/>
          <w:szCs w:val="28"/>
          <w:rtl w:val="true"/>
          <w:lang w:bidi="ar-SA"/>
        </w:rPr>
        <w:t>، المنصوص عليه فيما تقدّم في العذرة الذائبة من رواية أبي بصير</w:t>
      </w:r>
      <w:r>
        <w:rPr>
          <w:rStyle w:val="FootnoteAnchor"/>
          <w:rtl w:val="true"/>
        </w:rPr>
        <w:footnoteReference w:id="2663"/>
      </w:r>
      <w:r>
        <w:rPr>
          <w:rFonts w:ascii="Amiri" w:hAnsi="Amiri" w:eastAsia="Amiri" w:cs="Amiri"/>
          <w:color w:val="111111"/>
          <w:sz w:val="28"/>
          <w:sz w:val="28"/>
          <w:szCs w:val="28"/>
          <w:rtl w:val="true"/>
          <w:lang w:bidi="ar-SA"/>
        </w:rPr>
        <w:t>المنجبر ضعفها بالعمل، و باقي الأحكام و الفروع الجارية فيها كما تقدّم ثمّة، فراجع و استعلم</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805036_1280447820"/>
      <w:bookmarkStart w:id="886" w:name="_Toc349"/>
      <w:bookmarkEnd w:id="885"/>
      <w:r>
        <w:rPr>
          <w:rtl w:val="true"/>
        </w:rPr>
        <w:t>و ثانيهما</w:t>
      </w:r>
      <w:r>
        <w:rPr>
          <w:rtl w:val="true"/>
        </w:rPr>
        <w:t xml:space="preserve">: </w:t>
      </w:r>
      <w:r>
        <w:rPr>
          <w:rtl w:val="true"/>
        </w:rPr>
        <w:t>الدم القليل،</w:t>
      </w:r>
      <w:bookmarkEnd w:id="886"/>
    </w:p>
    <w:p>
      <w:pPr>
        <w:pStyle w:val="BookText"/>
        <w:rPr/>
      </w:pPr>
      <w:r>
        <w:rPr>
          <w:rFonts w:ascii="Amiri" w:hAnsi="Amiri" w:eastAsia="Amiri" w:cs="Amiri"/>
          <w:color w:val="111111"/>
          <w:sz w:val="28"/>
          <w:sz w:val="28"/>
          <w:szCs w:val="28"/>
          <w:rtl w:val="true"/>
          <w:lang w:bidi="ar-SA"/>
        </w:rPr>
        <w:t>المقابل لكثيره المتقدّم ذكره و البحث عنه مفصّلا مقرونا بما يستعلم منه حال القليل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القول فيه على وجه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المذكور له مشهور منقول عليه الشهرة كما عن جماعة، بل الإجماع كما عن الغنية</w:t>
      </w:r>
      <w:r>
        <w:rPr>
          <w:rStyle w:val="FootnoteAnchor"/>
          <w:rtl w:val="true"/>
        </w:rPr>
        <w:footnoteReference w:id="2664"/>
      </w:r>
      <w:r>
        <w:rPr>
          <w:rFonts w:ascii="Amiri" w:hAnsi="Amiri" w:eastAsia="Amiri" w:cs="Amiri"/>
          <w:color w:val="111111"/>
          <w:sz w:val="28"/>
          <w:sz w:val="28"/>
          <w:szCs w:val="28"/>
          <w:rtl w:val="true"/>
          <w:lang w:bidi="ar-SA"/>
        </w:rPr>
        <w:t>، و حدّدوه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الدجاجة و الرعاف اليسير، و قد تقدّم بعض الكلام فيه مع المناقشة في التحديد بما ذكر على وجه يكون ضابطا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العدد المذكور فممّا لا نصّ فيه أصلا، و العمدة من مستنده ما تقدّم من صحيحة عليّ بن جعفر</w:t>
      </w:r>
      <w:r>
        <w:rPr>
          <w:rStyle w:val="FootnoteAnchor"/>
          <w:rtl w:val="true"/>
        </w:rPr>
        <w:footnoteReference w:id="2665"/>
      </w:r>
      <w:r>
        <w:rPr>
          <w:rFonts w:ascii="Amiri" w:hAnsi="Amiri" w:eastAsia="Amiri" w:cs="Amiri"/>
          <w:color w:val="111111"/>
          <w:sz w:val="28"/>
          <w:sz w:val="28"/>
          <w:szCs w:val="28"/>
          <w:rtl w:val="true"/>
          <w:lang w:bidi="ar-SA"/>
        </w:rPr>
        <w:t>في رجل ذبح دجاجة أو حمامة فوقعت في بئر، القائلة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ينزح منها دلاء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رجل يرعف فيها الآمرة بنزح دلاء يسيرة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كغيرها ممّا استفاض في باب الدم من الروايات المتقدّم إلى جملة منها الإشارة غير قاضية بالعدد المذكور،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ما زاد عليها و ما نقص منها، و لا يعطيها التقييد باليسيرة في جملة منها ظهورا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يوجّه به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جمع كثرة إلاّ أنّ تقييده هنا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يؤدّي مؤدّى القلّة قرينة على إرادة القلّة منه هنا ليس بسديد، و ما قد عرفته عن الشيخ</w:t>
      </w:r>
      <w:r>
        <w:rPr>
          <w:rStyle w:val="FootnoteAnchor"/>
          <w:rtl w:val="true"/>
        </w:rPr>
        <w:footnoteReference w:id="2666"/>
      </w:r>
      <w:r>
        <w:rPr>
          <w:rFonts w:ascii="Amiri" w:hAnsi="Amiri" w:eastAsia="Amiri" w:cs="Amiri"/>
          <w:color w:val="111111"/>
          <w:sz w:val="28"/>
          <w:sz w:val="28"/>
          <w:szCs w:val="28"/>
          <w:rtl w:val="true"/>
          <w:lang w:bidi="ar-SA"/>
        </w:rPr>
        <w:t xml:space="preserve">في تقريب الاستدلال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عدد يضاف إلى هذا الجمع عشرة فيجب أن يؤخذ به، إذ لا دليل على ما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سمعت المناقشة فيه من جهات عديدة فراجع و تأمّل، أ لا ترى أنّ المعتبر اعترض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لا نسلّم أنّه إذا جرّد عن الإضافة كانت حاله كذا، فإنّه لا 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يخبر عن زيادة عن عشرة، فإنّ دعوى ذلك باطلة</w:t>
      </w:r>
      <w:r>
        <w:rPr>
          <w:rFonts w:eastAsia="Amiri" w:cs="Amiri" w:ascii="Amiri" w:hAnsi="Amiri"/>
          <w:color w:val="111111"/>
          <w:sz w:val="28"/>
          <w:szCs w:val="28"/>
          <w:rtl w:val="true"/>
          <w:lang w:bidi="ar-SA"/>
        </w:rPr>
        <w:t>»</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المنتهى في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الإضافة هنا و إن جرّدت لفظا، لكنّها مقدّرة، </w:t>
      </w:r>
      <w:bookmarkStart w:id="887" w:name="pg16144_233615"/>
    </w:p>
    <w:p>
      <w:pPr>
        <w:pStyle w:val="BookText"/>
        <w:rPr/>
      </w:pPr>
      <w:bookmarkEnd w:id="887"/>
      <w:r>
        <w:rPr>
          <w:rFonts w:ascii="Amiri" w:hAnsi="Amiri" w:eastAsia="Amiri" w:cs="Amiri"/>
          <w:color w:val="111111"/>
          <w:sz w:val="28"/>
          <w:sz w:val="28"/>
          <w:szCs w:val="28"/>
          <w:rtl w:val="true"/>
          <w:lang w:bidi="ar-SA"/>
        </w:rPr>
        <w:t>و إلاّ للزم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إضمار عدد تضاف إليه تقديرا، فتحمل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أقلّ ما يصلح إضافته لهذا الجمع أخذا بالقدر المتيقّن، و حوالة على أصالة براءة الذمّة</w:t>
      </w:r>
      <w:r>
        <w:rPr>
          <w:rFonts w:eastAsia="Amiri" w:cs="Amiri" w:ascii="Amiri" w:hAnsi="Amiri"/>
          <w:color w:val="111111"/>
          <w:sz w:val="28"/>
          <w:szCs w:val="28"/>
          <w:rtl w:val="true"/>
          <w:lang w:bidi="ar-SA"/>
        </w:rPr>
        <w:t>»</w:t>
      </w:r>
      <w:r>
        <w:rPr>
          <w:rStyle w:val="FootnoteAnchor"/>
          <w:rtl w:val="true"/>
        </w:rPr>
        <w:footnoteReference w:id="2668"/>
      </w:r>
      <w:r>
        <w:rPr>
          <w:rFonts w:ascii="Amiri" w:hAnsi="Amiri" w:eastAsia="Amiri" w:cs="Amiri"/>
          <w:color w:val="111111"/>
          <w:sz w:val="28"/>
          <w:sz w:val="28"/>
          <w:szCs w:val="28"/>
          <w:rtl w:val="true"/>
          <w:lang w:bidi="ar-SA"/>
        </w:rPr>
        <w:t xml:space="preserve">فممّا لا محصّل له، من أنّ تأخير البيان فرع إرادة التعيين الّذي لم ينهض عليه إلى الآن قرينة من عقل أو نقل، فيبقى ظهور التخيير على ما هو شأن كلّ جمع منكر علّق عليه الحكم سليما عمّا يعارضه أو يصلح معارضته، و على تقدير وجوب التقدير فيكون أقلّ ما يصلح إضافة إلى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حيّز المنع، بل أقلّه على ما أطبق العرف و اللغة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فليحمل عليه لأصالة البراءة من الزائد، كما اعترف به غير واحد منهم صاحب المدارك</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الحكم مشهورا لكان سلب تعيين هذا العدد هنا ممّا لا إشكال فيه، و لا شبهة تعتريه، لكن مخالفة المشهور أيضا ممّا لا تخلو عن إشكال، و إذن كان الاحتياط في طرفه، فالمصير إليه حينئذ احتياطا ممّا لا بأس به</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1805038_1280447820"/>
      <w:bookmarkStart w:id="889" w:name="_Toc350"/>
      <w:bookmarkEnd w:id="888"/>
      <w:r>
        <w:rPr>
          <w:rtl w:val="true"/>
        </w:rPr>
        <w:t>المسألة الثامنة</w:t>
      </w:r>
      <w:r>
        <w:rPr>
          <w:rtl w:val="true"/>
        </w:rPr>
        <w:t xml:space="preserve">: </w:t>
      </w:r>
      <w:r>
        <w:rPr>
          <w:rtl w:val="true"/>
        </w:rPr>
        <w:t>فيما ينزح له سبع دلاء، و هو امور</w:t>
      </w:r>
      <w:r>
        <w:rPr>
          <w:rtl w:val="true"/>
        </w:rPr>
        <w:t>:</w:t>
      </w:r>
      <w:bookmarkEnd w:id="889"/>
    </w:p>
    <w:p>
      <w:pPr>
        <w:pStyle w:val="Heading6"/>
        <w:numPr>
          <w:ilvl w:val="5"/>
          <w:numId w:val="1"/>
        </w:numPr>
        <w:rPr/>
      </w:pPr>
      <w:bookmarkStart w:id="890" w:name="__RefHeading___Toc1805040_1280447820"/>
      <w:bookmarkStart w:id="891" w:name="_Toc351"/>
      <w:bookmarkEnd w:id="890"/>
      <w:r>
        <w:rPr>
          <w:rtl w:val="true"/>
        </w:rPr>
        <w:t>أحدها</w:t>
      </w:r>
      <w:r>
        <w:rPr>
          <w:rtl w:val="true"/>
        </w:rPr>
        <w:t xml:space="preserve">: </w:t>
      </w:r>
      <w:r>
        <w:rPr>
          <w:rtl w:val="true"/>
        </w:rPr>
        <w:t>موت الطير،</w:t>
      </w:r>
      <w:bookmarkEnd w:id="891"/>
    </w:p>
    <w:p>
      <w:pPr>
        <w:pStyle w:val="BookText"/>
        <w:rPr/>
      </w:pPr>
      <w:r>
        <w:rPr>
          <w:rFonts w:ascii="Amiri" w:hAnsi="Amiri" w:eastAsia="Amiri" w:cs="Amiri"/>
          <w:color w:val="111111"/>
          <w:sz w:val="28"/>
          <w:sz w:val="28"/>
          <w:szCs w:val="28"/>
          <w:rtl w:val="true"/>
          <w:lang w:bidi="ar-SA"/>
        </w:rPr>
        <w:t>المفسّر بالحمامة و النعامة و ما بينهما في محكيّ المسالك</w:t>
      </w:r>
      <w:r>
        <w:rPr>
          <w:rStyle w:val="FootnoteAnchor"/>
          <w:rtl w:val="true"/>
        </w:rPr>
        <w:footnoteReference w:id="2670"/>
      </w:r>
      <w:r>
        <w:rPr>
          <w:rFonts w:ascii="Amiri" w:hAnsi="Amiri" w:eastAsia="Amiri" w:cs="Amiri"/>
          <w:color w:val="111111"/>
          <w:sz w:val="28"/>
          <w:sz w:val="28"/>
          <w:szCs w:val="28"/>
          <w:rtl w:val="true"/>
          <w:lang w:bidi="ar-SA"/>
        </w:rPr>
        <w:t>، و جماعة، و مثله عن كتب العلاّمة</w:t>
      </w:r>
      <w:r>
        <w:rPr>
          <w:rStyle w:val="FootnoteAnchor"/>
          <w:rtl w:val="true"/>
        </w:rPr>
        <w:footnoteReference w:id="2671"/>
      </w:r>
      <w:r>
        <w:rPr>
          <w:rFonts w:ascii="IRNazanin" w:hAnsi="IRNazanin" w:eastAsia="IRNazanin"/>
          <w:color w:val="111111"/>
          <w:sz w:val="28"/>
          <w:sz w:val="28"/>
          <w:szCs w:val="28"/>
          <w:rtl w:val="true"/>
          <w:lang w:bidi="fa-IR"/>
        </w:rPr>
        <w:t>، و الموجز</w:t>
      </w:r>
      <w:r>
        <w:rPr>
          <w:rStyle w:val="FootnoteAnchor"/>
          <w:rtl w:val="true"/>
        </w:rPr>
        <w:footnoteReference w:id="2672"/>
      </w:r>
      <w:r>
        <w:rPr>
          <w:rFonts w:ascii="IRNazanin" w:hAnsi="IRNazanin" w:eastAsia="IRNazanin"/>
          <w:color w:val="111111"/>
          <w:sz w:val="28"/>
          <w:sz w:val="28"/>
          <w:szCs w:val="28"/>
          <w:rtl w:val="true"/>
          <w:lang w:bidi="fa-IR"/>
        </w:rPr>
        <w:t>، و شرحه</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الصادق فسّره بذلك</w:t>
      </w:r>
      <w:r>
        <w:rPr>
          <w:rFonts w:eastAsia="Amiri" w:cs="Amiri" w:ascii="Amiri" w:hAnsi="Amiri"/>
          <w:color w:val="111111"/>
          <w:sz w:val="28"/>
          <w:szCs w:val="28"/>
          <w:rtl w:val="true"/>
          <w:lang w:bidi="ar-SA"/>
        </w:rPr>
        <w:t>»</w:t>
      </w:r>
      <w:r>
        <w:rPr>
          <w:rStyle w:val="FootnoteAnchor"/>
          <w:rtl w:val="true"/>
        </w:rPr>
        <w:footnoteReference w:id="2674"/>
      </w:r>
      <w:r>
        <w:rPr>
          <w:rFonts w:ascii="Amiri" w:hAnsi="Amiri" w:eastAsia="Amiri" w:cs="Amiri"/>
          <w:color w:val="111111"/>
          <w:sz w:val="28"/>
          <w:sz w:val="28"/>
          <w:szCs w:val="28"/>
          <w:rtl w:val="true"/>
          <w:lang w:bidi="ar-SA"/>
        </w:rPr>
        <w:t>و عن جماعة الحمامة و الدجاجة و ما أشبههما</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Style w:val="FootnoteAnchor"/>
          <w:rtl w:val="true"/>
        </w:rPr>
        <w:footnoteReference w:id="2676"/>
      </w:r>
      <w:r>
        <w:rPr>
          <w:rFonts w:ascii="Amiri" w:hAnsi="Amiri" w:eastAsia="Amiri" w:cs="Amiri"/>
          <w:color w:val="111111"/>
          <w:sz w:val="28"/>
          <w:sz w:val="28"/>
          <w:szCs w:val="28"/>
          <w:rtl w:val="true"/>
          <w:lang w:bidi="ar-SA"/>
        </w:rPr>
        <w:t>و السبع يجب للنعامة و الحمامة و ما بينهما</w:t>
      </w:r>
      <w:r>
        <w:rPr>
          <w:rFonts w:eastAsia="Amiri" w:cs="Amiri" w:ascii="Amiri" w:hAnsi="Amiri"/>
          <w:color w:val="111111"/>
          <w:sz w:val="28"/>
          <w:szCs w:val="28"/>
          <w:rtl w:val="true"/>
          <w:lang w:bidi="ar-SA"/>
        </w:rPr>
        <w:t>»</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بوجوب السبع في موت الطير للثلاثة و أتباعهم</w:t>
      </w:r>
      <w:r>
        <w:rPr>
          <w:rFonts w:eastAsia="Amiri" w:cs="Amiri" w:ascii="Amiri" w:hAnsi="Amiri"/>
          <w:color w:val="111111"/>
          <w:sz w:val="28"/>
          <w:szCs w:val="28"/>
          <w:rtl w:val="true"/>
          <w:lang w:bidi="ar-SA"/>
        </w:rPr>
        <w:t>»</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و المراد بأتباعهم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في المهذّب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 السلاّر في المراسم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إدريس في السرائر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الدروس للخوانساري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المعروف بين الأصحاب</w:t>
      </w:r>
      <w:r>
        <w:rPr>
          <w:rFonts w:eastAsia="Amiri" w:cs="Amiri" w:ascii="Amiri" w:hAnsi="Amiri"/>
          <w:color w:val="111111"/>
          <w:sz w:val="28"/>
          <w:szCs w:val="28"/>
          <w:rtl w:val="true"/>
          <w:lang w:bidi="ar-SA"/>
        </w:rPr>
        <w:t>»</w:t>
      </w:r>
      <w:r>
        <w:rPr>
          <w:rStyle w:val="FootnoteAnchor"/>
          <w:rtl w:val="true"/>
        </w:rPr>
        <w:footnoteReference w:id="2679"/>
      </w:r>
      <w:r>
        <w:rPr>
          <w:rFonts w:ascii="Amiri" w:hAnsi="Amiri" w:eastAsia="Amiri" w:cs="Amiri"/>
          <w:color w:val="111111"/>
          <w:sz w:val="28"/>
          <w:sz w:val="28"/>
          <w:szCs w:val="28"/>
          <w:rtl w:val="true"/>
          <w:lang w:bidi="ar-SA"/>
        </w:rPr>
        <w:t>، 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الأصحاب</w:t>
      </w:r>
      <w:r>
        <w:rPr>
          <w:rFonts w:eastAsia="Amiri" w:cs="Amiri" w:ascii="Amiri" w:hAnsi="Amiri"/>
          <w:color w:val="111111"/>
          <w:sz w:val="28"/>
          <w:szCs w:val="28"/>
          <w:rtl w:val="true"/>
          <w:lang w:bidi="ar-SA"/>
        </w:rPr>
        <w:t>»</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غير واحد؛ هو المشهور، و عن الغنية الإجماع عليه</w:t>
      </w:r>
      <w:r>
        <w:rPr>
          <w:rStyle w:val="FootnoteAnchor"/>
          <w:rtl w:val="true"/>
        </w:rPr>
        <w:footnoteReference w:id="2681"/>
      </w:r>
      <w:r>
        <w:rPr>
          <w:rFonts w:ascii="Amiri" w:hAnsi="Amiri" w:eastAsia="Amiri" w:cs="Amiri"/>
          <w:color w:val="111111"/>
          <w:sz w:val="28"/>
          <w:sz w:val="28"/>
          <w:szCs w:val="28"/>
          <w:rtl w:val="true"/>
          <w:lang w:bidi="ar-SA"/>
        </w:rPr>
        <w:t>، و مستنده روايات فيها صحيح، و فيها غير صحيح، موثّق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اسامة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الطير، و الدجاجة، و الفأرة، فانزح منها سبع دلاء</w:t>
      </w:r>
      <w:r>
        <w:rPr>
          <w:rFonts w:eastAsia="Amiri" w:cs="Amiri" w:ascii="Amiri" w:hAnsi="Amiri"/>
          <w:color w:val="111111"/>
          <w:sz w:val="28"/>
          <w:szCs w:val="28"/>
          <w:rtl w:val="true"/>
          <w:lang w:bidi="ar-SA"/>
        </w:rPr>
        <w:t>»</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أو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 قبل أن ينتن نزحت منها سبع دلاء</w:t>
      </w:r>
      <w:r>
        <w:rPr>
          <w:rFonts w:eastAsia="Amiri" w:cs="Amiri" w:ascii="Amiri" w:hAnsi="Amiri"/>
          <w:color w:val="111111"/>
          <w:sz w:val="28"/>
          <w:szCs w:val="28"/>
          <w:rtl w:val="true"/>
          <w:lang w:bidi="ar-SA"/>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الطير، و الدجاجة، تقع في البئر؟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دلاء</w:t>
      </w:r>
      <w:r>
        <w:rPr>
          <w:rStyle w:val="FootnoteAnchor"/>
          <w:rtl w:val="true"/>
        </w:rPr>
        <w:footnoteReference w:id="268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المقام أخبار اخر تعارضها بظاهرهما بين دالّة على نزح دلاء، و دالّة على دلوين و ثلاث، و دالّة على الخمس، و قد تقدّم ذكرها في بحث السنّور، لكنّ الخطب فيها سهل لعدم عامل بها من الأصحاب، عدا رواية الخمس مع كونها صحيحة الّتي استظهر العمل بها في المدارك ناسبا اختياره إلى المعتبر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الأظهر الاكتفاء بالخمس </w:t>
      </w:r>
      <w:bookmarkStart w:id="892" w:name="pg16144_233617"/>
    </w:p>
    <w:p>
      <w:pPr>
        <w:pStyle w:val="BookText"/>
        <w:rPr/>
      </w:pPr>
      <w:bookmarkEnd w:id="892"/>
      <w:r>
        <w:rPr>
          <w:rFonts w:ascii="Amiri" w:hAnsi="Amiri" w:eastAsia="Amiri" w:cs="Amiri"/>
          <w:color w:val="111111"/>
          <w:sz w:val="28"/>
          <w:sz w:val="28"/>
          <w:szCs w:val="28"/>
          <w:rtl w:val="true"/>
          <w:lang w:bidi="ar-SA"/>
        </w:rPr>
        <w:t>كما اختاره في المعتبر</w:t>
      </w:r>
      <w:r>
        <w:rPr>
          <w:rStyle w:val="FootnoteAnchor"/>
          <w:rtl w:val="true"/>
        </w:rPr>
        <w:footnoteReference w:id="2685"/>
      </w:r>
      <w:r>
        <w:rPr>
          <w:rFonts w:ascii="Amiri" w:hAnsi="Amiri" w:eastAsia="Amiri" w:cs="Amiri"/>
          <w:color w:val="111111"/>
          <w:sz w:val="28"/>
          <w:sz w:val="28"/>
          <w:szCs w:val="28"/>
          <w:rtl w:val="true"/>
          <w:lang w:bidi="ar-SA"/>
        </w:rPr>
        <w:t xml:space="preserve">، لصحيحة أبي اسامة المتقدّمة، و عليه يحمل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زرارة و عليّ بن يقطين</w:t>
      </w:r>
      <w:r>
        <w:rPr>
          <w:rFonts w:eastAsia="Amiri" w:cs="Amiri" w:ascii="Amiri" w:hAnsi="Amiri"/>
          <w:color w:val="111111"/>
          <w:sz w:val="28"/>
          <w:szCs w:val="28"/>
          <w:rtl w:val="true"/>
          <w:lang w:bidi="ar-SA"/>
        </w:rPr>
        <w:t>»</w:t>
      </w:r>
      <w:r>
        <w:rPr>
          <w:rStyle w:val="FootnoteAnchor"/>
          <w:rtl w:val="true"/>
        </w:rPr>
        <w:footnoteReference w:id="26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الخطب في ذلك أيضا سهل لقصور عمل واحد أو اثنين عن دفع ما عرضها من الوهن بسبب إعراض الأكثر</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1805042_1280447820"/>
      <w:bookmarkStart w:id="894" w:name="_Toc352"/>
      <w:bookmarkEnd w:id="893"/>
      <w:r>
        <w:rPr>
          <w:rtl w:val="true"/>
        </w:rPr>
        <w:t>و ثانيها</w:t>
      </w:r>
      <w:r>
        <w:rPr>
          <w:rtl w:val="true"/>
        </w:rPr>
        <w:t xml:space="preserve">: </w:t>
      </w:r>
      <w:r>
        <w:rPr>
          <w:rtl w:val="true"/>
        </w:rPr>
        <w:t>وقوع الكلب المستتبع لخروجه حيّا،</w:t>
      </w:r>
      <w:bookmarkEnd w:id="894"/>
    </w:p>
    <w:p>
      <w:pPr>
        <w:pStyle w:val="BookText"/>
        <w:rPr/>
      </w:pPr>
      <w:r>
        <w:rPr>
          <w:rFonts w:ascii="Amiri" w:hAnsi="Amiri" w:eastAsia="Amiri" w:cs="Amiri"/>
          <w:color w:val="111111"/>
          <w:sz w:val="28"/>
          <w:sz w:val="28"/>
          <w:szCs w:val="28"/>
          <w:rtl w:val="true"/>
          <w:lang w:bidi="ar-SA"/>
        </w:rPr>
        <w:t>فإنّ وجوب السبع فيه ممّا ذهب إليه أكثر الأصحاب كما في شرح الدروس</w:t>
      </w:r>
      <w:r>
        <w:rPr>
          <w:rStyle w:val="FootnoteAnchor"/>
          <w:rtl w:val="true"/>
        </w:rPr>
        <w:footnoteReference w:id="2687"/>
      </w:r>
      <w:r>
        <w:rPr>
          <w:rFonts w:ascii="Amiri" w:hAnsi="Amiri" w:eastAsia="Amiri" w:cs="Amiri"/>
          <w:color w:val="111111"/>
          <w:sz w:val="28"/>
          <w:sz w:val="28"/>
          <w:szCs w:val="28"/>
          <w:rtl w:val="true"/>
          <w:lang w:bidi="ar-SA"/>
        </w:rPr>
        <w:t>، و هو اختيار الشيخ في المبسوط</w:t>
      </w:r>
      <w:r>
        <w:rPr>
          <w:rStyle w:val="FootnoteAnchor"/>
          <w:rtl w:val="true"/>
        </w:rPr>
        <w:footnoteReference w:id="2688"/>
      </w:r>
      <w:r>
        <w:rPr>
          <w:rFonts w:ascii="Amiri" w:hAnsi="Amiri" w:eastAsia="Amiri" w:cs="Amiri"/>
          <w:color w:val="111111"/>
          <w:sz w:val="28"/>
          <w:sz w:val="28"/>
          <w:szCs w:val="28"/>
          <w:rtl w:val="true"/>
          <w:lang w:bidi="ar-SA"/>
        </w:rPr>
        <w:t>كما في المنتهى</w:t>
      </w:r>
      <w:r>
        <w:rPr>
          <w:rStyle w:val="FootnoteAnchor"/>
          <w:rtl w:val="true"/>
        </w:rPr>
        <w:footnoteReference w:id="2689"/>
      </w:r>
      <w:r>
        <w:rPr>
          <w:rFonts w:ascii="Amiri" w:hAnsi="Amiri" w:eastAsia="Amiri" w:cs="Amiri"/>
          <w:color w:val="111111"/>
          <w:sz w:val="28"/>
          <w:sz w:val="28"/>
          <w:szCs w:val="28"/>
          <w:rtl w:val="true"/>
          <w:lang w:bidi="ar-SA"/>
        </w:rPr>
        <w:t>، و على المشهور كما عن الذكرى</w:t>
      </w:r>
      <w:r>
        <w:rPr>
          <w:rStyle w:val="FootnoteAnchor"/>
          <w:rtl w:val="true"/>
        </w:rPr>
        <w:footnoteReference w:id="2690"/>
      </w:r>
      <w:r>
        <w:rPr>
          <w:rFonts w:ascii="Amiri" w:hAnsi="Amiri" w:eastAsia="Amiri" w:cs="Amiri"/>
          <w:color w:val="111111"/>
          <w:sz w:val="28"/>
          <w:sz w:val="28"/>
          <w:szCs w:val="28"/>
          <w:rtl w:val="true"/>
          <w:lang w:bidi="ar-SA"/>
        </w:rPr>
        <w:t>، خلافا لابن إدريس الذاهب فيه إلى نزح أربعين كما في موته</w:t>
      </w:r>
      <w:r>
        <w:rPr>
          <w:rStyle w:val="FootnoteAnchor"/>
          <w:rtl w:val="true"/>
        </w:rPr>
        <w:footnoteReference w:id="2691"/>
      </w:r>
      <w:r>
        <w:rPr>
          <w:rFonts w:ascii="Amiri" w:hAnsi="Amiri" w:eastAsia="Amiri" w:cs="Amiri"/>
          <w:color w:val="111111"/>
          <w:sz w:val="28"/>
          <w:sz w:val="28"/>
          <w:szCs w:val="28"/>
          <w:rtl w:val="true"/>
          <w:lang w:bidi="ar-SA"/>
        </w:rPr>
        <w:t>، و لصاحب المدارك</w:t>
      </w:r>
      <w:r>
        <w:rPr>
          <w:rStyle w:val="FootnoteAnchor"/>
          <w:rtl w:val="true"/>
        </w:rPr>
        <w:footnoteReference w:id="2692"/>
      </w:r>
      <w:r>
        <w:rPr>
          <w:rFonts w:ascii="Amiri" w:hAnsi="Amiri" w:eastAsia="Amiri" w:cs="Amiri"/>
          <w:color w:val="111111"/>
          <w:sz w:val="28"/>
          <w:sz w:val="28"/>
          <w:szCs w:val="28"/>
          <w:rtl w:val="true"/>
          <w:lang w:bidi="ar-SA"/>
        </w:rPr>
        <w:t>الّذي يظهر منه الميل إلى الاكتفاء بمسمّى الدلاء حملا للسبع و الخمس الواردين في الأخبار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المشهور صحيحة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نسخة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إذا مات الكلب في البئر نزحت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فيها ثمّ أخرج منها حيّا نزح منها سبع دلاء</w:t>
      </w:r>
      <w:r>
        <w:rPr>
          <w:rFonts w:eastAsia="Amiri" w:cs="Amiri" w:ascii="Amiri" w:hAnsi="Amiri"/>
          <w:color w:val="111111"/>
          <w:sz w:val="28"/>
          <w:szCs w:val="28"/>
          <w:rtl w:val="true"/>
          <w:lang w:bidi="ar-SA"/>
        </w:rPr>
        <w:t>»</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صدرها ينافي ما تقدّم في موته من نزح أربعين لظهوره في نزح الجميع فتصدّى الشيخ في الاستبصار</w:t>
      </w:r>
      <w:r>
        <w:rPr>
          <w:rStyle w:val="FootnoteAnchor"/>
          <w:rtl w:val="true"/>
        </w:rPr>
        <w:footnoteReference w:id="2694"/>
      </w:r>
      <w:r>
        <w:rPr>
          <w:rFonts w:ascii="Amiri" w:hAnsi="Amiri" w:eastAsia="Amiri" w:cs="Amiri"/>
          <w:color w:val="111111"/>
          <w:sz w:val="28"/>
          <w:sz w:val="28"/>
          <w:szCs w:val="28"/>
          <w:rtl w:val="true"/>
          <w:lang w:bidi="ar-SA"/>
        </w:rPr>
        <w:t>و غيره بحمله على صورة التغيّر، مع جواز ابتنائه على الاستحباب كما احتمله بعضهم، كما يحمل على أحدهما ما في خبر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بعد تنزيل الإطلاق إلى صورة الموت، و لكن الحمل الأوّل مبنيّ على القول بنزح الجميع في صورة التغيّر و قد عرفت أنّ التحقيق خلافه، فعلى المختار يتعيّن الحمل على الاستحباب خاصّة لو قلنا بتناول إطلاقه لصورة الوقوع و الخروج حيّا، فعليه لا معارض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صحيحة عليّ بن يقطين عن أبي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يقع فيها الحمامة، و الدجاجة، أو الفأرة، أو الكلب، أو الهرّة؟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تنزح منها دلاء</w:t>
      </w:r>
      <w:r>
        <w:rPr>
          <w:rFonts w:eastAsia="Amiri" w:cs="Amiri" w:ascii="Amiri" w:hAnsi="Amiri"/>
          <w:color w:val="111111"/>
          <w:sz w:val="28"/>
          <w:szCs w:val="28"/>
          <w:rtl w:val="true"/>
          <w:lang w:bidi="ar-SA"/>
        </w:rPr>
        <w:t>»</w:t>
      </w:r>
      <w:r>
        <w:rPr>
          <w:rStyle w:val="FootnoteAnchor"/>
          <w:rtl w:val="true"/>
        </w:rPr>
        <w:footnoteReference w:id="269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صحيحة أبي اسامة عن أبي عبد اللّه عليه السّلام في الفأرة و السنّور و الدجاجة و الكلب 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يتفسّخ أو يتغيّر طعم الماء فيكفيك خمس دلاء</w:t>
      </w:r>
      <w:r>
        <w:rPr>
          <w:rFonts w:eastAsia="Amiri" w:cs="Amiri" w:ascii="Amiri" w:hAnsi="Amiri"/>
          <w:color w:val="111111"/>
          <w:sz w:val="28"/>
          <w:szCs w:val="28"/>
          <w:rtl w:val="true"/>
          <w:lang w:bidi="ar-SA"/>
        </w:rPr>
        <w:t>»</w:t>
      </w:r>
      <w:r>
        <w:rPr>
          <w:rStyle w:val="FootnoteAnchor"/>
          <w:rtl w:val="true"/>
        </w:rPr>
        <w:footnoteReference w:id="2697"/>
      </w:r>
      <w:r>
        <w:rPr>
          <w:rFonts w:ascii="Amiri" w:hAnsi="Amiri" w:eastAsia="Amiri" w:cs="Amiri"/>
          <w:color w:val="111111"/>
          <w:sz w:val="28"/>
          <w:sz w:val="28"/>
          <w:szCs w:val="28"/>
          <w:rtl w:val="true"/>
          <w:lang w:bidi="ar-SA"/>
        </w:rPr>
        <w:t xml:space="preserve">إلى آخره، و إطلاقهما يشمل محلّ البحث أيضا، لكنّ العلاج سهل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على السبع حملا للمطلق على المقيّد إن كان المقام من مجاريها، و إلاّ فرميه كالثاني على الشذوذ من جهة إعراض الأصحاب عنه أولى، كما ضعّفه غير واحد، و عن ابن إدريس أنّه طرح الصحيحة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ليست بشيء يعتمد عليه و الواجب العدول عن الرواية الضعيفة، و نزح أربعين دلوا</w:t>
      </w:r>
      <w:r>
        <w:rPr>
          <w:rFonts w:eastAsia="Amiri" w:cs="Amiri" w:ascii="Amiri" w:hAnsi="Amiri"/>
          <w:color w:val="111111"/>
          <w:sz w:val="28"/>
          <w:szCs w:val="28"/>
          <w:rtl w:val="true"/>
          <w:lang w:bidi="ar-SA"/>
        </w:rPr>
        <w:t>»</w:t>
      </w:r>
      <w:r>
        <w:rPr>
          <w:rStyle w:val="FootnoteAnchor"/>
          <w:rtl w:val="true"/>
        </w:rPr>
        <w:footnoteReference w:id="2698"/>
      </w:r>
      <w:r>
        <w:rPr>
          <w:rFonts w:ascii="Amiri" w:hAnsi="Amiri" w:eastAsia="Amiri" w:cs="Amiri"/>
          <w:color w:val="111111"/>
          <w:sz w:val="28"/>
          <w:sz w:val="28"/>
          <w:szCs w:val="28"/>
          <w:rtl w:val="true"/>
          <w:lang w:bidi="ar-SA"/>
        </w:rPr>
        <w:t>ثمّ اعترض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بأنّك إذا لم تعمل بالرواية، فلم لم تقل بنزح الجميع، لأنّه ممّا لا نصّ فيه؟</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 موته يجب له أربعون ففي الحياة بطريق أولى، لأنّ الموت يزيد النجس نجاسة</w:t>
      </w:r>
      <w:r>
        <w:rPr>
          <w:rFonts w:eastAsia="Amiri" w:cs="Amiri" w:ascii="Amiri" w:hAnsi="Amiri"/>
          <w:color w:val="111111"/>
          <w:sz w:val="28"/>
          <w:szCs w:val="28"/>
          <w:rtl w:val="true"/>
          <w:lang w:bidi="ar-SA"/>
        </w:rPr>
        <w:t>»</w:t>
      </w:r>
      <w:r>
        <w:rPr>
          <w:rStyle w:val="FootnoteAnchor"/>
          <w:rtl w:val="true"/>
        </w:rPr>
        <w:footnoteReference w:id="2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يعتذر له</w:t>
      </w:r>
      <w:r>
        <w:rPr>
          <w:rFonts w:eastAsia="Amiri" w:cs="Amiri" w:ascii="Amiri" w:hAnsi="Amiri"/>
          <w:color w:val="111111"/>
          <w:sz w:val="28"/>
          <w:szCs w:val="28"/>
          <w:rtl w:val="true"/>
          <w:lang w:bidi="ar-SA"/>
        </w:rPr>
        <w:t>:</w:t>
      </w:r>
      <w:r>
        <w:rPr>
          <w:rStyle w:val="FootnoteAnchor"/>
          <w:rtl w:val="true"/>
        </w:rPr>
        <w:footnoteReference w:id="2700"/>
      </w:r>
      <w:r>
        <w:rPr>
          <w:rFonts w:ascii="Amiri" w:hAnsi="Amiri" w:eastAsia="Amiri" w:cs="Amiri"/>
          <w:color w:val="111111"/>
          <w:sz w:val="28"/>
          <w:sz w:val="28"/>
          <w:szCs w:val="28"/>
          <w:rtl w:val="true"/>
          <w:lang w:bidi="ar-SA"/>
        </w:rPr>
        <w:t>بأنّ تضعيفه الرواية مع كونها صحيحة مبنيّ على أصله المعروف من منع العمل بأخبار الآحاد، و هو الوجه في وصفه المقام بما لا نصّ فيه، لأنّ ما فيه نصّ غير معتبر بمنزلة ما لا نصّ فيه، و عليه فما اعترض عليه العلاّمة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عدم النصّ و قد ذكرنا حديث </w:t>
      </w:r>
    </w:p>
    <w:p>
      <w:pPr>
        <w:pStyle w:val="BookText"/>
        <w:rPr/>
      </w:pPr>
      <w:r>
        <w:rPr>
          <w:rFonts w:ascii="Amiri" w:hAnsi="Amiri" w:eastAsia="Amiri" w:cs="Amiri"/>
          <w:color w:val="111111"/>
          <w:sz w:val="28"/>
          <w:sz w:val="28"/>
          <w:szCs w:val="28"/>
          <w:rtl w:val="true"/>
          <w:lang w:bidi="ar-SA"/>
        </w:rPr>
        <w:t>أبي مريم</w:t>
      </w:r>
      <w:r>
        <w:rPr>
          <w:rFonts w:eastAsia="Amiri" w:cs="Amiri" w:ascii="Amiri" w:hAnsi="Amiri"/>
          <w:color w:val="111111"/>
          <w:sz w:val="28"/>
          <w:szCs w:val="28"/>
          <w:rtl w:val="true"/>
          <w:lang w:bidi="ar-SA"/>
        </w:rPr>
        <w:t>»</w:t>
      </w:r>
      <w:r>
        <w:rPr>
          <w:rStyle w:val="FootnoteAnchor"/>
          <w:rtl w:val="true"/>
        </w:rPr>
        <w:footnoteReference w:id="2701"/>
      </w:r>
      <w:r>
        <w:rPr>
          <w:rFonts w:ascii="Amiri" w:hAnsi="Amiri" w:eastAsia="Amiri" w:cs="Amiri"/>
          <w:color w:val="111111"/>
          <w:sz w:val="28"/>
          <w:sz w:val="28"/>
          <w:szCs w:val="28"/>
          <w:rtl w:val="true"/>
          <w:lang w:bidi="ar-SA"/>
        </w:rPr>
        <w:t>ليس على ما ينبغي، و كأنّ الأولويّة الّتي ادّعاها في الحيّ بالقياس إلى الميّت مبناها على مفهوم الموافقة من الخطاب الوارد في الميّت، فلا يرد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أحكام شرعيّة تتبع الاسم، فلا بدّ و أن تستفاد من النصّ، و لذا يجب في الفأرة مع تفسّخها و تقطّع أجزائها و انفصالها بالكلّيّة نزح سبع دلاء، مع وجوب نزح الجميع في البعرة منها لعدم ورود النصّ هنا و ثبوته هناك</w:t>
      </w:r>
      <w:r>
        <w:rPr>
          <w:rFonts w:eastAsia="Amiri" w:cs="Amiri" w:ascii="Amiri" w:hAnsi="Amiri"/>
          <w:color w:val="111111"/>
          <w:sz w:val="28"/>
          <w:szCs w:val="28"/>
          <w:rtl w:val="true"/>
          <w:lang w:bidi="ar-SA"/>
        </w:rPr>
        <w:t>»</w:t>
      </w:r>
      <w:r>
        <w:rPr>
          <w:rStyle w:val="FootnoteAnchor"/>
          <w:rtl w:val="true"/>
        </w:rPr>
        <w:footnoteReference w:id="2702"/>
      </w:r>
      <w:r>
        <w:rPr>
          <w:rFonts w:ascii="Amiri" w:hAnsi="Amiri" w:eastAsia="Amiri" w:cs="Amiri"/>
          <w:color w:val="111111"/>
          <w:sz w:val="28"/>
          <w:sz w:val="28"/>
          <w:szCs w:val="28"/>
          <w:rtl w:val="true"/>
          <w:lang w:bidi="ar-SA"/>
        </w:rPr>
        <w:t>، فإنّ مفهوم النصّ غير خارج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الحكم في الأصل مستفادا من النصّ بخصوصه، كما يعلم ذلك بمراجعة كلام الشيخ المتقدّم في بحث الأربعين للكلب</w:t>
      </w:r>
      <w:r>
        <w:rPr>
          <w:rStyle w:val="FootnoteAnchor"/>
          <w:rtl w:val="true"/>
        </w:rPr>
        <w:footnoteReference w:id="2703"/>
      </w:r>
      <w:r>
        <w:rPr>
          <w:rFonts w:ascii="Amiri" w:hAnsi="Amiri" w:eastAsia="Amiri" w:cs="Amiri"/>
          <w:color w:val="111111"/>
          <w:sz w:val="28"/>
          <w:sz w:val="28"/>
          <w:szCs w:val="28"/>
          <w:rtl w:val="true"/>
          <w:lang w:bidi="ar-SA"/>
        </w:rPr>
        <w:t>، المصرّح بكون الأخذ به معيّنا 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احتمال كون ابن إدريس قد بلغه في ذلك الحكم نصّ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هنالك كون تعيّن الأربعين متّجها من باب الحكم الظاهري، فيجري الأولويّة أيضا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 من الكلب أولى من ميّته بذلك الحكم الظاهري، نعم إن كان و لا بدّ من منع دليله فيمنع من الأولويّة المدّعاة، لابتنائها على كون النجس قابلا للتنجّس ثانيا و هو لا يسلّم إلاّ بدليله، و 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لو قرّر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الكلب ميّتا أنجس منه حيّا، مضافا إلى جواز أن يكون له حال الحياة صفة يقتضي زيادة في نجاسته و قد زالت عنه بالموت، و كون الموت منجّسا للحيوان إنّما تسلّم فيما لم يسبقه النجاسة، و لو سلّم كونه هنا مؤثّرا لا محالة فلعلّه من باب أنّه قد ارتفعت منه النجاسة الثابتة حال الحياة و تجدّدت نجاسة اخرى بسبب الموت على حدّ نجاسة سائر الأموات، مع كون النجاسة المتجدّدة أخفّ من الزائلة، و استصحاب الحالة السابقة مع تبدّل العنوان غير معقول، إذ لا ريب أنّ الميّت ليس بكلب حقيقة، و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العين الخارجي قد كان نجسا و هو باق، فيبقى نجاسته بحكم الاستصحاب</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لا تتبع الأعيان الخارجيّة، و إنّما تتبع عناوينها الكلّيّة، و العنوان غير باق هنا جزما، مع أنّ ثبوت الأولويّة إن كان من باب مفهوم الموافقة </w:t>
      </w:r>
      <w:bookmarkStart w:id="895" w:name="pg16144_233620"/>
    </w:p>
    <w:p>
      <w:pPr>
        <w:pStyle w:val="BookText"/>
        <w:rPr/>
      </w:pPr>
      <w:bookmarkEnd w:id="8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حسبما وجّهناها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أمر عرفي لا يمكن إحرازه بالاستصحاب، لعدم كون اعتمادهم بمثل هذه الأولويّة في فهم الخطاب معلوما من بنائهم، و إن لم يكن من هذا الباب فلا محصّل لها إلاّ الظنّ العقلي بها، فيشكل التعويل عليها حينئذ، و ممّا يكشف عن كونها من الأولويّة الظنّية ما تقدّم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كذلك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من باب إجراء ما ثبت في الأصل من الحكم الظاهري في الفرع، فلا يرجع في الحقيقة إلاّ إلى القياس الباطل في مذهبنا</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1805044_1280447820"/>
      <w:bookmarkStart w:id="897" w:name="_Toc353"/>
      <w:bookmarkEnd w:id="896"/>
      <w:r>
        <w:rPr>
          <w:rtl w:val="true"/>
        </w:rPr>
        <w:t>و ثالثها</w:t>
      </w:r>
      <w:r>
        <w:rPr>
          <w:rtl w:val="true"/>
        </w:rPr>
        <w:t xml:space="preserve">: </w:t>
      </w:r>
      <w:r>
        <w:rPr>
          <w:rtl w:val="true"/>
        </w:rPr>
        <w:t>بول الصبيّ الّذي لم يبلغ</w:t>
      </w:r>
      <w:bookmarkEnd w:id="897"/>
    </w:p>
    <w:p>
      <w:pPr>
        <w:pStyle w:val="BookText"/>
        <w:rPr/>
      </w:pPr>
      <w:r>
        <w:rPr>
          <w:rFonts w:ascii="Amiri" w:hAnsi="Amiri" w:eastAsia="Amiri" w:cs="Amiri"/>
          <w:color w:val="111111"/>
          <w:sz w:val="28"/>
          <w:sz w:val="28"/>
          <w:szCs w:val="28"/>
          <w:rtl w:val="true"/>
          <w:lang w:bidi="ar-SA"/>
        </w:rPr>
        <w:t>كما في الشرائع</w:t>
      </w:r>
      <w:r>
        <w:rPr>
          <w:rStyle w:val="FootnoteAnchor"/>
          <w:rtl w:val="true"/>
        </w:rPr>
        <w:footnoteReference w:id="2704"/>
      </w:r>
      <w:r>
        <w:rPr>
          <w:rFonts w:ascii="Amiri" w:hAnsi="Amiri" w:eastAsia="Amiri" w:cs="Amiri"/>
          <w:color w:val="111111"/>
          <w:sz w:val="28"/>
          <w:sz w:val="28"/>
          <w:szCs w:val="28"/>
          <w:rtl w:val="true"/>
          <w:lang w:bidi="ar-SA"/>
        </w:rPr>
        <w:t>، هذا باعتبار المنتهى و أمّا باعتبار المبدأ فالظاهر أنّه الّذي يتغذّى بالطعام، كما يقتضيه قرينة المقابلة بينه و بين الصبي الّذي لم يتغذّ بالطعام، و أطلق الصبيّ في المنتهى</w:t>
      </w:r>
      <w:r>
        <w:rPr>
          <w:rStyle w:val="FootnoteAnchor"/>
          <w:rtl w:val="true"/>
        </w:rPr>
        <w:footnoteReference w:id="2705"/>
      </w:r>
      <w:r>
        <w:rPr>
          <w:rFonts w:ascii="Amiri" w:hAnsi="Amiri" w:eastAsia="Amiri" w:cs="Amiri"/>
          <w:color w:val="111111"/>
          <w:sz w:val="28"/>
          <w:sz w:val="28"/>
          <w:szCs w:val="28"/>
          <w:rtl w:val="true"/>
          <w:lang w:bidi="ar-SA"/>
        </w:rPr>
        <w:t>لكن في مقابلة الصبيّ الرضيع، و قيّده في الدروس</w:t>
      </w:r>
      <w:r>
        <w:rPr>
          <w:rStyle w:val="FootnoteAnchor"/>
          <w:rtl w:val="true"/>
        </w:rPr>
        <w:footnoteReference w:id="2706"/>
      </w:r>
      <w:r>
        <w:rPr>
          <w:rFonts w:ascii="Amiri" w:hAnsi="Amiri" w:eastAsia="Amiri" w:cs="Amiri"/>
          <w:color w:val="111111"/>
          <w:sz w:val="28"/>
          <w:sz w:val="28"/>
          <w:szCs w:val="28"/>
          <w:rtl w:val="true"/>
          <w:lang w:bidi="ar-SA"/>
        </w:rPr>
        <w:t>بغير الرضيع، و عنه في الذكرى تفسير الصبيّ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يتغذّ باللبن أو اغتذى به مع غلبة غيره</w:t>
      </w:r>
      <w:r>
        <w:rPr>
          <w:rFonts w:eastAsia="Amiri" w:cs="Amiri" w:ascii="Amiri" w:hAnsi="Amiri"/>
          <w:color w:val="111111"/>
          <w:sz w:val="28"/>
          <w:szCs w:val="28"/>
          <w:rtl w:val="true"/>
          <w:lang w:bidi="ar-SA"/>
        </w:rPr>
        <w:t>»</w:t>
      </w:r>
      <w:r>
        <w:rPr>
          <w:rStyle w:val="FootnoteAnchor"/>
          <w:rtl w:val="true"/>
        </w:rPr>
        <w:footnoteReference w:id="2707"/>
      </w:r>
      <w:r>
        <w:rPr>
          <w:rFonts w:ascii="Amiri" w:hAnsi="Amiri" w:eastAsia="Amiri" w:cs="Amiri"/>
          <w:color w:val="111111"/>
          <w:sz w:val="28"/>
          <w:sz w:val="28"/>
          <w:szCs w:val="28"/>
          <w:rtl w:val="true"/>
          <w:lang w:bidi="ar-SA"/>
        </w:rPr>
        <w:t>، و عن المعتبر تفسير الرضيع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لم يأكل</w:t>
      </w:r>
      <w:r>
        <w:rPr>
          <w:rFonts w:eastAsia="Amiri" w:cs="Amiri" w:ascii="Amiri" w:hAnsi="Amiri"/>
          <w:color w:val="111111"/>
          <w:sz w:val="28"/>
          <w:szCs w:val="28"/>
          <w:rtl w:val="true"/>
          <w:lang w:bidi="ar-SA"/>
        </w:rPr>
        <w:t>»</w:t>
      </w:r>
      <w:r>
        <w:rPr>
          <w:rStyle w:val="FootnoteAnchor"/>
          <w:rtl w:val="true"/>
        </w:rPr>
        <w:footnoteReference w:id="2708"/>
      </w:r>
      <w:r>
        <w:rPr>
          <w:rFonts w:ascii="Amiri" w:hAnsi="Amiri" w:eastAsia="Amiri" w:cs="Amiri"/>
          <w:color w:val="111111"/>
          <w:sz w:val="28"/>
          <w:sz w:val="28"/>
          <w:szCs w:val="28"/>
          <w:rtl w:val="true"/>
          <w:lang w:bidi="ar-SA"/>
        </w:rPr>
        <w:t>و قضيّة ذلك كون المعتبر في الصبيّ هنا هو الأكل مطلقا، و الاكتفاء به مطلقا محكيّ عن المشهور تارة، و عن الأكثر اخرى؛ و عن الأكثر اخرى؛ و عن جماعة ثالثة، و عن صريح المختلف</w:t>
      </w:r>
      <w:r>
        <w:rPr>
          <w:rStyle w:val="FootnoteAnchor"/>
          <w:rtl w:val="true"/>
        </w:rPr>
        <w:footnoteReference w:id="2709"/>
      </w:r>
      <w:r>
        <w:rPr>
          <w:rFonts w:ascii="IRNazanin" w:hAnsi="IRNazanin" w:eastAsia="IRNazanin"/>
          <w:color w:val="111111"/>
          <w:sz w:val="28"/>
          <w:sz w:val="28"/>
          <w:szCs w:val="28"/>
          <w:rtl w:val="true"/>
          <w:lang w:bidi="fa-IR"/>
        </w:rPr>
        <w:t>، و شرح الفاضل</w:t>
      </w:r>
      <w:r>
        <w:rPr>
          <w:rStyle w:val="FootnoteAnchor"/>
          <w:rtl w:val="true"/>
        </w:rPr>
        <w:footnoteReference w:id="2710"/>
      </w:r>
      <w:r>
        <w:rPr>
          <w:rFonts w:ascii="Amiri" w:hAnsi="Amiri" w:eastAsia="Amiri" w:cs="Amiri"/>
          <w:color w:val="111111"/>
          <w:sz w:val="28"/>
          <w:sz w:val="28"/>
          <w:szCs w:val="28"/>
          <w:rtl w:val="true"/>
          <w:lang w:bidi="ar-SA"/>
        </w:rPr>
        <w:t>، و ظاهر المقنعة</w:t>
      </w:r>
      <w:r>
        <w:rPr>
          <w:rStyle w:val="FootnoteAnchor"/>
          <w:rtl w:val="true"/>
        </w:rPr>
        <w:footnoteReference w:id="2711"/>
      </w:r>
      <w:r>
        <w:rPr>
          <w:rFonts w:ascii="Amiri" w:hAnsi="Amiri" w:eastAsia="Amiri" w:cs="Amiri"/>
          <w:color w:val="111111"/>
          <w:sz w:val="28"/>
          <w:sz w:val="28"/>
          <w:szCs w:val="28"/>
          <w:rtl w:val="true"/>
          <w:lang w:bidi="ar-SA"/>
        </w:rPr>
        <w:t>، و النهاية</w:t>
      </w:r>
      <w:r>
        <w:rPr>
          <w:rStyle w:val="FootnoteAnchor"/>
          <w:rtl w:val="true"/>
        </w:rPr>
        <w:footnoteReference w:id="2712"/>
      </w:r>
      <w:r>
        <w:rPr>
          <w:rFonts w:ascii="Amiri" w:hAnsi="Amiri" w:eastAsia="Amiri" w:cs="Amiri"/>
          <w:color w:val="111111"/>
          <w:sz w:val="28"/>
          <w:sz w:val="28"/>
          <w:szCs w:val="28"/>
          <w:rtl w:val="true"/>
          <w:lang w:bidi="ar-SA"/>
        </w:rPr>
        <w:t xml:space="preserve">رابعة، و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لجامع المقاصد</w:t>
      </w:r>
      <w:r>
        <w:rPr>
          <w:rStyle w:val="FootnoteAnchor"/>
          <w:rtl w:val="true"/>
        </w:rPr>
        <w:footnoteReference w:id="2713"/>
      </w:r>
      <w:r>
        <w:rPr>
          <w:rFonts w:ascii="Amiri" w:hAnsi="Amiri" w:eastAsia="Amiri" w:cs="Amiri"/>
          <w:color w:val="111111"/>
          <w:sz w:val="28"/>
          <w:sz w:val="28"/>
          <w:szCs w:val="28"/>
          <w:rtl w:val="true"/>
          <w:lang w:bidi="ar-SA"/>
        </w:rPr>
        <w:t xml:space="preserve">في تفسير محلّ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الفطيم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 من زاد سنّه على الحولين</w:t>
      </w:r>
      <w:r>
        <w:rPr>
          <w:rFonts w:eastAsia="Amiri" w:cs="Amiri" w:ascii="Amiri" w:hAnsi="Amiri"/>
          <w:color w:val="111111"/>
          <w:sz w:val="28"/>
          <w:szCs w:val="28"/>
          <w:rtl w:val="true"/>
          <w:lang w:bidi="ar-SA"/>
        </w:rPr>
        <w:t>»</w:t>
      </w:r>
      <w:r>
        <w:rPr>
          <w:rStyle w:val="FootnoteAnchor"/>
          <w:rtl w:val="true"/>
        </w:rPr>
        <w:footnoteReference w:id="2714"/>
      </w:r>
      <w:r>
        <w:rPr>
          <w:rFonts w:ascii="Amiri" w:hAnsi="Amiri" w:eastAsia="Amiri" w:cs="Amiri"/>
          <w:color w:val="111111"/>
          <w:sz w:val="28"/>
          <w:sz w:val="28"/>
          <w:szCs w:val="28"/>
          <w:rtl w:val="true"/>
          <w:lang w:bidi="ar-SA"/>
        </w:rPr>
        <w:t>، مع تفسيرهما الرضيع بمن كان في الحولين، و عن ابن إدريس</w:t>
      </w:r>
      <w:r>
        <w:rPr>
          <w:rStyle w:val="FootnoteAnchor"/>
          <w:rtl w:val="true"/>
        </w:rPr>
        <w:footnoteReference w:id="2715"/>
      </w:r>
      <w:r>
        <w:rPr>
          <w:rFonts w:ascii="Amiri" w:hAnsi="Amiri" w:eastAsia="Amiri" w:cs="Amiri"/>
          <w:color w:val="111111"/>
          <w:sz w:val="28"/>
          <w:sz w:val="28"/>
          <w:szCs w:val="28"/>
          <w:rtl w:val="true"/>
          <w:lang w:bidi="ar-SA"/>
        </w:rPr>
        <w:t>تفسير الرضيع هنا بمن كان له دون الحولين، سواء أكل أو لا، و سواء فطم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مستند لشيء من هذه التفاسير، مع ما فيها من الاختلاف الفاحش، و لم يرد في نصوص الباب إلاّ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المصباح المنير</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مثله في المجمع</w:t>
      </w:r>
      <w:r>
        <w:rPr>
          <w:rStyle w:val="FootnoteAnchor"/>
          <w:rtl w:val="true"/>
        </w:rPr>
        <w:footnoteReference w:id="2717"/>
      </w:r>
      <w:r>
        <w:rPr>
          <w:rFonts w:ascii="IRNazanin" w:hAnsi="IRNazanin" w:eastAsia="IRNazanin"/>
          <w:color w:val="111111"/>
          <w:sz w:val="28"/>
          <w:sz w:val="28"/>
          <w:szCs w:val="28"/>
          <w:rtl w:val="true"/>
          <w:lang w:bidi="fa-IR"/>
        </w:rPr>
        <w:t>، و 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Style w:val="FootnoteAnchor"/>
          <w:rtl w:val="true"/>
        </w:rPr>
        <w:footnoteReference w:id="2718"/>
      </w:r>
      <w:r>
        <w:rPr>
          <w:rFonts w:ascii="Amiri" w:hAnsi="Amiri" w:eastAsia="Amiri" w:cs="Amiri"/>
          <w:color w:val="111111"/>
          <w:sz w:val="28"/>
          <w:sz w:val="28"/>
          <w:szCs w:val="28"/>
          <w:rtl w:val="true"/>
          <w:lang w:bidi="ar-SA"/>
        </w:rPr>
        <w:t>، 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يفطم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المرضع الرضيع فطما من باب ضرب، فصلته عن الرضاع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فطيم</w:t>
      </w:r>
      <w:r>
        <w:rPr>
          <w:rFonts w:eastAsia="Amiri" w:cs="Amiri" w:ascii="Amiri" w:hAnsi="Amiri"/>
          <w:color w:val="111111"/>
          <w:sz w:val="28"/>
          <w:szCs w:val="28"/>
          <w:rtl w:val="true"/>
          <w:lang w:bidi="ar-SA"/>
        </w:rPr>
        <w:t>)</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الفطيم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انتهت مدّة رضاعه،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الرضيع من باب ضرب، فصلته عن الرضاع</w:t>
      </w:r>
      <w:r>
        <w:rPr>
          <w:rFonts w:eastAsia="Amiri" w:cs="Amiri" w:ascii="Amiri" w:hAnsi="Amiri"/>
          <w:color w:val="111111"/>
          <w:sz w:val="28"/>
          <w:szCs w:val="28"/>
          <w:rtl w:val="true"/>
          <w:lang w:bidi="ar-SA"/>
        </w:rPr>
        <w:t>»</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فإيجاب السبع للصبيّ المقيّد بأحد ما ذكر هو المشهور كما عن جماعة، و عن المحقّق البهبهاني في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الأصحاب أفتوا بالسبع</w:t>
      </w:r>
      <w:r>
        <w:rPr>
          <w:rFonts w:eastAsia="Amiri" w:cs="Amiri" w:ascii="Amiri" w:hAnsi="Amiri"/>
          <w:color w:val="111111"/>
          <w:sz w:val="28"/>
          <w:szCs w:val="28"/>
          <w:rtl w:val="true"/>
          <w:lang w:bidi="ar-SA"/>
        </w:rPr>
        <w:t>»</w:t>
      </w:r>
      <w:r>
        <w:rPr>
          <w:rStyle w:val="FootnoteAnchor"/>
          <w:rtl w:val="true"/>
        </w:rPr>
        <w:footnoteReference w:id="2721"/>
      </w:r>
      <w:r>
        <w:rPr>
          <w:rFonts w:ascii="Amiri" w:hAnsi="Amiri" w:eastAsia="Amiri" w:cs="Amiri"/>
          <w:color w:val="111111"/>
          <w:sz w:val="28"/>
          <w:sz w:val="28"/>
          <w:szCs w:val="28"/>
          <w:rtl w:val="true"/>
          <w:lang w:bidi="ar-SA"/>
        </w:rPr>
        <w:t>، و عن الغنية</w:t>
      </w:r>
      <w:r>
        <w:rPr>
          <w:rStyle w:val="FootnoteAnchor"/>
          <w:rtl w:val="true"/>
        </w:rPr>
        <w:footnoteReference w:id="2722"/>
      </w:r>
      <w:r>
        <w:rPr>
          <w:rFonts w:ascii="IRNazanin" w:hAnsi="IRNazanin" w:eastAsia="IRNazanin"/>
          <w:color w:val="111111"/>
          <w:sz w:val="28"/>
          <w:sz w:val="28"/>
          <w:szCs w:val="28"/>
          <w:rtl w:val="true"/>
          <w:lang w:bidi="fa-IR"/>
        </w:rPr>
        <w:t>، و السرائر</w:t>
      </w:r>
      <w:r>
        <w:rPr>
          <w:rStyle w:val="FootnoteAnchor"/>
          <w:rtl w:val="true"/>
        </w:rPr>
        <w:footnoteReference w:id="2723"/>
      </w:r>
      <w:r>
        <w:rPr>
          <w:rFonts w:ascii="Amiri" w:hAnsi="Amiri" w:eastAsia="Amiri" w:cs="Amiri"/>
          <w:color w:val="111111"/>
          <w:sz w:val="28"/>
          <w:sz w:val="28"/>
          <w:szCs w:val="28"/>
          <w:rtl w:val="true"/>
          <w:lang w:bidi="ar-SA"/>
        </w:rPr>
        <w:t>الإجماع عليه، و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مختار الشيخين</w:t>
      </w:r>
      <w:r>
        <w:rPr>
          <w:rStyle w:val="FootnoteAnchor"/>
          <w:rtl w:val="true"/>
        </w:rPr>
        <w:footnoteReference w:id="2724"/>
      </w:r>
      <w:r>
        <w:rPr>
          <w:rFonts w:ascii="Amiri" w:hAnsi="Amiri" w:eastAsia="Amiri" w:cs="Amiri"/>
          <w:color w:val="111111"/>
          <w:sz w:val="28"/>
          <w:sz w:val="28"/>
          <w:szCs w:val="28"/>
          <w:rtl w:val="true"/>
          <w:lang w:bidi="ar-SA"/>
        </w:rPr>
        <w:t>و جماعة، و الصدوق في المقنع</w:t>
      </w:r>
      <w:r>
        <w:rPr>
          <w:rStyle w:val="FootnoteAnchor"/>
          <w:rtl w:val="true"/>
        </w:rPr>
        <w:footnoteReference w:id="2725"/>
      </w:r>
      <w:r>
        <w:rPr>
          <w:rFonts w:ascii="Amiri" w:hAnsi="Amiri" w:eastAsia="Amiri" w:cs="Amiri"/>
          <w:color w:val="111111"/>
          <w:sz w:val="28"/>
          <w:sz w:val="28"/>
          <w:szCs w:val="28"/>
          <w:rtl w:val="true"/>
          <w:lang w:bidi="ar-SA"/>
        </w:rPr>
        <w:t>و الفقيه</w:t>
      </w:r>
      <w:r>
        <w:rPr>
          <w:rStyle w:val="FootnoteAnchor"/>
          <w:rtl w:val="true"/>
        </w:rPr>
        <w:footnoteReference w:id="2726"/>
      </w:r>
      <w:r>
        <w:rPr>
          <w:rFonts w:ascii="Amiri" w:hAnsi="Amiri" w:eastAsia="Amiri" w:cs="Amiri"/>
          <w:color w:val="111111"/>
          <w:sz w:val="28"/>
          <w:sz w:val="28"/>
          <w:szCs w:val="28"/>
          <w:rtl w:val="true"/>
          <w:lang w:bidi="ar-SA"/>
        </w:rPr>
        <w:t>أوجب ثلاثة دلاء، و اختاره المرتضى رحمه اللّه</w:t>
      </w:r>
      <w:r>
        <w:rPr>
          <w:rFonts w:eastAsia="Amiri" w:cs="Amiri" w:ascii="Amiri" w:hAnsi="Amiri"/>
          <w:color w:val="111111"/>
          <w:sz w:val="28"/>
          <w:szCs w:val="28"/>
          <w:rtl w:val="true"/>
          <w:lang w:bidi="ar-SA"/>
        </w:rPr>
        <w:t>»</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مخالفة الصدوق و السيّد محكيّة في كلام جماعة</w:t>
      </w:r>
      <w:r>
        <w:rPr>
          <w:rStyle w:val="FootnoteAnchor"/>
          <w:rtl w:val="true"/>
        </w:rPr>
        <w:footnoteReference w:id="2729"/>
      </w:r>
      <w:r>
        <w:rPr>
          <w:rFonts w:ascii="Amiri" w:hAnsi="Amiri" w:eastAsia="Amiri" w:cs="Amiri"/>
          <w:color w:val="111111"/>
          <w:sz w:val="28"/>
          <w:sz w:val="28"/>
          <w:szCs w:val="28"/>
          <w:rtl w:val="true"/>
          <w:lang w:bidi="ar-SA"/>
        </w:rPr>
        <w:t xml:space="preserve">، و مستند المشهور رواية منصور بن حازم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في باب تطهير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سبع دلاء إذا بال فيها الصبيّ، أو وقعت فيها فأرة، أو نحوها</w:t>
      </w:r>
      <w:r>
        <w:rPr>
          <w:rFonts w:eastAsia="Amiri" w:cs="Amiri" w:ascii="Amiri" w:hAnsi="Amiri"/>
          <w:color w:val="111111"/>
          <w:sz w:val="28"/>
          <w:szCs w:val="28"/>
          <w:rtl w:val="true"/>
          <w:lang w:bidi="ar-SA"/>
        </w:rPr>
        <w:t>»</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القول المذكور مع ما يأتي من القول بنزح دلو واحد للصبيّ الرضيع الغير المغتذي بالطعام جمع بين هذه الرواية و ما تقدّم في بحث بول الرجل من رواية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الفطيم يقع في البئر؟ فقال</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واحد</w:t>
      </w:r>
      <w:r>
        <w:rPr>
          <w:rFonts w:eastAsia="IRNazanin" w:cs="IRNazanin"/>
          <w:color w:val="111111"/>
          <w:sz w:val="28"/>
          <w:szCs w:val="28"/>
          <w:rtl w:val="true"/>
          <w:lang w:bidi="fa-IR"/>
        </w:rPr>
        <w:t>»</w:t>
      </w:r>
      <w:r>
        <w:rPr>
          <w:rStyle w:val="FootnoteAnchor"/>
          <w:rtl w:val="true"/>
        </w:rPr>
        <w:footnoteReference w:id="2731"/>
      </w:r>
      <w:r>
        <w:rPr>
          <w:rFonts w:ascii="Amiri" w:hAnsi="Amiri" w:eastAsia="Amiri" w:cs="Amiri"/>
          <w:color w:val="111111"/>
          <w:sz w:val="28"/>
          <w:sz w:val="28"/>
          <w:szCs w:val="28"/>
          <w:rtl w:val="true"/>
          <w:lang w:bidi="ar-SA"/>
        </w:rPr>
        <w:t xml:space="preserve">على ما أخذ مستندا لهذا القول بناء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المشارف للفطام كما قيل، و لو لا ذلك لبطل التقييد بما عرفت، لتناول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مورد القيد أيضا، و لذا صار السلاّر </w:t>
      </w:r>
      <w:r>
        <w:rPr>
          <w:rStyle w:val="FootnoteAnchor"/>
          <w:rtl w:val="true"/>
        </w:rPr>
        <w:footnoteReference w:id="2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إطلاق القول بوجوب السبع </w:t>
      </w:r>
      <w:bookmarkStart w:id="898" w:name="pg16144_233622"/>
    </w:p>
    <w:p>
      <w:pPr>
        <w:pStyle w:val="BookText"/>
        <w:rPr/>
      </w:pPr>
      <w:bookmarkEnd w:id="898"/>
      <w:r>
        <w:rPr>
          <w:rFonts w:ascii="Amiri" w:hAnsi="Amiri" w:eastAsia="Amiri" w:cs="Amiri"/>
          <w:color w:val="111111"/>
          <w:sz w:val="28"/>
          <w:sz w:val="28"/>
          <w:szCs w:val="28"/>
          <w:rtl w:val="true"/>
          <w:lang w:bidi="ar-SA"/>
        </w:rPr>
        <w:t>في بول الصبيّ عملا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سمعت عن الصدوق و السيّد فعن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نعثر له على نصّ</w:t>
      </w:r>
      <w:r>
        <w:rPr>
          <w:rFonts w:eastAsia="Amiri" w:cs="Amiri" w:ascii="Amiri" w:hAnsi="Amiri"/>
          <w:color w:val="111111"/>
          <w:sz w:val="28"/>
          <w:szCs w:val="28"/>
          <w:rtl w:val="true"/>
          <w:lang w:bidi="ar-SA"/>
        </w:rPr>
        <w:t>»</w:t>
      </w:r>
      <w:r>
        <w:rPr>
          <w:rStyle w:val="FootnoteAnchor"/>
          <w:rtl w:val="true"/>
        </w:rPr>
        <w:footnoteReference w:id="2733"/>
      </w:r>
      <w:r>
        <w:rPr>
          <w:rFonts w:ascii="Amiri" w:hAnsi="Amiri" w:eastAsia="Amiri" w:cs="Amiri"/>
          <w:color w:val="111111"/>
          <w:sz w:val="28"/>
          <w:sz w:val="28"/>
          <w:szCs w:val="28"/>
          <w:rtl w:val="true"/>
          <w:lang w:bidi="ar-SA"/>
        </w:rPr>
        <w:t>،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مستنده ما روى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بول الصبيّ إذا أكل الطعام استقى منها له ثلاث أدلو، و إن كان رضيعا استقى منها دلوا واحدا</w:t>
      </w:r>
      <w:r>
        <w:rPr>
          <w:rFonts w:eastAsia="Amiri" w:cs="Amiri" w:ascii="Amiri" w:hAnsi="Amiri"/>
          <w:color w:val="111111"/>
          <w:sz w:val="28"/>
          <w:szCs w:val="28"/>
          <w:rtl w:val="true"/>
          <w:lang w:bidi="ar-SA"/>
        </w:rPr>
        <w:t>»</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هاهنا قول آخر حكاه بعضهم عن ابن حمزة</w:t>
      </w:r>
      <w:r>
        <w:rPr>
          <w:rStyle w:val="FootnoteAnchor"/>
          <w:rtl w:val="true"/>
        </w:rPr>
        <w:footnoteReference w:id="2735"/>
      </w:r>
      <w:r>
        <w:rPr>
          <w:rFonts w:ascii="Amiri" w:hAnsi="Amiri" w:eastAsia="Amiri" w:cs="Amiri"/>
          <w:color w:val="111111"/>
          <w:sz w:val="28"/>
          <w:sz w:val="28"/>
          <w:szCs w:val="28"/>
          <w:rtl w:val="true"/>
          <w:lang w:bidi="ar-SA"/>
        </w:rPr>
        <w:t>من أنّه أوجب السبع في بول الصبيّ و أطلق، ثمّ أوجب الثلاث في بوله إذا أكل الطعام ثلاثة أيّام، ثمّ أوجب واحدة في بوله إذا لم يطعم، و لعلّه جمع بين روايات المقادير الثلاث كما قيل، و إن كان فيه بعض الخصوصيّات الخارجة عن الروايات كلّها، كتعيّن ثلاثة أيّام لما وجب له الثلاث، و هاهنا رواية اخرى تقدّم ذكرها في بحث الخمر دالّة على وجوب نزح الجميع، و هي صحيحة معاوية بن عمّار في البئر يبول فيها الصبيّ، و يجد فيها البول أو الخمر؟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r>
        <w:rPr>
          <w:rStyle w:val="FootnoteAnchor"/>
          <w:rtl w:val="true"/>
        </w:rPr>
        <w:footnoteReference w:id="2736"/>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سقوط اعتبارها بالنسبة إلى هذا الجزء بإعراض الأصحاب عنه و إن كانت صحيحة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مؤوّلة إلى صورة التغيّر، و إن كان بعيدا بملاحظة مساوقاته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إطلاق الأخبار و علمائنا الأخيار يتناول ولد الكافر عدا الشهيد المحكيّ عنه في البيان</w:t>
      </w:r>
      <w:r>
        <w:rPr>
          <w:rStyle w:val="FootnoteAnchor"/>
          <w:rtl w:val="true"/>
        </w:rPr>
        <w:footnoteReference w:id="2737"/>
      </w:r>
      <w:r>
        <w:rPr>
          <w:rFonts w:ascii="Amiri" w:hAnsi="Amiri" w:eastAsia="Amiri" w:cs="Amiri"/>
          <w:color w:val="111111"/>
          <w:sz w:val="28"/>
          <w:sz w:val="28"/>
          <w:szCs w:val="28"/>
          <w:rtl w:val="true"/>
          <w:lang w:bidi="ar-SA"/>
        </w:rPr>
        <w:t>التقييد بابن المسلم، و لعلّه أخذ بقضيّة الانصراف و لا يخلو عن وجه، و إن كان الأقرب الأوّل، نعم لا يلحق به الصبيّة من جهة عدم النصّ كما عن بعض المحقّقين</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1805046_1280447820"/>
      <w:bookmarkStart w:id="900" w:name="_Toc354"/>
      <w:bookmarkEnd w:id="899"/>
      <w:r>
        <w:rPr>
          <w:rtl w:val="true"/>
        </w:rPr>
        <w:t>و رابعها</w:t>
      </w:r>
      <w:r>
        <w:rPr>
          <w:rtl w:val="true"/>
        </w:rPr>
        <w:t xml:space="preserve">: </w:t>
      </w:r>
      <w:r>
        <w:rPr>
          <w:rtl w:val="true"/>
        </w:rPr>
        <w:t>موت الفأرة،</w:t>
      </w:r>
      <w:bookmarkEnd w:id="900"/>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الشرائع</w:t>
      </w:r>
      <w:r>
        <w:rPr>
          <w:rStyle w:val="FootnoteAnchor"/>
          <w:rtl w:val="true"/>
        </w:rPr>
        <w:footnoteReference w:id="2738"/>
      </w:r>
      <w:r>
        <w:rPr>
          <w:rFonts w:ascii="IRNazanin" w:hAnsi="IRNazanin" w:eastAsia="IRNazanin"/>
          <w:color w:val="111111"/>
          <w:sz w:val="28"/>
          <w:sz w:val="28"/>
          <w:szCs w:val="28"/>
          <w:rtl w:val="true"/>
          <w:lang w:bidi="fa-IR"/>
        </w:rPr>
        <w:t>، و الدروس</w:t>
      </w:r>
      <w:r>
        <w:rPr>
          <w:rStyle w:val="FootnoteAnchor"/>
          <w:rtl w:val="true"/>
        </w:rPr>
        <w:footnoteReference w:id="2739"/>
      </w:r>
      <w:r>
        <w:rPr>
          <w:rFonts w:ascii="Amiri" w:hAnsi="Amiri" w:eastAsia="Amiri" w:cs="Amiri"/>
          <w:color w:val="111111"/>
          <w:sz w:val="28"/>
          <w:sz w:val="28"/>
          <w:szCs w:val="28"/>
          <w:rtl w:val="true"/>
          <w:lang w:bidi="ar-SA"/>
        </w:rPr>
        <w:t>، و غيرهما</w:t>
      </w:r>
      <w:r>
        <w:rPr>
          <w:rStyle w:val="FootnoteAnchor"/>
          <w:rtl w:val="true"/>
        </w:rPr>
        <w:footnoteReference w:id="2740"/>
      </w:r>
      <w:r>
        <w:rPr>
          <w:rFonts w:ascii="Amiri" w:hAnsi="Amiri" w:eastAsia="Amiri" w:cs="Amiri"/>
          <w:color w:val="111111"/>
          <w:sz w:val="28"/>
          <w:sz w:val="28"/>
          <w:szCs w:val="28"/>
          <w:rtl w:val="true"/>
          <w:lang w:bidi="ar-SA"/>
        </w:rPr>
        <w:t xml:space="preserve">تقييدها بالتفسّخ أو الانتفاخ، و الّذي ورد في الأخبار من حيث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البعض الآخر، و لم نقف على ما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أورد في المدارك على معتبريه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 وجه لإلحاق الانتفاخ بالتفسّخ، لعدم الدليل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حكى عن بعض المتأخّرين أنّه جعل حدّ التفسّخ الانتفاخ</w:t>
      </w:r>
      <w:r>
        <w:rPr>
          <w:rFonts w:eastAsia="Amiri" w:cs="Amiri" w:ascii="Amiri" w:hAnsi="Amiri"/>
          <w:color w:val="111111"/>
          <w:sz w:val="28"/>
          <w:szCs w:val="28"/>
          <w:rtl w:val="true"/>
          <w:lang w:bidi="ar-SA"/>
        </w:rPr>
        <w:t>»</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بعده من العرف و اللغة و تصريح غير واحد من الأصحاب حيث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بتفرّق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عن الدلائل</w:t>
      </w:r>
      <w:r>
        <w:rPr>
          <w:rStyle w:val="FootnoteAnchor"/>
          <w:rtl w:val="true"/>
        </w:rPr>
        <w:footnoteReference w:id="2743"/>
      </w:r>
      <w:r>
        <w:rPr>
          <w:rFonts w:ascii="Amiri" w:hAnsi="Amiri" w:eastAsia="Amiri" w:cs="Amiri"/>
          <w:color w:val="111111"/>
          <w:sz w:val="28"/>
          <w:sz w:val="28"/>
          <w:szCs w:val="28"/>
          <w:rtl w:val="true"/>
          <w:lang w:bidi="ar-SA"/>
        </w:rPr>
        <w:t>و ظاهر الكفاية</w:t>
      </w:r>
      <w:r>
        <w:rPr>
          <w:rStyle w:val="FootnoteAnchor"/>
          <w:rtl w:val="true"/>
        </w:rPr>
        <w:footnoteReference w:id="2744"/>
      </w:r>
      <w:r>
        <w:rPr>
          <w:rFonts w:ascii="Amiri" w:hAnsi="Amiri" w:eastAsia="Amiri" w:cs="Amiri"/>
          <w:color w:val="111111"/>
          <w:sz w:val="28"/>
          <w:sz w:val="28"/>
          <w:szCs w:val="28"/>
          <w:rtl w:val="true"/>
          <w:lang w:bidi="ar-SA"/>
        </w:rPr>
        <w:t>دعوى الشهرة فيهما معا، بل عن الغنية الإجماع عليهما معا</w:t>
      </w:r>
      <w:r>
        <w:rPr>
          <w:rStyle w:val="FootnoteAnchor"/>
          <w:rtl w:val="true"/>
        </w:rPr>
        <w:footnoteReference w:id="2745"/>
      </w:r>
      <w:r>
        <w:rPr>
          <w:rFonts w:ascii="Amiri" w:hAnsi="Amiri" w:eastAsia="Amiri" w:cs="Amiri"/>
          <w:color w:val="111111"/>
          <w:sz w:val="28"/>
          <w:sz w:val="28"/>
          <w:szCs w:val="28"/>
          <w:rtl w:val="true"/>
          <w:lang w:bidi="ar-SA"/>
        </w:rPr>
        <w:t>، و عن المسالك</w:t>
      </w:r>
      <w:r>
        <w:rPr>
          <w:rStyle w:val="FootnoteAnchor"/>
          <w:rtl w:val="true"/>
        </w:rPr>
        <w:footnoteReference w:id="2746"/>
      </w:r>
      <w:r>
        <w:rPr>
          <w:rFonts w:ascii="Amiri" w:hAnsi="Amiri" w:eastAsia="Amiri" w:cs="Amiri"/>
          <w:color w:val="111111"/>
          <w:sz w:val="28"/>
          <w:sz w:val="28"/>
          <w:szCs w:val="28"/>
          <w:rtl w:val="true"/>
          <w:lang w:bidi="ar-SA"/>
        </w:rPr>
        <w:t>، و الروضة</w:t>
      </w:r>
      <w:r>
        <w:rPr>
          <w:rStyle w:val="FootnoteAnchor"/>
          <w:rtl w:val="true"/>
        </w:rPr>
        <w:footnoteReference w:id="2747"/>
      </w:r>
      <w:r>
        <w:rPr>
          <w:rFonts w:ascii="Amiri" w:hAnsi="Amiri" w:eastAsia="Amiri" w:cs="Amiri"/>
          <w:color w:val="111111"/>
          <w:sz w:val="28"/>
          <w:sz w:val="28"/>
          <w:szCs w:val="28"/>
          <w:rtl w:val="true"/>
          <w:lang w:bidi="ar-SA"/>
        </w:rPr>
        <w:t>، التصريح بالشهرة في الثاني خاصّة، لكن يعارض الجميع ما عن شرح المفاتيح</w:t>
      </w:r>
      <w:r>
        <w:rPr>
          <w:rStyle w:val="FootnoteAnchor"/>
          <w:rtl w:val="true"/>
        </w:rPr>
        <w:footnoteReference w:id="2748"/>
      </w:r>
      <w:r>
        <w:rPr>
          <w:rFonts w:ascii="Amiri" w:hAnsi="Amiri" w:eastAsia="Amiri" w:cs="Amiri"/>
          <w:color w:val="111111"/>
          <w:sz w:val="28"/>
          <w:sz w:val="28"/>
          <w:szCs w:val="28"/>
          <w:rtl w:val="true"/>
          <w:lang w:bidi="ar-SA"/>
        </w:rPr>
        <w:t>، و كشف الالتباس</w:t>
      </w:r>
      <w:r>
        <w:rPr>
          <w:rStyle w:val="FootnoteAnchor"/>
          <w:rtl w:val="true"/>
        </w:rPr>
        <w:footnoteReference w:id="2749"/>
      </w:r>
      <w:r>
        <w:rPr>
          <w:rFonts w:ascii="Amiri" w:hAnsi="Amiri" w:eastAsia="Amiri" w:cs="Amiri"/>
          <w:color w:val="111111"/>
          <w:sz w:val="28"/>
          <w:sz w:val="28"/>
          <w:szCs w:val="28"/>
          <w:rtl w:val="true"/>
          <w:lang w:bidi="ar-SA"/>
        </w:rPr>
        <w:t>، من الشهرة في الأوّل، بل عن كشف الرموز نفي الخلاف عنه</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فمستند هذا القول روايات منها ما هي مطلقة، و منها ما هي مقيّدة، و منها ما هي مجملة أو مطلقة أيضا، و لكن أعمّ من المطلقة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المطلقات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أو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 قبل أن ينتن نزحت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المقيّدات؛ رواية أبي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الفأرة تقع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اخرجت فلا بأس، و إن تفسّخت فسبع دلاء</w:t>
      </w:r>
      <w:r>
        <w:rPr>
          <w:rFonts w:eastAsia="Amiri" w:cs="Amiri" w:ascii="Amiri" w:hAnsi="Amiri"/>
          <w:color w:val="111111"/>
          <w:sz w:val="28"/>
          <w:szCs w:val="28"/>
          <w:rtl w:val="true"/>
          <w:lang w:bidi="ar-SA"/>
        </w:rPr>
        <w:t>»</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سعيد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البئر فتسلّخت فانزح منها سبع دلاء</w:t>
      </w:r>
      <w:r>
        <w:rPr>
          <w:rFonts w:eastAsia="Amiri" w:cs="Amiri" w:ascii="Amiri" w:hAnsi="Amiri"/>
          <w:color w:val="111111"/>
          <w:sz w:val="28"/>
          <w:szCs w:val="28"/>
          <w:rtl w:val="true"/>
          <w:lang w:bidi="ar-SA"/>
        </w:rPr>
        <w:t>»</w:t>
      </w:r>
      <w:r>
        <w:rPr>
          <w:rStyle w:val="FootnoteAnchor"/>
          <w:rtl w:val="true"/>
        </w:rPr>
        <w:footnoteReference w:id="2754"/>
      </w:r>
      <w:r>
        <w:rPr>
          <w:rFonts w:ascii="Amiri" w:hAnsi="Amiri" w:eastAsia="Amiri" w:cs="Amiri"/>
          <w:color w:val="111111"/>
          <w:sz w:val="28"/>
          <w:sz w:val="28"/>
          <w:szCs w:val="28"/>
          <w:rtl w:val="true"/>
          <w:lang w:bidi="ar-SA"/>
        </w:rPr>
        <w:t xml:space="preserve">، و لا بأس بما فيهما من الضعف بعد ملاحظة قضيّة الانجبار بالشهرة، و بذلك تنهضان لتقييد الروايتين المطلقتين و ما في معناهما، و إن كان فيهما ما هو موثّق، و لا ضير في اختلاف القيدين الواردين فيهما من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لابتناء العمل بهما معا على كفاية أحد الأمرين في انعقاد الحكم، فليحمل الإطلاق في غيرهما على ما يتحقّق معه أحد الأمرين، و ممّن صرّح بكفاية أحد الأمرين المحقّق في النافع</w:t>
      </w:r>
      <w:r>
        <w:rPr>
          <w:rStyle w:val="FootnoteAnchor"/>
          <w:rtl w:val="true"/>
        </w:rPr>
        <w:footnoteReference w:id="2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الثالث من الروايات،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 الثلاث زرارة، و محمّد بن مسلم، و بريد بن معاوية العجلي عن أبي عبد اللّه عليه السّلام و أبي جعفر عليهما السّلام في البئر يقع فيها الدابّة، و الفأرة، و الكلب، و 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ثمّ ينزح من البئر دلاء، ثمّ اشرب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توضّأ</w:t>
      </w:r>
      <w:r>
        <w:rPr>
          <w:rFonts w:eastAsia="Amiri" w:cs="Amiri" w:ascii="Amiri" w:hAnsi="Amiri"/>
          <w:color w:val="111111"/>
          <w:sz w:val="28"/>
          <w:szCs w:val="28"/>
          <w:rtl w:val="true"/>
          <w:lang w:bidi="ar-SA"/>
        </w:rPr>
        <w:t>»</w:t>
      </w:r>
      <w:r>
        <w:rPr>
          <w:rStyle w:val="FootnoteAnchor"/>
          <w:rtl w:val="true"/>
        </w:rPr>
        <w:footnoteReference w:id="2756"/>
      </w:r>
      <w:r>
        <w:rPr>
          <w:rFonts w:ascii="Amiri" w:hAnsi="Amiri" w:eastAsia="Amiri" w:cs="Amiri"/>
          <w:color w:val="111111"/>
          <w:sz w:val="28"/>
          <w:sz w:val="28"/>
          <w:szCs w:val="28"/>
          <w:rtl w:val="true"/>
          <w:lang w:bidi="ar-SA"/>
        </w:rPr>
        <w:t>، و صحيحة أبي العبّاس الفضل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البئر يقع فيها الفأرة أو الدابّة، أو الكلب، أو 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يشرب منه و يتوضّأ</w:t>
      </w:r>
      <w:r>
        <w:rPr>
          <w:rFonts w:eastAsia="Amiri" w:cs="Amiri" w:ascii="Amiri" w:hAnsi="Amiri"/>
          <w:color w:val="111111"/>
          <w:sz w:val="28"/>
          <w:szCs w:val="28"/>
          <w:rtl w:val="true"/>
          <w:lang w:bidi="ar-SA"/>
        </w:rPr>
        <w:t>»</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هاتان الروايتان و ما في معناهما قابلة لأن تحمل على ما تقدّم لإجمالهما أو إطلاقهما، و لك أن تحملهما على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و الوزغة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Style w:val="FootnoteAnchor"/>
          <w:rtl w:val="true"/>
        </w:rPr>
        <w:footnoteReference w:id="2758"/>
      </w:r>
      <w:r>
        <w:rPr>
          <w:rFonts w:ascii="Amiri" w:hAnsi="Amiri" w:eastAsia="Amiri" w:cs="Amiri"/>
          <w:color w:val="111111"/>
          <w:sz w:val="28"/>
          <w:sz w:val="28"/>
          <w:szCs w:val="28"/>
          <w:rtl w:val="true"/>
          <w:lang w:bidi="ar-SA"/>
        </w:rPr>
        <w:t>تقليلا للتقييد بناء على حمل الصحيحة على ما يتحقّق معه أحد الأمرين، لا بحيث رجع مفاده إلى اعتبار الفأرة بشرط لا، فإنّ ذلك أيضا نوع من التقييد، بل بمعنى حملها على الماهيّة المطلقة خرج عنها بعض أفرادها بالدليل،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الماهيّة من حكمها أن ينزح لها ثلاث </w:t>
      </w:r>
    </w:p>
    <w:p>
      <w:pPr>
        <w:pStyle w:val="BookText"/>
        <w:rPr/>
      </w:pPr>
      <w:r>
        <w:rPr>
          <w:rFonts w:ascii="Amiri" w:hAnsi="Amiri" w:eastAsia="Amiri" w:cs="Amiri"/>
          <w:color w:val="111111"/>
          <w:sz w:val="28"/>
          <w:sz w:val="28"/>
          <w:szCs w:val="28"/>
          <w:rtl w:val="true"/>
          <w:lang w:bidi="ar-SA"/>
        </w:rPr>
        <w:t>دلاء إلاّ الفرد المتفسّخ أو المتسلّخ منها لوجوب السبع له، غير أنّ اللازم من ذلك التفصيل في الفأرة بين المتفسّخ أو المتسلّخ و غيرهما، كما ذهب إليه الشيخ و صرّح في الاستبصار و غيره</w:t>
      </w:r>
      <w:r>
        <w:rPr>
          <w:rStyle w:val="FootnoteAnchor"/>
          <w:rtl w:val="true"/>
        </w:rPr>
        <w:footnoteReference w:id="2759"/>
      </w:r>
      <w:r>
        <w:rPr>
          <w:rFonts w:ascii="Amiri" w:hAnsi="Amiri" w:eastAsia="Amiri" w:cs="Amiri"/>
          <w:color w:val="111111"/>
          <w:sz w:val="28"/>
          <w:sz w:val="28"/>
          <w:szCs w:val="28"/>
          <w:rtl w:val="true"/>
          <w:lang w:bidi="ar-SA"/>
        </w:rPr>
        <w:t>، حيث جمع بين الصحيحة المذكورة و موثّقة سماعة، و رواية ابن أبي حمزة المتقدّمتين بحملهما على صورة التفسّخ، و استشهد له برواية أبي سعيد المكاري المتقدّمة، و الظاهر أنّه لا ضير فيه لوجود عامل حينئذ بالصحيحة المذكورة و إن لم يعرف عن المشهور ما عدا حكم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وجود عامل بالصحيحة يظهر العذر في عدم الحمل على سائر الروايات الواردة في الباب المتضمّنة للخمس أو غيرها، لعدم وجود عامل بها صريحا، و بذلك يعلم أنّ أمثال هذه الروايات لا تنهض معارضة لما تقدّم، و هي رواية أبي اسامة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فيكفيك خمس دلاء</w:t>
      </w:r>
      <w:r>
        <w:rPr>
          <w:rFonts w:eastAsia="Amiri" w:cs="Amiri" w:ascii="Amiri" w:hAnsi="Amiri"/>
          <w:color w:val="111111"/>
          <w:sz w:val="28"/>
          <w:szCs w:val="28"/>
          <w:rtl w:val="true"/>
          <w:lang w:bidi="ar-SA"/>
        </w:rPr>
        <w:t>»</w:t>
      </w:r>
      <w:r>
        <w:rPr>
          <w:rStyle w:val="FootnoteAnchor"/>
          <w:rtl w:val="true"/>
        </w:rPr>
        <w:footnoteReference w:id="2760"/>
      </w:r>
      <w:r>
        <w:rPr>
          <w:rFonts w:ascii="Amiri" w:hAnsi="Amiri" w:eastAsia="Amiri" w:cs="Amiri"/>
          <w:color w:val="111111"/>
          <w:sz w:val="28"/>
          <w:sz w:val="28"/>
          <w:szCs w:val="28"/>
          <w:rtl w:val="true"/>
          <w:lang w:bidi="ar-SA"/>
        </w:rPr>
        <w:t>و رواية عمّار الساباطي المذيّلة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قولان آخران،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وقع فأرة فانزح منها دلوا واحدا، و أكثر ما روي في الفأرة إذا تفسّخت سبع دلاء</w:t>
      </w:r>
      <w:r>
        <w:rPr>
          <w:rFonts w:eastAsia="Amiri" w:cs="Amiri" w:ascii="Amiri" w:hAnsi="Amiri"/>
          <w:color w:val="111111"/>
          <w:sz w:val="28"/>
          <w:szCs w:val="28"/>
          <w:rtl w:val="true"/>
          <w:lang w:bidi="ar-SA"/>
        </w:rPr>
        <w:t>»</w:t>
      </w:r>
      <w:r>
        <w:rPr>
          <w:rStyle w:val="FootnoteAnchor"/>
          <w:rtl w:val="true"/>
        </w:rPr>
        <w:footnoteReference w:id="2762"/>
      </w:r>
      <w:r>
        <w:rPr>
          <w:rFonts w:ascii="Amiri" w:hAnsi="Amiri" w:eastAsia="Amiri" w:cs="Amiri"/>
          <w:color w:val="111111"/>
          <w:sz w:val="28"/>
          <w:sz w:val="28"/>
          <w:szCs w:val="28"/>
          <w:rtl w:val="true"/>
          <w:lang w:bidi="ar-SA"/>
        </w:rPr>
        <w:t>و مثله عن الفقيه، و مستندهما على الدلو الواحد مع عدم التفسّخ غير واضح كما اعترف به غير واحد، و ربّما احتمل كونه إلحاقا بالعصفور و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عن صاحب المدارك</w:t>
      </w:r>
      <w:r>
        <w:rPr>
          <w:rStyle w:val="FootnoteAnchor"/>
          <w:rtl w:val="true"/>
        </w:rPr>
        <w:footnoteReference w:id="2763"/>
      </w:r>
      <w:r>
        <w:rPr>
          <w:rFonts w:ascii="Amiri" w:hAnsi="Amiri" w:eastAsia="Amiri" w:cs="Amiri"/>
          <w:color w:val="111111"/>
          <w:sz w:val="28"/>
          <w:sz w:val="28"/>
          <w:szCs w:val="28"/>
          <w:rtl w:val="true"/>
          <w:lang w:bidi="ar-SA"/>
        </w:rPr>
        <w:t>من العمل بالسبع مع التفسّخ، و الخمس بدونه، استنادا إلى صحيحة أبي اسامة القائلة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يتفسّخ أو يتغيّر طعم الماء فيكفيك 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استقرب الاكتفاء بالثلاث مطلقا و لا موافق له في ذلك</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لحوق الجرذ بالفأرة في الحكم وجهان، من اندراجه فيها اسما كما يشهد به كلام جماعة من أئمّة اللغة، ففي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الأنباري و الأزهري هو الذكر من الفأر، و قال بعضهم هو الضخم من الفيران، و يكون في الفلوات و لا يألف البيوت</w:t>
      </w:r>
      <w:r>
        <w:rPr>
          <w:rFonts w:eastAsia="Amiri" w:cs="Amiri" w:ascii="Amiri" w:hAnsi="Amiri"/>
          <w:color w:val="111111"/>
          <w:sz w:val="28"/>
          <w:szCs w:val="28"/>
          <w:rtl w:val="true"/>
          <w:lang w:bidi="ar-SA"/>
        </w:rPr>
        <w:t>»</w:t>
      </w:r>
      <w:r>
        <w:rPr>
          <w:rStyle w:val="FootnoteAnchor"/>
          <w:rtl w:val="true"/>
        </w:rPr>
        <w:footnoteReference w:id="2764"/>
      </w:r>
      <w:r>
        <w:rPr>
          <w:rFonts w:ascii="IRNazanin" w:hAnsi="IRNazanin" w:eastAsia="IRNazanin"/>
          <w:color w:val="111111"/>
          <w:sz w:val="28"/>
          <w:sz w:val="28"/>
          <w:szCs w:val="28"/>
          <w:rtl w:val="true"/>
          <w:lang w:bidi="fa-IR"/>
        </w:rPr>
        <w:t>، و عن الصحاح</w:t>
      </w:r>
      <w:r>
        <w:rPr>
          <w:rStyle w:val="FootnoteAnchor"/>
          <w:rtl w:val="true"/>
        </w:rPr>
        <w:footnoteReference w:id="2765"/>
      </w:r>
      <w:r>
        <w:rPr>
          <w:rFonts w:ascii="IRNazanin" w:hAnsi="IRNazanin" w:eastAsia="IRNazanin"/>
          <w:color w:val="111111"/>
          <w:sz w:val="28"/>
          <w:sz w:val="28"/>
          <w:szCs w:val="28"/>
          <w:rtl w:val="true"/>
          <w:lang w:bidi="fa-IR"/>
        </w:rPr>
        <w:t>و القاموس</w:t>
      </w:r>
      <w:r>
        <w:rPr>
          <w:rStyle w:val="FootnoteAnchor"/>
          <w:rtl w:val="true"/>
        </w:rPr>
        <w:footnoteReference w:id="2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الجرذ ضرب من الفأر</w:t>
      </w:r>
      <w:r>
        <w:rPr>
          <w:rFonts w:eastAsia="IRNazanin" w:cs="IRNazanin"/>
          <w:color w:val="111111"/>
          <w:sz w:val="28"/>
          <w:szCs w:val="28"/>
          <w:rtl w:val="true"/>
          <w:lang w:bidi="fa-IR"/>
        </w:rPr>
        <w:t xml:space="preserve">. </w:t>
      </w:r>
      <w:bookmarkStart w:id="901" w:name="pg16144_233626"/>
    </w:p>
    <w:p>
      <w:pPr>
        <w:pStyle w:val="BookText"/>
        <w:rPr/>
      </w:pPr>
      <w:bookmarkEnd w:id="901"/>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الذكر من الفيران و يكون في الفلوات، و هو أعظم من اليربوع أكدر في ذنبه سواد، و عن الجاحظ الفرق بين الجرذ و الفأر كالفرق بين الجواميس و البقر و البخاتي و العراب</w:t>
      </w:r>
      <w:r>
        <w:rPr>
          <w:rFonts w:eastAsia="Amiri" w:cs="Amiri" w:ascii="Amiri" w:hAnsi="Amiri"/>
          <w:color w:val="111111"/>
          <w:sz w:val="28"/>
          <w:szCs w:val="28"/>
          <w:rtl w:val="true"/>
          <w:lang w:bidi="ar-SA"/>
        </w:rPr>
        <w:t>»</w:t>
      </w:r>
      <w:r>
        <w:rPr>
          <w:rStyle w:val="FootnoteAnchor"/>
          <w:rtl w:val="true"/>
        </w:rPr>
        <w:footnoteReference w:id="2767"/>
      </w:r>
      <w:r>
        <w:rPr>
          <w:rFonts w:ascii="Amiri" w:hAnsi="Amiri" w:eastAsia="Amiri" w:cs="Amiri"/>
          <w:color w:val="111111"/>
          <w:sz w:val="28"/>
          <w:sz w:val="28"/>
          <w:szCs w:val="28"/>
          <w:rtl w:val="true"/>
          <w:lang w:bidi="ar-SA"/>
        </w:rPr>
        <w:t>، و من التأمّل في انصراف الإطلاق إلى ما يتناوله، و هذا هو الأحوط، فيلحق بغير المنصوص</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805048_1280447820"/>
      <w:bookmarkStart w:id="903" w:name="_Toc355"/>
      <w:bookmarkEnd w:id="902"/>
      <w:r>
        <w:rPr>
          <w:rtl w:val="true"/>
        </w:rPr>
        <w:t>و خامسها</w:t>
      </w:r>
      <w:r>
        <w:rPr>
          <w:rtl w:val="true"/>
        </w:rPr>
        <w:t xml:space="preserve">: </w:t>
      </w:r>
      <w:r>
        <w:rPr>
          <w:rtl w:val="true"/>
        </w:rPr>
        <w:t>اغتسال الجنب في البئر مطلقا،</w:t>
      </w:r>
      <w:bookmarkEnd w:id="903"/>
    </w:p>
    <w:p>
      <w:pPr>
        <w:pStyle w:val="Heading6"/>
        <w:numPr>
          <w:ilvl w:val="5"/>
          <w:numId w:val="1"/>
        </w:numPr>
        <w:rPr/>
      </w:pPr>
      <w:bookmarkStart w:id="904" w:name="__RefHeading___Toc1805050_1280447820"/>
      <w:bookmarkStart w:id="905" w:name="_Toc356"/>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كما في الشرائع</w:t>
      </w:r>
      <w:r>
        <w:rPr>
          <w:rStyle w:val="FootnoteAnchor"/>
          <w:rtl w:val="true"/>
        </w:rPr>
        <w:footnoteReference w:id="2768"/>
      </w:r>
      <w:r>
        <w:rPr>
          <w:rFonts w:ascii="IRNazanin" w:hAnsi="IRNazanin" w:eastAsia="IRNazanin"/>
          <w:color w:val="111111"/>
          <w:sz w:val="28"/>
          <w:sz w:val="28"/>
          <w:szCs w:val="28"/>
          <w:rtl w:val="true"/>
          <w:lang w:bidi="fa-IR"/>
        </w:rPr>
        <w:t>، و النافع</w:t>
      </w:r>
      <w:r>
        <w:rPr>
          <w:rStyle w:val="FootnoteAnchor"/>
          <w:rtl w:val="true"/>
        </w:rPr>
        <w:footnoteReference w:id="2769"/>
      </w:r>
      <w:r>
        <w:rPr>
          <w:rFonts w:ascii="IRNazanin" w:hAnsi="IRNazanin" w:eastAsia="IRNazanin"/>
          <w:color w:val="111111"/>
          <w:sz w:val="28"/>
          <w:sz w:val="28"/>
          <w:szCs w:val="28"/>
          <w:rtl w:val="true"/>
          <w:lang w:bidi="fa-IR"/>
        </w:rPr>
        <w:t>، و المنتهى</w:t>
      </w:r>
      <w:r>
        <w:rPr>
          <w:rStyle w:val="FootnoteAnchor"/>
          <w:rtl w:val="true"/>
        </w:rPr>
        <w:footnoteReference w:id="2770"/>
      </w:r>
      <w:r>
        <w:rPr>
          <w:rFonts w:ascii="IRNazanin" w:hAnsi="IRNazanin" w:eastAsia="IRNazanin"/>
          <w:color w:val="111111"/>
          <w:sz w:val="28"/>
          <w:sz w:val="28"/>
          <w:szCs w:val="28"/>
          <w:rtl w:val="true"/>
          <w:lang w:bidi="fa-IR"/>
        </w:rPr>
        <w:t>، و الدروس</w:t>
      </w:r>
      <w:r>
        <w:rPr>
          <w:rStyle w:val="FootnoteAnchor"/>
          <w:rtl w:val="true"/>
        </w:rPr>
        <w:footnoteReference w:id="2771"/>
      </w:r>
      <w:r>
        <w:rPr>
          <w:rFonts w:ascii="Amiri" w:hAnsi="Amiri" w:eastAsia="Amiri" w:cs="Amiri"/>
          <w:color w:val="111111"/>
          <w:sz w:val="28"/>
          <w:sz w:val="28"/>
          <w:szCs w:val="28"/>
          <w:rtl w:val="true"/>
          <w:lang w:bidi="ar-SA"/>
        </w:rPr>
        <w:t>، كما عن المعتبر</w:t>
      </w:r>
      <w:r>
        <w:rPr>
          <w:rStyle w:val="FootnoteAnchor"/>
          <w:rtl w:val="true"/>
        </w:rPr>
        <w:footnoteReference w:id="2772"/>
      </w:r>
      <w:r>
        <w:rPr>
          <w:rFonts w:ascii="IRNazanin" w:hAnsi="IRNazanin" w:eastAsia="IRNazanin"/>
          <w:color w:val="111111"/>
          <w:sz w:val="28"/>
          <w:sz w:val="28"/>
          <w:szCs w:val="28"/>
          <w:rtl w:val="true"/>
          <w:lang w:bidi="fa-IR"/>
        </w:rPr>
        <w:t>، و القواعد</w:t>
      </w:r>
      <w:r>
        <w:rPr>
          <w:rStyle w:val="FootnoteAnchor"/>
          <w:rtl w:val="true"/>
        </w:rPr>
        <w:footnoteReference w:id="2773"/>
      </w:r>
      <w:r>
        <w:rPr>
          <w:rFonts w:ascii="IRNazanin" w:hAnsi="IRNazanin" w:eastAsia="IRNazanin"/>
          <w:color w:val="111111"/>
          <w:sz w:val="28"/>
          <w:sz w:val="28"/>
          <w:szCs w:val="28"/>
          <w:rtl w:val="true"/>
          <w:lang w:bidi="fa-IR"/>
        </w:rPr>
        <w:t>، و الإرشاد</w:t>
      </w:r>
      <w:r>
        <w:rPr>
          <w:rStyle w:val="FootnoteAnchor"/>
          <w:rtl w:val="true"/>
        </w:rPr>
        <w:footnoteReference w:id="2774"/>
      </w:r>
      <w:r>
        <w:rPr>
          <w:rFonts w:ascii="Amiri" w:hAnsi="Amiri" w:eastAsia="Amiri" w:cs="Amiri"/>
          <w:color w:val="111111"/>
          <w:sz w:val="28"/>
          <w:sz w:val="28"/>
          <w:szCs w:val="28"/>
          <w:rtl w:val="true"/>
          <w:lang w:bidi="ar-SA"/>
        </w:rPr>
        <w:t>، و البيان</w:t>
      </w:r>
      <w:r>
        <w:rPr>
          <w:rStyle w:val="FootnoteAnchor"/>
          <w:rtl w:val="true"/>
        </w:rPr>
        <w:footnoteReference w:id="2775"/>
      </w:r>
      <w:r>
        <w:rPr>
          <w:rFonts w:ascii="Amiri" w:hAnsi="Amiri" w:eastAsia="Amiri" w:cs="Amiri"/>
          <w:color w:val="111111"/>
          <w:sz w:val="28"/>
          <w:sz w:val="28"/>
          <w:szCs w:val="28"/>
          <w:rtl w:val="true"/>
          <w:lang w:bidi="ar-SA"/>
        </w:rPr>
        <w:t>، و اللمعة</w:t>
      </w:r>
      <w:r>
        <w:rPr>
          <w:rStyle w:val="FootnoteAnchor"/>
          <w:rtl w:val="true"/>
        </w:rPr>
        <w:footnoteReference w:id="277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جميع كتب العلاّمة، و في صريح الخوانساري في شرحه للدروس</w:t>
      </w:r>
      <w:r>
        <w:rPr>
          <w:rStyle w:val="FootnoteAnchor"/>
          <w:rtl w:val="true"/>
        </w:rPr>
        <w:footnoteReference w:id="2777"/>
      </w:r>
      <w:r>
        <w:rPr>
          <w:rFonts w:ascii="Amiri" w:hAnsi="Amiri" w:eastAsia="Amiri" w:cs="Amiri"/>
          <w:color w:val="111111"/>
          <w:sz w:val="28"/>
          <w:sz w:val="28"/>
          <w:szCs w:val="28"/>
          <w:rtl w:val="true"/>
          <w:lang w:bidi="ar-SA"/>
        </w:rPr>
        <w:t>، كما عن شرح المفاتيح للعلاّمة البهبهاني</w:t>
      </w:r>
      <w:r>
        <w:rPr>
          <w:rStyle w:val="FootnoteAnchor"/>
          <w:rtl w:val="true"/>
        </w:rPr>
        <w:footnoteReference w:id="2778"/>
      </w:r>
      <w:r>
        <w:rPr>
          <w:rFonts w:ascii="Amiri" w:hAnsi="Amiri" w:eastAsia="Amiri" w:cs="Amiri"/>
          <w:color w:val="111111"/>
          <w:sz w:val="28"/>
          <w:sz w:val="28"/>
          <w:szCs w:val="28"/>
          <w:rtl w:val="true"/>
          <w:lang w:bidi="ar-SA"/>
        </w:rPr>
        <w:t>، و ظاهر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ارتماسه فيها كما عن نهاية الشيخ</w:t>
      </w:r>
      <w:r>
        <w:rPr>
          <w:rStyle w:val="FootnoteAnchor"/>
          <w:rtl w:val="true"/>
        </w:rPr>
        <w:footnoteReference w:id="2780"/>
      </w:r>
      <w:r>
        <w:rPr>
          <w:rFonts w:ascii="Amiri" w:hAnsi="Amiri" w:eastAsia="Amiri" w:cs="Amiri"/>
          <w:color w:val="111111"/>
          <w:sz w:val="28"/>
          <w:sz w:val="28"/>
          <w:szCs w:val="28"/>
          <w:rtl w:val="true"/>
          <w:lang w:bidi="ar-SA"/>
        </w:rPr>
        <w:t>، و مقنعة المفيد</w:t>
      </w:r>
      <w:r>
        <w:rPr>
          <w:rStyle w:val="FootnoteAnchor"/>
          <w:rtl w:val="true"/>
        </w:rPr>
        <w:footnoteReference w:id="2781"/>
      </w:r>
      <w:r>
        <w:rPr>
          <w:rFonts w:ascii="Amiri" w:hAnsi="Amiri" w:eastAsia="Amiri" w:cs="Amiri"/>
          <w:color w:val="111111"/>
          <w:sz w:val="28"/>
          <w:sz w:val="28"/>
          <w:szCs w:val="28"/>
          <w:rtl w:val="true"/>
          <w:lang w:bidi="ar-SA"/>
        </w:rPr>
        <w:t>، بل كتب الشيخين</w:t>
      </w:r>
      <w:r>
        <w:rPr>
          <w:rStyle w:val="FootnoteAnchor"/>
          <w:rtl w:val="true"/>
        </w:rPr>
        <w:footnoteReference w:id="2782"/>
      </w:r>
      <w:r>
        <w:rPr>
          <w:rFonts w:ascii="Amiri" w:hAnsi="Amiri" w:eastAsia="Amiri" w:cs="Amiri"/>
          <w:color w:val="111111"/>
          <w:sz w:val="28"/>
          <w:sz w:val="28"/>
          <w:szCs w:val="28"/>
          <w:rtl w:val="true"/>
          <w:lang w:bidi="ar-SA"/>
        </w:rPr>
        <w:t>، و السلاّر</w:t>
      </w:r>
      <w:r>
        <w:rPr>
          <w:rStyle w:val="FootnoteAnchor"/>
          <w:rtl w:val="true"/>
        </w:rPr>
        <w:footnoteReference w:id="2783"/>
      </w:r>
      <w:r>
        <w:rPr>
          <w:rFonts w:ascii="Amiri" w:hAnsi="Amiri" w:eastAsia="Amiri" w:cs="Amiri"/>
          <w:color w:val="111111"/>
          <w:sz w:val="28"/>
          <w:sz w:val="28"/>
          <w:szCs w:val="28"/>
          <w:rtl w:val="true"/>
          <w:lang w:bidi="ar-SA"/>
        </w:rPr>
        <w:t>، و بني حمزة</w:t>
      </w:r>
      <w:r>
        <w:rPr>
          <w:rStyle w:val="FootnoteAnchor"/>
          <w:rtl w:val="true"/>
        </w:rPr>
        <w:footnoteReference w:id="2784"/>
      </w:r>
      <w:r>
        <w:rPr>
          <w:rFonts w:ascii="Amiri" w:hAnsi="Amiri" w:eastAsia="Amiri" w:cs="Amiri"/>
          <w:color w:val="111111"/>
          <w:sz w:val="28"/>
          <w:sz w:val="28"/>
          <w:szCs w:val="28"/>
          <w:rtl w:val="true"/>
          <w:lang w:bidi="ar-SA"/>
        </w:rPr>
        <w:t>، و البرّاج</w:t>
      </w:r>
      <w:r>
        <w:rPr>
          <w:rStyle w:val="FootnoteAnchor"/>
          <w:rtl w:val="true"/>
        </w:rPr>
        <w:footnoteReference w:id="2785"/>
      </w:r>
      <w:r>
        <w:rPr>
          <w:rFonts w:ascii="Amiri" w:hAnsi="Amiri" w:eastAsia="Amiri" w:cs="Amiri"/>
          <w:color w:val="111111"/>
          <w:sz w:val="28"/>
          <w:sz w:val="28"/>
          <w:szCs w:val="28"/>
          <w:rtl w:val="true"/>
          <w:lang w:bidi="ar-SA"/>
        </w:rPr>
        <w:t>، و سعيد</w:t>
      </w:r>
      <w:r>
        <w:rPr>
          <w:rStyle w:val="FootnoteAnchor"/>
          <w:rtl w:val="true"/>
        </w:rPr>
        <w:footnoteReference w:id="2786"/>
      </w:r>
      <w:r>
        <w:rPr>
          <w:rFonts w:ascii="Amiri" w:hAnsi="Amiri" w:eastAsia="Amiri" w:cs="Amiri"/>
          <w:color w:val="111111"/>
          <w:sz w:val="28"/>
          <w:sz w:val="28"/>
          <w:szCs w:val="28"/>
          <w:rtl w:val="true"/>
          <w:lang w:bidi="ar-SA"/>
        </w:rPr>
        <w:t>، و إدريس</w:t>
      </w:r>
      <w:r>
        <w:rPr>
          <w:rStyle w:val="FootnoteAnchor"/>
          <w:rtl w:val="true"/>
        </w:rPr>
        <w:footnoteReference w:id="2787"/>
      </w:r>
      <w:r>
        <w:rPr>
          <w:rFonts w:ascii="Amiri" w:hAnsi="Amiri" w:eastAsia="Amiri" w:cs="Amiri"/>
          <w:color w:val="111111"/>
          <w:sz w:val="28"/>
          <w:sz w:val="28"/>
          <w:szCs w:val="28"/>
          <w:rtl w:val="true"/>
          <w:lang w:bidi="ar-SA"/>
        </w:rPr>
        <w:t>، و غيرهم بل عن ابن إدريس الإجماع عليه</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مرادهم به ما يحصل بعنوان الاغتسال؟ أو مطلق الارتماس و لو لغير الاغتسال؟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الأوّل، و إن لم يصرّحوا به لظهور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استدلالهم برواية أبي بصير المشتملة على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تنقيح المسألة يستدعي تقديم نقل ما ورد في هذا الباب من السنّة و هي عدّة روايات</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وقع فيها جنب فانزح منها سبع دلاء</w:t>
      </w:r>
      <w:r>
        <w:rPr>
          <w:rFonts w:eastAsia="Amiri" w:cs="Amiri" w:ascii="Amiri" w:hAnsi="Amiri"/>
          <w:color w:val="111111"/>
          <w:sz w:val="28"/>
          <w:szCs w:val="28"/>
          <w:rtl w:val="true"/>
          <w:lang w:bidi="ar-SA"/>
        </w:rPr>
        <w:t>»</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 xml:space="preserve">. </w:t>
      </w:r>
      <w:bookmarkStart w:id="906" w:name="pg16144_233627"/>
    </w:p>
    <w:p>
      <w:pPr>
        <w:pStyle w:val="BookText"/>
        <w:rPr/>
      </w:pPr>
      <w:bookmarkEnd w:id="90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الجنب البئر نزح منها سبع دلاء</w:t>
      </w:r>
      <w:r>
        <w:rPr>
          <w:rFonts w:eastAsia="Amiri" w:cs="Amiri" w:ascii="Amiri" w:hAnsi="Amiri"/>
          <w:color w:val="111111"/>
          <w:sz w:val="28"/>
          <w:szCs w:val="28"/>
          <w:rtl w:val="true"/>
          <w:lang w:bidi="ar-SA"/>
        </w:rPr>
        <w:t>»</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سقط في البئر دابّة صغيرة، أو نزل فيها جنب، فانزح منها سبع دلاء</w:t>
      </w:r>
      <w:r>
        <w:rPr>
          <w:rFonts w:eastAsia="Amiri" w:cs="Amiri" w:ascii="Amiri" w:hAnsi="Amiri"/>
          <w:color w:val="111111"/>
          <w:sz w:val="28"/>
          <w:szCs w:val="28"/>
          <w:rtl w:val="true"/>
          <w:lang w:bidi="ar-SA"/>
        </w:rPr>
        <w:t>»</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الجنب يدخل في البئر فيغتسل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سبع دلاء</w:t>
      </w:r>
      <w:r>
        <w:rPr>
          <w:rFonts w:eastAsia="Amiri" w:cs="Amiri" w:ascii="Amiri" w:hAnsi="Amiri"/>
          <w:color w:val="111111"/>
          <w:sz w:val="28"/>
          <w:szCs w:val="28"/>
          <w:rtl w:val="true"/>
          <w:lang w:bidi="ar-SA"/>
        </w:rPr>
        <w:t>»</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و عنبسة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بحث انفعال البئر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 أنت جنب و لم تجد دلوا و لا شيئا تغرف به، فتيمّم بالصعيد، فإنّ ربّ الماء و ربّ الصعيد واحد، و لا تقع في البئر، فتفسد على القوم ماءهم</w:t>
      </w:r>
      <w:r>
        <w:rPr>
          <w:rFonts w:eastAsia="Amiri" w:cs="Amiri" w:ascii="Amiri" w:hAnsi="Amiri"/>
          <w:color w:val="111111"/>
          <w:sz w:val="28"/>
          <w:szCs w:val="28"/>
          <w:rtl w:val="true"/>
          <w:lang w:bidi="ar-SA"/>
        </w:rPr>
        <w:t>»</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الداعي إلى ذكر هذا الأخير هنا بعض الأغراض المتعلّقة بالباب و إن لم يكن متضمّنا للتقدير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لا كلام لهم في النزح بالسبع هنا، حيث لا منكر له و لا قائل بالزيادة عليه، كما أنّه لا خلاف لهم في أنّ الجنابة لها مدخليّة في ذلك الحكم</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1805052_1280447820"/>
      <w:bookmarkStart w:id="908" w:name="_Toc357"/>
      <w:bookmarkEnd w:id="907"/>
      <w:r>
        <w:rPr>
          <w:rtl w:val="true"/>
        </w:rPr>
        <w:t>نعم، لهم كلام من جهات اخر</w:t>
      </w:r>
      <w:r>
        <w:rPr>
          <w:rtl w:val="true"/>
        </w:rPr>
        <w:t>.</w:t>
      </w:r>
      <w:bookmarkEnd w:id="908"/>
    </w:p>
    <w:p>
      <w:pPr>
        <w:pStyle w:val="Heading6"/>
        <w:numPr>
          <w:ilvl w:val="5"/>
          <w:numId w:val="1"/>
        </w:numPr>
        <w:rPr/>
      </w:pPr>
      <w:bookmarkStart w:id="909" w:name="__RefHeading___Toc1805054_1280447820"/>
      <w:bookmarkStart w:id="910" w:name="_Toc358"/>
      <w:bookmarkEnd w:id="909"/>
      <w:r>
        <w:rPr>
          <w:rtl w:val="true"/>
        </w:rPr>
        <w:t>الجهة الاولى</w:t>
      </w:r>
      <w:r>
        <w:rPr>
          <w:rtl w:val="true"/>
        </w:rPr>
        <w:t xml:space="preserve">: </w:t>
      </w:r>
      <w:r>
        <w:rPr>
          <w:rtl w:val="true"/>
        </w:rPr>
        <w:t>في أنّ المقتضي للنزح هل هو وقوع الجنب في البئر و إن لم يغتسل، المعبّر عنه بمطلق مباشرته جنبا؟</w:t>
      </w:r>
      <w:bookmarkEnd w:id="910"/>
    </w:p>
    <w:p>
      <w:pPr>
        <w:pStyle w:val="BookText"/>
        <w:rPr/>
      </w:pPr>
      <w:r>
        <w:rPr>
          <w:rFonts w:ascii="Amiri" w:hAnsi="Amiri" w:eastAsia="Amiri" w:cs="Amiri"/>
          <w:color w:val="111111"/>
          <w:sz w:val="28"/>
          <w:sz w:val="28"/>
          <w:szCs w:val="28"/>
          <w:rtl w:val="true"/>
          <w:lang w:bidi="ar-SA"/>
        </w:rPr>
        <w:t>أو اغتساله منها و لو ترتيبا، أو ارتماسه و لو لغير الغسل؟ كما يقتضيه إطلاق حكاية القول به،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صريح المحكيّ عن جماعة، كما هو صريح صاحب المدارك </w:t>
      </w:r>
      <w:r>
        <w:rPr>
          <w:rStyle w:val="FootnoteAnchor"/>
          <w:rtl w:val="true"/>
        </w:rPr>
        <w:footnoteReference w:id="2794"/>
      </w:r>
      <w:r>
        <w:rPr>
          <w:rFonts w:ascii="Amiri" w:hAnsi="Amiri" w:eastAsia="Amiri" w:cs="Amiri"/>
          <w:color w:val="111111"/>
          <w:sz w:val="28"/>
          <w:sz w:val="28"/>
          <w:szCs w:val="28"/>
          <w:rtl w:val="true"/>
          <w:lang w:bidi="ar-SA"/>
        </w:rPr>
        <w:t>و ظاهر الخوانساري</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إليه جماعة، و لعلّه المشهور بين المتأخّرين، و قد عرفت نقل الشهرة عليه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عن جماعة من المتقدّمين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الصحاح من الأخبار المذكورة عدا الأخير الّذي هو ساكت عن أصل الحكم، و عدم صلوح غيرها مستندا للحكم و إن تضمّن التعليق بالاغتسال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الاغتسال في رواية أبي بصير فيحمل عليها غيرها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الرواية بعبد اللّه بن بحر، و اشتراك أبي بصير كما في المدارك</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انجباره بالشهرة غير قادح، إلاّ أن يمنع الشهرة أو استناد المشهور إلى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خروج الرواية منافية للأخبار المطلقة من حيث إنّ التقييد الوارد فيها إنّما هو من كلام السائل، و جوابه عليه السّلام عن ذلك المقيّد لا يقتضي نفي الحكم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المنافاة أيضا المقتضية لوجوب الحمل، لجواز وجوب السبع لكلّ من الوقوع و الاغتسال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المقيّد هنا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مفاد الأوّل بحسب المنطوق الوجوب التعييني المنافي للوجوب التخييري المستفاد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عدم حجّيّة مفهوم القيد ليكون مفاده انتفاء الحكم عند انتفاء القيد المعلّق عليه المنافي لمنطوق المطلق، و قضيّة الجمع بين المطلق و المقيّد في العمل مع إمكانه كفاية كلّ من الأمرين في انعقاد الحكم، أو القول بأنّ المقتضي للحكم إنّما هو مطلق المباشرة، و التعليق على الاغتسال لكونه من أفرادها أو مستلزما لها، و هذا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أغرب في هذا المقام المحقّق الخوانساري في شرح الدروس حيث تعرّض لهذا الإيراد، ثمّ اعترض على نفسه بقوله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أنّه ممّا يجب فيه حمل المطلق على المقيّد حتّى يشترط المنافاة، بل أنّ التقييد بالاغتسال قرينة على أنّ المراد في الروايات الاخر من الوقوع </w:t>
      </w:r>
    </w:p>
    <w:p>
      <w:pPr>
        <w:pStyle w:val="BookText"/>
        <w:rPr/>
      </w:pPr>
      <w:r>
        <w:rPr>
          <w:rFonts w:ascii="Amiri" w:hAnsi="Amiri" w:eastAsia="Amiri" w:cs="Amiri"/>
          <w:color w:val="111111"/>
          <w:sz w:val="28"/>
          <w:sz w:val="28"/>
          <w:szCs w:val="28"/>
          <w:rtl w:val="true"/>
          <w:lang w:bidi="ar-SA"/>
        </w:rPr>
        <w:t>و النزول و الدخول الاغتسال، مع أنّ له ظهورا في الجملة أيضا بحسب العرف، سيّما مع تأييده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يصلح قرينة أيضا، لأنّ التقييد بالاغتسال ليس في كلامه عليه السّلام بل السائل إنّما سأل عن الاغتسال و أجاب عليه السّلام بنزح السبع، فيجوز أن يكون أمره عليه السّلام بالنزح فيه لأنّه من أحد أفراد الوقوع و هو ظاهر، مع أنّ الرواية غير نقيّ السند، و ما ذكرته من ظهور الدلالة بحسب العرف ممنوع، و التأييد بالأصل لا وجه له بعد ورود الروايات الصحيحة بخلافه</w:t>
      </w:r>
      <w:r>
        <w:rPr>
          <w:rFonts w:eastAsia="Amiri" w:cs="Amiri" w:ascii="Amiri" w:hAnsi="Amiri"/>
          <w:color w:val="111111"/>
          <w:sz w:val="28"/>
          <w:szCs w:val="28"/>
          <w:rtl w:val="true"/>
          <w:lang w:bidi="ar-SA"/>
        </w:rPr>
        <w:t>»</w:t>
      </w:r>
      <w:r>
        <w:rPr>
          <w:rStyle w:val="FootnoteAnchor"/>
          <w:rtl w:val="true"/>
        </w:rPr>
        <w:footnoteReference w:id="27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التنافي على مدّعي الحمل في معنى منع صلاحية التقييد قرينة على كون المراد بالأفعال المذكورة خصوص الاغتسال، فلا يسوغ إبداء هذا الاحتمال لمن يسلّم المنع المذكور، ضرورة أنّ قرينة المجاز عبارة عمّا يعاند ظهوره لظهور اللفظ في معناه الحقيقي بحسب إرادة المتكلّم مع كونه أقوى من ظهور اللفظ في نظر العرف و العادة، و لا نعني من التنافي في مسألة وجوب حمل المطلق على المقيّد إلاّ ما يكون من هذا الباب، فلا فرق بين الاحتمالين في اشتراط المنافاة، غاية الأمر حصول الفرق بينهما بلزوم التجوّز في الألفاظ المذكورة على الاحتمال الثاني، لابتنائه على فرض كون المستعمل فيه الاغتسال بقيد الخصوصيّة الّذي هو فرد من كلّ واحد من تلك الأفعال، بخلافه على احتمال الحمل الّذي هو أوّل الاحتمالين، بناء على ما تقرّر في محلّه من أنّه لرجوعه إلى إطلاق الكلّي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انطباقه لا من حيث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تجوّزا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الحمل على الاغتسال لم يكن للنزح وجه، إذ المفروض خلوّ بدنه عن النجاسة العينيّة من منيّ أو غيره، أمّا غير المنيّ فواضح، و أمّا هو فلأنّ المني ممّا يجب له نزح الجميع فلا معنى لإيجاب السبع منه، و قضيّة ذلك عدم كونه لأجل النجاسة، فتعيّن أن يكون لزوال الطهوريّة الحاصلة من الاغتسال، فظهر الاشتراط به و هو المطلوب</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سبب النزح في عروض النجاسة أو زوال الطهوريّة، لجواز كونه للتعبّد المحض، أو لرفع القذارة الوهميّة الّتي تتنفّر عنها الطباع 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مباشرة البدن للمني عدم لحوق الحكم بنزح السبع به، و القول بنزح الجميع في المنيّ ليس إلاّ من جهة دخوله في عنوان ما لا نصّ فيه، و الروايات المذكورة على تقدير استفادة كون ذلك الحكم لأجل مباشرة البدن للمنيّ بملاحظة الحمل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من أنّ الغالب عدم انفكاك بدن الجنب عن نجاسة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نصّا بالقياس إليه، فتخرج به عن العنوان المذكور، و معه لا مانع لإيجاب السبع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انحصار الأسباب المقتضية للتنجيس في الامور المعهودة في مظانّها، لجواز كون بدن الجنب أيضا ممّا اعتبره الشارع منجسا للماء كسائر الأسباب المنجّسة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البعد ما لا يخفى، بل ينبغي القطع الضروري بفساده، كيف و لو صحّ ذلك لاطّرد الحكم بالتنجيس، فكان القليل من الراكد أولى بالتنجّس من جهته، و وجب تنجّس ما يلاقيه برطوبة من الأجسام الطاهرة لأنّ هذا هو معنى النجس، و كونه نجسا بالقياس إلى شيء دون آخر ممّا لم يعهد له نظير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و إن كان أكثرها مطلقة لكن إطلاقها ينصرف إلى صورة الاغتسال، بل لو ادّعي انصرافها بحكم غلبة الوجود إلى الارتماس لم يكن بعيدا، كما هو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الحلبي، و هذا لو تمّ لكان في غاية المتانة، و به يدفع ما تقدّم من احتجاج أهل القول الأوّل بإطلاق تلك الأخبار، و يرتفع الحاجة إلى أن يقال في اشتراط الاغتسال بأنّ العمل بإطلاق الأخبار ليس مشتهرا بين الأصحاب، و يورث ذلك شبهة عظيمة في تعيين معناها فيندرج المقام في ما يكتفى فيه بالقدر المتيقّن أو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دعوى الانصراف غير خالية عن الإشكال، لعدم إمكان العلم به إلاّ بعد العثور بمنشئه و هو الغلبة وجودا أو إطلاقا و لا سبيل لنا إلى ذلك، كيف لا و لم يعهد عندنا فيما نعلم دخول الجنب أو نزوله في البئر فضلا عن كون الغالب فيه الاغتسال، فإحراز الغلبة إن كان و لا بدّ منه لا يتأتّى حينئذ إلاّ بملاحظة حال زمن الصدور أو بلد الخطاب، و هو أيضا كما ترى غير متيسّر</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مورد الروايات الاغتسال في البئر أو بماء البئر و نحو ذلك لكان ثبوت الانصراف إلى الارتماس كما ادّعاه المستدلّ في آخر كلامه بلا إشكال؛ لا من جهة </w:t>
      </w:r>
    </w:p>
    <w:p>
      <w:pPr>
        <w:pStyle w:val="BookText"/>
        <w:rPr/>
      </w:pPr>
      <w:r>
        <w:rPr>
          <w:rFonts w:ascii="Amiri" w:hAnsi="Amiri" w:eastAsia="Amiri" w:cs="Amiri"/>
          <w:color w:val="111111"/>
          <w:sz w:val="28"/>
          <w:sz w:val="28"/>
          <w:szCs w:val="28"/>
          <w:rtl w:val="true"/>
          <w:lang w:bidi="ar-SA"/>
        </w:rPr>
        <w:t>غلبة الوجود حتّى يتوجّه ما أشرنا إليه من عدم العلم بالوجود؛ بل لأنّ ذلك من مقتضى الهيئة التركيبيّة العارضة لخصوص هذه المفردات بحسب العرف كما يشهد به الوجدان السليم، لكن مفروض المقام 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قد يتبادر منه بنفس معناه التركيبي معنى مفرد كما في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المتبادر منه التنظيف و اللبس، فلم لا يجوز أن يكون القضيّة الواردة في الأخبار المطلقة من هذا الباب؟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المعنى الخارج عن أجزاء القضيّة لا بدّ له من مقتض، و هو إمّا غلبة وجود أو إطلاق قد عرفت عدم ثبوتها هنا، أو لزوم عرفي كما في المثال المذكور و نظائره، حيث إنّ المعنى الخارج المتبادر الّذي هو التنظيف أو اللبس إنّما يتبادر من جهة كونه في العرف و العادة غاية، و بملاحظة أنّ وضع الحمّام للتنظيف و وضع الثوب للبس، و هذا المعنى فيما نحن فيه أيضا منتف، لعدم كون وضع البئر لاغتسال الجنب فيها حتّى يكون الاغتسال متبادرا من قضيّة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وقع فيها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الجنب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نظير تبادر الغايات من القضايا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استفادة ذلك من هذه التراكيب بملاحظة خارج آخر، و هو ما في صحيحة ابن أبي يعفور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أو الصريح في الاغتسال أو كونه للاغتسال، فإنّ ظاهر هذا الكلام بقرينة كونه في سياق الاغتسال يدلّ على كونه بالنسبة إلى هذا المعنى اصطلاحا معهودا لديهم، و حينئذ يترتّب عليه الانصراف إلى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صدق مقالة قدماء الأصحاب في اعتبار الارتماس، و يتعيّن كون مرادهم به ما يحصل معه الاغتسال، و إن كان قد يناقش في ذلك بأنّ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ظهور رواية أبي بصير في الترتيب، فيجمع بينهما على تقدير اعتبار السند و الدلالة بكون كلّ من الفردين سببا للحكم، لا بحمل المطلق على المقيّد كما توهّم، و هذا الظهور كما ترى ممّا لا يعرف له مستند إلاّ باعتبار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فيها على خلاف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الارتماس</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ابتدائيّة نشويّة نظير 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w:t>
      </w:r>
      <w:bookmarkStart w:id="911" w:name="pg16144_233632"/>
    </w:p>
    <w:p>
      <w:pPr>
        <w:pStyle w:val="BookText"/>
        <w:rPr/>
      </w:pPr>
      <w:bookmarkEnd w:id="911"/>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من اللفظ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للأعمّ من الترتيب و مقابله</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1805056_1280447820"/>
      <w:bookmarkStart w:id="913" w:name="_Toc359"/>
      <w:bookmarkEnd w:id="912"/>
      <w:r>
        <w:rPr>
          <w:rtl w:val="true"/>
        </w:rPr>
        <w:t>الجهة الثانية</w:t>
      </w:r>
      <w:r>
        <w:rPr>
          <w:rtl w:val="true"/>
        </w:rPr>
        <w:t xml:space="preserve">: </w:t>
      </w:r>
      <w:r>
        <w:rPr>
          <w:rtl w:val="true"/>
        </w:rPr>
        <w:t>في أنّ النزح الواجب على تقدير كونه للاغتسال ارتماسا هل هو لنجاسة ماء البئر بسببه، أو لزوال الطهوريّة عنه، أو أنّه تعبّد صرف؟</w:t>
      </w:r>
      <w:bookmarkEnd w:id="913"/>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النزح الواجب على تقدير كونه للاغتسال ارتماسا هل هو لنجاسة ماء البئر بسببه، أو لزوال الطهوريّة عنه</w:t>
      </w:r>
      <w:r>
        <w:rPr>
          <w:rStyle w:val="FootnoteAnchor"/>
          <w:rtl w:val="true"/>
        </w:rPr>
        <w:footnoteReference w:id="2798"/>
      </w:r>
      <w:r>
        <w:rPr>
          <w:rFonts w:ascii="Amiri" w:hAnsi="Amiri" w:eastAsia="Amiri" w:cs="Amiri"/>
          <w:color w:val="111111"/>
          <w:sz w:val="28"/>
          <w:sz w:val="28"/>
          <w:szCs w:val="28"/>
          <w:rtl w:val="true"/>
          <w:lang w:bidi="ar-SA"/>
        </w:rPr>
        <w:t>، أو أنّه تعبّد صرف؟</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 أوّلها العلاّمة في المختلف</w:t>
      </w:r>
      <w:r>
        <w:rPr>
          <w:rStyle w:val="FootnoteAnchor"/>
          <w:rtl w:val="true"/>
        </w:rPr>
        <w:footnoteReference w:id="2799"/>
      </w:r>
      <w:r>
        <w:rPr>
          <w:rFonts w:ascii="Amiri" w:hAnsi="Amiri" w:eastAsia="Amiri" w:cs="Amiri"/>
          <w:color w:val="111111"/>
          <w:sz w:val="28"/>
          <w:sz w:val="28"/>
          <w:szCs w:val="28"/>
          <w:rtl w:val="true"/>
          <w:lang w:bidi="ar-SA"/>
        </w:rPr>
        <w:t>، بناء على مذهب الشيخين</w:t>
      </w:r>
      <w:r>
        <w:rPr>
          <w:rStyle w:val="FootnoteAnchor"/>
          <w:rtl w:val="true"/>
        </w:rPr>
        <w:footnoteReference w:id="2800"/>
      </w:r>
      <w:r>
        <w:rPr>
          <w:rFonts w:ascii="Amiri" w:hAnsi="Amiri" w:eastAsia="Amiri" w:cs="Amiri"/>
          <w:color w:val="111111"/>
          <w:sz w:val="28"/>
          <w:sz w:val="28"/>
          <w:szCs w:val="28"/>
          <w:rtl w:val="true"/>
          <w:lang w:bidi="ar-SA"/>
        </w:rPr>
        <w:t>من سلب الطهوريّة عن الماء المستعمل في الحدث الأكبر، و هو المحكيّ عن صريح المعتبر</w:t>
      </w:r>
      <w:r>
        <w:rPr>
          <w:rStyle w:val="FootnoteAnchor"/>
          <w:rtl w:val="true"/>
        </w:rPr>
        <w:footnoteReference w:id="2801"/>
      </w:r>
      <w:r>
        <w:rPr>
          <w:rFonts w:ascii="Amiri" w:hAnsi="Amiri" w:eastAsia="Amiri" w:cs="Amiri"/>
          <w:color w:val="111111"/>
          <w:sz w:val="28"/>
          <w:sz w:val="28"/>
          <w:szCs w:val="28"/>
          <w:rtl w:val="true"/>
          <w:lang w:bidi="ar-SA"/>
        </w:rPr>
        <w:t>تارة و ظاهره اخرى</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كتب ثاني الشهيدين</w:t>
      </w:r>
      <w:r>
        <w:rPr>
          <w:rStyle w:val="FootnoteAnchor"/>
          <w:rtl w:val="true"/>
        </w:rPr>
        <w:footnoteReference w:id="2803"/>
      </w:r>
      <w:r>
        <w:rPr>
          <w:rFonts w:ascii="Amiri" w:hAnsi="Amiri" w:eastAsia="Amiri" w:cs="Amiri"/>
          <w:color w:val="111111"/>
          <w:sz w:val="28"/>
          <w:sz w:val="28"/>
          <w:szCs w:val="28"/>
          <w:rtl w:val="true"/>
          <w:lang w:bidi="ar-SA"/>
        </w:rPr>
        <w:t>، و يلوح الثالث عن كلام جماعة كما في المدارك</w:t>
      </w:r>
      <w:r>
        <w:rPr>
          <w:rStyle w:val="FootnoteAnchor"/>
          <w:rtl w:val="true"/>
        </w:rPr>
        <w:footnoteReference w:id="2804"/>
      </w:r>
      <w:r>
        <w:rPr>
          <w:rFonts w:ascii="Amiri" w:hAnsi="Amiri" w:eastAsia="Amiri" w:cs="Amiri"/>
          <w:color w:val="111111"/>
          <w:sz w:val="28"/>
          <w:sz w:val="28"/>
          <w:szCs w:val="28"/>
          <w:rtl w:val="true"/>
          <w:lang w:bidi="ar-SA"/>
        </w:rPr>
        <w:t>، و هذا هو الأقوى و الموافق للأصول القويمة السليمة عمّا يصلح معارضا و لا رافعا لها، بل الأوّل من الأقوال ممّا ينبغي القطع ببطلانه لما تقدّم من أنّ حدوث النجاسة بغير سبب يقتضي التنجيس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بكون الروايات محمولة على الغالب من عدم انفكاك بدنه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هذه الغلبة في الجنب الواقع أو الداخل أو النازل في البئر، و مع تسليمها مطلقا فليس عليها مدار القول بالنجاسة، ضرورة منافاتها لما حكي عن الشهيد من أنّ ظاهره أنّ علّة النزح هي النجاسة لكن بشرط الاغتسال، فإنّ استناد النجاسة إلى النجاسة الخارجيّة العارضة للبدن بحكم الغلبة يقتضي عدم الفرق بين تحقّق الاغتسال و عدمه بعروض النجاسة للماء بمطلق المباشرة فيلغو الاشتراط</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القول بأنّ ما ذكر استبعاد مدفوع بالنصّ،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الاستبعاد لا يرتفع </w:t>
      </w:r>
    </w:p>
    <w:p>
      <w:pPr>
        <w:pStyle w:val="BookText"/>
        <w:rPr/>
      </w:pPr>
      <w:r>
        <w:rPr>
          <w:rFonts w:ascii="Amiri" w:hAnsi="Amiri" w:eastAsia="Amiri" w:cs="Amiri"/>
          <w:color w:val="111111"/>
          <w:sz w:val="28"/>
          <w:sz w:val="28"/>
          <w:szCs w:val="28"/>
          <w:rtl w:val="true"/>
          <w:lang w:bidi="ar-SA"/>
        </w:rPr>
        <w:t>بمجرّد النصّ بل يتوقّف على دلالته الواضحة المعتبرة، و لا سبيل لأحد إلى إحراز تلك الدلالة في نصوص المقام، كيف لا و قصارى ما فيها إنّما هو الدلالة على وجوب النزح بعد تسليمها و هي أعمّ، و العامّ لا يصلح دليلا على الخاصّ، و ما تقدّم منّا من دعوى نهوض الدلالة عرفا في الأوامر الواردة في باب المياه و غيرها من سائر التطهيرات و كذلك نواهيها على كونها لأجل النجاسة لا التعبّد الصرف إنّما نقول به فيما لم يصادف الأمر ما يوجب وهنه في تلك الدلالة، و من الموهنات القائمة في المقام عدم معهوديّة مقتض للنجاسة في الشريعة يختلف فيه الأشياء، و لا سيّما المياه القابلتين للتنجّس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ذلك الاختلاف إنّما نشأ عن قصور ماء البئر في القوّة العاصمة عن الانفعال فلذا ينفعل كرّه بملاقاة مطلق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البئر ليس بأضعف من المضاف و هم لا يقولون بانفعاله بمباشرة الجنب و لو بقصد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ذلك مستندا إلى الفرق في أنّ المضاف لا يرفع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باطل بأنّ التحقيق كما سيأتي أنّ الحدث لا يرتفع بهذا الاغتسال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الحدث حيثيّة في الماء تكشف عن زيادة القوّة فكيف تصلح أمارة لما هو ملزوم للقصور و الضعف؟ مع أنّ المقتضي لهذا الحكم إن كان هو رفع نوع الحدث فهو منقوض بالأحداث الاخر من الحيض و الاستحاضة و النفاس، و إن كان هو رفع حدث الجنابة خاصّة فيؤول الكلام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المنجّسات الثابتة في الشريعة رفع حدث الجنابة، و هذا كما ترى حكم كلّي قاطع للأصول المحكمة شرعيّة و عقليّة فكيف يمكن إثباته بمثل هذه الدلالات الضعيفة، مع أنّ في ثبوتها ألف كلام و فيه مخالفة للشهرة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بجميع ما ذكر يندفع ما قيل في تقريب القول بالنجاسة من استظهاره من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ابن أبي يعفور، بدعوى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ظاهره عدم ترتّب أثر عليه فلا يطهّر من الحدث و لا الخبث؛ بل ظاهره عدم الصلاح فيه رأسا فلا يصلح للشرب أيضا، و هذه الامور من لوازم النجاسة</w:t>
      </w:r>
      <w:r>
        <w:rPr>
          <w:rFonts w:eastAsia="Amiri" w:cs="Amiri" w:ascii="Amiri" w:hAnsi="Amiri"/>
          <w:color w:val="111111"/>
          <w:sz w:val="28"/>
          <w:szCs w:val="28"/>
          <w:rtl w:val="true"/>
          <w:lang w:bidi="ar-SA"/>
        </w:rPr>
        <w:t>»</w:t>
      </w:r>
      <w:r>
        <w:rPr>
          <w:rStyle w:val="FootnoteAnchor"/>
          <w:rtl w:val="true"/>
        </w:rPr>
        <w:footnoteReference w:id="28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فيه من منع ظهور تلك اللفظة في هذا النحو من عموم الحكم، بل قصارى ما </w:t>
      </w:r>
      <w:bookmarkStart w:id="914" w:name="pg16144_233634"/>
    </w:p>
    <w:p>
      <w:pPr>
        <w:pStyle w:val="BookText"/>
        <w:rPr/>
      </w:pPr>
      <w:bookmarkEnd w:id="914"/>
      <w:r>
        <w:rPr>
          <w:rFonts w:ascii="Amiri" w:hAnsi="Amiri" w:eastAsia="Amiri" w:cs="Amiri"/>
          <w:color w:val="111111"/>
          <w:sz w:val="28"/>
          <w:sz w:val="28"/>
          <w:szCs w:val="28"/>
          <w:rtl w:val="true"/>
          <w:lang w:bidi="ar-SA"/>
        </w:rPr>
        <w:t xml:space="preserve">فيه الدلالة على قضيّة مهملة مردّدة بين امور قد تقدّم الإشارة إلى جملة منها في مسألة انفعال البئر و عدمه، و أظهر تلك الامور كون المراد بالفساد هنا زوال الطهوريّة عن الماء في زعم من ليس منّا كما يومئ إليه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أو المحتملة احتمالا مساويا لكون المراد بهم العامّة القائلة بسلب الطهوريّة في 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حقّقناه في الماء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منع القول بكون علّة النزح هنا زوال الطهوريّة عن ذلك الماء، فإنّ ذلك أيضا يفتقر إلى دلالة قويّة فكيف يثبت بالدلالات المدخولة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اخترناه من التعبّد الصرف إنّما هو أخذ بالقدر المتيقّن المتّفق عليه من تلك الدلالات، فإنّ الوجهين الأوّلين أيضا مبنيّان على التعبّد، غير أنّهما لاشتمالهما على اعتبار أمر زائد وجودي أو ارتفاعي منفيّان بمخالفة الاصول و قصور الدلالة الواردة على خلافها الغير الصالحة لقطعها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المقالات المخرجة على خلاف الأصل و الاعتبار ما حكي عن بعض القائلين بنجاسة البئر من القول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 مرتمسا طهر بدنه من الحدث و نجس بالخبث، و إن اغتسل مرتّبا أجزأه غسل ما غسله قبل وصول الماء إلى البئر إن كان خارجا عن الماء و إلاّ فما قارن به النيّة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مع ما عن الشهيد</w:t>
      </w:r>
      <w:r>
        <w:rPr>
          <w:rStyle w:val="FootnoteAnchor"/>
          <w:rtl w:val="true"/>
        </w:rPr>
        <w:footnoteReference w:id="2806"/>
      </w:r>
      <w:r>
        <w:rPr>
          <w:rFonts w:ascii="Amiri" w:hAnsi="Amiri" w:eastAsia="Amiri" w:cs="Amiri"/>
          <w:color w:val="111111"/>
          <w:sz w:val="28"/>
          <w:sz w:val="28"/>
          <w:szCs w:val="28"/>
          <w:rtl w:val="true"/>
          <w:lang w:bidi="ar-SA"/>
        </w:rPr>
        <w:t>الموافق له في القول بالنجاسة من الاعتراض عليه في صورة الترتيب من أنّ الحكم معلّق على الاغتسال و لا يتحقّق إلاّ بالإكمال</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805058_1280447820"/>
      <w:bookmarkStart w:id="916" w:name="_Toc360"/>
      <w:bookmarkEnd w:id="915"/>
      <w:r>
        <w:rPr>
          <w:rtl w:val="true"/>
        </w:rPr>
        <w:t>الجهة الثالثة</w:t>
      </w:r>
      <w:r>
        <w:rPr>
          <w:rtl w:val="true"/>
        </w:rPr>
        <w:t xml:space="preserve">: </w:t>
      </w:r>
      <w:r>
        <w:rPr>
          <w:rtl w:val="true"/>
        </w:rPr>
        <w:t>اختلفوا في ارتفاع الحدث عن هذا المغتسل و عدمه،</w:t>
      </w:r>
      <w:bookmarkEnd w:id="916"/>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لتحقّق الامتثال و عدم استلزام الأمر بالنزح النهي عن الاستعمال،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 حكي اختياره عن المحقّق الشيخ عليّ‌</w:t>
      </w:r>
      <w:r>
        <w:rPr>
          <w:rStyle w:val="FootnoteAnchor"/>
          <w:rtl w:val="true"/>
        </w:rPr>
        <w:footnoteReference w:id="2807"/>
      </w:r>
      <w:r>
        <w:rPr>
          <w:rFonts w:ascii="Amiri" w:hAnsi="Amiri" w:eastAsia="Amiri" w:cs="Amiri"/>
          <w:color w:val="111111"/>
          <w:sz w:val="28"/>
          <w:sz w:val="28"/>
          <w:szCs w:val="28"/>
          <w:rtl w:val="true"/>
          <w:lang w:bidi="ar-SA"/>
        </w:rPr>
        <w:t>محتجّا عليه بأنّ خبر عبد اللّه بن أبي يعفور صريح في النهي عن الوقوع في البئر، و ذلك مقتض لفساد الغسل</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الثاني أنّه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أنّ النهي عن العبادة، بل عن الوقوع في الماء و إفساده، و هو إنّما يتحقّق بعد الحكم بطهر الجنب لا بمجرّد دخوله في البئر، فلا يضرّ هذا النهي لتأخّره و عدم كونه عن نفس العبادة</w:t>
      </w:r>
      <w:r>
        <w:rPr>
          <w:rFonts w:eastAsia="Amiri" w:cs="Amiri" w:ascii="Amiri" w:hAnsi="Amiri"/>
          <w:color w:val="111111"/>
          <w:sz w:val="28"/>
          <w:szCs w:val="28"/>
          <w:rtl w:val="true"/>
          <w:lang w:bidi="ar-SA"/>
        </w:rPr>
        <w:t>»</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تنظر فيه سبطه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رحمه اللّه قد حقّق فيما سبق أنّ المراد بالوقوع الغسل، حملا للمطلق على المقيّد، فيكون النهي متوجّها إليه خاصّة، و الفساد و إن كان مترتّبا على الغسل و متأخّرا عنه عند القائل به إلاّ أنّ المفسد له في الحقيقة هو الغسل، و ليس بعده فعل يمكن توجّه النهي إليه، و إنّما الموجود أثر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يساعد عليه النظر فساد ذلك الغسل و إن لم نحمل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 كان المراد بالإفساد المنهيّ عنه سلب الطهوريّة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المورد نظير مورد الرواية في كون البئر ممّا تعلّق به ملك الغير على جهة الاختصاص أو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الغسل و معلولاته، و من المحقّق في محلّه أنّ مقدّمة الحرام محرّمة سيّما إذا كانت علّة 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يجدي في رفع المحذور عدم مقارنة الغسل لنيّة الإفساد إن أمكن الانفكاك بينهما في حقّ العالم بالحكم، لأنّ قصد العلّة في حكم العقل كاف في قصد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تقدير كون المراد بالإفساد معنى آخر من نشر التراب في الماء و جعله كدرا و نحو ذلك أمكن منع العلّيّة، نظرا إلى أنّه حينئذ ليس من آثار حيثيّة الغسل، و إنّما هو من آثار الوقوع و إن لم يقارنه الغسل، و لكنّه لا يجدي نفعا إلاّ إذا لم يتّحد الكونان بحسب الوقوع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أمكن منعه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الإفساد حينئذ و إن كان مترتّبا على الوقوع لكنّه من حيثيّة الغسل بمنزلة الجنس و هي بمنزلة الفصل، و لا ريب أنّ الجنس و الفصل متّحدان في الوجود الخارجي، فليس للفصل وجود سوى وجود الجنس، فالنهي متعلّق بإيجاد هو بعينه إيجاد للغسل، و معه لا يمكن تعلّق الأمر به، ضرورة استحالة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اتّحاد الكونين، و منع كون الغسل فصلا للوقوع،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الإفساد يترتّب على الوقوع سواء وجد معه الغسل أو لا، فهو أمر زائد على كلّ من اللازم و الملزوم، و ما هذا شأنه لا يكون لازما لشيء منهما و لا ملزوما له، فلا يسري إليه النهي لا أصالة و لا تبعا</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نفي كون الغسل ملزوما للوقوع، كيف و هو من مقدّماته إن لم يقارن نيّته </w:t>
      </w:r>
    </w:p>
    <w:p>
      <w:pPr>
        <w:pStyle w:val="BookText"/>
        <w:rPr/>
      </w:pPr>
      <w:r>
        <w:rPr>
          <w:rFonts w:ascii="Amiri" w:hAnsi="Amiri" w:eastAsia="Amiri" w:cs="Amiri"/>
          <w:color w:val="111111"/>
          <w:sz w:val="28"/>
          <w:sz w:val="28"/>
          <w:szCs w:val="28"/>
          <w:rtl w:val="true"/>
          <w:lang w:bidi="ar-SA"/>
        </w:rPr>
        <w:t>لأوّل الوقوع و إلاّ فيتّحدا في الوجود الخارجي، و من البيّن أنّ المقدّمة من لوازم ذيها، فإذا كانت منهيّا عنها لكونها علّة للإفساد المنهيّ خرجت عن كونها مقدورة من جهة الشرع، لأنّ المنع الشرعي كالمنع العقلي، و من المحقّق عند العقل أنّ الواجب المطلق بالقياس إلى القدرة على مقدّماته الوجوديّة مشروط كالقدرة على نفسه، فهو فاقد للأمر عند انتفاء القدرة عنه أو عن إحدى مقدّماته، و معه لا يعقل فيه الصحّة المقصودة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إنّما يتمّ في المقدّمة المنحصرة كما في مورد الرواية، و أمّا في غيرها كما لو تمكّن عن الغسل بطريق آخر غير الوقوع في البئر فلا يلزم من عدم مقدوريّة إحدى مقدّماته انتفاء الأمر عنه رأسا، و قضيّة ذلك وقوعه صحيحا و بوصف كونه مأمورا به، و إن كانت مقدّمته قد حصلت بوصف كونها منهيّا عنها، غاية ما هنا لك عدم تعلّق الوجوب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المقدّمة، و من البيّن أنّ عدم وجوب فرد من المقدّمة لمانع لا يقضي بعدم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ذلك إنّما يتوجّه إذا كان الإفساد بهذا المعنى ممّا تعلّق به النهي، كما لو تحقّق الوقوع و الغسل في حقّ الغير الّذي يعلم من حاله أنّ هذا الّذي يترتّب عليهما إفساد في نظره، و إلاّ فأصل الوقوع و الإفساد ليسا بمنهيّ عنهما فلا مانع حينئذ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يعلم أنّ البئر في مورد الرواية كانت ملكا للغير أو ممّا تعلّق به ملك الغير أيضا، ككونها من مشتركات المسلمين كافّة و لو بعنوان الوقف دون الملك المطلق، أو من مشتركات قوم منهم من غير فرق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سلب الطهوريّة أو غيره ممّا أشرنا إليه، و إن كان يجب الحمل على الثاني بقرينة خارجيّة غير ما تقدّم الإشارة إليه،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ذلك لزم من وجود الشيء عدمه، و أنّه محال</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ماء البئر مستعملا في رفع الحدث وصف لا ينعقد في الخارج إلاّ إذا وقع الغسل صحيحا، و صحّة الغسل مع فرض كونه علّة للإفساد بهذا المعنى المنهيّ عنه غير معقولة كما تقدّم، فإذا لم يقع على وصف الصحّة لم ينعقد الوصف المذكور في الخارج؛ و قضيّة استحالة ذلك خروج النهي لغوا يجب تنزيه كلام الحكيم عنه، و لا يتأتّى ذلك إلاّ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المعنى المذكور، و إذا اعتبر مع ذلك عدم كون البئر ممّا تعلّق به حقّ الغير خرج محلّ البحث عن مورد الرواية </w:t>
      </w:r>
      <w:bookmarkStart w:id="917" w:name="pg16144_233637"/>
    </w:p>
    <w:p>
      <w:pPr>
        <w:pStyle w:val="BookText"/>
        <w:rPr/>
      </w:pPr>
      <w:bookmarkEnd w:id="917"/>
      <w:r>
        <w:rPr>
          <w:rFonts w:ascii="Amiri" w:hAnsi="Amiri" w:eastAsia="Amiri" w:cs="Amiri"/>
          <w:color w:val="111111"/>
          <w:sz w:val="28"/>
          <w:sz w:val="28"/>
          <w:szCs w:val="28"/>
          <w:rtl w:val="true"/>
          <w:lang w:bidi="ar-SA"/>
        </w:rPr>
        <w:t>بالمرّة، إذ ليس الكلام فيما لو تحقّق الغسل في ملك الغير أو ما تعلّق به حقّه؛ و لا ريب أنّ إفساد المالك و في حكمه المأذون ماء بئره بأيّ معنى اريد منه ليس بمنهيّ عنه، و إذا انضمّ إليه حيثيّة كونه في ملك الغير أو ما تعلّق به حقّ الغير مع عدم الإذن فيه لا مالكيّا و لا شرعيّا فعدم الصحّة إنّما هو من حيثيّة اخرى و هي التصرّف العدواني في ملك الغير، لا لحيثيّة كونه للإفساد و سلب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صحيح، إذ لا موجب لتوهّم فساده إلاّ وجوب النزح على فرضه، و هو غير مستلزم له عقلا و لا شرعا و هذا ممّا لا تعلّق له بمورد الرواية حتّى يصحّ التعلّق بها في إبداء القول بالفساد، و إنّما هي محمولة على مورد لم يكن محلّ البحث منه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اتّضح زيادة على ما مرّ في الجهة الثانية أنّ علّة وجوب النزح الوارد في الأخبار المطلقة ليست سلب الطهوريّة عن الماء، إذ لا دليل عليه لمن توهّم ذلك إلاّ الرواية المذكورة و قد عرفت أنّها ممّا لا تعلّق له بمحلّ البحث و بمسألة وجوب النزح أصلا، و نحن إنّما ذكرناها هنا من جهة دفع بعض الكلمات المتعلّقة بها الصادرة عنهم هنا لا من جهة أنّ لها مدخليّة بموضع البحث هذا، و تدبّر</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1805060_1280447820"/>
      <w:bookmarkStart w:id="919" w:name="_Toc361"/>
      <w:bookmarkEnd w:id="918"/>
      <w:r>
        <w:rPr>
          <w:rtl w:val="true"/>
        </w:rPr>
        <w:t>الجهة الرابعة</w:t>
      </w:r>
      <w:r>
        <w:rPr>
          <w:rtl w:val="true"/>
        </w:rPr>
        <w:t xml:space="preserve">: </w:t>
      </w:r>
      <w:r>
        <w:rPr>
          <w:rtl w:val="true"/>
        </w:rPr>
        <w:t>عن جماعة من الأصحاب أنّهم اشترطوا خلوّ بدن الجنب عن نجاسة عينيّة ليتمّ الاكتفاء بالسبع،</w:t>
      </w:r>
      <w:bookmarkEnd w:id="919"/>
    </w:p>
    <w:p>
      <w:pPr>
        <w:pStyle w:val="BookText"/>
        <w:rPr/>
      </w:pPr>
      <w:r>
        <w:rPr>
          <w:rFonts w:ascii="Amiri" w:hAnsi="Amiri" w:eastAsia="Amiri" w:cs="Amiri"/>
          <w:color w:val="111111"/>
          <w:sz w:val="28"/>
          <w:sz w:val="28"/>
          <w:szCs w:val="28"/>
          <w:rtl w:val="true"/>
          <w:lang w:bidi="ar-SA"/>
        </w:rPr>
        <w:t>إذ لو كان عليه نجاسة لوجب مقدّرها إن كان و إلاّ فعلى ما اختلف فيه من حكم ما لا نصّ فيه؛ و عن العلاّمة في المنتهى</w:t>
      </w:r>
      <w:r>
        <w:rPr>
          <w:rStyle w:val="FootnoteAnchor"/>
          <w:rtl w:val="true"/>
        </w:rPr>
        <w:footnoteReference w:id="2810"/>
      </w:r>
      <w:r>
        <w:rPr>
          <w:rFonts w:ascii="Amiri" w:hAnsi="Amiri" w:eastAsia="Amiri" w:cs="Amiri"/>
          <w:color w:val="111111"/>
          <w:sz w:val="28"/>
          <w:sz w:val="28"/>
          <w:szCs w:val="28"/>
          <w:rtl w:val="true"/>
          <w:lang w:bidi="ar-SA"/>
        </w:rPr>
        <w:t>التوقّف في الاشتراط، و إن كانت هذه النسبة لا تخلو عن نظر، لعدم دلالة كلامه على أنّه متوقّف في أصل المسألة، و إن كان لا يخلو عن المناقشة من جهة اخرى حيث توهّم اختصاص النجاسة العينيّة المشترط خلوّها بالمنيّ كما لا يخفى على المتأمّل</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كان فالحقّ ما صار إليه الجماعة من قضيّة الاشتراط، نظرا إلى أنّ الأحكام تابعة لموضوعاتها و هي ممّا تختلف باعتبار الحيثيّات؛ و الظاهر أنّ الأخبار الواردة في المقام معلّقة على حيثيّة الجنابة فلا تدخل فيها الحيثيّات الاخر، و لا يعقل </w:t>
      </w:r>
      <w:bookmarkStart w:id="920" w:name="pg16144_233638"/>
    </w:p>
    <w:p>
      <w:pPr>
        <w:pStyle w:val="BookText"/>
        <w:rPr/>
      </w:pPr>
      <w:bookmarkEnd w:id="920"/>
      <w:r>
        <w:rPr>
          <w:rFonts w:ascii="Amiri" w:hAnsi="Amiri" w:eastAsia="Amiri" w:cs="Amiri"/>
          <w:color w:val="111111"/>
          <w:sz w:val="28"/>
          <w:sz w:val="28"/>
          <w:szCs w:val="28"/>
          <w:rtl w:val="true"/>
          <w:lang w:bidi="ar-SA"/>
        </w:rPr>
        <w:t>في الخطاب الوارد لبيان حكم حيثيّة مخصوصة إطلاق بالقياس إلى غيرها من الحيثيّات المستقلّة بأحكام اخر، و قد تقدّم تقريب هذا الاستدلال في بحث موت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اختصاص الحكم باغتسال غير الكافر، و أمّا هو فاغتساله يندرج في عنوان ما لا نصّ فيه إن لم يثبت في الشريعة لنجاسة الكفر بالنسبة إلى منزوحات البئر حكم بالخصوص، و إلاّ فالواجب إجراء حكمه، و أمّا الذكر و الانثى فالظاهر من الإطلاق عدم الفرق بينهما كما هو كذلك بالقياس إلى المخالف و المؤمن، و اللّه أعلم</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1805062_1280447820"/>
      <w:bookmarkStart w:id="922" w:name="_Toc362"/>
      <w:bookmarkEnd w:id="921"/>
      <w:r>
        <w:rPr>
          <w:rtl w:val="true"/>
        </w:rPr>
        <w:t>المسألة التاسعة</w:t>
      </w:r>
      <w:r>
        <w:rPr>
          <w:rtl w:val="true"/>
        </w:rPr>
        <w:t xml:space="preserve">: </w:t>
      </w:r>
      <w:r>
        <w:rPr>
          <w:rtl w:val="true"/>
        </w:rPr>
        <w:t>فيما ينزح له خمس،</w:t>
      </w:r>
      <w:bookmarkEnd w:id="922"/>
    </w:p>
    <w:p>
      <w:pPr>
        <w:pStyle w:val="BookText"/>
        <w:rPr/>
      </w:pPr>
      <w:r>
        <w:rPr>
          <w:rFonts w:ascii="Amiri" w:hAnsi="Amiri" w:eastAsia="Amiri" w:cs="Amiri"/>
          <w:color w:val="111111"/>
          <w:sz w:val="28"/>
          <w:sz w:val="28"/>
          <w:szCs w:val="28"/>
          <w:rtl w:val="true"/>
          <w:lang w:bidi="ar-SA"/>
        </w:rPr>
        <w:t>و هو مقصور في فتاويهم على ذرق الدجاج، لكن عن مقنعة</w:t>
      </w:r>
      <w:r>
        <w:rPr>
          <w:rStyle w:val="FootnoteAnchor"/>
          <w:rtl w:val="true"/>
        </w:rPr>
        <w:footnoteReference w:id="2811"/>
      </w:r>
      <w:r>
        <w:rPr>
          <w:rFonts w:ascii="Amiri" w:hAnsi="Amiri" w:eastAsia="Amiri" w:cs="Amiri"/>
          <w:color w:val="111111"/>
          <w:sz w:val="28"/>
          <w:sz w:val="28"/>
          <w:szCs w:val="28"/>
          <w:rtl w:val="true"/>
          <w:lang w:bidi="ar-SA"/>
        </w:rPr>
        <w:t>المفيد و جماعة آخرين تقييده بالجلاّل، بل في الحاشية الميسيّة على الشرائع</w:t>
      </w:r>
      <w:r>
        <w:rPr>
          <w:rStyle w:val="FootnoteAnchor"/>
          <w:rtl w:val="true"/>
        </w:rPr>
        <w:footnoteReference w:id="2812"/>
      </w:r>
      <w:r>
        <w:rPr>
          <w:rFonts w:ascii="Amiri" w:hAnsi="Amiri" w:eastAsia="Amiri" w:cs="Amiri"/>
          <w:color w:val="111111"/>
          <w:sz w:val="28"/>
          <w:sz w:val="28"/>
          <w:szCs w:val="28"/>
          <w:rtl w:val="true"/>
          <w:lang w:bidi="ar-SA"/>
        </w:rPr>
        <w:t>أنّ المشهور اختصاص النزح بالجلاّل منه، و عن التذكرة</w:t>
      </w:r>
      <w:r>
        <w:rPr>
          <w:rStyle w:val="FootnoteAnchor"/>
          <w:rtl w:val="true"/>
        </w:rPr>
        <w:footnoteReference w:id="2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الأكثر قيّده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نهاية الشيخ</w:t>
      </w:r>
      <w:r>
        <w:rPr>
          <w:rStyle w:val="FootnoteAnchor"/>
          <w:rtl w:val="true"/>
        </w:rPr>
        <w:footnoteReference w:id="2814"/>
      </w:r>
      <w:r>
        <w:rPr>
          <w:rFonts w:ascii="Amiri" w:hAnsi="Amiri" w:eastAsia="Amiri" w:cs="Amiri"/>
          <w:color w:val="111111"/>
          <w:sz w:val="28"/>
          <w:sz w:val="28"/>
          <w:szCs w:val="28"/>
          <w:rtl w:val="true"/>
          <w:lang w:bidi="ar-SA"/>
        </w:rPr>
        <w:t>و جماعة غير الأوّلين عدم تقييده بذلك، بل عن الروضة</w:t>
      </w:r>
      <w:r>
        <w:rPr>
          <w:rStyle w:val="FootnoteAnchor"/>
          <w:rtl w:val="true"/>
        </w:rPr>
        <w:footnoteReference w:id="2815"/>
      </w:r>
      <w:r>
        <w:rPr>
          <w:rFonts w:ascii="IRNazanin" w:hAnsi="IRNazanin" w:eastAsia="IRNazanin"/>
          <w:color w:val="111111"/>
          <w:sz w:val="28"/>
          <w:sz w:val="28"/>
          <w:szCs w:val="28"/>
          <w:rtl w:val="true"/>
          <w:lang w:bidi="fa-IR"/>
        </w:rPr>
        <w:t>و الروض</w:t>
      </w:r>
      <w:r>
        <w:rPr>
          <w:rStyle w:val="FootnoteAnchor"/>
          <w:rtl w:val="true"/>
        </w:rPr>
        <w:footnoteReference w:id="28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نعرف دليل هذا الحكم في شيء من القولين بل في كلام غير واحد الاعتراف بعدم الوقوف على دليل عليه، و إن شئت لاحظ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على حديث يدلّ على شيء منهما</w:t>
      </w:r>
      <w:r>
        <w:rPr>
          <w:rFonts w:eastAsia="Amiri" w:cs="Amiri" w:ascii="Amiri" w:hAnsi="Amiri"/>
          <w:color w:val="111111"/>
          <w:sz w:val="28"/>
          <w:szCs w:val="28"/>
          <w:rtl w:val="true"/>
          <w:lang w:bidi="ar-SA"/>
        </w:rPr>
        <w:t>»</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معتبر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القولين إشكال أمّا الإطلاق فضعيف، لأنّ ما ليس بجلاّل ذرقه طاهر، و كلّ رجيع طاهر لا يؤثّر في البئر تنجيسا، أمّا الجلاّل فذرقه نجس لكن تقدير نزحه بالخمس في موضع المنع و نطالب قائله بالدليل</w:t>
      </w:r>
      <w:r>
        <w:rPr>
          <w:rFonts w:eastAsia="Amiri" w:cs="Amiri" w:ascii="Amiri" w:hAnsi="Amiri"/>
          <w:color w:val="111111"/>
          <w:sz w:val="28"/>
          <w:szCs w:val="28"/>
          <w:rtl w:val="true"/>
          <w:lang w:bidi="ar-SA"/>
        </w:rPr>
        <w:t>»</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على نصّ يقتضي النزح لذلك</w:t>
      </w:r>
      <w:r>
        <w:rPr>
          <w:rFonts w:eastAsia="Amiri" w:cs="Amiri" w:ascii="Amiri" w:hAnsi="Amiri"/>
          <w:color w:val="111111"/>
          <w:sz w:val="28"/>
          <w:szCs w:val="28"/>
          <w:rtl w:val="true"/>
          <w:lang w:bidi="ar-SA"/>
        </w:rPr>
        <w:t>»</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حاشية هذه العبارة للعلاّمة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المفيد رحمه اللّه و مثله ممّن حكم بهذا الحكم كان لهم نصّ</w:t>
      </w:r>
      <w:r>
        <w:rPr>
          <w:rFonts w:eastAsia="Amiri" w:cs="Amiri" w:ascii="Amiri" w:hAnsi="Amiri"/>
          <w:color w:val="111111"/>
          <w:sz w:val="28"/>
          <w:szCs w:val="28"/>
          <w:rtl w:val="true"/>
          <w:lang w:bidi="ar-SA"/>
        </w:rPr>
        <w:t>»</w:t>
      </w:r>
      <w:r>
        <w:rPr>
          <w:rStyle w:val="FootnoteAnchor"/>
          <w:rtl w:val="true"/>
        </w:rPr>
        <w:footnoteReference w:id="28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تأييد القول الآخر بأنّ فتوى الشيخ في النهاية بمنزلة الرواية المرسلة، بناء </w:t>
      </w:r>
    </w:p>
    <w:p>
      <w:pPr>
        <w:pStyle w:val="BookText"/>
        <w:rPr/>
      </w:pPr>
      <w:r>
        <w:rPr>
          <w:rFonts w:ascii="Amiri" w:hAnsi="Amiri" w:eastAsia="Amiri" w:cs="Amiri"/>
          <w:color w:val="111111"/>
          <w:sz w:val="28"/>
          <w:sz w:val="28"/>
          <w:szCs w:val="28"/>
          <w:rtl w:val="true"/>
          <w:lang w:bidi="ar-SA"/>
        </w:rPr>
        <w:t>على ما حكي عن صريح كلامه فيها من أنّه لا يفتي فيها إلاّ بمتون الروايات من دون تغيير أو مع تغيير يسير، و إذا ثبتت الشهرة المدّعاة على هذا القول كانت جابرة لإرسالها، فهذا القول متعيّن لكن على تقدير صحّة الحكايتين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عرفت عن المعتبر من المناقشة فيه، فيدفعه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المدارك</w:t>
      </w:r>
      <w:r>
        <w:rPr>
          <w:rStyle w:val="FootnoteAnchor"/>
          <w:rtl w:val="true"/>
        </w:rPr>
        <w:footnoteReference w:id="2821"/>
      </w:r>
      <w:r>
        <w:rPr>
          <w:rFonts w:ascii="Amiri" w:hAnsi="Amiri" w:eastAsia="Amiri" w:cs="Amiri"/>
          <w:color w:val="111111"/>
          <w:sz w:val="28"/>
          <w:sz w:val="28"/>
          <w:szCs w:val="28"/>
          <w:rtl w:val="true"/>
          <w:lang w:bidi="ar-SA"/>
        </w:rPr>
        <w:t>من تقييد هذا القول بالبناء على القول بنجاسة الذرق، فإن كان القول بالنزح هنا ممّا لا بدّ من دفعه فلا بدّ من بناء دفعه على منع ما هو مبنيّ عليه كما منعه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مرسلة النهاية على تقدير صحّة الحكايتين كما أنّها تصلح مستندة للنزح تصلح مستندة لنجاسة الذرق،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بالنزح قد يكون لمحض التعبّد كما هو الحال في اغتسال الجنب على ما تقدّم، و لا سيّما على مذهب الشيخ القائل بالوجوب التعبّدي في سائر النجاسات، فعلى فرض ثبوت المرسلة و اعتبارها اتّضح مستند الحكم و إن قلنا بمنع الملازمة بين إيجاب النزح و نجاسة الموجب كما أشرنا إلى إمكانه في الأمر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الاستناد إلى الإجماع، كما نقل ادّعاؤه في الروض</w:t>
      </w:r>
      <w:r>
        <w:rPr>
          <w:rStyle w:val="FootnoteAnchor"/>
          <w:rtl w:val="true"/>
        </w:rPr>
        <w:footnoteReference w:id="2822"/>
      </w:r>
      <w:r>
        <w:rPr>
          <w:rFonts w:ascii="Amiri" w:hAnsi="Amiri" w:eastAsia="Amiri" w:cs="Amiri"/>
          <w:color w:val="111111"/>
          <w:sz w:val="28"/>
          <w:sz w:val="28"/>
          <w:szCs w:val="28"/>
          <w:rtl w:val="true"/>
          <w:lang w:bidi="ar-SA"/>
        </w:rPr>
        <w:t>على عدم وجوب الزائد على الخمس، مع ضميمة أنّ الأقلّ غير مبرئ للذمّة بعنوان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بمخالفة أبي الصلاح،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خرء ما لا يؤكل لحمه يوجب نزح الماء</w:t>
      </w:r>
      <w:r>
        <w:rPr>
          <w:rFonts w:eastAsia="Amiri" w:cs="Amiri" w:ascii="Amiri" w:hAnsi="Amiri"/>
          <w:color w:val="111111"/>
          <w:sz w:val="28"/>
          <w:szCs w:val="28"/>
          <w:rtl w:val="true"/>
          <w:lang w:bidi="ar-SA"/>
        </w:rPr>
        <w:t>»</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كلام أبي الصلاح فيما لا يؤكل لحمه بأصل الشرع لا من جهة العارض، هذا مع ما قيل في دفعها من أنّ المخالفة من معلوم النسب غير مضرّة في انعقاد الإجماع على رأي القدماء و من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بيّنّاه يتبيّن ضعف ما يوهمه كلام بعضهم من لحوق ذرق الدجاج الجلاّل بمورد كلام أبي الصلاح الّذي لا مدخل له بالمقام</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ما في المدارك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استقرب المصنّف في المعتبر دخوله في قسم العذرة</w:t>
      </w:r>
      <w:r>
        <w:rPr>
          <w:rFonts w:eastAsia="Amiri" w:cs="Amiri" w:ascii="Amiri" w:hAnsi="Amiri"/>
          <w:color w:val="111111"/>
          <w:sz w:val="28"/>
          <w:szCs w:val="28"/>
          <w:rtl w:val="true"/>
          <w:lang w:bidi="ar-SA"/>
        </w:rPr>
        <w:t>»</w:t>
      </w:r>
      <w:r>
        <w:rPr>
          <w:rStyle w:val="FootnoteAnchor"/>
          <w:rtl w:val="true"/>
        </w:rPr>
        <w:footnoteReference w:id="2824"/>
      </w:r>
      <w:r>
        <w:rPr>
          <w:rFonts w:ascii="Amiri" w:hAnsi="Amiri" w:eastAsia="Amiri" w:cs="Amiri"/>
          <w:color w:val="111111"/>
          <w:sz w:val="28"/>
          <w:sz w:val="28"/>
          <w:szCs w:val="28"/>
          <w:rtl w:val="true"/>
          <w:lang w:bidi="ar-SA"/>
        </w:rPr>
        <w:t>، فاعترض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 xml:space="preserve">. </w:t>
      </w:r>
      <w:bookmarkStart w:id="923" w:name="pg16144_233640"/>
    </w:p>
    <w:p>
      <w:pPr>
        <w:pStyle w:val="BookText"/>
        <w:rPr/>
      </w:pPr>
      <w:bookmarkEnd w:id="923"/>
      <w:r>
        <w:rPr>
          <w:rFonts w:ascii="Amiri" w:hAnsi="Amiri" w:eastAsia="Amiri" w:cs="Amiri"/>
          <w:color w:val="111111"/>
          <w:sz w:val="28"/>
          <w:sz w:val="28"/>
          <w:szCs w:val="28"/>
          <w:rtl w:val="true"/>
          <w:lang w:bidi="ar-SA"/>
        </w:rPr>
        <w:t>و وجه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ذلك في خرء ما لا يؤكل لحمه الظاهر فيما يكون كذلك أصالة المتّفق على نجاسته، لأنّه على ما في عبارة محكيّة له عن المعتبر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ناقش في قولي المسألة بما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ما لا يؤكل لحمه يوجب نزح الماء، و يقرب عندي أن يكون داخلا في قسم العذرة ينزح له عشرون، فإن ذاب فأربعون أو خمسون، و يحتمل أن ينزح له ثلاثون لخبر المنجبرة</w:t>
      </w:r>
      <w:r>
        <w:rPr>
          <w:rFonts w:eastAsia="Amiri" w:cs="Amiri" w:ascii="Amiri" w:hAnsi="Amiri"/>
          <w:color w:val="111111"/>
          <w:sz w:val="28"/>
          <w:szCs w:val="28"/>
          <w:rtl w:val="true"/>
          <w:lang w:bidi="ar-SA"/>
        </w:rPr>
        <w:t>»</w:t>
      </w:r>
      <w:r>
        <w:rPr>
          <w:rStyle w:val="FootnoteAnchor"/>
          <w:rtl w:val="true"/>
        </w:rPr>
        <w:footnoteReference w:id="28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ما لا يؤكل لحمه في عبارة أبي الصلاح ظاهر فيما هو كذلك بأصل الشرع فكذلك ما ذكره المحقّق، بناء على أنّه إنّما نقل كلام أبي الصلاح هنا من جهة المناسبة لا من جهة تفريع المسألة على عنوان ما لا يؤكل لحمه، كيف لا و ذكره له من جهة التفريع يناقض ما ذكره أوّلا في دفع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يناقض دفعه القول بالحكم فيما ليس بجلاّل دون دفعه القول به في الجلاّل، لأنّه دفع له في تقدير النزح بالخمس لا في دعوى النجاسة الّتي لا مجال لها في ذرق غير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حينئذ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تعلّق المسألة بمورد كلام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غير واحد من أنّ العذرة لغة فضلة الإنسان خاصّة، و نزح الثلاثين المستند إلى خبر المنجبرة و هو رواية كردويه المتضمّنة لوقوع ماء المطر المخالط بالبول و خرء الكلاب و غيرهما مختصّ بالأشياء المذكورة مع مخالطة ماء المطر، فالتعدّي عنها ممّا لا 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المدارك </w:t>
      </w:r>
      <w:r>
        <w:rPr>
          <w:rFonts w:eastAsia="Amiri" w:cs="Amiri" w:ascii="Amiri" w:hAnsi="Amiri"/>
          <w:color w:val="111111"/>
          <w:sz w:val="28"/>
          <w:szCs w:val="28"/>
          <w:rtl w:val="true"/>
          <w:lang w:bidi="ar-SA"/>
        </w:rPr>
        <w:t>-</w:t>
      </w:r>
      <w:r>
        <w:rPr>
          <w:rStyle w:val="FootnoteAnchor"/>
          <w:rtl w:val="true"/>
        </w:rPr>
        <w:footnoteReference w:id="2827"/>
      </w:r>
      <w:r>
        <w:rPr>
          <w:rFonts w:ascii="Amiri" w:hAnsi="Amiri" w:eastAsia="Amiri" w:cs="Amiri"/>
          <w:color w:val="111111"/>
          <w:sz w:val="28"/>
          <w:sz w:val="28"/>
          <w:szCs w:val="28"/>
          <w:rtl w:val="true"/>
          <w:lang w:bidi="ar-SA"/>
        </w:rPr>
        <w:t>المتغذّي بعذرة الإنسان محضا إلى أن يسمّى في العرف جلاّلا</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1805064_1280447820"/>
      <w:bookmarkStart w:id="925" w:name="_Toc363"/>
      <w:bookmarkEnd w:id="924"/>
      <w:r>
        <w:rPr>
          <w:rtl w:val="true"/>
        </w:rPr>
        <w:t>المسألة العاشرة</w:t>
      </w:r>
      <w:r>
        <w:rPr>
          <w:rtl w:val="true"/>
        </w:rPr>
        <w:t xml:space="preserve">: </w:t>
      </w:r>
      <w:r>
        <w:rPr>
          <w:rtl w:val="true"/>
        </w:rPr>
        <w:t>فيما ينزح له ثلاث، و هو الفأرة إذا لم يتفسّخ و لم تنتفخ،</w:t>
      </w:r>
      <w:bookmarkEnd w:id="925"/>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أفتى به الشيخان</w:t>
      </w:r>
      <w:r>
        <w:rPr>
          <w:rStyle w:val="FootnoteAnchor"/>
          <w:rtl w:val="true"/>
        </w:rPr>
        <w:footnoteReference w:id="2828"/>
      </w:r>
      <w:r>
        <w:rPr>
          <w:rFonts w:ascii="IRNazanin" w:hAnsi="IRNazanin" w:eastAsia="IRNazanin"/>
          <w:color w:val="111111"/>
          <w:sz w:val="28"/>
          <w:sz w:val="28"/>
          <w:szCs w:val="28"/>
          <w:rtl w:val="true"/>
          <w:lang w:bidi="fa-IR"/>
        </w:rPr>
        <w:t>، و أبو الصلاح</w:t>
      </w:r>
      <w:r>
        <w:rPr>
          <w:rStyle w:val="FootnoteAnchor"/>
          <w:rtl w:val="true"/>
        </w:rPr>
        <w:footnoteReference w:id="2829"/>
      </w:r>
      <w:r>
        <w:rPr>
          <w:rFonts w:ascii="Amiri" w:hAnsi="Amiri" w:eastAsia="Amiri" w:cs="Amiri"/>
          <w:color w:val="111111"/>
          <w:sz w:val="28"/>
          <w:sz w:val="28"/>
          <w:szCs w:val="28"/>
          <w:rtl w:val="true"/>
          <w:lang w:bidi="ar-SA"/>
        </w:rPr>
        <w:t>، و سلاّر</w:t>
      </w:r>
      <w:r>
        <w:rPr>
          <w:rStyle w:val="FootnoteAnchor"/>
          <w:rtl w:val="true"/>
        </w:rPr>
        <w:footnoteReference w:id="2830"/>
      </w:r>
      <w:r>
        <w:rPr>
          <w:rFonts w:ascii="IRNazanin" w:hAnsi="IRNazanin" w:eastAsia="IRNazanin"/>
          <w:color w:val="111111"/>
          <w:sz w:val="28"/>
          <w:sz w:val="28"/>
          <w:szCs w:val="28"/>
          <w:rtl w:val="true"/>
          <w:lang w:bidi="fa-IR"/>
        </w:rPr>
        <w:t>، و ابن البرّاج</w:t>
      </w:r>
      <w:r>
        <w:rPr>
          <w:rStyle w:val="FootnoteAnchor"/>
          <w:rtl w:val="true"/>
        </w:rPr>
        <w:footnoteReference w:id="2831"/>
      </w:r>
      <w:r>
        <w:rPr>
          <w:rFonts w:ascii="Amiri" w:hAnsi="Amiri" w:eastAsia="Amiri" w:cs="Amiri"/>
          <w:color w:val="111111"/>
          <w:sz w:val="28"/>
          <w:sz w:val="28"/>
          <w:szCs w:val="28"/>
          <w:rtl w:val="true"/>
          <w:lang w:bidi="ar-SA"/>
        </w:rPr>
        <w:t>، و ابن إدريس</w:t>
      </w:r>
      <w:r>
        <w:rPr>
          <w:rStyle w:val="FootnoteAnchor"/>
          <w:rtl w:val="true"/>
        </w:rPr>
        <w:footnoteReference w:id="2832"/>
      </w:r>
      <w:r>
        <w:rPr>
          <w:rFonts w:ascii="Amiri" w:hAnsi="Amiri" w:eastAsia="Amiri" w:cs="Amiri"/>
          <w:color w:val="111111"/>
          <w:sz w:val="28"/>
          <w:sz w:val="28"/>
          <w:szCs w:val="28"/>
          <w:rtl w:val="true"/>
          <w:lang w:bidi="ar-SA"/>
        </w:rPr>
        <w:t xml:space="preserve">، على ما حكاه </w:t>
      </w:r>
    </w:p>
    <w:p>
      <w:pPr>
        <w:pStyle w:val="BookText"/>
        <w:rPr/>
      </w:pP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لعليّ بن بابويه المحكيّ عنه 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الاكتفاء بنزح دلو واحد، و عن المرتضى على ما 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لها سبعة دلاء؛ و قد روي ثلاثة 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ظاهره بل صريحه في التهذيبين بما رواه فيهما من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و الوزغة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صحيحة عبد اللّه بن سنان</w:t>
      </w:r>
      <w:r>
        <w:rPr>
          <w:rStyle w:val="FootnoteAnchor"/>
          <w:rtl w:val="true"/>
        </w:rPr>
        <w:footnoteReference w:id="2834"/>
      </w:r>
      <w:r>
        <w:rPr>
          <w:rFonts w:ascii="Amiri" w:hAnsi="Amiri" w:eastAsia="Amiri" w:cs="Amiri"/>
          <w:color w:val="111111"/>
          <w:sz w:val="28"/>
          <w:sz w:val="28"/>
          <w:szCs w:val="28"/>
          <w:rtl w:val="true"/>
          <w:lang w:bidi="ar-SA"/>
        </w:rPr>
        <w:t>المرويّة فيهما، و توهّم إطلاق الوقوع الشامل لصورتي الموت و الخروج حيّا،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الموت عرفا كما فهمه الشيخ و غيره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القاضية بنزح السبع فيها على الإطلاق فهي محمولة على صورة وجود الوصفين بقرينة ما تقدّم في المسألة الثانية من الروايات المقيّدة كما صنعه الشيخ في الكتابين</w:t>
      </w:r>
      <w:r>
        <w:rPr>
          <w:rStyle w:val="FootnoteAnchor"/>
          <w:rtl w:val="true"/>
        </w:rPr>
        <w:footnoteReference w:id="2835"/>
      </w:r>
      <w:r>
        <w:rPr>
          <w:rFonts w:ascii="Amiri" w:hAnsi="Amiri" w:eastAsia="Amiri" w:cs="Amiri"/>
          <w:color w:val="111111"/>
          <w:sz w:val="28"/>
          <w:sz w:val="28"/>
          <w:szCs w:val="28"/>
          <w:rtl w:val="true"/>
          <w:lang w:bidi="ar-SA"/>
        </w:rPr>
        <w:t>، حيث جمع بذلك بين الروايات المختلفة، فلذا صار في الفأرة إلى التفصيل في نزحها بالسبع و الثلاث بين صورتي وجود الوصف و انتفائه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يظهر الجواب عن احتجاج المرتضى بالروايات المطلقة في السبع، فإنّ من وظيفة المطلق أن يحمل على المقيّد حيث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بن بابويه فلم يعرف حجّته كما اعترف به في المختلف</w:t>
      </w:r>
      <w:r>
        <w:rPr>
          <w:rStyle w:val="FootnoteAnchor"/>
          <w:rtl w:val="true"/>
        </w:rPr>
        <w:footnoteReference w:id="2836"/>
      </w:r>
      <w:r>
        <w:rPr>
          <w:rFonts w:ascii="Amiri" w:hAnsi="Amiri" w:eastAsia="Amiri" w:cs="Amiri"/>
          <w:color w:val="111111"/>
          <w:sz w:val="28"/>
          <w:sz w:val="28"/>
          <w:szCs w:val="28"/>
          <w:rtl w:val="true"/>
          <w:lang w:bidi="ar-SA"/>
        </w:rPr>
        <w:t>، و قد يلحق بها هنا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حكاه في المختلف</w:t>
      </w:r>
      <w:r>
        <w:rPr>
          <w:rStyle w:val="FootnoteAnchor"/>
          <w:rtl w:val="true"/>
        </w:rPr>
        <w:footnoteReference w:id="2837"/>
      </w:r>
      <w:r>
        <w:rPr>
          <w:rFonts w:ascii="Amiri" w:hAnsi="Amiri" w:eastAsia="Amiri" w:cs="Amiri"/>
          <w:color w:val="111111"/>
          <w:sz w:val="28"/>
          <w:sz w:val="28"/>
          <w:szCs w:val="28"/>
          <w:rtl w:val="true"/>
          <w:lang w:bidi="ar-SA"/>
        </w:rPr>
        <w:t>عن الشيخ</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 الصلاح</w:t>
      </w:r>
      <w:r>
        <w:rPr>
          <w:rStyle w:val="FootnoteAnchor"/>
          <w:rtl w:val="true"/>
        </w:rPr>
        <w:footnoteReference w:id="2839"/>
      </w:r>
      <w:r>
        <w:rPr>
          <w:rFonts w:ascii="Amiri" w:hAnsi="Amiri" w:eastAsia="Amiri" w:cs="Amiri"/>
          <w:color w:val="111111"/>
          <w:sz w:val="28"/>
          <w:sz w:val="28"/>
          <w:szCs w:val="28"/>
          <w:rtl w:val="true"/>
          <w:lang w:bidi="ar-SA"/>
        </w:rPr>
        <w:t>، و سلاّر</w:t>
      </w:r>
      <w:r>
        <w:rPr>
          <w:rStyle w:val="FootnoteAnchor"/>
          <w:rtl w:val="true"/>
        </w:rPr>
        <w:footnoteReference w:id="2840"/>
      </w:r>
      <w:r>
        <w:rPr>
          <w:rFonts w:ascii="Amiri" w:hAnsi="Amiri" w:eastAsia="Amiri" w:cs="Amiri"/>
          <w:color w:val="111111"/>
          <w:sz w:val="28"/>
          <w:sz w:val="28"/>
          <w:szCs w:val="28"/>
          <w:rtl w:val="true"/>
          <w:lang w:bidi="ar-SA"/>
        </w:rPr>
        <w:t>، و ابني البرّاج</w:t>
      </w:r>
      <w:r>
        <w:rPr>
          <w:rStyle w:val="FootnoteAnchor"/>
          <w:rtl w:val="true"/>
        </w:rPr>
        <w:footnoteReference w:id="2841"/>
      </w:r>
      <w:r>
        <w:rPr>
          <w:rFonts w:ascii="Amiri" w:hAnsi="Amiri" w:eastAsia="Amiri" w:cs="Amiri"/>
          <w:color w:val="111111"/>
          <w:sz w:val="28"/>
          <w:sz w:val="28"/>
          <w:szCs w:val="28"/>
          <w:rtl w:val="true"/>
          <w:lang w:bidi="ar-SA"/>
        </w:rPr>
        <w:t>، و إدريس</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جماعة دعوى الشهرة فيه</w:t>
      </w:r>
      <w:r>
        <w:rPr>
          <w:rStyle w:val="FootnoteAnchor"/>
          <w:rtl w:val="true"/>
        </w:rPr>
        <w:footnoteReference w:id="2843"/>
      </w:r>
      <w:r>
        <w:rPr>
          <w:rFonts w:ascii="Amiri" w:hAnsi="Amiri" w:eastAsia="Amiri" w:cs="Amiri"/>
          <w:color w:val="111111"/>
          <w:sz w:val="28"/>
          <w:sz w:val="28"/>
          <w:szCs w:val="28"/>
          <w:rtl w:val="true"/>
          <w:lang w:bidi="ar-SA"/>
        </w:rPr>
        <w:t>، و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2845"/>
      </w:r>
      <w:r>
        <w:rPr>
          <w:rFonts w:ascii="Amiri" w:hAnsi="Amiri" w:eastAsia="Amiri" w:cs="Amiri"/>
          <w:color w:val="111111"/>
          <w:sz w:val="28"/>
          <w:sz w:val="28"/>
          <w:szCs w:val="28"/>
          <w:rtl w:val="true"/>
          <w:lang w:bidi="ar-SA"/>
        </w:rPr>
        <w:t>، و اختلفت الحكاية عن ابن بابويه ففي المختلف ينزح منها سبع دلاء، حكاه عنه في مسألة العقرب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 بن بابويه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فيها حيّة، أو عقرب، أو خنافس، أو بنات وردان، فاستق منها للحيّة سبع دلاء، و ليس عليك فيما سواها شيء</w:t>
      </w:r>
      <w:r>
        <w:rPr>
          <w:rFonts w:eastAsia="Amiri" w:cs="Amiri" w:ascii="Amiri" w:hAnsi="Amiri"/>
          <w:color w:val="111111"/>
          <w:sz w:val="28"/>
          <w:szCs w:val="28"/>
          <w:rtl w:val="true"/>
          <w:lang w:bidi="ar-SA"/>
        </w:rPr>
        <w:t>»</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في المعتبر</w:t>
      </w:r>
      <w:r>
        <w:rPr>
          <w:rStyle w:val="FootnoteAnchor"/>
          <w:rtl w:val="true"/>
        </w:rPr>
        <w:footnoteReference w:id="2847"/>
      </w:r>
      <w:r>
        <w:rPr>
          <w:rFonts w:ascii="Amiri" w:hAnsi="Amiri" w:eastAsia="Amiri" w:cs="Amiri"/>
          <w:color w:val="111111"/>
          <w:sz w:val="28"/>
          <w:sz w:val="28"/>
          <w:szCs w:val="28"/>
          <w:rtl w:val="true"/>
          <w:lang w:bidi="ar-SA"/>
        </w:rPr>
        <w:t>أنّه نقل عبارة الرسالة المذكورة بحيث كان فيها دلو واحد في موضع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فيما عندنا من نسخة الرسالة القديمة الّتي عليها آثار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السبع</w:t>
      </w:r>
      <w:r>
        <w:rPr>
          <w:rFonts w:eastAsia="Amiri" w:cs="Amiri" w:ascii="Amiri" w:hAnsi="Amiri"/>
          <w:color w:val="111111"/>
          <w:sz w:val="28"/>
          <w:szCs w:val="28"/>
          <w:rtl w:val="true"/>
          <w:lang w:bidi="ar-SA"/>
        </w:rPr>
        <w:t>»</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الكلام المذكور المنقول بالمعنى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ما فيها ربّما لا يبقى في المسألة خلاف،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حمله عند الإطلاق على الثلاث لما مرّ تقديره</w:t>
      </w:r>
      <w:r>
        <w:rPr>
          <w:rFonts w:eastAsia="Amiri" w:cs="Amiri" w:ascii="Amiri" w:hAnsi="Amiri"/>
          <w:color w:val="111111"/>
          <w:sz w:val="28"/>
          <w:szCs w:val="28"/>
          <w:rtl w:val="true"/>
          <w:lang w:bidi="ar-SA"/>
        </w:rPr>
        <w:t>»</w:t>
      </w:r>
      <w:r>
        <w:rPr>
          <w:rStyle w:val="FootnoteAnchor"/>
          <w:rtl w:val="true"/>
        </w:rPr>
        <w:footnoteReference w:id="28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اعترف غير واحد بعدم ورود نصّ فيها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الاستدلال بما رواه الحلبي في الصحيح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سقط في البئر حيوان صغير فمات فيها فانزح منها دلاء</w:t>
      </w:r>
      <w:r>
        <w:rPr>
          <w:rFonts w:eastAsia="Amiri" w:cs="Amiri" w:ascii="Amiri" w:hAnsi="Amiri"/>
          <w:color w:val="111111"/>
          <w:sz w:val="28"/>
          <w:szCs w:val="28"/>
          <w:rtl w:val="true"/>
          <w:lang w:bidi="ar-SA"/>
        </w:rPr>
        <w:t>»</w:t>
      </w:r>
      <w:r>
        <w:rPr>
          <w:rStyle w:val="FootnoteAnchor"/>
          <w:rtl w:val="true"/>
        </w:rPr>
        <w:footnoteReference w:id="2850"/>
      </w:r>
      <w:r>
        <w:rPr>
          <w:rFonts w:ascii="Amiri" w:hAnsi="Amiri" w:eastAsia="Amiri" w:cs="Amiri"/>
          <w:color w:val="111111"/>
          <w:sz w:val="28"/>
          <w:sz w:val="28"/>
          <w:szCs w:val="28"/>
          <w:rtl w:val="true"/>
          <w:lang w:bidi="ar-SA"/>
        </w:rPr>
        <w:t>فينزّل على الثلاث لأنّه أقلّ محتملاته</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الأكثرون برواية عمّار الساباطي عن أبي عبد اللّه عليه السّلام فيما يقع في بئر الماء فيموت فيه فأكبره الإنسان ينزح منها سبعون دلوا، و أصغره العصفور ينزح منها دلو واحد</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للحيّة يجب فيها أكثر من العصفور و إلاّ لم يختصّ القلّة بالعصفور، و إنّما أوجبنا نزح ثلاث لمساواتها الفأرة في قدر الجسم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رواه إسحاق بن عمّار عن جعفر عن أبيه عليهما السّلام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و مثلها يموت في البئر ينزح منها دلوان و ثلاثة</w:t>
      </w:r>
      <w:r>
        <w:rPr>
          <w:rFonts w:eastAsia="Amiri" w:cs="Amiri" w:ascii="Amiri" w:hAnsi="Amiri"/>
          <w:color w:val="111111"/>
          <w:sz w:val="28"/>
          <w:szCs w:val="28"/>
          <w:rtl w:val="true"/>
          <w:lang w:bidi="ar-SA"/>
        </w:rPr>
        <w:t>»</w:t>
      </w:r>
      <w:r>
        <w:rPr>
          <w:rStyle w:val="FootnoteAnchor"/>
          <w:rtl w:val="true"/>
        </w:rPr>
        <w:footnoteReference w:id="2853"/>
      </w:r>
      <w:r>
        <w:rPr>
          <w:rFonts w:ascii="Amiri" w:hAnsi="Amiri" w:eastAsia="Amiri" w:cs="Amiri"/>
          <w:color w:val="111111"/>
          <w:sz w:val="28"/>
          <w:sz w:val="28"/>
          <w:szCs w:val="28"/>
          <w:rtl w:val="true"/>
          <w:lang w:bidi="ar-SA"/>
        </w:rPr>
        <w:t>و لا ريب أنّ الحيّة لا تزيد على قدر الدجاجة في الجسم</w:t>
      </w:r>
      <w:r>
        <w:rPr>
          <w:rFonts w:eastAsia="Amiri" w:cs="Amiri" w:ascii="Amiri" w:hAnsi="Amiri"/>
          <w:color w:val="111111"/>
          <w:sz w:val="28"/>
          <w:szCs w:val="28"/>
          <w:rtl w:val="true"/>
          <w:lang w:bidi="ar-SA"/>
        </w:rPr>
        <w:t>»</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على الاحتجاج بتلك الأخبار بأنّ الأحاديث الواردة في أنّ ما لا نفس له إذا وقع في البئر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يفسد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مخرجة للحيّة عن عموم تلك الأخبار، و من الأحاديث المذكورة ما حكاه في المختلف</w:t>
      </w:r>
      <w:r>
        <w:rPr>
          <w:rStyle w:val="FootnoteAnchor"/>
          <w:rtl w:val="true"/>
        </w:rPr>
        <w:footnoteReference w:id="2855"/>
      </w:r>
      <w:r>
        <w:rPr>
          <w:rFonts w:ascii="Amiri" w:hAnsi="Amiri" w:eastAsia="Amiri" w:cs="Amiri"/>
          <w:color w:val="111111"/>
          <w:sz w:val="28"/>
          <w:sz w:val="28"/>
          <w:szCs w:val="28"/>
          <w:rtl w:val="true"/>
          <w:lang w:bidi="ar-SA"/>
        </w:rPr>
        <w:t>من رواية عمّار الساباطي في حديث طويل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الخنفساء، و الذباب، و الجراد، و النمل، و ما أشبه ذلك يموت في البئر و الزيت و 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ما ليس له دم فلا بأس</w:t>
      </w:r>
      <w:r>
        <w:rPr>
          <w:rFonts w:eastAsia="Amiri" w:cs="Amiri" w:ascii="Amiri" w:hAnsi="Amiri"/>
          <w:color w:val="111111"/>
          <w:sz w:val="28"/>
          <w:szCs w:val="28"/>
          <w:rtl w:val="true"/>
          <w:lang w:bidi="ar-SA"/>
        </w:rPr>
        <w:t>»</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أيضا في الصحيح عن ابن مسكان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سقط في البئر ليس له دم مثل العقارب و الخنافس و أشباه ذلك فلا بأس</w:t>
      </w:r>
      <w:r>
        <w:rPr>
          <w:rFonts w:eastAsia="Amiri" w:cs="Amiri" w:ascii="Amiri" w:hAnsi="Amiri"/>
          <w:color w:val="111111"/>
          <w:sz w:val="28"/>
          <w:szCs w:val="28"/>
          <w:rtl w:val="true"/>
          <w:lang w:bidi="ar-SA"/>
        </w:rPr>
        <w:t>»</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الاعتراض إنّما يتّجه لو ثبت صغرى القياس و هو مذهب المشهور على ما في محكي شارح المفاتيح</w:t>
      </w:r>
      <w:r>
        <w:rPr>
          <w:rStyle w:val="FootnoteAnchor"/>
          <w:rtl w:val="true"/>
        </w:rPr>
        <w:footnoteReference w:id="2858"/>
      </w:r>
      <w:r>
        <w:rPr>
          <w:rFonts w:ascii="Amiri" w:hAnsi="Amiri" w:eastAsia="Amiri" w:cs="Amiri"/>
          <w:color w:val="111111"/>
          <w:sz w:val="28"/>
          <w:sz w:val="28"/>
          <w:szCs w:val="28"/>
          <w:rtl w:val="true"/>
          <w:lang w:bidi="ar-SA"/>
        </w:rPr>
        <w:t>من أنّها ليس لها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في شرح القواعد أنّه تشكّك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اختلاف أنواعها</w:t>
      </w:r>
      <w:r>
        <w:rPr>
          <w:rFonts w:eastAsia="Amiri" w:cs="Amiri" w:ascii="Amiri" w:hAnsi="Amiri"/>
          <w:color w:val="111111"/>
          <w:sz w:val="28"/>
          <w:szCs w:val="28"/>
          <w:rtl w:val="true"/>
          <w:lang w:bidi="ar-SA"/>
        </w:rPr>
        <w:t>»</w:t>
      </w:r>
      <w:r>
        <w:rPr>
          <w:rStyle w:val="FootnoteAnchor"/>
          <w:rtl w:val="true"/>
        </w:rPr>
        <w:footnoteReference w:id="28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صرّح جماعة من فحول أصحابنا بأنّ لها نفسا، و من المصرّحين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محكيّة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أراه وجوب النزح في الحيّة، لأنّ لها نفسا سائلة و ميتتها نجسة</w:t>
      </w:r>
      <w:r>
        <w:rPr>
          <w:rFonts w:eastAsia="Amiri" w:cs="Amiri" w:ascii="Amiri" w:hAnsi="Amiri"/>
          <w:color w:val="111111"/>
          <w:sz w:val="28"/>
          <w:szCs w:val="28"/>
          <w:rtl w:val="true"/>
          <w:lang w:bidi="ar-SA"/>
        </w:rPr>
        <w:t>»</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عندي تعلّق الحكم، و هو نزح الثلاث بالحيّة دون غيرها، لوجود النفس السائلة لها دون غيرها و ميتتها نجس</w:t>
      </w:r>
      <w:r>
        <w:rPr>
          <w:rFonts w:eastAsia="Amiri" w:cs="Amiri" w:ascii="Amiri" w:hAnsi="Amiri"/>
          <w:color w:val="111111"/>
          <w:sz w:val="28"/>
          <w:szCs w:val="28"/>
          <w:rtl w:val="true"/>
          <w:lang w:bidi="ar-SA"/>
        </w:rPr>
        <w:t>»</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عاصرناه من فحول مجتهدينا المعاصرين قدّس سرّه على ما وجدناه في كلام له </w:t>
      </w:r>
    </w:p>
    <w:p>
      <w:pPr>
        <w:pStyle w:val="BookText"/>
        <w:rPr/>
      </w:pPr>
      <w:r>
        <w:rPr>
          <w:rFonts w:ascii="Amiri" w:hAnsi="Amiri" w:eastAsia="Amiri" w:cs="Amiri"/>
          <w:color w:val="111111"/>
          <w:sz w:val="28"/>
          <w:sz w:val="28"/>
          <w:szCs w:val="28"/>
          <w:rtl w:val="true"/>
          <w:lang w:bidi="ar-SA"/>
        </w:rPr>
        <w:t>في الكتاب المعمول في أجوبته عن الأسئلة المعروضة عليه</w:t>
      </w:r>
      <w:r>
        <w:rPr>
          <w:rStyle w:val="FootnoteAnchor"/>
          <w:rtl w:val="true"/>
        </w:rPr>
        <w:footnoteReference w:id="2862"/>
      </w:r>
      <w:r>
        <w:rPr>
          <w:rFonts w:ascii="IRNazanin" w:hAnsi="IRNazanin" w:eastAsia="IRNazanin"/>
          <w:color w:val="111111"/>
          <w:sz w:val="28"/>
          <w:sz w:val="28"/>
          <w:szCs w:val="28"/>
          <w:rtl w:val="true"/>
          <w:lang w:bidi="fa-IR"/>
        </w:rPr>
        <w:t>، و نقل عنه</w:t>
      </w:r>
      <w:r>
        <w:rPr>
          <w:rStyle w:val="FootnoteAnchor"/>
          <w:rtl w:val="true"/>
        </w:rPr>
        <w:footnoteReference w:id="2863"/>
      </w:r>
      <w:r>
        <w:rPr>
          <w:rFonts w:ascii="Amiri" w:hAnsi="Amiri" w:eastAsia="Amiri" w:cs="Amiri"/>
          <w:color w:val="111111"/>
          <w:sz w:val="28"/>
          <w:sz w:val="28"/>
          <w:szCs w:val="28"/>
          <w:rtl w:val="true"/>
          <w:lang w:bidi="ar-SA"/>
        </w:rPr>
        <w:t>أيضا أنّه أخبر التصريح عن بعض الأعلام أنّه امتحنها بالذبح فرأى أنّ لها نفسا سائلة، و من البيّن أنّ الاحتجاج بالأخبار المتقدّمة مبنيّ على هذا المذهب و معه لا وقع للاعتراض المذكور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بابويه أنّه احتجّ على إيجاب سبع بأنّها في قدر الفأرة أو أكبر، و قد بيّنّا أنّ في الفأرة سبع دلاء فلا يزيد الحيّة عليها للبراءة و لا ينقص عنها للأولويّة</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واضح، لمنع الأولويّة و عدم تأثير للبراءة بعد ملاحظة استصحاب النجاسة، و أمّا الاكتفاء بالدلو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المعتبر </w:t>
      </w:r>
      <w:r>
        <w:rPr>
          <w:rFonts w:eastAsia="Amiri" w:cs="Amiri" w:ascii="Amiri" w:hAnsi="Amiri"/>
          <w:color w:val="111111"/>
          <w:sz w:val="28"/>
          <w:szCs w:val="28"/>
          <w:rtl w:val="true"/>
          <w:lang w:bidi="ar-SA"/>
        </w:rPr>
        <w:t>-</w:t>
      </w:r>
      <w:r>
        <w:rPr>
          <w:rStyle w:val="FootnoteAnchor"/>
          <w:rtl w:val="true"/>
        </w:rPr>
        <w:footnoteReference w:id="2865"/>
      </w:r>
      <w:r>
        <w:rPr>
          <w:rFonts w:ascii="Amiri" w:hAnsi="Amiri" w:eastAsia="Amiri" w:cs="Amiri"/>
          <w:color w:val="111111"/>
          <w:sz w:val="28"/>
          <w:sz w:val="28"/>
          <w:szCs w:val="28"/>
          <w:rtl w:val="true"/>
          <w:lang w:bidi="ar-SA"/>
        </w:rPr>
        <w:t>فلم نعرف له دليل، و أمّا على ما حكاه المعالم فاحتمل بعضهم الاستدلال عليه بصحيحة الحلبي المتقدّمة، بل بصحيحة الفضلاء، و رواية الفضل المتقدّمتين في بحث الفأرة من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 أفتى بالثلاث فيها على ما في المختلف</w:t>
      </w:r>
      <w:r>
        <w:rPr>
          <w:rStyle w:val="FootnoteAnchor"/>
          <w:rtl w:val="true"/>
        </w:rPr>
        <w:footnoteReference w:id="2866"/>
      </w:r>
      <w:r>
        <w:rPr>
          <w:rFonts w:ascii="Amiri" w:hAnsi="Amiri" w:eastAsia="Amiri" w:cs="Amiri"/>
          <w:color w:val="111111"/>
          <w:sz w:val="28"/>
          <w:sz w:val="28"/>
          <w:szCs w:val="28"/>
          <w:rtl w:val="true"/>
          <w:lang w:bidi="ar-SA"/>
        </w:rPr>
        <w:t>الشيخان</w:t>
      </w:r>
      <w:r>
        <w:rPr>
          <w:rStyle w:val="FootnoteAnchor"/>
          <w:rtl w:val="true"/>
        </w:rPr>
        <w:footnoteReference w:id="2867"/>
      </w:r>
      <w:r>
        <w:rPr>
          <w:rFonts w:ascii="IRNazanin" w:hAnsi="IRNazanin" w:eastAsia="IRNazanin"/>
          <w:color w:val="111111"/>
          <w:sz w:val="28"/>
          <w:sz w:val="28"/>
          <w:szCs w:val="28"/>
          <w:rtl w:val="true"/>
          <w:lang w:bidi="fa-IR"/>
        </w:rPr>
        <w:t>، و ابن البرّاج</w:t>
      </w:r>
      <w:r>
        <w:rPr>
          <w:rStyle w:val="FootnoteAnchor"/>
          <w:rtl w:val="true"/>
        </w:rPr>
        <w:footnoteReference w:id="2868"/>
      </w:r>
      <w:r>
        <w:rPr>
          <w:rFonts w:ascii="Amiri" w:hAnsi="Amiri" w:eastAsia="Amiri" w:cs="Amiri"/>
          <w:color w:val="111111"/>
          <w:sz w:val="28"/>
          <w:sz w:val="28"/>
          <w:szCs w:val="28"/>
          <w:rtl w:val="true"/>
          <w:lang w:bidi="ar-SA"/>
        </w:rPr>
        <w:t>، و ابن حمزة</w:t>
      </w:r>
      <w:r>
        <w:rPr>
          <w:rStyle w:val="FootnoteAnchor"/>
          <w:rtl w:val="true"/>
        </w:rPr>
        <w:footnoteReference w:id="2869"/>
      </w:r>
      <w:r>
        <w:rPr>
          <w:rFonts w:ascii="IRNazanin" w:hAnsi="IRNazanin" w:eastAsia="IRNazanin"/>
          <w:color w:val="111111"/>
          <w:sz w:val="28"/>
          <w:sz w:val="28"/>
          <w:szCs w:val="28"/>
          <w:rtl w:val="true"/>
          <w:lang w:bidi="fa-IR"/>
        </w:rPr>
        <w:t>، و الصدوق</w:t>
      </w:r>
      <w:r>
        <w:rPr>
          <w:rStyle w:val="FootnoteAnchor"/>
          <w:rtl w:val="true"/>
        </w:rPr>
        <w:footnoteReference w:id="2870"/>
      </w:r>
      <w:r>
        <w:rPr>
          <w:rFonts w:ascii="Amiri" w:hAnsi="Amiri" w:eastAsia="Amiri" w:cs="Amiri"/>
          <w:color w:val="111111"/>
          <w:sz w:val="28"/>
          <w:sz w:val="28"/>
          <w:szCs w:val="28"/>
          <w:rtl w:val="true"/>
          <w:lang w:bidi="ar-SA"/>
        </w:rPr>
        <w:t>، و دليله على ما تقدّم في الفأرة من صحيحتي ابن عمّار، و ابن سنان، واضح</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الحال في ذلك بعدم كون الوزغة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النفس ليوجب موتها نجاسة البئر، و لذا صار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عزى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وجوب النزح فيها، 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نفس لها سائلة</w:t>
      </w:r>
      <w:r>
        <w:rPr>
          <w:rStyle w:val="FootnoteAnchor"/>
          <w:rtl w:val="true"/>
        </w:rPr>
        <w:footnoteReference w:id="2871"/>
      </w:r>
      <w:r>
        <w:rPr>
          <w:rFonts w:ascii="Amiri" w:hAnsi="Amiri" w:eastAsia="Amiri" w:cs="Amiri"/>
          <w:color w:val="111111"/>
          <w:sz w:val="28"/>
          <w:sz w:val="28"/>
          <w:szCs w:val="28"/>
          <w:rtl w:val="true"/>
          <w:lang w:bidi="ar-SA"/>
        </w:rPr>
        <w:t>، إلاّ على ما ذكره العلاّمة في المختلف في تقريب هذا القول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الأمر بالنزح من حيث الطبّ بحصول الضرر في الماء بالسمّ لا من حيث النجاسة، و لا شكّ أنّ السلامة من الضرر أمر مطلوب للشارع، فلا استبعاد في إيجاب النزح لهذا الغرض</w:t>
      </w:r>
      <w:r>
        <w:rPr>
          <w:rFonts w:eastAsia="Amiri" w:cs="Amiri" w:ascii="Amiri" w:hAnsi="Amiri"/>
          <w:color w:val="111111"/>
          <w:sz w:val="28"/>
          <w:szCs w:val="28"/>
          <w:rtl w:val="true"/>
          <w:lang w:bidi="ar-SA"/>
        </w:rPr>
        <w:t>»</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تمّ ذلك اندفع به قول ابن إدريس أيضا و احتجاجه، و إلاّ لسرى الإشكال إلى الفأرة الّتي عطف عليها الوزغة في الرواية، و قضيّة ذلك استحباب النزح فيهما معا كما أفتى به المحقّق في الوزغة خاصّة على ما حكي عنه في المعتبر</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قول ثالث أو رابع محكيّ عن سلاّر</w:t>
      </w:r>
      <w:r>
        <w:rPr>
          <w:rStyle w:val="FootnoteAnchor"/>
          <w:rtl w:val="true"/>
        </w:rPr>
        <w:footnoteReference w:id="2874"/>
      </w:r>
      <w:r>
        <w:rPr>
          <w:rFonts w:ascii="Amiri" w:hAnsi="Amiri" w:eastAsia="Amiri" w:cs="Amiri"/>
          <w:color w:val="111111"/>
          <w:sz w:val="28"/>
          <w:sz w:val="28"/>
          <w:szCs w:val="28"/>
          <w:rtl w:val="true"/>
          <w:lang w:bidi="ar-SA"/>
        </w:rPr>
        <w:t>و أبو الصلاح الحلبي</w:t>
      </w:r>
      <w:r>
        <w:rPr>
          <w:rStyle w:val="FootnoteAnchor"/>
          <w:rtl w:val="true"/>
        </w:rPr>
        <w:footnoteReference w:id="2875"/>
      </w:r>
      <w:r>
        <w:rPr>
          <w:rFonts w:ascii="Amiri" w:hAnsi="Amiri" w:eastAsia="Amiri" w:cs="Amiri"/>
          <w:color w:val="111111"/>
          <w:sz w:val="28"/>
          <w:sz w:val="28"/>
          <w:szCs w:val="28"/>
          <w:rtl w:val="true"/>
          <w:lang w:bidi="ar-SA"/>
        </w:rPr>
        <w:t>و هو الاكتفاء بالدلو الواحد، احتجاجا بما في التهذيب و الفقيه عن يعقوب بن ميثم أنّه سأل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ماء في مائها ريح يخرج منها قطع جلود،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لأنّ الوزغ ربّما طرح جلده، إنّما يكفيك من ذلك دلو واحد</w:t>
      </w:r>
      <w:r>
        <w:rPr>
          <w:rFonts w:eastAsia="Amiri" w:cs="Amiri" w:ascii="Amiri" w:hAnsi="Amiri"/>
          <w:color w:val="111111"/>
          <w:sz w:val="28"/>
          <w:szCs w:val="28"/>
          <w:rtl w:val="true"/>
          <w:lang w:bidi="ar-SA"/>
        </w:rPr>
        <w:t>»</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ما عن الكافي</w:t>
      </w:r>
      <w:r>
        <w:rPr>
          <w:rStyle w:val="FootnoteAnchor"/>
          <w:rtl w:val="true"/>
        </w:rPr>
        <w:footnoteReference w:id="2877"/>
      </w:r>
      <w:r>
        <w:rPr>
          <w:rFonts w:ascii="Amiri" w:hAnsi="Amiri" w:eastAsia="Amiri" w:cs="Amiri"/>
          <w:color w:val="111111"/>
          <w:sz w:val="28"/>
          <w:sz w:val="28"/>
          <w:szCs w:val="28"/>
          <w:rtl w:val="true"/>
          <w:lang w:bidi="ar-SA"/>
        </w:rPr>
        <w:t>في باب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هذا الاحتجاج من الوهن بعدم دلالة الروايتين على نفي الزائد لو وقع فيها الوزغ بنفسه، و إنّما هما تدلاّن على الاكتفاء بالواحد في جلده، و هو ليس من موضوع المسألة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حكي القول به عن الشيخ في النهاية</w:t>
      </w:r>
      <w:r>
        <w:rPr>
          <w:rStyle w:val="FootnoteAnchor"/>
          <w:rtl w:val="true"/>
        </w:rPr>
        <w:footnoteReference w:id="2878"/>
      </w:r>
      <w:r>
        <w:rPr>
          <w:rFonts w:ascii="IRNazanin" w:hAnsi="IRNazanin" w:eastAsia="IRNazanin"/>
          <w:color w:val="111111"/>
          <w:sz w:val="28"/>
          <w:sz w:val="28"/>
          <w:szCs w:val="28"/>
          <w:rtl w:val="true"/>
          <w:lang w:bidi="fa-IR"/>
        </w:rPr>
        <w:t>، و المبسوط</w:t>
      </w:r>
      <w:r>
        <w:rPr>
          <w:rStyle w:val="FootnoteAnchor"/>
          <w:rtl w:val="true"/>
        </w:rPr>
        <w:footnoteReference w:id="2879"/>
      </w:r>
      <w:r>
        <w:rPr>
          <w:rFonts w:ascii="IRNazanin" w:hAnsi="IRNazanin" w:eastAsia="IRNazanin"/>
          <w:color w:val="111111"/>
          <w:sz w:val="28"/>
          <w:sz w:val="28"/>
          <w:szCs w:val="28"/>
          <w:rtl w:val="true"/>
          <w:lang w:bidi="fa-IR"/>
        </w:rPr>
        <w:t>، و تبعه ابن البرّاج</w:t>
      </w:r>
      <w:r>
        <w:rPr>
          <w:rStyle w:val="FootnoteAnchor"/>
          <w:rtl w:val="true"/>
        </w:rPr>
        <w:footnoteReference w:id="2880"/>
      </w:r>
      <w:r>
        <w:rPr>
          <w:rFonts w:ascii="IRNazanin" w:hAnsi="IRNazanin" w:eastAsia="IRNazanin"/>
          <w:color w:val="111111"/>
          <w:sz w:val="28"/>
          <w:sz w:val="28"/>
          <w:szCs w:val="28"/>
          <w:rtl w:val="true"/>
          <w:lang w:bidi="fa-IR"/>
        </w:rPr>
        <w:t>، و أبو الصلاح</w:t>
      </w:r>
      <w:r>
        <w:rPr>
          <w:rStyle w:val="FootnoteAnchor"/>
          <w:rtl w:val="true"/>
        </w:rPr>
        <w:footnoteReference w:id="2881"/>
      </w:r>
      <w:r>
        <w:rPr>
          <w:rFonts w:ascii="Amiri" w:hAnsi="Amiri" w:eastAsia="Amiri" w:cs="Amiri"/>
          <w:color w:val="111111"/>
          <w:sz w:val="28"/>
          <w:sz w:val="28"/>
          <w:szCs w:val="28"/>
          <w:rtl w:val="true"/>
          <w:lang w:bidi="ar-SA"/>
        </w:rPr>
        <w:t>، و لم يتعرّض لها ابن حمزة، و سلاّر، و الشيخ المفيد، و قد تقدّم عن عليّ بن بابويه</w:t>
      </w:r>
      <w:r>
        <w:rPr>
          <w:rStyle w:val="FootnoteAnchor"/>
          <w:rtl w:val="true"/>
        </w:rPr>
        <w:footnoteReference w:id="2882"/>
      </w:r>
      <w:r>
        <w:rPr>
          <w:rFonts w:ascii="Amiri" w:hAnsi="Amiri" w:eastAsia="Amiri" w:cs="Amiri"/>
          <w:color w:val="111111"/>
          <w:sz w:val="28"/>
          <w:sz w:val="28"/>
          <w:szCs w:val="28"/>
          <w:rtl w:val="true"/>
          <w:lang w:bidi="ar-SA"/>
        </w:rPr>
        <w:t>ما يدلّ على عدم وجوب شيء فيها، و هو اختيار ابن إدريس</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المختلف </w:t>
      </w:r>
      <w:r>
        <w:rPr>
          <w:rFonts w:eastAsia="Amiri" w:cs="Amiri" w:ascii="Amiri" w:hAnsi="Amiri"/>
          <w:color w:val="111111"/>
          <w:sz w:val="28"/>
          <w:szCs w:val="28"/>
          <w:rtl w:val="true"/>
          <w:lang w:bidi="ar-SA"/>
        </w:rPr>
        <w:t xml:space="preserve">- </w:t>
      </w:r>
      <w:r>
        <w:rPr>
          <w:rStyle w:val="FootnoteAnchor"/>
          <w:rtl w:val="true"/>
        </w:rPr>
        <w:footnoteReference w:id="2884"/>
      </w:r>
      <w:r>
        <w:rPr>
          <w:rFonts w:ascii="Amiri" w:hAnsi="Amiri" w:eastAsia="Amiri" w:cs="Amiri"/>
          <w:color w:val="111111"/>
          <w:sz w:val="28"/>
          <w:sz w:val="28"/>
          <w:szCs w:val="28"/>
          <w:rtl w:val="true"/>
          <w:lang w:bidi="ar-SA"/>
        </w:rPr>
        <w:t>ما رواه هارون بن حمزة الغنوي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العقرب و أشباه ذلك يقع في الماء فيخرج حيّا هل يشرب من ذلك الماء أو يتوضّأ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يسكب ثلاث مرّات، و قليله و كثيره بمنزلة واحدة، ثمّ يشرب منه و يتوضّأ منه غير الوزغ، فإنّه لا ينتفع ما يقع فيه</w:t>
      </w:r>
      <w:r>
        <w:rPr>
          <w:rFonts w:eastAsia="Amiri" w:cs="Amiri" w:ascii="Amiri" w:hAnsi="Amiri"/>
          <w:color w:val="111111"/>
          <w:sz w:val="28"/>
          <w:szCs w:val="28"/>
          <w:rtl w:val="true"/>
          <w:lang w:bidi="ar-SA"/>
        </w:rPr>
        <w:t>»</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العقرب ينزح لها مع خروجها حيّة ثلاث دلاء فمع الموت أولى، مضافا إلى أنّ المقتضي للنزح في الوزغة و هو السمّ موجود في العقرب</w:t>
      </w:r>
      <w:r>
        <w:rPr>
          <w:rFonts w:eastAsia="Amiri" w:cs="Amiri" w:ascii="Amiri" w:hAnsi="Amiri"/>
          <w:color w:val="111111"/>
          <w:sz w:val="28"/>
          <w:szCs w:val="28"/>
          <w:rtl w:val="true"/>
          <w:lang w:bidi="ar-SA"/>
        </w:rPr>
        <w:t xml:space="preserve">. </w:t>
      </w:r>
      <w:bookmarkStart w:id="926" w:name="pg16144_233646"/>
    </w:p>
    <w:p>
      <w:pPr>
        <w:pStyle w:val="BookText"/>
        <w:rPr/>
      </w:pPr>
      <w:bookmarkEnd w:id="926"/>
      <w:r>
        <w:rPr>
          <w:rFonts w:ascii="Amiri" w:hAnsi="Amiri" w:eastAsia="Amiri" w:cs="Amiri"/>
          <w:color w:val="111111"/>
          <w:sz w:val="28"/>
          <w:sz w:val="28"/>
          <w:szCs w:val="28"/>
          <w:rtl w:val="true"/>
          <w:lang w:bidi="ar-SA"/>
        </w:rPr>
        <w:t>و هذا من جهة ابتنائه على القياس الفاسد ضعيف جدّا، و العمدة هي الرواية،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الأولويّة المدّعاة إنّما تنهض على تقدير دلالة الرواية على الوجوب و لعلّها في حيّز المنع، كما يرشد إليه العطف على الفأرة المخرجة حيّة المجمع على عدم وجوب النزح فيها، كيف و هو إمّا من جهة النجاسة فهي منتفية مع الحياة، أو من جهة شبهة السمّية الّتي انتفاؤها أوضح، و مع ذلك فهي على فرض الدلالة معارضة بعموم ما تقدّم في غير ذي النفس، و خصوص صحيحة ابن مسكان المتقدّمة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سقط في البئر ليس له دم مثل العقارب و الخنافس و أشباه ذلك فلا بأس</w:t>
      </w:r>
      <w:r>
        <w:rPr>
          <w:rFonts w:eastAsia="Amiri" w:cs="Amiri" w:ascii="Amiri" w:hAnsi="Amiri"/>
          <w:color w:val="111111"/>
          <w:sz w:val="28"/>
          <w:szCs w:val="28"/>
          <w:rtl w:val="true"/>
          <w:lang w:bidi="ar-SA"/>
        </w:rPr>
        <w:t>»</w:t>
      </w:r>
      <w:r>
        <w:rPr>
          <w:rStyle w:val="FootnoteAnchor"/>
          <w:rtl w:val="true"/>
        </w:rPr>
        <w:footnoteReference w:id="2886"/>
      </w:r>
      <w:r>
        <w:rPr>
          <w:rFonts w:ascii="Amiri" w:hAnsi="Amiri" w:eastAsia="Amiri" w:cs="Amiri"/>
          <w:color w:val="111111"/>
          <w:sz w:val="28"/>
          <w:sz w:val="28"/>
          <w:szCs w:val="28"/>
          <w:rtl w:val="true"/>
          <w:lang w:bidi="ar-SA"/>
        </w:rPr>
        <w:t>و هي صحيحة، و عمل بها العلاّمة</w:t>
      </w:r>
      <w:r>
        <w:rPr>
          <w:rStyle w:val="FootnoteAnchor"/>
          <w:rtl w:val="true"/>
        </w:rPr>
        <w:footnoteReference w:id="2887"/>
      </w:r>
      <w:r>
        <w:rPr>
          <w:rFonts w:ascii="Amiri" w:hAnsi="Amiri" w:eastAsia="Amiri" w:cs="Amiri"/>
          <w:color w:val="111111"/>
          <w:sz w:val="28"/>
          <w:sz w:val="28"/>
          <w:szCs w:val="28"/>
          <w:rtl w:val="true"/>
          <w:lang w:bidi="ar-SA"/>
        </w:rPr>
        <w:t>و غيره فتكون أرجح، و عليه يجمع بينها و بين ما تقدّم بحمله على الاستحباب كما صنعه العلاّمة في المختلف</w:t>
      </w:r>
      <w:r>
        <w:rPr>
          <w:rStyle w:val="FootnoteAnchor"/>
          <w:rtl w:val="true"/>
        </w:rPr>
        <w:footnoteReference w:id="2888"/>
      </w:r>
      <w:r>
        <w:rPr>
          <w:rFonts w:ascii="Amiri" w:hAnsi="Amiri" w:eastAsia="Amiri" w:cs="Amiri"/>
          <w:color w:val="111111"/>
          <w:sz w:val="28"/>
          <w:sz w:val="28"/>
          <w:szCs w:val="28"/>
          <w:rtl w:val="true"/>
          <w:lang w:bidi="ar-SA"/>
        </w:rPr>
        <w:t>، و بذلك يظهر الوجه في رواية منهال بن عمرو عن الصادق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يخرج من البئر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 عشرة دلاء</w:t>
      </w:r>
      <w:r>
        <w:rPr>
          <w:rFonts w:eastAsia="Amiri" w:cs="Amiri" w:ascii="Amiri" w:hAnsi="Amiri"/>
          <w:color w:val="111111"/>
          <w:sz w:val="28"/>
          <w:szCs w:val="28"/>
          <w:rtl w:val="true"/>
          <w:lang w:bidi="ar-SA"/>
        </w:rPr>
        <w:t>»</w:t>
      </w:r>
      <w:r>
        <w:rPr>
          <w:rStyle w:val="FootnoteAnchor"/>
          <w:rtl w:val="true"/>
        </w:rPr>
        <w:footnoteReference w:id="2889"/>
      </w:r>
      <w:r>
        <w:rPr>
          <w:rFonts w:ascii="Amiri" w:hAnsi="Amiri" w:eastAsia="Amiri" w:cs="Amiri"/>
          <w:color w:val="111111"/>
          <w:sz w:val="28"/>
          <w:sz w:val="28"/>
          <w:szCs w:val="28"/>
          <w:rtl w:val="true"/>
          <w:lang w:bidi="ar-SA"/>
        </w:rPr>
        <w:t>و قد حملها الشيخ على الاستحباب</w:t>
      </w:r>
      <w:r>
        <w:rPr>
          <w:rStyle w:val="FootnoteAnchor"/>
          <w:rtl w:val="true"/>
        </w:rPr>
        <w:footnoteReference w:id="2890"/>
      </w:r>
      <w:r>
        <w:rPr>
          <w:rFonts w:ascii="Amiri" w:hAnsi="Amiri" w:eastAsia="Amiri" w:cs="Amiri"/>
          <w:color w:val="111111"/>
          <w:sz w:val="28"/>
          <w:sz w:val="28"/>
          <w:szCs w:val="28"/>
          <w:rtl w:val="true"/>
          <w:lang w:bidi="ar-SA"/>
        </w:rPr>
        <w:t>، كما في المختلف</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المانعين عن وجوب النزح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حيوان لا نفس له سائلة فلا يجب بموته شيء كالذباب و الخنافس، و بالروايات المتقدّم إليها الإشارة في غير ذوات النفس، و هو في غاية الجودة</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1805066_1280447820"/>
      <w:bookmarkStart w:id="928" w:name="_Toc364"/>
      <w:bookmarkEnd w:id="927"/>
      <w:r>
        <w:rPr>
          <w:rtl w:val="true"/>
        </w:rPr>
        <w:t>المسألة الحادية عشر</w:t>
      </w:r>
      <w:r>
        <w:rPr>
          <w:rtl w:val="true"/>
        </w:rPr>
        <w:t xml:space="preserve">: </w:t>
      </w:r>
      <w:r>
        <w:rPr>
          <w:rtl w:val="true"/>
        </w:rPr>
        <w:t>فيما ينزح له دلو واحد، و هو أمران</w:t>
      </w:r>
      <w:r>
        <w:rPr>
          <w:rtl w:val="true"/>
        </w:rPr>
        <w:t>:</w:t>
      </w:r>
      <w:bookmarkEnd w:id="928"/>
    </w:p>
    <w:p>
      <w:pPr>
        <w:pStyle w:val="Heading6"/>
        <w:numPr>
          <w:ilvl w:val="5"/>
          <w:numId w:val="1"/>
        </w:numPr>
        <w:rPr/>
      </w:pPr>
      <w:bookmarkStart w:id="929" w:name="__RefHeading___Toc1805068_1280447820"/>
      <w:bookmarkStart w:id="930" w:name="_Toc365"/>
      <w:bookmarkEnd w:id="929"/>
      <w:r>
        <w:rPr>
          <w:rtl w:val="true"/>
        </w:rPr>
        <w:t>أحدهما</w:t>
      </w:r>
      <w:r>
        <w:rPr>
          <w:rtl w:val="true"/>
        </w:rPr>
        <w:t xml:space="preserve">: </w:t>
      </w:r>
      <w:r>
        <w:rPr>
          <w:rtl w:val="true"/>
        </w:rPr>
        <w:t>العصفور و ما أشبهه،</w:t>
      </w:r>
      <w:bookmarkEnd w:id="930"/>
    </w:p>
    <w:p>
      <w:pPr>
        <w:pStyle w:val="BookText"/>
        <w:rPr/>
      </w:pPr>
      <w:r>
        <w:rPr>
          <w:rFonts w:ascii="Amiri" w:hAnsi="Amiri" w:eastAsia="Amiri" w:cs="Amiri"/>
          <w:color w:val="111111"/>
          <w:sz w:val="28"/>
          <w:sz w:val="28"/>
          <w:szCs w:val="28"/>
          <w:rtl w:val="true"/>
          <w:lang w:bidi="ar-SA"/>
        </w:rPr>
        <w:t>نسب القول به في المنتهى</w:t>
      </w:r>
      <w:r>
        <w:rPr>
          <w:rStyle w:val="FootnoteAnchor"/>
          <w:rtl w:val="true"/>
        </w:rPr>
        <w:footnoteReference w:id="2892"/>
      </w:r>
      <w:r>
        <w:rPr>
          <w:rFonts w:ascii="Amiri" w:hAnsi="Amiri" w:eastAsia="Amiri" w:cs="Amiri"/>
          <w:color w:val="111111"/>
          <w:sz w:val="28"/>
          <w:sz w:val="28"/>
          <w:szCs w:val="28"/>
          <w:rtl w:val="true"/>
          <w:lang w:bidi="ar-SA"/>
        </w:rPr>
        <w:t xml:space="preserve">إلى الشيخين </w:t>
      </w:r>
      <w:r>
        <w:rPr>
          <w:rStyle w:val="FootnoteAnchor"/>
          <w:rtl w:val="true"/>
        </w:rPr>
        <w:footnoteReference w:id="2893"/>
      </w:r>
      <w:r>
        <w:rPr>
          <w:rFonts w:ascii="IRNazanin" w:hAnsi="IRNazanin" w:eastAsia="IRNazanin"/>
          <w:color w:val="111111"/>
          <w:sz w:val="28"/>
          <w:sz w:val="28"/>
          <w:szCs w:val="28"/>
          <w:rtl w:val="true"/>
          <w:lang w:bidi="fa-IR"/>
        </w:rPr>
        <w:t>و أتباعهما</w:t>
      </w:r>
      <w:r>
        <w:rPr>
          <w:rStyle w:val="FootnoteAnchor"/>
          <w:rtl w:val="true"/>
        </w:rPr>
        <w:footnoteReference w:id="2894"/>
      </w:r>
      <w:r>
        <w:rPr>
          <w:rFonts w:ascii="Amiri" w:hAnsi="Amiri" w:eastAsia="Amiri" w:cs="Amiri"/>
          <w:color w:val="111111"/>
          <w:sz w:val="28"/>
          <w:sz w:val="28"/>
          <w:szCs w:val="28"/>
          <w:rtl w:val="true"/>
          <w:lang w:bidi="ar-SA"/>
        </w:rPr>
        <w:t>، و في كلام غير واحد نسبته إلى المشهور</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شرح الدروس </w:t>
      </w:r>
      <w:r>
        <w:rPr>
          <w:rStyle w:val="FootnoteAnchor"/>
          <w:rtl w:val="true"/>
        </w:rPr>
        <w:footnoteReference w:id="2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المعالم </w:t>
      </w:r>
      <w:r>
        <w:rPr>
          <w:rFonts w:eastAsia="Amiri" w:cs="Amiri" w:ascii="Amiri" w:hAnsi="Amiri"/>
          <w:color w:val="111111"/>
          <w:sz w:val="28"/>
          <w:szCs w:val="28"/>
          <w:rtl w:val="true"/>
          <w:lang w:bidi="ar-SA"/>
        </w:rPr>
        <w:t xml:space="preserve">- </w:t>
      </w:r>
      <w:r>
        <w:rPr>
          <w:rStyle w:val="FootnoteAnchor"/>
          <w:rtl w:val="true"/>
        </w:rPr>
        <w:footnoteReference w:id="2896"/>
      </w:r>
      <w:r>
        <w:rPr>
          <w:rFonts w:ascii="Amiri" w:hAnsi="Amiri" w:eastAsia="Amiri" w:cs="Amiri"/>
          <w:color w:val="111111"/>
          <w:sz w:val="28"/>
          <w:sz w:val="28"/>
          <w:szCs w:val="28"/>
          <w:rtl w:val="true"/>
          <w:lang w:bidi="ar-SA"/>
        </w:rPr>
        <w:t>لم يعرف فيه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 على مماثله في الجسم من الطير</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يستظهر الخلاف من الصدوقين، فعن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ما يقع في البئر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أصغر ما يقع في البئر الصعوة فينزح منها دلو واحد، و فيما بين الإنسان على قدر ما يقع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 قال في الرسالة</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الصعوة ليس بمطلق العصفور بل عصفور صغير، كما نصّ عليه في القاموس</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يوجّه كلامهما على وجه يرتفع معه المخالفة و هو إمّا بإطلاق الخاصّ على العامّ، أو بأنّه لم يثبت كون الصعوة أخصّ فيكونان 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فمستند المشهور رواية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و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يقع في البئر عصفور ينزح منها دلو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عمّار و إن كان فطحيّا لكن الرواية موثّقة، و مع ذلك فهي معتضدة بعمل المشهور بل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الأصحاب قبلوا روايته و شهدوا له بالوثاقة</w:t>
      </w:r>
      <w:r>
        <w:rPr>
          <w:rFonts w:eastAsia="Amiri" w:cs="Amiri" w:ascii="Amiri" w:hAnsi="Amiri"/>
          <w:color w:val="111111"/>
          <w:sz w:val="28"/>
          <w:szCs w:val="28"/>
          <w:rtl w:val="true"/>
          <w:lang w:bidi="ar-SA"/>
        </w:rPr>
        <w:t>»</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تنهض الرواية مخصّصة للمعتبرة الاخر من الصحاح و غيرها القاضية بعضها بالدلاء في الطير، و الاخر بالسبع، و ثالث بالخمس، و رابع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المدارك</w:t>
      </w:r>
      <w:r>
        <w:rPr>
          <w:rStyle w:val="FootnoteAnchor"/>
          <w:rtl w:val="true"/>
        </w:rPr>
        <w:footnoteReference w:id="2901"/>
      </w:r>
      <w:r>
        <w:rPr>
          <w:rFonts w:ascii="Amiri" w:hAnsi="Amiri" w:eastAsia="Amiri" w:cs="Amiri"/>
          <w:color w:val="111111"/>
          <w:sz w:val="28"/>
          <w:sz w:val="28"/>
          <w:szCs w:val="28"/>
          <w:rtl w:val="true"/>
          <w:lang w:bidi="ar-SA"/>
        </w:rPr>
        <w:t>من الميل إلى الخمس أو الثلاث في الطير مطلقا لصحيحتي الفضلاء، و عليّ بن يقطين عن الباقر و الصادق و الكاظم عليهم السّلام، كما عن المعالم</w:t>
      </w:r>
      <w:r>
        <w:rPr>
          <w:rStyle w:val="FootnoteAnchor"/>
          <w:rtl w:val="true"/>
        </w:rPr>
        <w:footnoteReference w:id="2902"/>
      </w:r>
      <w:r>
        <w:rPr>
          <w:rFonts w:ascii="Amiri" w:hAnsi="Amiri" w:eastAsia="Amiri" w:cs="Amiri"/>
          <w:color w:val="111111"/>
          <w:sz w:val="28"/>
          <w:sz w:val="28"/>
          <w:szCs w:val="28"/>
          <w:rtl w:val="true"/>
          <w:lang w:bidi="ar-SA"/>
        </w:rPr>
        <w:t>من نفي البعد عن العمل بصحيحة الحلبي المتقدّمة في موت الحيّة لصغير الحيوان الشامل للعصفور، ليس ممّا يلتفت إليه، و قد يمنع</w:t>
      </w:r>
      <w:r>
        <w:rPr>
          <w:rStyle w:val="FootnoteAnchor"/>
          <w:rtl w:val="true"/>
        </w:rPr>
        <w:footnoteReference w:id="2903"/>
      </w:r>
      <w:r>
        <w:rPr>
          <w:rFonts w:ascii="Amiri" w:hAnsi="Amiri" w:eastAsia="Amiri" w:cs="Amiri"/>
          <w:color w:val="111111"/>
          <w:sz w:val="28"/>
          <w:sz w:val="28"/>
          <w:szCs w:val="28"/>
          <w:rtl w:val="true"/>
          <w:lang w:bidi="ar-SA"/>
        </w:rPr>
        <w:t>شمول الحيوان للطير و هو بعيد</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الأصحاب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دون الحمامة،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من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بالحمامة و نحوها ممّا فوقها، و هو كما ترى لا يلائم تفسيرهم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يضاهيه في الجسم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الرواية من التصريح بما يوجب خروج الحمامة و ما دونه إلى العصفور عن هذا الحكم، فإنّ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سوى ذلك ممّا يقع في بئر الماء فيموت فيه فأكثره الإنسان ينزح منها سبعون دلوا، و أقلّه العصفور ينزح منها دلو واحد، و ما سوى ذلك فيما بين هذين</w:t>
      </w:r>
      <w:r>
        <w:rPr>
          <w:rFonts w:eastAsia="Amiri" w:cs="Amiri" w:ascii="Amiri" w:hAnsi="Amiri"/>
          <w:color w:val="111111"/>
          <w:sz w:val="28"/>
          <w:szCs w:val="28"/>
          <w:rtl w:val="true"/>
          <w:lang w:bidi="ar-SA"/>
        </w:rPr>
        <w:t>»</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بأكثره إمّا الأكثريّة في الجثّة و المقدار كما يؤيّده ما في بعض نسخ الرواية من التعبير بأكبره، أو أكثريّة المنزوح كما يناسبه التعبير عمّا يقابله بالأقلّ في كلتا النسختين، و على التقديرين فمرجع اسم الإشارة الثانية إمّا أحد الأمرين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أو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التقديرين فالحكم عليه بكونه فيما بين هذين، مع ظهور المثنّى في التقديرين المذكورين في الرواية من السبعين و الواحد، مخرج لما عدا الحمامة ممّا فوقها إلى الإنسان و ما تحتها إلى العصفور عن هذين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ذلك عدم بلوغ مقدّره في الكثرة إلى السبعين و لا في القلّة إلى الواحد، و هو أمر مجمل يستفصل من الروايات، و مع ذلك فكيف يفسّر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ليس بمعناه الموضوع له على ما يشهد به العرف و نصّ عليه أئمّة اللغة، و لا أنّ في المقام قرينة قاضية بإرادة ذلك في الرواية، و العجب عن المحقّق الميسي في حاشية الشرائع</w:t>
      </w:r>
      <w:r>
        <w:rPr>
          <w:rStyle w:val="FootnoteAnchor"/>
          <w:rtl w:val="true"/>
        </w:rPr>
        <w:footnoteReference w:id="2905"/>
      </w:r>
      <w:r>
        <w:rPr>
          <w:rFonts w:ascii="Amiri" w:hAnsi="Amiri" w:eastAsia="Amiri" w:cs="Amiri"/>
          <w:color w:val="111111"/>
          <w:sz w:val="28"/>
          <w:sz w:val="28"/>
          <w:szCs w:val="28"/>
          <w:rtl w:val="true"/>
          <w:lang w:bidi="ar-SA"/>
        </w:rPr>
        <w:t xml:space="preserve">حيث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بما يشبهه في حجمه،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دون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بين الحمامة و العصفور وسائط كثيرة</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بملاحظة ما ذكرناه يشكل التعدّي عن العصفور إلى ما يشبهه في الجثّة و المقدار أيضا كما اعترف به جماعة، و منعوه تعليلا بأنّ النصّ مخصوص بالعصفور، فإنّ ذلك إنّما يصحّ لو جعلنا المراد بالأكثر الأكثريّة في الجثّة و المقدار المستلزمة لكون المراد بالأقلّ الأقلّيّة فيهما أيضا، نظرا إلى أنّ الرواية في صدد التعرّض لحصر أصناف الحيوانات في الثلاثة، فلو لم يكن المراد بالعصفور ما يعمّ المتساويات في الجثّة و المقدار بطل الحصر المقصود، فتأمّل</w:t>
      </w:r>
      <w:r>
        <w:rPr>
          <w:rFonts w:eastAsia="Amiri" w:cs="Amiri" w:ascii="Amiri" w:hAnsi="Amiri"/>
          <w:color w:val="111111"/>
          <w:sz w:val="28"/>
          <w:szCs w:val="28"/>
          <w:rtl w:val="true"/>
          <w:lang w:bidi="ar-SA"/>
        </w:rPr>
        <w:t xml:space="preserve">. </w:t>
      </w:r>
      <w:bookmarkStart w:id="931" w:name="pg16144_233649"/>
    </w:p>
    <w:p>
      <w:pPr>
        <w:pStyle w:val="BookText"/>
        <w:rPr/>
      </w:pPr>
      <w:bookmarkEnd w:id="931"/>
      <w:r>
        <w:rPr>
          <w:rFonts w:ascii="Amiri" w:hAnsi="Amiri" w:eastAsia="Amiri" w:cs="Amiri"/>
          <w:color w:val="111111"/>
          <w:sz w:val="28"/>
          <w:sz w:val="28"/>
          <w:szCs w:val="28"/>
          <w:rtl w:val="true"/>
          <w:lang w:bidi="ar-SA"/>
        </w:rPr>
        <w:t>و لكن قد عرفت أنّ هذا الاحتمال يعارضه الاحتمال الآخر الّذي لا يقتضي كون المراد بالعصفور المعنى الأعمّ كما يظهر بأدنى تأمّل، نظرا إلى أنّ الحصر المقصود حينئذ إنّما هو في المنزوحات المقدّرة، فجعلها المعصوم عليه السّلام في الكثرة و القلّة و ما يتوسّطهما على أقسام ثلاث و هي السبعون و الواحد و ما بينهما، و قضيّة ذلك خروج الرواية من هذه الجهة مجملة، إلاّ أن يجعل فهم المشهور قرينة على التعيين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لمّا ثبت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بالحمامة فما فوقها كما تقدّم في بحثه، و كان له سبع و لا واسطة بين السبع و الواحد من العدد فيما بين الحمامة و العصفور تعيّن إلحاق ما دونها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الواسطة بنصّ الرواية بالتقريب الّذي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ورود الواسطة في النصوص يقضي بكون ما عدا العصفور ممّا دون الحمامة ملحقا بما لا نصّ فيه كما هو الحال في سائر النجاسات الغير المنصوصة لا بالعصفور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معلّق على العصفور خاصّة، و على تقدير التعدّي يتعدّى إلى كلّ ما يشابهه في الجثّة بحسب الخلقة الأصليّة لا باعتبار صغر السنّ من غير فرق في ذلك بين المأكول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نظام الدين الصهرشتي شارح النهاية</w:t>
      </w:r>
      <w:r>
        <w:rPr>
          <w:rStyle w:val="FootnoteAnchor"/>
          <w:rtl w:val="true"/>
        </w:rPr>
        <w:footnoteReference w:id="2906"/>
      </w:r>
      <w:r>
        <w:rPr>
          <w:rFonts w:ascii="Amiri" w:hAnsi="Amiri" w:eastAsia="Amiri" w:cs="Amiri"/>
          <w:color w:val="111111"/>
          <w:sz w:val="28"/>
          <w:sz w:val="28"/>
          <w:szCs w:val="28"/>
          <w:rtl w:val="true"/>
          <w:lang w:bidi="ar-SA"/>
        </w:rPr>
        <w:t>من إجراء هذا الحكم في صغير الطير</w:t>
      </w:r>
      <w:r>
        <w:rPr>
          <w:rStyle w:val="FootnoteAnchor"/>
          <w:rtl w:val="true"/>
        </w:rPr>
        <w:footnoteReference w:id="2907"/>
      </w:r>
      <w:r>
        <w:rPr>
          <w:rFonts w:ascii="Amiri" w:hAnsi="Amiri" w:eastAsia="Amiri" w:cs="Amiri"/>
          <w:color w:val="111111"/>
          <w:sz w:val="28"/>
          <w:sz w:val="28"/>
          <w:szCs w:val="28"/>
          <w:rtl w:val="true"/>
          <w:lang w:bidi="ar-SA"/>
        </w:rPr>
        <w:t>كالفرخ ممّا لا ينبغي الالتفات إليه، و أضعف منه ما عن الراوندي</w:t>
      </w:r>
      <w:r>
        <w:rPr>
          <w:rStyle w:val="FootnoteAnchor"/>
          <w:rtl w:val="true"/>
        </w:rPr>
        <w:footnoteReference w:id="2908"/>
      </w:r>
      <w:r>
        <w:rPr>
          <w:rFonts w:ascii="Amiri" w:hAnsi="Amiri" w:eastAsia="Amiri" w:cs="Amiri"/>
          <w:color w:val="111111"/>
          <w:sz w:val="28"/>
          <w:sz w:val="28"/>
          <w:szCs w:val="28"/>
          <w:rtl w:val="true"/>
          <w:lang w:bidi="ar-SA"/>
        </w:rPr>
        <w:t>من تخصيصه الحكم بمأكول اللحم احترازا عن الخفّاش، تعليلا بأنّه مسخ أو أنّه نجس، فإنّه مع أنّه ممّا لا دليل عليه 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مسخا،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نجاسته، و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بكونه أخصّ من المدّعى</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1805070_1280447820"/>
      <w:bookmarkStart w:id="933" w:name="_Toc366"/>
      <w:bookmarkEnd w:id="932"/>
      <w:r>
        <w:rPr>
          <w:rtl w:val="true"/>
        </w:rPr>
        <w:t>و ثانيهما</w:t>
      </w:r>
      <w:r>
        <w:rPr>
          <w:rtl w:val="true"/>
        </w:rPr>
        <w:t xml:space="preserve">: </w:t>
      </w:r>
      <w:r>
        <w:rPr>
          <w:rtl w:val="true"/>
        </w:rPr>
        <w:t>بول الصبيّ‌</w:t>
      </w:r>
      <w:bookmarkEnd w:id="933"/>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لم يتغذّ بالطعام، نسب إلى الشيخين</w:t>
      </w:r>
      <w:r>
        <w:rPr>
          <w:rStyle w:val="FootnoteAnchor"/>
          <w:rtl w:val="true"/>
        </w:rPr>
        <w:footnoteReference w:id="2909"/>
      </w:r>
      <w:r>
        <w:rPr>
          <w:rFonts w:ascii="Amiri" w:hAnsi="Amiri" w:eastAsia="Amiri" w:cs="Amiri"/>
          <w:color w:val="111111"/>
          <w:sz w:val="28"/>
          <w:sz w:val="28"/>
          <w:szCs w:val="28"/>
          <w:rtl w:val="true"/>
          <w:lang w:bidi="ar-SA"/>
        </w:rPr>
        <w:t>و كثير من الأصحاب، و ادّعي عليه الشهرة، و عن أبي الصلاح و ابن زهرة المصير إلى نزح ثلاث دلاء</w:t>
      </w:r>
      <w:r>
        <w:rPr>
          <w:rStyle w:val="FootnoteAnchor"/>
          <w:rtl w:val="true"/>
        </w:rPr>
        <w:footnoteReference w:id="2910"/>
      </w:r>
      <w:r>
        <w:rPr>
          <w:rFonts w:ascii="IRNazanin" w:hAnsi="IRNazanin" w:eastAsia="IRNazanin"/>
          <w:color w:val="111111"/>
          <w:sz w:val="28"/>
          <w:sz w:val="28"/>
          <w:szCs w:val="28"/>
          <w:rtl w:val="true"/>
          <w:lang w:bidi="fa-IR"/>
        </w:rPr>
        <w:t xml:space="preserve">، و عن </w:t>
      </w:r>
      <w:bookmarkStart w:id="934" w:name="pg16144_233650"/>
    </w:p>
    <w:p>
      <w:pPr>
        <w:pStyle w:val="BookText"/>
        <w:rPr/>
      </w:pPr>
      <w:bookmarkEnd w:id="934"/>
      <w:r>
        <w:rPr>
          <w:rFonts w:ascii="Amiri" w:hAnsi="Amiri" w:eastAsia="Amiri" w:cs="Amiri"/>
          <w:color w:val="111111"/>
          <w:sz w:val="28"/>
          <w:sz w:val="28"/>
          <w:szCs w:val="28"/>
          <w:rtl w:val="true"/>
          <w:lang w:bidi="ar-SA"/>
        </w:rPr>
        <w:t>الثاني دعوى الإجماع عليه، و هو عجيب مع مخالفة المشهور و مع ذلك فمستند قوله غير واضح؛ و لو احتجّ له بصحيحة ابن بزيع المتقدّمة</w:t>
      </w:r>
      <w:r>
        <w:rPr>
          <w:rStyle w:val="FootnoteAnchor"/>
          <w:rtl w:val="true"/>
        </w:rPr>
        <w:footnoteReference w:id="2911"/>
      </w:r>
      <w:r>
        <w:rPr>
          <w:rFonts w:ascii="Amiri" w:hAnsi="Amiri" w:eastAsia="Amiri" w:cs="Amiri"/>
          <w:color w:val="111111"/>
          <w:sz w:val="28"/>
          <w:sz w:val="28"/>
          <w:szCs w:val="28"/>
          <w:rtl w:val="true"/>
          <w:lang w:bidi="ar-SA"/>
        </w:rPr>
        <w:t>الحاكمة بنزح دلاء لقطرات البول،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الانصراف إلى ما عدا بول الرضيع، أو لكون قطرات البول أعمّ من وجه من بوله فلا يتناول ما زاد على القطرات، و يقضي بالثلاث في غير بوله و القول به ضعيف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فمستند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الاحتجاج به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المتقدّمة الواردة في بول الصبيّ الفطيم، يقع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r>
        <w:rPr>
          <w:rStyle w:val="FootnoteAnchor"/>
          <w:rtl w:val="true"/>
        </w:rPr>
        <w:footnoteReference w:id="2912"/>
      </w:r>
      <w:r>
        <w:rPr>
          <w:rFonts w:ascii="Amiri" w:hAnsi="Amiri" w:eastAsia="Amiri" w:cs="Amiri"/>
          <w:color w:val="111111"/>
          <w:sz w:val="28"/>
          <w:sz w:val="28"/>
          <w:szCs w:val="28"/>
          <w:rtl w:val="true"/>
          <w:lang w:bidi="ar-SA"/>
        </w:rPr>
        <w:t xml:space="preserve">و هذا مبنيّ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المشارف للفطام، نظرا إلى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كلامهم بمن يغتذي باللبن محضا، أو بحيث يغلب على الطعام، فيغاير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تفسيره في بول الصبيّ المتغذّي بالطعام،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يحتاج إلى القرينة، و لعلّ المشهور عثروا بها كما يومئ إليه كلام عن المهذّب البارع</w:t>
      </w:r>
      <w:r>
        <w:rPr>
          <w:rStyle w:val="FootnoteAnchor"/>
          <w:rtl w:val="true"/>
        </w:rPr>
        <w:footnoteReference w:id="2913"/>
      </w:r>
      <w:r>
        <w:rPr>
          <w:rFonts w:ascii="Amiri" w:hAnsi="Amiri" w:eastAsia="Amiri" w:cs="Amiri"/>
          <w:color w:val="111111"/>
          <w:sz w:val="28"/>
          <w:sz w:val="28"/>
          <w:szCs w:val="28"/>
          <w:rtl w:val="true"/>
          <w:lang w:bidi="ar-SA"/>
        </w:rPr>
        <w:t>من أنّ الرضيع هو المعبّر عنه في الروايات بالفطيم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المذكور مستندا إلى هذه الرواية غير خال عن الإشكال، و الأحوط بل الأولى إطلاق القول في بول الصبيّ بالسبع، وفاقا للسلاّر على ما حكي عنه فيما تقدّم، مستندا إلى إطلاق رواية منصور بن حازم المتقدّمة في بحث 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القول بالواحد هنا على تقدير صحّة الاستناد إلى ما روي عن الفقه الرضوي المتقدّم ذكره في البحث المذكور، لكنّه لم يثبت عندنا إلى الآن ما يقضي بصحّة ذلك، و عليه فالاحتياط بناء على القول بالتنجيس أو الوجوب تعبّدا ممّا لا ينبغي تركه</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805072_1280447820"/>
      <w:bookmarkStart w:id="936" w:name="_Toc367"/>
      <w:bookmarkEnd w:id="935"/>
      <w:r>
        <w:rPr>
          <w:rtl w:val="true"/>
        </w:rPr>
        <w:t>و لنختم المقام بإيراد مباحث نذكرها هنا من باب التفريع</w:t>
      </w:r>
      <w:r>
        <w:rPr>
          <w:rtl w:val="true"/>
        </w:rPr>
        <w:t>:</w:t>
      </w:r>
      <w:bookmarkEnd w:id="936"/>
    </w:p>
    <w:p>
      <w:pPr>
        <w:pStyle w:val="Heading6"/>
        <w:numPr>
          <w:ilvl w:val="5"/>
          <w:numId w:val="1"/>
        </w:numPr>
        <w:rPr/>
      </w:pPr>
      <w:bookmarkStart w:id="937" w:name="__RefHeading___Toc1805074_1280447820"/>
      <w:bookmarkStart w:id="938" w:name="_Toc368"/>
      <w:bookmarkEnd w:id="937"/>
      <w:r>
        <w:rPr>
          <w:rtl w:val="true"/>
        </w:rPr>
        <w:t>المبحث الأوّل</w:t>
      </w:r>
      <w:r>
        <w:rPr>
          <w:rtl w:val="true"/>
        </w:rPr>
        <w:t xml:space="preserve">: </w:t>
      </w:r>
      <w:r>
        <w:rPr>
          <w:rtl w:val="true"/>
        </w:rPr>
        <w:t>فيما يتعلّق بالدلو المعتبر في النزح؛</w:t>
      </w:r>
      <w:bookmarkEnd w:id="938"/>
    </w:p>
    <w:p>
      <w:pPr>
        <w:pStyle w:val="Heading6"/>
        <w:numPr>
          <w:ilvl w:val="5"/>
          <w:numId w:val="1"/>
        </w:numPr>
        <w:rPr/>
      </w:pPr>
      <w:bookmarkStart w:id="939" w:name="__RefHeading___Toc1805076_1280447820"/>
      <w:bookmarkStart w:id="940" w:name="_Toc369"/>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الوارد في الروايات، و ما يلحق به و ما لا يلحق و فيه مسائل</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1805078_1280447820"/>
      <w:bookmarkStart w:id="942" w:name="_Toc370"/>
      <w:bookmarkEnd w:id="941"/>
      <w:r>
        <w:rPr>
          <w:rtl w:val="true"/>
        </w:rPr>
        <w:t>الاولى</w:t>
      </w:r>
      <w:r>
        <w:rPr>
          <w:rtl w:val="true"/>
        </w:rPr>
        <w:t xml:space="preserve">: </w:t>
      </w:r>
      <w:r>
        <w:rPr>
          <w:rtl w:val="true"/>
        </w:rPr>
        <w:t xml:space="preserve">في أنّ </w:t>
      </w:r>
      <w:r>
        <w:rPr>
          <w:rtl w:val="true"/>
        </w:rPr>
        <w:t>«</w:t>
      </w:r>
      <w:r>
        <w:rPr>
          <w:rtl w:val="true"/>
        </w:rPr>
        <w:t>الدلو</w:t>
      </w:r>
      <w:r>
        <w:rPr>
          <w:rtl w:val="true"/>
        </w:rPr>
        <w:t xml:space="preserve">» </w:t>
      </w:r>
      <w:r>
        <w:rPr>
          <w:rtl w:val="true"/>
        </w:rPr>
        <w:t>المعتبر في الروايات آلة للنزح ليس ممّا ثبت له معنى شرعي،</w:t>
      </w:r>
      <w:bookmarkEnd w:id="942"/>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أنّه ممّا له في عرف زمان الشارع معنى خاصّ به، و لا أنّه ممّا اختلف فيه عرف الراوي و المرويّ عنه و بلد السؤال، أو ممّا اختلف فيه الاصطلاحات كالمنّ </w:t>
      </w:r>
    </w:p>
    <w:p>
      <w:pPr>
        <w:pStyle w:val="BookText"/>
        <w:rPr/>
      </w:pPr>
      <w:r>
        <w:rPr>
          <w:rFonts w:ascii="Amiri" w:hAnsi="Amiri" w:eastAsia="Amiri" w:cs="Amiri"/>
          <w:color w:val="111111"/>
          <w:sz w:val="28"/>
          <w:sz w:val="28"/>
          <w:szCs w:val="28"/>
          <w:rtl w:val="true"/>
          <w:lang w:bidi="ar-SA"/>
        </w:rPr>
        <w:t>و الرطل و نحوهما، و لا أنّه ممّا اختلف فيه العرف و اللغة؛ بل هو لغة و عرفا لفظ مقول بالاشتراك المعنوي على الصغار و الكبار مع اختلاف آحادهما و المتوسّط بينهما، لكن إطلاقه لا ينصرف إلى الصغير و الكبير الخارجين عن حدّ التعارف و الاعتدال، كما لو كان منه في الصغر ما يسع مدّا أو أقلّ إلى مثقال و مثقالين مثلا، و في الكبر ما يسع كرّا أو كرورا أو نصف كرّ أو ثلثه و ربعه مثلا، فإنّهما على فرض دخولهما في مسمّى اللفظ عرفا أو لغة خارجان عن إطلاق اللفظ جدّا، و مقتضي القاعدة المحكّمة في مثل ذلك أن يحمل الخطاب على ما يصدق عليه الاسم عرفا و ينصرف إليه اللفظ استعمالا، كبيرا كان أو صغيرا أو متوسّطا بينهما ما لم يخرجا عن حدّ الاعتدال، إذ المفروض عدم ورود نصّ في تقديره كما وردت النصوص في تقدير النزح و اعتبار العدد، و ورود النصوص المقدّرة للعدد بالنسبة إلى الدلو مطلقة من غير استفصال</w:t>
      </w:r>
      <w:r>
        <w:rPr>
          <w:rStyle w:val="FootnoteAnchor"/>
          <w:rtl w:val="true"/>
        </w:rPr>
        <w:footnoteReference w:id="2914"/>
      </w:r>
      <w:r>
        <w:rPr>
          <w:rFonts w:ascii="Amiri" w:hAnsi="Amiri" w:eastAsia="Amiri" w:cs="Amiri"/>
          <w:color w:val="111111"/>
          <w:sz w:val="28"/>
          <w:sz w:val="28"/>
          <w:szCs w:val="28"/>
          <w:rtl w:val="true"/>
          <w:lang w:bidi="ar-SA"/>
        </w:rPr>
        <w:t>فيها عن الصغر و الكبر و لا تفصيل بين الصغير و الكبير، و لعلّه إلى ما ذكرناه يرجع ما في كلام الفقهاء من العبارات المختلفة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مبسوط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دلو العادة الّتي يستقي بها دون الدلاء الكبار لأنّه لم يقيّد في الخبر</w:t>
      </w:r>
      <w:r>
        <w:rPr>
          <w:rFonts w:eastAsia="Amiri" w:cs="Amiri" w:ascii="Amiri" w:hAnsi="Amiri"/>
          <w:color w:val="111111"/>
          <w:sz w:val="28"/>
          <w:szCs w:val="28"/>
          <w:rtl w:val="true"/>
          <w:lang w:bidi="ar-SA"/>
        </w:rPr>
        <w:t>»</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دلو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يستقي بها، و دون الصغار و الكبار الخارجة عن المعتاد و الغالب لأنّه لم يقيّد في الخبر</w:t>
      </w:r>
      <w:r>
        <w:rPr>
          <w:rFonts w:eastAsia="Amiri" w:cs="Amiri" w:ascii="Amiri" w:hAnsi="Amiri"/>
          <w:color w:val="111111"/>
          <w:sz w:val="28"/>
          <w:szCs w:val="28"/>
          <w:rtl w:val="true"/>
          <w:lang w:bidi="ar-SA"/>
        </w:rPr>
        <w:t>»</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الغنية و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دلو البئر المألوف</w:t>
      </w:r>
      <w:r>
        <w:rPr>
          <w:rFonts w:eastAsia="Amiri" w:cs="Amiri" w:ascii="Amiri" w:hAnsi="Amiri"/>
          <w:color w:val="111111"/>
          <w:sz w:val="28"/>
          <w:szCs w:val="28"/>
          <w:rtl w:val="true"/>
          <w:lang w:bidi="ar-SA"/>
        </w:rPr>
        <w:t>»</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 دلو العادة</w:t>
      </w:r>
      <w:r>
        <w:rPr>
          <w:rFonts w:eastAsia="Amiri" w:cs="Amiri" w:ascii="Amiri" w:hAnsi="Amiri"/>
          <w:color w:val="111111"/>
          <w:sz w:val="28"/>
          <w:szCs w:val="28"/>
          <w:rtl w:val="true"/>
          <w:lang w:bidi="ar-SA"/>
        </w:rPr>
        <w:t>»</w:t>
      </w:r>
      <w:r>
        <w:rPr>
          <w:rStyle w:val="FootnoteAnchor"/>
          <w:rtl w:val="true"/>
        </w:rPr>
        <w:footnoteReference w:id="2918"/>
      </w:r>
      <w:r>
        <w:rPr>
          <w:rFonts w:ascii="Amiri" w:hAnsi="Amiri" w:eastAsia="Amiri" w:cs="Amiri"/>
          <w:color w:val="111111"/>
          <w:sz w:val="28"/>
          <w:sz w:val="28"/>
          <w:szCs w:val="28"/>
          <w:rtl w:val="true"/>
          <w:lang w:bidi="ar-SA"/>
        </w:rPr>
        <w:t>، و نحوه عن المنتهى و التحرير</w:t>
      </w:r>
      <w:r>
        <w:rPr>
          <w:rStyle w:val="FootnoteAnchor"/>
          <w:rtl w:val="true"/>
        </w:rPr>
        <w:footnoteReference w:id="2919"/>
      </w:r>
      <w:r>
        <w:rPr>
          <w:rFonts w:ascii="Amiri" w:hAnsi="Amiri" w:eastAsia="Amiri" w:cs="Amiri"/>
          <w:color w:val="111111"/>
          <w:sz w:val="28"/>
          <w:sz w:val="28"/>
          <w:szCs w:val="28"/>
          <w:rtl w:val="true"/>
          <w:lang w:bidi="ar-SA"/>
        </w:rPr>
        <w:t>، و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جرت العادة باستعمالها</w:t>
      </w:r>
      <w:r>
        <w:rPr>
          <w:rFonts w:eastAsia="Amiri" w:cs="Amiri" w:ascii="Amiri" w:hAnsi="Amiri"/>
          <w:color w:val="111111"/>
          <w:sz w:val="28"/>
          <w:szCs w:val="28"/>
          <w:rtl w:val="true"/>
          <w:lang w:bidi="ar-SA"/>
        </w:rPr>
        <w:t>»</w:t>
      </w:r>
      <w:r>
        <w:rPr>
          <w:rStyle w:val="FootnoteAnchor"/>
          <w:rtl w:val="true"/>
        </w:rPr>
        <w:footnoteReference w:id="2920"/>
      </w:r>
      <w:r>
        <w:rPr>
          <w:rFonts w:ascii="Amiri" w:hAnsi="Amiri" w:eastAsia="Amiri" w:cs="Amiri"/>
          <w:color w:val="111111"/>
          <w:sz w:val="28"/>
          <w:sz w:val="28"/>
          <w:szCs w:val="28"/>
          <w:rtl w:val="true"/>
          <w:lang w:bidi="ar-SA"/>
        </w:rPr>
        <w:t>، 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المعتادة صغيرة كانت أو كبيرة، لأنّه ليس في الشرع لها وضع فيجب أن تتقيّد بالعرف</w:t>
      </w:r>
      <w:r>
        <w:rPr>
          <w:rFonts w:eastAsia="Amiri" w:cs="Amiri" w:ascii="Amiri" w:hAnsi="Amiri"/>
          <w:color w:val="111111"/>
          <w:sz w:val="28"/>
          <w:szCs w:val="28"/>
          <w:rtl w:val="true"/>
          <w:lang w:bidi="ar-SA"/>
        </w:rPr>
        <w:t>»</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الحوالة في الدلو على المعتاد لعدم التقدير الشرعي</w:t>
      </w:r>
      <w:r>
        <w:rPr>
          <w:rFonts w:eastAsia="Amiri" w:cs="Amiri" w:ascii="Amiri" w:hAnsi="Amiri"/>
          <w:color w:val="111111"/>
          <w:sz w:val="28"/>
          <w:szCs w:val="28"/>
          <w:rtl w:val="true"/>
          <w:lang w:bidi="ar-SA"/>
        </w:rPr>
        <w:t>»</w:t>
      </w:r>
      <w:r>
        <w:rPr>
          <w:rStyle w:val="FootnoteAnchor"/>
          <w:rtl w:val="true"/>
        </w:rPr>
        <w:footnoteReference w:id="2922"/>
      </w:r>
      <w:r>
        <w:rPr>
          <w:rFonts w:ascii="Amiri" w:hAnsi="Amiri" w:eastAsia="Amiri" w:cs="Amiri"/>
          <w:color w:val="111111"/>
          <w:sz w:val="28"/>
          <w:sz w:val="28"/>
          <w:szCs w:val="28"/>
          <w:rtl w:val="true"/>
          <w:lang w:bidi="ar-SA"/>
        </w:rPr>
        <w:t xml:space="preserve">و عن كتب </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المعتادة</w:t>
      </w:r>
      <w:r>
        <w:rPr>
          <w:rFonts w:eastAsia="Amiri" w:cs="Amiri" w:ascii="Amiri" w:hAnsi="Amiri"/>
          <w:color w:val="111111"/>
          <w:sz w:val="28"/>
          <w:szCs w:val="28"/>
          <w:rtl w:val="true"/>
          <w:lang w:bidi="ar-SA"/>
        </w:rPr>
        <w:t>»</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ليس المراد بالعادة في تلك العبارات ما يوجب تقييد المفهوم العرفي حتّى يطالب بدليله، بل الغلبة و كثرة التداول الموجبين لانصراف اللفظ إلى ما ليس بخارج عن حدّ الاعتدال لقلّة وجوده و عدم كونه ممّا اعتيد استعماله في الآبار و إن فرض استعماله في بعض الأحيان كما يشهد به مقابلة الشواذّ أو الكبار أو الصغار و الكبار، نظرا إلى ظهور أنّ المراد بهما ما هو الخارج في الصغر و الكبر عن حدّ الاعتدال المتعارفي لا مطلق مسمّى الصغير و الكبير، اللذين من جهة أنّهما أمران إضافيّان لا واسطة بينهما بحيث لا يكون صغيرا و لا كبيرا، بل كلّما فرض من دلو معتاد فهو صغير بالإضافة إلى دلو و كبير بالإضافة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المدارك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المرجع في الدلو إلى العرف العامّ، و لا عبرة بما جرت العادة باستعماله في تلك البئر إذا كان مخالفا له</w:t>
      </w:r>
      <w:r>
        <w:rPr>
          <w:rFonts w:eastAsia="Amiri" w:cs="Amiri" w:ascii="Amiri" w:hAnsi="Amiri"/>
          <w:color w:val="111111"/>
          <w:sz w:val="28"/>
          <w:szCs w:val="28"/>
          <w:rtl w:val="true"/>
          <w:lang w:bidi="ar-SA"/>
        </w:rPr>
        <w:t>»</w:t>
      </w:r>
      <w:r>
        <w:rPr>
          <w:rStyle w:val="FootnoteAnchor"/>
          <w:rtl w:val="true"/>
        </w:rPr>
        <w:footnoteReference w:id="2924"/>
      </w:r>
      <w:r>
        <w:rPr>
          <w:rFonts w:ascii="Amiri" w:hAnsi="Amiri" w:eastAsia="Amiri" w:cs="Amiri"/>
          <w:color w:val="111111"/>
          <w:sz w:val="28"/>
          <w:sz w:val="28"/>
          <w:szCs w:val="28"/>
          <w:rtl w:val="true"/>
          <w:lang w:bidi="ar-SA"/>
        </w:rPr>
        <w:t xml:space="preserve">، و قريب منه ما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المعالم</w:t>
      </w:r>
      <w:r>
        <w:rPr>
          <w:rStyle w:val="FootnoteAnchor"/>
          <w:rtl w:val="true"/>
        </w:rPr>
        <w:footnoteReference w:id="292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المعنى الّذي ذكرناه فمرحبا بالوفاق، و إن اريد به ما يعمّ ذلك فوارد على خلاف التحقيق، و الظاهر أنّهم يريدون المعنى الأوّل و عليه لا يخالف كلامهم للعبارات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بعضهم من توهّم المخالفة فهو إمّا مبنيّ على فهم المعنى الثاني من كلامهم، أو على ما قد يستظهر من العبارات المذكورة من إرادة ما هو المعتاد على تلك البئر، بل هو محكيّ عن صريح المحقّق و الشهيد الثانيين</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أظهر تلك العبارات فيه عبارة السرائر</w:t>
      </w:r>
      <w:r>
        <w:rPr>
          <w:rStyle w:val="FootnoteAnchor"/>
          <w:rtl w:val="true"/>
        </w:rPr>
        <w:footnoteReference w:id="2927"/>
      </w:r>
      <w:r>
        <w:rPr>
          <w:rFonts w:ascii="Amiri" w:hAnsi="Amiri" w:eastAsia="Amiri" w:cs="Amiri"/>
          <w:color w:val="111111"/>
          <w:sz w:val="28"/>
          <w:sz w:val="28"/>
          <w:szCs w:val="28"/>
          <w:rtl w:val="true"/>
          <w:lang w:bidi="ar-SA"/>
        </w:rPr>
        <w:t xml:space="preserve">، حيث احترز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الشاذّة الّتي يستقى بها، فإنّ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عطف الصغار و الكبار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شذّ إلاّ الاستقاء بها و إن كانت متوسّطة في الصغر و الكبر</w:t>
      </w:r>
      <w:r>
        <w:rPr>
          <w:rFonts w:eastAsia="Amiri" w:cs="Amiri" w:ascii="Amiri" w:hAnsi="Amiri"/>
          <w:color w:val="111111"/>
          <w:sz w:val="28"/>
          <w:szCs w:val="28"/>
          <w:rtl w:val="true"/>
          <w:lang w:bidi="ar-SA"/>
        </w:rPr>
        <w:t>»</w:t>
      </w:r>
      <w:r>
        <w:rPr>
          <w:rStyle w:val="FootnoteAnchor"/>
          <w:rtl w:val="true"/>
        </w:rPr>
        <w:footnoteReference w:id="29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و إن كان محتملا لكنّ الثاني مقطوع بفساده، بل العبارات ظاهرة فيما ذكرناه، و أظهرها فيه عبارة المعتبر المذيّلة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أن يتقيّد بالعرف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p>
    <w:p>
      <w:pPr>
        <w:pStyle w:val="BookText"/>
        <w:rPr/>
      </w:pPr>
      <w:r>
        <w:rPr>
          <w:rFonts w:ascii="Amiri" w:hAnsi="Amiri" w:eastAsia="Amiri" w:cs="Amiri"/>
          <w:color w:val="111111"/>
          <w:sz w:val="28"/>
          <w:sz w:val="28"/>
          <w:szCs w:val="28"/>
          <w:rtl w:val="true"/>
          <w:lang w:bidi="ar-SA"/>
        </w:rPr>
        <w:t xml:space="preserve">بضميمة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بالمعتادة مع تعميمه إيّاها من حيث الصغر و الكبر صريح في ذلك كما يظهر بأدنى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يوهم خلاف ذلك عبارة الغنية و الكافي لمكان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للعهد، غير أنّه مدفوع أيضا بظهوره في الجنس على ما هو وضعها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أظهريّة عبارة السرائر في ذلك بتقريب ما ذكر،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بالشاذّة بقرينة استثناء الصغار و الكبار ما يشذّ اتّخاذ الدلو منها من جلود السباع و نحوها بعد تذكيتها، لكونها من الأفراد الغير المتداولة في العرف و العادة، و عليه يكون المراد بالصغار و الكبار ما هو الخارج في الصغر و الكبر عن حدّ الاعتدال ممّا يتّخذ من الجلود المتعارف اتّخاذ الدلو منها، لا ما يشذّ استعماله في تلك البئر و لو كان ممّا يتّخذ من الجلود المتعارفة ممّا لا يكون صغيرا و لا كبيرا خارجا عن الاعتدال، و إلاّ بطل إطلاق استثناء الصغار و الكبار، لكونه منافيا لجعل العبرة بالمعتاد على تلك البئر لو فرض كون معتادها دلوا كبيرا أو صغيرا، فإنّ هذا كلّه مضافا إلى أنّ اعتبار المعتاد على تلك البئر خاصّة دعوى لا شاهد عليها، بل تقييد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بلا موجب له من شاهد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له التبادر العرفي و لو كان إطلاقيّا، أ لا ترى أنّه إذا أمر السيّد عبده بنزح دلاء من بئر معيّن لكان المنساق منه نزحه بما يعتاد من الدلاء على تلك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ذلك التبادر من إطلاق اللفظ، و إنّما المتبادر أوّلا الماهيّة الشاملة للمعتاد عليها و لغيره، و لمّا كان الأخذ بالماهيّة لا يتأتّى إلاّ بأخذ مصداق لها فحصل الالتفات إلى تعيين المصداق للأخذ به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w:t>
      </w:r>
      <w:r>
        <w:rPr>
          <w:rFonts w:eastAsia="Amiri" w:cs="Amiri" w:ascii="Amiri" w:hAnsi="Amiri"/>
          <w:color w:val="111111"/>
          <w:sz w:val="28"/>
          <w:szCs w:val="28"/>
          <w:rtl w:val="true"/>
          <w:lang w:bidi="ar-SA"/>
        </w:rPr>
        <w:t>]</w:t>
      </w:r>
      <w:r>
        <w:rPr>
          <w:rStyle w:val="FootnoteAnchor"/>
          <w:rtl w:val="true"/>
        </w:rPr>
        <w:footnoteReference w:id="2929"/>
      </w:r>
      <w:r>
        <w:rPr>
          <w:rFonts w:ascii="Amiri" w:hAnsi="Amiri" w:eastAsia="Amiri" w:cs="Amiri"/>
          <w:color w:val="111111"/>
          <w:sz w:val="28"/>
          <w:sz w:val="28"/>
          <w:szCs w:val="28"/>
          <w:rtl w:val="true"/>
          <w:lang w:bidi="ar-SA"/>
        </w:rPr>
        <w:t>الذهن إلى ذلك المعيّن المعتاد على تلك البئر، و لذا لو فرض أنّ العبد عدل عن استعمال هذا المعتاد و استعار دلوا آخر ممّا يعتاد على غير تلك البئر كان ممتثلا لأمر السيّد جزما، و إن كان قد يعدّ فعله هذا سفها إذا كان صدر منه بلا حكمة دعت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المتّفق على حصول الامتثال به إنّما هو المعتاد على تلك البئر خاصّة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يرجع إلى مراعاة الاحتياط الّذي نمنع وجوبه بعد نهوض إطلاق اللفظ </w:t>
      </w:r>
    </w:p>
    <w:p>
      <w:pPr>
        <w:pStyle w:val="BookText"/>
        <w:rPr/>
      </w:pPr>
      <w:r>
        <w:rPr>
          <w:rFonts w:ascii="Amiri" w:hAnsi="Amiri" w:eastAsia="Amiri" w:cs="Amiri"/>
          <w:color w:val="111111"/>
          <w:sz w:val="28"/>
          <w:sz w:val="28"/>
          <w:szCs w:val="28"/>
          <w:rtl w:val="true"/>
          <w:lang w:bidi="ar-SA"/>
        </w:rPr>
        <w:t>الوارد في الأخبار، و استحبابه المسلّم بحكم العقل و النقل لا ينافي الاكتفاء بغير المعتاد ممّا هو متداول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كما لا خلاف لأحد في أنّ الظاهر المنساق من الأخبار إنّما هو المتعارف في زمن الصدور، فلم لا تعتبره و تكتفي بالمفهوم العرفي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إنّما هو من جهة اختصاص الخطاب بأهل زمن الصدور بل خصوص المخاطب، لكن قد عرفت سابقا أنّه لا مخالفة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عرف ذلك الزمان و عرف سائر الأزمنة إلى زماننا هذا، و لا بين العرف العامّ و اللغة، فإذا اكتفينا بالعرف العامّ الثابت في هذا الزمان فقد أخذنا بما كان متعارفا نوعه في زمن الصدور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الاحتمالات الجارية في المقام و في عبارات الأصحاب من كون العبرة بالمعتاد في زمن الصدور خاصّة، أو بالمعتاد في جميع الأزمنة، أو بالمعتاد في زماننا هذا في جميع البلدان، أو بالمعتاد في بلد البئر المبتلى بها، كلّها يرجع إلى معنى واحد، و هو كون العبرة بالمفهوم العرفي العامّ المنصرف عند الإطلاق إلى الأفراد الغالبة، و هي الّتي صارت معتادة في جميع الأزمنة و كافّة البلدان الدائرة بين صغير و كبير غير الخارجين عن الاعتدال و المتوسّط بينهما، فالمكلّف بحكم إطلاق الأخبار و فتاوي العلماء الأخيار مخيّر بين الجميع، و إن لم يكن معتادا استعماله على شخص البئر أو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الاستحبابي في اعتبار المعتاد لو كان أكبر من غيره، كما أنّه في غيره لو كان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يستفاد من بعضهم و تبعه غير واحد من متأخّري المتأخّرين بعد اعتبار ما جرت العادة على شخص البئر أو على نوعها من أنّه إن تساوت الدلاء فيه في جميع الأزمان فلا إشكال، و إن اختلفت فالغالب، و إن تساوت فالتخيير، و لو لم يكن لها دلو في البلد و لا لأمثالها فدلو أقرب البلدان إليها فالأقرب إن اتّفقت، و مع الاختلاف ما تقدّم من اعتبار الغالب إن كان و إلاّ فالتخيير، تكلّف غير واضح الوجه</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مع الجزم بأنّ أصحاب الأئمّة ما كانوا يلتزمون بمثل هذا التكلّف، فلذا لم يقع إليه في النصوص و كلام الأصحاب إشارة</w:t>
      </w:r>
      <w:r>
        <w:rPr>
          <w:rFonts w:eastAsia="Amiri" w:cs="Amiri" w:ascii="Amiri" w:hAnsi="Amiri"/>
          <w:color w:val="111111"/>
          <w:sz w:val="28"/>
          <w:szCs w:val="28"/>
          <w:rtl w:val="true"/>
          <w:lang w:bidi="ar-SA"/>
        </w:rPr>
        <w:t xml:space="preserve">. </w:t>
      </w:r>
      <w:bookmarkStart w:id="943" w:name="pg16144_233655"/>
    </w:p>
    <w:p>
      <w:pPr>
        <w:pStyle w:val="BookText"/>
        <w:rPr/>
      </w:pPr>
      <w:bookmarkEnd w:id="943"/>
      <w:r>
        <w:rPr>
          <w:rFonts w:ascii="Amiri" w:hAnsi="Amiri" w:eastAsia="Amiri" w:cs="Amiri"/>
          <w:color w:val="111111"/>
          <w:sz w:val="28"/>
          <w:sz w:val="28"/>
          <w:szCs w:val="28"/>
          <w:rtl w:val="true"/>
          <w:lang w:bidi="ar-SA"/>
        </w:rPr>
        <w:t>و عن بعض المتقدّمين</w:t>
      </w:r>
      <w:r>
        <w:rPr>
          <w:rFonts w:eastAsia="Amiri" w:cs="Amiri" w:ascii="Amiri" w:hAnsi="Amiri"/>
          <w:color w:val="111111"/>
          <w:sz w:val="28"/>
          <w:szCs w:val="28"/>
          <w:rtl w:val="true"/>
          <w:lang w:bidi="ar-SA"/>
        </w:rPr>
        <w:t>:</w:t>
      </w:r>
      <w:r>
        <w:rPr>
          <w:rStyle w:val="FootnoteAnchor"/>
          <w:rtl w:val="true"/>
        </w:rPr>
        <w:footnoteReference w:id="2930"/>
      </w:r>
      <w:r>
        <w:rPr>
          <w:rFonts w:ascii="Amiri" w:hAnsi="Amiri" w:eastAsia="Amiri" w:cs="Amiri"/>
          <w:color w:val="111111"/>
          <w:sz w:val="28"/>
          <w:sz w:val="28"/>
          <w:szCs w:val="28"/>
          <w:rtl w:val="true"/>
          <w:lang w:bidi="ar-SA"/>
        </w:rPr>
        <w:t>أنّ المراد بالدلو الهجريّة</w:t>
      </w:r>
      <w:r>
        <w:rPr>
          <w:rStyle w:val="FootnoteAnchor"/>
          <w:rtl w:val="true"/>
        </w:rPr>
        <w:footnoteReference w:id="2931"/>
      </w:r>
      <w:r>
        <w:rPr>
          <w:rFonts w:ascii="Amiri" w:hAnsi="Amiri" w:eastAsia="Amiri" w:cs="Amiri"/>
          <w:color w:val="111111"/>
          <w:sz w:val="28"/>
          <w:sz w:val="28"/>
          <w:szCs w:val="28"/>
          <w:rtl w:val="true"/>
          <w:lang w:bidi="ar-SA"/>
        </w:rPr>
        <w:t>و وزنها ثلاثون رطلا،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أربعون، و هو ضعيف جدّا لعراه عن مستند معتبر،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 ما نقل عن الفقه الرضوي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فأرة أو طائر أو سنّور و ما أشبه ذلك فمات فيها و لم يتفسّخ نزح منها سبعة أدلو من دلاء هجر، و الدلو أربعون رطلا</w:t>
      </w:r>
      <w:r>
        <w:rPr>
          <w:rFonts w:eastAsia="Amiri" w:cs="Amiri" w:ascii="Amiri" w:hAnsi="Amiri"/>
          <w:color w:val="111111"/>
          <w:sz w:val="28"/>
          <w:szCs w:val="28"/>
          <w:rtl w:val="true"/>
          <w:lang w:bidi="ar-SA"/>
        </w:rPr>
        <w:t>»</w:t>
      </w:r>
      <w:r>
        <w:rPr>
          <w:rStyle w:val="FootnoteAnchor"/>
          <w:rtl w:val="true"/>
        </w:rPr>
        <w:footnoteReference w:id="2932"/>
      </w:r>
      <w:r>
        <w:rPr>
          <w:rFonts w:ascii="Amiri" w:hAnsi="Amiri" w:eastAsia="Amiri" w:cs="Amiri"/>
          <w:color w:val="111111"/>
          <w:sz w:val="28"/>
          <w:sz w:val="28"/>
          <w:szCs w:val="28"/>
          <w:rtl w:val="true"/>
          <w:lang w:bidi="ar-SA"/>
        </w:rPr>
        <w:t>، فإنّ العذر في عدم الاعتداد بذلك ما تقدّم الإشارة إليه، كما عليه بناء المعظم على ما اعتذر لهم بعضهم في عدم اعتدادهم هنا بما عرفت</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1805080_1280447820"/>
      <w:bookmarkStart w:id="945" w:name="_Toc371"/>
      <w:bookmarkEnd w:id="944"/>
      <w:r>
        <w:rPr>
          <w:rtl w:val="true"/>
        </w:rPr>
        <w:t>المسألة الثانية</w:t>
      </w:r>
      <w:r>
        <w:rPr>
          <w:rtl w:val="true"/>
        </w:rPr>
        <w:t xml:space="preserve">: </w:t>
      </w:r>
      <w:r>
        <w:rPr>
          <w:rtl w:val="true"/>
        </w:rPr>
        <w:t xml:space="preserve">عن العلاّمة </w:t>
      </w:r>
      <w:r>
        <w:rPr>
          <w:rtl w:val="true"/>
        </w:rPr>
        <w:t>[</w:t>
      </w:r>
      <w:r>
        <w:rPr>
          <w:rtl w:val="true"/>
        </w:rPr>
        <w:t>و غيره بأنّه لو نزح البئر بإناء عظيم يسع العدد و مقدار الدلاء المقدّرة دفعة أو دفعات كان مجزيا</w:t>
      </w:r>
      <w:r>
        <w:rPr>
          <w:rtl w:val="true"/>
        </w:rPr>
        <w:t>]</w:t>
      </w:r>
      <w:bookmarkEnd w:id="945"/>
    </w:p>
    <w:p>
      <w:pPr>
        <w:pStyle w:val="BookText"/>
        <w:rPr/>
      </w:pPr>
      <w:r>
        <w:rPr>
          <w:rFonts w:ascii="Amiri" w:hAnsi="Amiri" w:eastAsia="Amiri" w:cs="Amiri"/>
          <w:color w:val="111111"/>
          <w:sz w:val="28"/>
          <w:sz w:val="28"/>
          <w:szCs w:val="28"/>
          <w:rtl w:val="true"/>
          <w:lang w:bidi="ar-SA"/>
        </w:rPr>
        <w:t>في أكثر كتبه</w:t>
      </w:r>
      <w:r>
        <w:rPr>
          <w:rStyle w:val="FootnoteAnchor"/>
          <w:rtl w:val="true"/>
        </w:rPr>
        <w:footnoteReference w:id="2933"/>
      </w:r>
      <w:r>
        <w:rPr>
          <w:rFonts w:ascii="Amiri" w:hAnsi="Amiri" w:eastAsia="Amiri" w:cs="Amiri"/>
          <w:color w:val="111111"/>
          <w:sz w:val="28"/>
          <w:sz w:val="28"/>
          <w:szCs w:val="28"/>
          <w:rtl w:val="true"/>
          <w:lang w:bidi="ar-SA"/>
        </w:rPr>
        <w:t>، و تبعه الشهيد في الذكرى</w:t>
      </w:r>
      <w:r>
        <w:rPr>
          <w:rStyle w:val="FootnoteAnchor"/>
          <w:rtl w:val="true"/>
        </w:rPr>
        <w:footnoteReference w:id="2934"/>
      </w:r>
      <w:r>
        <w:rPr>
          <w:rFonts w:ascii="IRNazanin" w:hAnsi="IRNazanin" w:eastAsia="IRNazanin"/>
          <w:color w:val="111111"/>
          <w:sz w:val="28"/>
          <w:sz w:val="28"/>
          <w:szCs w:val="28"/>
          <w:rtl w:val="true"/>
          <w:lang w:bidi="fa-IR"/>
        </w:rPr>
        <w:t>، و صاحب المعالم</w:t>
      </w:r>
      <w:r>
        <w:rPr>
          <w:rStyle w:val="FootnoteAnchor"/>
          <w:rtl w:val="true"/>
        </w:rPr>
        <w:footnoteReference w:id="2935"/>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لو نزح البئر بإناء عظيم يسع العدد و مقدار الدلاء المقدّرة دفعة أو دفعات كان مجزيا، و عن المحقّق في المعتبر</w:t>
      </w:r>
      <w:r>
        <w:rPr>
          <w:rStyle w:val="FootnoteAnchor"/>
          <w:rtl w:val="true"/>
        </w:rPr>
        <w:footnoteReference w:id="2936"/>
      </w:r>
      <w:r>
        <w:rPr>
          <w:rFonts w:ascii="Amiri" w:hAnsi="Amiri" w:eastAsia="Amiri" w:cs="Amiri"/>
          <w:color w:val="111111"/>
          <w:sz w:val="28"/>
          <w:sz w:val="28"/>
          <w:szCs w:val="28"/>
          <w:rtl w:val="true"/>
          <w:lang w:bidi="ar-SA"/>
        </w:rPr>
        <w:t>، و العلاّمة في التحرير</w:t>
      </w:r>
      <w:r>
        <w:rPr>
          <w:rStyle w:val="FootnoteAnchor"/>
          <w:rtl w:val="true"/>
        </w:rPr>
        <w:footnoteReference w:id="2937"/>
      </w:r>
      <w:r>
        <w:rPr>
          <w:rFonts w:ascii="IRNazanin" w:hAnsi="IRNazanin" w:eastAsia="IRNazanin"/>
          <w:color w:val="111111"/>
          <w:sz w:val="28"/>
          <w:sz w:val="28"/>
          <w:szCs w:val="28"/>
          <w:rtl w:val="true"/>
          <w:lang w:bidi="fa-IR"/>
        </w:rPr>
        <w:t>، و المنتهى</w:t>
      </w:r>
      <w:r>
        <w:rPr>
          <w:rStyle w:val="FootnoteAnchor"/>
          <w:rtl w:val="true"/>
        </w:rPr>
        <w:footnoteReference w:id="2938"/>
      </w:r>
      <w:r>
        <w:rPr>
          <w:rFonts w:ascii="Amiri" w:hAnsi="Amiri" w:eastAsia="Amiri" w:cs="Amiri"/>
          <w:color w:val="111111"/>
          <w:sz w:val="28"/>
          <w:sz w:val="28"/>
          <w:szCs w:val="28"/>
          <w:rtl w:val="true"/>
          <w:lang w:bidi="ar-SA"/>
        </w:rPr>
        <w:t>، و الشهيد في الدروس</w:t>
      </w:r>
      <w:r>
        <w:rPr>
          <w:rStyle w:val="FootnoteAnchor"/>
          <w:rtl w:val="true"/>
        </w:rPr>
        <w:footnoteReference w:id="2939"/>
      </w:r>
      <w:r>
        <w:rPr>
          <w:rFonts w:ascii="Amiri" w:hAnsi="Amiri" w:eastAsia="Amiri" w:cs="Amiri"/>
          <w:color w:val="111111"/>
          <w:sz w:val="28"/>
          <w:sz w:val="28"/>
          <w:szCs w:val="28"/>
          <w:rtl w:val="true"/>
          <w:lang w:bidi="ar-SA"/>
        </w:rPr>
        <w:t>و البيان</w:t>
      </w:r>
      <w:r>
        <w:rPr>
          <w:rStyle w:val="FootnoteAnchor"/>
          <w:rtl w:val="true"/>
        </w:rPr>
        <w:footnoteReference w:id="2940"/>
      </w:r>
      <w:r>
        <w:rPr>
          <w:rFonts w:ascii="Amiri" w:hAnsi="Amiri" w:eastAsia="Amiri" w:cs="Amiri"/>
          <w:color w:val="111111"/>
          <w:sz w:val="28"/>
          <w:sz w:val="28"/>
          <w:szCs w:val="28"/>
          <w:rtl w:val="true"/>
          <w:lang w:bidi="ar-SA"/>
        </w:rPr>
        <w:t>، و الشهيد الثاني</w:t>
      </w:r>
      <w:r>
        <w:rPr>
          <w:rStyle w:val="FootnoteAnchor"/>
          <w:rtl w:val="true"/>
        </w:rPr>
        <w:footnoteReference w:id="2941"/>
      </w:r>
      <w:r>
        <w:rPr>
          <w:rFonts w:ascii="Amiri" w:hAnsi="Amiri" w:eastAsia="Amiri" w:cs="Amiri"/>
          <w:color w:val="111111"/>
          <w:sz w:val="28"/>
          <w:sz w:val="28"/>
          <w:szCs w:val="28"/>
          <w:rtl w:val="true"/>
          <w:lang w:bidi="ar-SA"/>
        </w:rPr>
        <w:t>أيضا القول بخلافه، حجّة الأوّلين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اعتبار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إخراج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بذلك أيضا فيكون مجزيا</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يصحّ فيما لو كان المقدّر الشرعي مقدّرا وزنيّا كالكرّ المقدّر نزحه في بعض النجاسات، و في حكمه النزح المزيل للتغيّر على المختار من حصول الطهر بإزالة التغيّر و نزح الجميع فيما اعتبر له ذلك، فإنّ الغرض في هذه الصور يحصل بكلّ ما أمكن معه النزح كما نصّ عليه غير واحد و نفوا عنه الإشكال بل الخلاف أيضا، و لا ريب أنّ مفروض المسألة ليس من هذا الباب، بل المقدّر الشرعي هنا عددي، و أداء المقدّر الوزني من دون مراعاة العدد المخصوص لا يقوم مقام العدد و إن بلغ في الكثرة ما </w:t>
      </w:r>
    </w:p>
    <w:p>
      <w:pPr>
        <w:pStyle w:val="BookText"/>
        <w:rPr/>
      </w:pPr>
      <w:r>
        <w:rPr>
          <w:rFonts w:ascii="Amiri" w:hAnsi="Amiri" w:eastAsia="Amiri" w:cs="Amiri"/>
          <w:color w:val="111111"/>
          <w:sz w:val="28"/>
          <w:sz w:val="28"/>
          <w:szCs w:val="28"/>
          <w:rtl w:val="true"/>
          <w:lang w:bidi="ar-SA"/>
        </w:rPr>
        <w:t>بلغ؛ و لعلّ الشارع الحكيم من جهة علمه بأنّ أثر هذه النجاسة لا يزول إلاّ بتحقّق هذا العدد في الخارج و اعتبره على قياس ما هو الحال في التطهير عن النجاسات الحاصلة في الثوب و نحوه المعتبر في غسلها التعدّد مرّتين أو ثلاث أو سبع مرّات، و كما أنّ ذلك لا يطهّر بغسله مرّة بمدّ أو أكثر من الماء الّذي لو فرض غسله به مع اعتبار العدد كان كافيا في طهره فكذلك المقام، لا نقول بأنّه مثله حتّى يكون راجعا إلى القياس، بل المراد أنّ كونه كذلك محتمل فينعقد معه موضوع الاستصحاب و هذا أصل لا رافع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يقوى هذا التوهّم على القول بوجوب النزح تعبّدا، نظرا إلى أنّ وجوبه حينئذ توصّلي و من حكمه أن يحصل في الخارج بأيّ نحو اتّفق، و لذا لا يعتبر فيه نيّة القربة كما 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مفهوم الواجب التوصّلي حصول المأمور به في الخارج كيفما اتّفق إذا اتي به على نحو ما امر به، و المفروض خلافه، إذ الأمر قد تعلّق بالعدد و المقدار الغير العددي ليس منه، كيف و لو صحّ ذلك لكان الواجب على الشارع التعرّض لتعيين المقدار، و كان عليه التفصيل في الدلاء باعتبار ما يكون منها كافيا عدده المعيّن في خروج المقدار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يؤيّد القول بعدم الإجزاء بأنّهم عليهم السّلام أمروا بنزح العدد من غير تفصيل بين الدلو الصغير و الكبير مع أنّ الغالب التفاوت بين الدلاء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قد يؤيّد به القول بالإجزاء من أمنه من انصباب الماء النجس عن الدلو في البئر إلاّ نادرا، فليس بشيء بعد ثبوت العفو عن ذلك قليله و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مجرّد احتمال كون الأمر بالعدد واردا مورد الغالب لا يوجب اليقين بالبراءة الّذي يستدعيه اليقين بالاشتغال، و لذا احتجّ المانعون عن الاجتزاء بأنّ الحكمة قد تعلّقت بالعدد و لا يعلم حصولها بغيره، و احتجّوا أيضا بعدم الإتيان بالمأمور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بالنزح وارد على الماء، و الدلاء مقدار، فيكون القدر هو المراد، و تقييده بالعدد لانضباطه و ظهوره بخلاف غيره</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بملاحظة ما ذكرناه جوابا عن الأوّل،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منع المقدّمة الثالثة و الرابعة معا، فإنّ كلاّ من ذلك أوّل المسألة و عين المدّعى، فلا بدّ له من دليل آخر</w:t>
      </w:r>
      <w:r>
        <w:rPr>
          <w:rFonts w:eastAsia="Amiri" w:cs="Amiri" w:ascii="Amiri" w:hAnsi="Amiri"/>
          <w:color w:val="111111"/>
          <w:sz w:val="28"/>
          <w:szCs w:val="28"/>
          <w:rtl w:val="true"/>
          <w:lang w:bidi="ar-SA"/>
        </w:rPr>
        <w:t xml:space="preserve">. </w:t>
      </w:r>
      <w:bookmarkStart w:id="946" w:name="pg16144_233657"/>
    </w:p>
    <w:p>
      <w:pPr>
        <w:pStyle w:val="BookText"/>
        <w:rPr/>
      </w:pPr>
      <w:bookmarkEnd w:id="946"/>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مورد النصّ إلى ما هو خارج عنه ممّا لا وجه له سواء على القول بالتنجيس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بالتنجيس لا يبعد القول بكفاية نزح العدد بإناء آخر من سطل أو آنية فخار أو نحوهما ممّا يسع ما يسعه الدلو المعتاد،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الوجداني بعدم مدخليّة خصوصيّة إناء دون إناء آخر في التطهير إذا تساويا في السعة، و لا ينافيه اختصاص ما ورد في النصوص بالدلو بعد ملاحظة كونه الآلة الغالبة في النزح، فلا ينافي ثبوت الحكم في غير الغالب أيضا</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1805082_1280447820"/>
      <w:bookmarkStart w:id="948" w:name="_Toc372"/>
      <w:bookmarkEnd w:id="947"/>
      <w:r>
        <w:rPr>
          <w:rtl w:val="true"/>
        </w:rPr>
        <w:t>[</w:t>
      </w:r>
      <w:r>
        <w:rPr>
          <w:rtl w:val="true"/>
        </w:rPr>
        <w:t>المسألة</w:t>
      </w:r>
      <w:r>
        <w:rPr>
          <w:rtl w:val="true"/>
        </w:rPr>
        <w:t xml:space="preserve">] </w:t>
      </w:r>
      <w:r>
        <w:rPr>
          <w:rtl w:val="true"/>
        </w:rPr>
        <w:t>الثالثة</w:t>
      </w:r>
      <w:r>
        <w:rPr>
          <w:rtl w:val="true"/>
        </w:rPr>
        <w:t xml:space="preserve">: </w:t>
      </w:r>
      <w:r>
        <w:rPr>
          <w:rtl w:val="true"/>
        </w:rPr>
        <w:t>إذا غار ماء البئر قبل النزح ثمّ عاد فعلى القول بالوجوب تعبّدا لا إشكال في سقوط الأمر بالنزح ما دام غائرا،</w:t>
      </w:r>
      <w:bookmarkEnd w:id="948"/>
    </w:p>
    <w:p>
      <w:pPr>
        <w:pStyle w:val="BookText"/>
        <w:rPr/>
      </w:pPr>
      <w:r>
        <w:rPr>
          <w:rFonts w:ascii="Amiri" w:hAnsi="Amiri" w:eastAsia="Amiri" w:cs="Amiri"/>
          <w:color w:val="111111"/>
          <w:sz w:val="28"/>
          <w:sz w:val="28"/>
          <w:szCs w:val="28"/>
          <w:rtl w:val="true"/>
          <w:lang w:bidi="ar-SA"/>
        </w:rPr>
        <w:t>ضرورة ارتفاع الأمر بانتفاء موضوعه، و عوده بالعود غير معلوم فالأصل عدمه، و على قياسه الكلام بناء على المختار من استحباب النزح، و أمّا على القول بالنجاسة ففي منتهى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فيه الطهارة</w:t>
      </w:r>
      <w:r>
        <w:rPr>
          <w:rFonts w:eastAsia="Amiri" w:cs="Amiri" w:ascii="Amiri" w:hAnsi="Amiri"/>
          <w:color w:val="111111"/>
          <w:sz w:val="28"/>
          <w:szCs w:val="28"/>
          <w:rtl w:val="true"/>
          <w:lang w:bidi="ar-SA"/>
        </w:rPr>
        <w:t>»</w:t>
      </w:r>
      <w:r>
        <w:rPr>
          <w:rStyle w:val="FootnoteAnchor"/>
          <w:rtl w:val="true"/>
        </w:rPr>
        <w:footnoteReference w:id="2942"/>
      </w:r>
      <w:r>
        <w:rPr>
          <w:rFonts w:ascii="Amiri" w:hAnsi="Amiri" w:eastAsia="Amiri" w:cs="Amiri"/>
          <w:color w:val="111111"/>
          <w:sz w:val="28"/>
          <w:sz w:val="28"/>
          <w:szCs w:val="28"/>
          <w:rtl w:val="true"/>
          <w:lang w:bidi="ar-SA"/>
        </w:rPr>
        <w:t>، و هو محكيّ عن جملة من الأصحاب كما عن القواعد</w:t>
      </w:r>
      <w:r>
        <w:rPr>
          <w:rStyle w:val="FootnoteAnchor"/>
          <w:rtl w:val="true"/>
        </w:rPr>
        <w:footnoteReference w:id="2943"/>
      </w:r>
      <w:r>
        <w:rPr>
          <w:rFonts w:ascii="IRNazanin" w:hAnsi="IRNazanin" w:eastAsia="IRNazanin"/>
          <w:color w:val="111111"/>
          <w:sz w:val="28"/>
          <w:sz w:val="28"/>
          <w:szCs w:val="28"/>
          <w:rtl w:val="true"/>
          <w:lang w:bidi="fa-IR"/>
        </w:rPr>
        <w:t>، و الدروس</w:t>
      </w:r>
      <w:r>
        <w:rPr>
          <w:rStyle w:val="FootnoteAnchor"/>
          <w:rtl w:val="true"/>
        </w:rPr>
        <w:footnoteReference w:id="2944"/>
      </w:r>
      <w:r>
        <w:rPr>
          <w:rFonts w:ascii="IRNazanin" w:hAnsi="IRNazanin" w:eastAsia="IRNazanin"/>
          <w:color w:val="111111"/>
          <w:sz w:val="28"/>
          <w:sz w:val="28"/>
          <w:szCs w:val="28"/>
          <w:rtl w:val="true"/>
          <w:lang w:bidi="fa-IR"/>
        </w:rPr>
        <w:t>، و ظاهر المعالم</w:t>
      </w:r>
      <w:r>
        <w:rPr>
          <w:rStyle w:val="FootnoteAnchor"/>
          <w:rtl w:val="true"/>
        </w:rPr>
        <w:footnoteReference w:id="294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كثير من الأصحاب</w:t>
      </w:r>
      <w:r>
        <w:rPr>
          <w:rStyle w:val="FootnoteAnchor"/>
          <w:rtl w:val="true"/>
        </w:rPr>
        <w:footnoteReference w:id="2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للطهارة ذهاب الماء و هو كما يحصل بالنزح يحصل بالغور، و لا يعلم كون الغائر هو العائد، و الأصل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النزح لم يتعلّق بالبئر، بل بمائها المحكوم بنجاسته، و لا يعلم بوجوده و الحال هذه، فلا يجب نزحه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Style w:val="FootnoteAnchor"/>
          <w:rtl w:val="true"/>
        </w:rPr>
        <w:footnoteReference w:id="2947"/>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المقتضي للطهارة 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كونه النزح، باعتبار أنّه يوجب جريان الماء فيطهّر به أرض البئر و ماؤها، و لا ريب أنّ هذا المعنى مفقود في الغور فلم يطهّر أرض البئر، فكلّما ينبع منها الماء يصير نجسا لملاقاته النجاسة على القول بانفعال البئر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أنّ ماء كانت نجسة</w:t>
      </w:r>
      <w:r>
        <w:rPr>
          <w:rStyle w:val="FootnoteAnchor"/>
          <w:rtl w:val="true"/>
        </w:rPr>
        <w:footnoteReference w:id="2948"/>
      </w:r>
      <w:r>
        <w:rPr>
          <w:rFonts w:ascii="Amiri" w:hAnsi="Amiri" w:eastAsia="Amiri" w:cs="Amiri"/>
          <w:color w:val="111111"/>
          <w:sz w:val="28"/>
          <w:sz w:val="28"/>
          <w:szCs w:val="28"/>
          <w:rtl w:val="true"/>
          <w:lang w:bidi="ar-SA"/>
        </w:rPr>
        <w:t>، و لم يعلم لها مزيل فيستصحب نجاستها، و به ينجّس كلّما ينبع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الجوابين، و إن كان منع كون المقتضي للطهارة ذهاب الماء في محلّه، فإنّ نجاسة أرض البئر لا قاضي بها إلاّ الاستصحاب، و كون النجاسة المستصحبة منجّسة غير مسلّمة لمكان كونها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فكما يحتمل تنجّس الماء المتجدّد بأرض البئر كذلك يحتمل تطهّر الأرض بذلك الماء فيحكم على الماء بالطهارة شرعا، مع توجّه المنع إلى انفعاله على فرض كون النجاسة في الأرض يقينيّة لعدم الدليل عليه</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شمول أدلّة انفعال البئر له في محلّ المنع، لعدم كون النابع حال نبعه ممّا يصدق عليه ماء البئر، بل لا يبعد صدق الجاري عليه حينئذ، كما يرشد إليه ما تقدّم في بعض ما يتعلّق من الكلام بصحيحة ابن بزيع من استظهار كون المطهّر لماء البئر في الحقيقة هو الماء المتجدّد و النزح مقدّمة لتجدّده، و هو لا يلائم كونه مشمولا لأدلّة الانفعال، مع أنّه لا حاجة لنا إلى إثبات هذه الدعوى بعد قيام منع كونه حال النبع من ماء البئر، فإنّه يوجب اندراجه تحت الأصل العامّ المقتضي لطهارة كلّ ماء مشكوك في حاله، و طهارته شرعا يستلزم تطهّر الأرض أيضا، و على فرض عدم الاستلزام فبقاؤها على النجاسة مع الحكم على الماء بالطهارة الموجبة لعدم وجوب النزح 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دخول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ماء البئر، لمكان كون النجاسة المفروضة استصحابيّة فلا تندرج في أدلّة الانفعال، لمكان ظهورها في عين النجاسة لا فيما هو بحكمها، فالقول بأنّها توجب نجاسة الماء المتجدّد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ما قيل بالنجاسة فيما لو طهرت أرض البئر بعد الغور بالشمس أو بالمطر، تعليلا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غور الماء النجس قد أوجب تنجّس عمق الأرض فينجّس الماء بوصوله إليه، إلاّ إذا طهر </w:t>
      </w:r>
      <w:bookmarkStart w:id="949" w:name="pg16144_233659"/>
    </w:p>
    <w:p>
      <w:pPr>
        <w:pStyle w:val="BookText"/>
        <w:rPr/>
      </w:pPr>
      <w:bookmarkEnd w:id="949"/>
      <w:r>
        <w:rPr>
          <w:rFonts w:ascii="Amiri" w:hAnsi="Amiri" w:eastAsia="Amiri" w:cs="Amiri"/>
          <w:color w:val="111111"/>
          <w:sz w:val="28"/>
          <w:sz w:val="28"/>
          <w:szCs w:val="28"/>
          <w:rtl w:val="true"/>
          <w:lang w:bidi="ar-SA"/>
        </w:rPr>
        <w:t>القدر من العمق الّذي علم بوصول الماء الغائر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إذا اجريت البئر المتنجّس ماؤها عن تحتها فعن بعض القائلين بالطهارة في الغور أنّه نفاها هنا، و ليس بوجه لعدم الدليل على النجاسة حينئذ لخروج الماء المتنجّس عن مكانه بالجريان؛ و تنجّس المتجدّد الجاري عن مكانه غير معلوم فيحكم عليه بالطهارة بتقريب ما تقدّم، و الاستصحاب مع عدم بقاء الموضوع الأوّلي غير معلوم، و كون أرض البئر حال وجود الماء المتنجّس متنجّسة غير ضائر في طهارة الماء هنا بل طهارة نفسها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اعترض صاحب المعالم على القول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التوجيه المذكور في مسألة الغور جاء هنا أيضا، و يزيد ذلك عليها بحصول الجزم بأنّ الآتي غير الذاهب، فإنّ الجريان يذهب الموجود جزما، و ما يأتي بعده ماء جديد، مضافا إلى أنّ الحكم بالنزح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بالبئر و الإجراء يخرجها عن الاسم</w:t>
      </w:r>
      <w:r>
        <w:rPr>
          <w:rFonts w:eastAsia="Amiri" w:cs="Amiri" w:ascii="Amiri" w:hAnsi="Amiri"/>
          <w:color w:val="111111"/>
          <w:sz w:val="28"/>
          <w:szCs w:val="28"/>
          <w:rtl w:val="true"/>
          <w:lang w:bidi="ar-SA"/>
        </w:rPr>
        <w:t>»</w:t>
      </w:r>
      <w:r>
        <w:rPr>
          <w:rStyle w:val="FootnoteAnchor"/>
          <w:rtl w:val="true"/>
        </w:rPr>
        <w:footnoteReference w:id="2949"/>
      </w:r>
      <w:r>
        <w:rPr>
          <w:rFonts w:ascii="Amiri" w:hAnsi="Amiri" w:eastAsia="Amiri" w:cs="Amiri"/>
          <w:color w:val="111111"/>
          <w:sz w:val="28"/>
          <w:sz w:val="28"/>
          <w:szCs w:val="28"/>
          <w:rtl w:val="true"/>
          <w:lang w:bidi="ar-SA"/>
        </w:rPr>
        <w:t>انتهى؛ و في حكم الغور ما لو ثقبت البئر من التحت إلى أن خرج ماؤها أجمع من الثقبة، فما لو نبع عليها من الماء ثانيا محكوم عليه بالطهارة و لا نزح للأصل</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1805084_1280447820"/>
      <w:bookmarkStart w:id="951" w:name="_Toc373"/>
      <w:bookmarkEnd w:id="950"/>
      <w:r>
        <w:rPr>
          <w:rtl w:val="true"/>
        </w:rPr>
        <w:t>المبحث الثاني</w:t>
      </w:r>
      <w:r>
        <w:rPr>
          <w:rtl w:val="true"/>
        </w:rPr>
        <w:t xml:space="preserve">: </w:t>
      </w:r>
      <w:r>
        <w:rPr>
          <w:rtl w:val="true"/>
        </w:rPr>
        <w:t>فيما يتعلّق بالنزح و آلاته، و النازح و ما يجب فيه و ما لا يجب،</w:t>
      </w:r>
      <w:bookmarkEnd w:id="951"/>
    </w:p>
    <w:p>
      <w:pPr>
        <w:pStyle w:val="Heading6"/>
        <w:numPr>
          <w:ilvl w:val="5"/>
          <w:numId w:val="1"/>
        </w:numPr>
        <w:rPr/>
      </w:pPr>
      <w:bookmarkStart w:id="952" w:name="__RefHeading___Toc1805086_1280447820"/>
      <w:bookmarkStart w:id="953" w:name="_Toc374"/>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و هو يتضمّن مسائل</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1805088_1280447820"/>
      <w:bookmarkStart w:id="955" w:name="_Toc375"/>
      <w:bookmarkEnd w:id="954"/>
      <w:r>
        <w:rPr>
          <w:rtl w:val="true"/>
        </w:rPr>
        <w:t>الاولى</w:t>
      </w:r>
      <w:r>
        <w:rPr>
          <w:rtl w:val="true"/>
        </w:rPr>
        <w:t xml:space="preserve">: </w:t>
      </w:r>
      <w:r>
        <w:rPr>
          <w:rtl w:val="true"/>
        </w:rPr>
        <w:t>أطلق غير واحد القول بوجوب إخراج النجاسة قبل النزح،</w:t>
      </w:r>
      <w:bookmarkEnd w:id="955"/>
    </w:p>
    <w:p>
      <w:pPr>
        <w:pStyle w:val="BookText"/>
        <w:rPr/>
      </w:pPr>
      <w:r>
        <w:rPr>
          <w:rFonts w:ascii="Amiri" w:hAnsi="Amiri" w:eastAsia="Amiri" w:cs="Amiri"/>
          <w:color w:val="111111"/>
          <w:sz w:val="28"/>
          <w:sz w:val="28"/>
          <w:szCs w:val="28"/>
          <w:rtl w:val="true"/>
          <w:lang w:bidi="ar-SA"/>
        </w:rPr>
        <w:t>و قد يدّعى عليه الإجماع، و في المنتهى ما يوهم اختصاص الإجماع بأصحاب القول بالتنجيس،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النزح إنّما يجب بعد إخراج النجاسة، و هو متّفق عليه بين القائلين بالتنجيس، فإنّه قبل الإخراج لا فائدة فيه و إن كثر</w:t>
      </w:r>
      <w:r>
        <w:rPr>
          <w:rFonts w:eastAsia="Amiri" w:cs="Amiri" w:ascii="Amiri" w:hAnsi="Amiri"/>
          <w:color w:val="111111"/>
          <w:sz w:val="28"/>
          <w:szCs w:val="28"/>
          <w:rtl w:val="true"/>
          <w:lang w:bidi="ar-SA"/>
        </w:rPr>
        <w:t>»</w:t>
      </w:r>
      <w:r>
        <w:rPr>
          <w:rStyle w:val="FootnoteAnchor"/>
          <w:rtl w:val="true"/>
        </w:rPr>
        <w:footnoteReference w:id="29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يحتمل الإجماع على القول بعدم التنجيس أيضا، كما في حاشية المدارك للمحقّق البهبهاني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إخراج النجاسة قبل الشروع في النزح، و الظاهر أنّه اتّفاق بين القائلين بالتنجيس، بل لعلّه عند القائلين بعدمه أيضا كذلك</w:t>
      </w:r>
      <w:r>
        <w:rPr>
          <w:rFonts w:eastAsia="Amiri" w:cs="Amiri" w:ascii="Amiri" w:hAnsi="Amiri"/>
          <w:color w:val="111111"/>
          <w:sz w:val="28"/>
          <w:szCs w:val="28"/>
          <w:rtl w:val="true"/>
          <w:lang w:bidi="ar-SA"/>
        </w:rPr>
        <w:t>»</w:t>
      </w:r>
      <w:r>
        <w:rPr>
          <w:rStyle w:val="FootnoteAnchor"/>
          <w:rtl w:val="true"/>
        </w:rPr>
        <w:footnoteReference w:id="29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 الإجماع على القولين معا، و إلاّ أمكن المناقشة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القواعد </w:t>
      </w:r>
    </w:p>
    <w:p>
      <w:pPr>
        <w:pStyle w:val="BookText"/>
        <w:rPr/>
      </w:pPr>
      <w:r>
        <w:rPr>
          <w:rFonts w:ascii="Amiri" w:hAnsi="Amiri" w:eastAsia="Amiri" w:cs="Amiri"/>
          <w:color w:val="111111"/>
          <w:sz w:val="28"/>
          <w:sz w:val="28"/>
          <w:szCs w:val="28"/>
          <w:rtl w:val="true"/>
          <w:lang w:bidi="ar-SA"/>
        </w:rPr>
        <w:t>اختصاص الحكم بالقول بالتنجيس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المستفاد من الروايات الآمرة بالنزح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دلالتها على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سبب النزح وقوع النجس من حيث استلزامه نجاسة ماء البئر، فسبب النزح في الحقيقة هو نجاسة الماء و هي مترتّبة على وجود النجس فيه، سواء كان ذلك الوجود حدوثيّا أو استمراريّا، فإنّه ما دام موجودا في الماء كان مقتضيا لتنجّسه، فالنزح الحاصل مع وجوده لا يجدي نفعا و إن بلغ في الكثرة ما بلغ، حتّى فيما لو كان الواجب نزح الجميع، فإنّ نزح الجميع حينئذ مع مقارنته لوجود النجاسة إلى الدلو الأخير لا يفيد تطهّرا و لو بالقياس إلى أرض البئر، بل هو حينئذ نظير مسألة الغور، فلو تجدّد الماء بعد ذلك فعلى القول بأنّه ينجّس لملاقاته الأرض النجسة لم يزل التنجيس و إن كان ذلك عندنا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الروايات حينئذ كون أوامر النزح معلّقة على وقوع النجس على معنى حدوث ملاقاته الماء، استمرّت الملاقاة إلى أن يلحقها النزح أو زالت، فإنّها سبب لماهيّة النزح في ضمن عدد معيّن، فإذا استكمل العدد صدق عرفا حصول الماهيّة المقيّدة به في الخارج، و من المقرّر أنّ الأمر مقتض للإجزاء و مع سقوطه فلا نزح بعده و إن كان النجس موجودا، و إلاّ لزم وجوب الامتثال عقيب الامتثال و هو مع عدم تكرار الأمر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المقرّر في مسائل الاصول تكرّر الأمر المشروط بتكرّر شرطه، فلا معنى لالتزام سقوط الأمر مع وجود النجس الّذي هو في معنى التكرّر، لأنّ ذلك غفلة عمّا قرّرناه أوّلا من أنّ سبب النزح على ما هو ظاهر الأدلّة حدوث الملاقاة، و لا ريب أنّ الاستمرار ليس منه</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 السيّد إذا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 زيد في الدار فأضفه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يستفاد منه عرفا إلاّ سببيّة حدوث الدخول للضيافة، فلذا لو دخل و بقي فيها مستمرّا فأضافه العبد مرّة امتثل، و لا يعاقب على ترك الضيافة ثانيا من جهة استمرار وجوده فيها، و إنّما يعاقب عليه لو خرج بعد الدخول فدخل ثانيا على وجه صدق معه تكرّر الدخول، فالاستمرار لا ينزّل في نظر العرف منزلة التكرار جزما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على تقدير كون الوجوب هنا مرادا به الشرطي بالمعنى المتقدّم أمكن القول بتوقّف الامتثال على إخراج النجاسة، لأنّ النزح حينئذ مقدّمة لارتفاع المنع عن الاستعمال، و هو بالنزح قبل الإخراج غير معلوم الارتفاع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أردنا الأخذ بموجب القواعد الخارجة عن النصوص، و إلاّ ففي بعض النصوص ورد الأمر بالإخراج صريحا، كما في صحيحتي الفضلاء</w:t>
      </w:r>
      <w:r>
        <w:rPr>
          <w:rStyle w:val="FootnoteAnchor"/>
          <w:rtl w:val="true"/>
        </w:rPr>
        <w:footnoteReference w:id="2952"/>
      </w:r>
      <w:r>
        <w:rPr>
          <w:rFonts w:ascii="IRNazanin" w:hAnsi="IRNazanin" w:eastAsia="IRNazanin"/>
          <w:color w:val="111111"/>
          <w:sz w:val="28"/>
          <w:sz w:val="28"/>
          <w:szCs w:val="28"/>
          <w:rtl w:val="true"/>
          <w:lang w:bidi="fa-IR"/>
        </w:rPr>
        <w:t>و الفضل</w:t>
      </w:r>
      <w:r>
        <w:rPr>
          <w:rStyle w:val="FootnoteAnchor"/>
          <w:rtl w:val="true"/>
        </w:rPr>
        <w:footnoteReference w:id="2953"/>
      </w:r>
      <w:r>
        <w:rPr>
          <w:rFonts w:ascii="Amiri" w:hAnsi="Amiri" w:eastAsia="Amiri" w:cs="Amiri"/>
          <w:color w:val="111111"/>
          <w:sz w:val="28"/>
          <w:sz w:val="28"/>
          <w:szCs w:val="28"/>
          <w:rtl w:val="true"/>
          <w:lang w:bidi="ar-SA"/>
        </w:rPr>
        <w:t>، و إن لم نقف على من التفت أو استند إليه، ففيهما معا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هذا كما ترى يتناول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بوجوب النزح تعبّدا أمكن القول بكون وجوب الإخراج نفسيّا للأصل، لا أنّه غيريّ حتّى يلتزم بكونه شرطا لصحّة النزح لكنّه بعيد عن السياق، و العجب عن الأصحاب في عدم التفاهم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عين النجس الموجودة المانعة عن تأثير النزح إلى أن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بالتنجيس أو مطلقا على القول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المنتشر في الماء إذا كان من نجس العين، فيستعلم خروجه و لو بالنزح ثمّ ينزح المقدّر، و الظاهر قيام الظنّ مقام العلم في موضع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تمعّط</w:t>
      </w:r>
      <w:r>
        <w:rPr>
          <w:rStyle w:val="FootnoteAnchor"/>
          <w:rtl w:val="true"/>
        </w:rPr>
        <w:footnoteReference w:id="2954"/>
      </w:r>
      <w:r>
        <w:rPr>
          <w:rFonts w:ascii="Amiri" w:hAnsi="Amiri" w:eastAsia="Amiri" w:cs="Amiri"/>
          <w:color w:val="111111"/>
          <w:sz w:val="28"/>
          <w:sz w:val="28"/>
          <w:szCs w:val="28"/>
          <w:rtl w:val="true"/>
          <w:lang w:bidi="ar-SA"/>
        </w:rPr>
        <w:t xml:space="preserve">الشعر فيها كفى غلبة الظنّ بخروجه و إن كان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استمرّ خروجه استوعب فإن تعذّر و استمرّ عطّلت حتّى يظنّ خروجه أو استحالته</w:t>
      </w:r>
      <w:r>
        <w:rPr>
          <w:rFonts w:eastAsia="Amiri" w:cs="Amiri" w:ascii="Amiri" w:hAnsi="Amiri"/>
          <w:color w:val="111111"/>
          <w:sz w:val="28"/>
          <w:szCs w:val="28"/>
          <w:rtl w:val="true"/>
          <w:lang w:bidi="ar-SA"/>
        </w:rPr>
        <w:t>»</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تمعّط الشعر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الماء حتّى يظنّ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شعر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 الخروج استوعب، فإن تعذّر لم يكف التراوح ما دام الشعر، لقيام النجاسة، و النزح بعد خروجها أو استهلاكها، و كذا لو تفتّت اللحم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شعر طاهر العين فأمكن الإلحاق بمجاورته النجس مع رطوبته و عدمه لطهارته في أصله</w:t>
      </w:r>
      <w:r>
        <w:rPr>
          <w:rFonts w:eastAsia="Amiri" w:cs="Amiri" w:ascii="Amiri" w:hAnsi="Amiri"/>
          <w:color w:val="111111"/>
          <w:sz w:val="28"/>
          <w:szCs w:val="28"/>
          <w:rtl w:val="true"/>
          <w:lang w:bidi="ar-SA"/>
        </w:rPr>
        <w:t>»</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 xml:space="preserve">. </w:t>
      </w:r>
      <w:bookmarkStart w:id="956" w:name="pg16144_233662"/>
    </w:p>
    <w:p>
      <w:pPr>
        <w:pStyle w:val="Heading6"/>
        <w:numPr>
          <w:ilvl w:val="5"/>
          <w:numId w:val="1"/>
        </w:numPr>
        <w:rPr/>
      </w:pPr>
      <w:bookmarkStart w:id="957" w:name="__RefHeading___Toc1805090_1280447820"/>
      <w:bookmarkStart w:id="958" w:name="_Toc376"/>
      <w:bookmarkEnd w:id="956"/>
      <w:bookmarkEnd w:id="957"/>
      <w:r>
        <w:rPr>
          <w:rtl w:val="true"/>
        </w:rPr>
        <w:t>الثانية</w:t>
      </w:r>
      <w:r>
        <w:rPr>
          <w:rtl w:val="true"/>
        </w:rPr>
        <w:t xml:space="preserve">: </w:t>
      </w:r>
      <w:r>
        <w:rPr>
          <w:rtl w:val="true"/>
        </w:rPr>
        <w:t>قال في الدروس</w:t>
      </w:r>
      <w:r>
        <w:rPr>
          <w:rtl w:val="true"/>
        </w:rPr>
        <w:t>: «</w:t>
      </w:r>
      <w:r>
        <w:rPr>
          <w:rtl w:val="true"/>
        </w:rPr>
        <w:t>و يعفى عن المتساقط من الدلو و عن جوانبها و حماتها</w:t>
      </w:r>
      <w:r>
        <w:rPr>
          <w:rtl w:val="true"/>
        </w:rPr>
        <w:t>»</w:t>
      </w:r>
      <w:bookmarkEnd w:id="95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يعفى عن المتساقط من الدلو و عن جوانبها و حماتها</w:t>
      </w:r>
      <w:r>
        <w:rPr>
          <w:rFonts w:eastAsia="Amiri" w:cs="Amiri" w:ascii="Amiri" w:hAnsi="Amiri"/>
          <w:color w:val="111111"/>
          <w:sz w:val="28"/>
          <w:szCs w:val="28"/>
          <w:rtl w:val="true"/>
          <w:lang w:bidi="ar-SA"/>
        </w:rPr>
        <w:t>»</w:t>
      </w:r>
      <w:r>
        <w:rPr>
          <w:rStyle w:val="FootnoteAnchor"/>
          <w:rtl w:val="true"/>
        </w:rPr>
        <w:footnoteReference w:id="2957"/>
      </w:r>
    </w:p>
    <w:p>
      <w:pPr>
        <w:pStyle w:val="BookText"/>
        <w:rPr/>
      </w:pPr>
      <w:r>
        <w:rPr>
          <w:rFonts w:ascii="Amiri" w:hAnsi="Amiri" w:eastAsia="Amiri" w:cs="Amiri"/>
          <w:color w:val="111111"/>
          <w:sz w:val="28"/>
          <w:sz w:val="28"/>
          <w:szCs w:val="28"/>
          <w:rtl w:val="true"/>
          <w:lang w:bidi="ar-SA"/>
        </w:rPr>
        <w:t>و في شرحه للخوانساري تقييد المتساقط بكونه بالقدر المعتاد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الحكم ممّا لا خفاء فيه، و كاد أن يكون من الضروريّات، إذ لو لم يكن ذلك لما أمكن تطهير البئر بالنزح في المعتاد</w:t>
      </w:r>
      <w:r>
        <w:rPr>
          <w:rFonts w:eastAsia="Amiri" w:cs="Amiri" w:ascii="Amiri" w:hAnsi="Amiri"/>
          <w:color w:val="111111"/>
          <w:sz w:val="28"/>
          <w:szCs w:val="28"/>
          <w:rtl w:val="true"/>
          <w:lang w:bidi="ar-SA"/>
        </w:rPr>
        <w:t>»</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المدارك للمحقّق المتقدّم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المتساقط من الدلو الأخير معفوّ عنه، للمشقّة العظيمة، و لأنّ الطهارة معلّقة على النزح و قد حصل، و لكن الظاهر أنّ المعفوّ عنه هو المتساقط العادي، فلو خرج عن العادة مثل أن يكون في الدلو خرق و مزق بما يزيد على العادة لم يكن معفوّا عنه، بل لم يكن الدلو محسوبا من العدد، و كذا لو تحرّك الدلو بما هو زائد على المعتاد فانصبّ منه كثير، على أنّ في مطلق الخرق و التمزّق إشكالا، لأنّ المتبادر من الدلو هو الصحيح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يخرج من مسامّات</w:t>
      </w:r>
      <w:r>
        <w:rPr>
          <w:rStyle w:val="FootnoteAnchor"/>
          <w:rtl w:val="true"/>
        </w:rPr>
        <w:footnoteReference w:id="2959"/>
      </w:r>
      <w:r>
        <w:rPr>
          <w:rFonts w:ascii="Amiri" w:hAnsi="Amiri" w:eastAsia="Amiri" w:cs="Amiri"/>
          <w:color w:val="111111"/>
          <w:sz w:val="28"/>
          <w:sz w:val="28"/>
          <w:szCs w:val="28"/>
          <w:rtl w:val="true"/>
          <w:lang w:bidi="ar-SA"/>
        </w:rPr>
        <w:t>الدلو و مخارق الإبر لا يضرّ إذا كان الدلو من الدلاء المتعارفة</w:t>
      </w:r>
      <w:r>
        <w:rPr>
          <w:rFonts w:eastAsia="Amiri" w:cs="Amiri" w:ascii="Amiri" w:hAnsi="Amiri"/>
          <w:color w:val="111111"/>
          <w:sz w:val="28"/>
          <w:szCs w:val="28"/>
          <w:rtl w:val="true"/>
          <w:lang w:bidi="ar-SA"/>
        </w:rPr>
        <w:t>»</w:t>
      </w:r>
      <w:r>
        <w:rPr>
          <w:rStyle w:val="FootnoteAnchor"/>
          <w:rtl w:val="true"/>
        </w:rPr>
        <w:footnoteReference w:id="29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مرادهم بالعفو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الشرح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المتساقط و إن كان متنجّسا لكنّه لا يوجب انفعال ما في البئر بتجدّد أثر على الأثر الأوّل كما في غير الدلو الأخير، أو تجدّده الرافع للطهارة الحاصلة بالنزح 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على القول بالتنجيس بأنّ المحقّق عندهم في تنجّس ماء البئر عدم الفرق بين النجس و المتنجّس، و لا بين كثير كلّ منهما و قليله، فكيف يلائم الحكم المذكور لمقالتهم هذا، و كيف يعقل ذلك إذا كانت الماهيّة الصادقة على القليل و الكثير في حكم الشرع مقتضية للتنجيس، و لزوم العسر الشديد لا يقضي إلاّ بنفي التكليف و هو ليس من المدّعى في شيء، إلاّ بإرجاعه إلى تخصيص الأدلّة القاضية عندهم بالانفعال و هي الأوامر الواردة بالنزح</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التخصيص في جميع هذه الأوامر ليس بأولى من التزام التجوّز بإرادة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 أنّ التخصيص بنوعه أرجح من المجاز لا يلزم منه الأرجحيّة في جميع الأشخاص حتّى ما كان منها موهونا بمصادفة خارج كما في المقام، لما تقدّم من اختلاف الروايات في تقديرات النجاسات حتّى ما كان منها نوعا واحدا، و اختلاف أفراد نوع واحد من النجاسات في مقدار النزح كثرة و قلّة، مع انتفاء ذلك الاختلاف في غير ماء البئر ممّا يتنجّس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يمكن التفصّي عنهما معا و إن استلزم القول بوجوب النزح تعبّدا، نظرا إلى أنّ النجاسة في مفاد تلك الأوامر ليست من مقتضي الوضع اللغوي و لا العرفي الثابت على خلاف اللغة، و إنّما هو لازم عرفي أو شرعي علم أو ظنّ به في غير المقام بملاحظة طريقته في الأوامر الواردة في المياه و غيرها ممّا يغسل و يتطهّر من الأواني و الثياب و غيرها، فغايته أنّه ظهور خارجي ثبت في الأوامر بالعرض، و جعل الضرورة و غيرها بالقياس إلى حكم المتساقط قرينة على الخروج عن هذا الظاهر من جهة التخصيص ليس بأولى من جعلها كاشفة عن عدم اعتبار ذلك الظاهر رأسا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كان فالعفوّ عن المتساقط بالقيد المتقدّم بناء على التنجيس ثابت لا شبهة فيه، و بعض ما تقدّم في عبارة الحاشية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ادّعاه من تبادر الصحّة حتّى بالنسبة إلى خرق و مزق و ثقبة لا يسلم عنها الدلاء غالبا غير مسلّم، و العبرة بما هو الغالب و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العفو عن المتساقط كما هو ثابت بالقياس إلى ماء البئر فكذلك ثابت بالقياس إلى جوانب البئر و جوانبها و طينتها فيما لو فرض السقوط عليها، كما يتّفق في نزح الجميع</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صرّح بذلك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تنجس جوانب البئر بما يصبّها من المنزوح، للمشقّة المنفيّة</w:t>
      </w:r>
      <w:r>
        <w:rPr>
          <w:rFonts w:eastAsia="Amiri" w:cs="Amiri" w:ascii="Amiri" w:hAnsi="Amiri"/>
          <w:color w:val="111111"/>
          <w:sz w:val="28"/>
          <w:szCs w:val="28"/>
          <w:rtl w:val="true"/>
          <w:lang w:bidi="ar-SA"/>
        </w:rPr>
        <w:t>»</w:t>
      </w:r>
      <w:r>
        <w:rPr>
          <w:rStyle w:val="FootnoteAnchor"/>
          <w:rtl w:val="true"/>
        </w:rPr>
        <w:footnoteReference w:id="2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 ما تقدّم عن الدروس</w:t>
      </w:r>
      <w:r>
        <w:rPr>
          <w:rStyle w:val="FootnoteAnchor"/>
          <w:rtl w:val="true"/>
        </w:rPr>
        <w:footnoteReference w:id="2962"/>
      </w:r>
      <w:r>
        <w:rPr>
          <w:rFonts w:ascii="Amiri" w:hAnsi="Amiri" w:eastAsia="Amiri" w:cs="Amiri"/>
          <w:color w:val="111111"/>
          <w:sz w:val="28"/>
          <w:sz w:val="28"/>
          <w:szCs w:val="28"/>
          <w:rtl w:val="true"/>
          <w:lang w:bidi="ar-SA"/>
        </w:rPr>
        <w:t>إلى هذا المعنى، كما احتمله الشارح فخدشه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الحكم و إن لم يستبعد في الجدران، لكن لا معنى له في الحماة</w:t>
      </w:r>
      <w:r>
        <w:rPr>
          <w:rFonts w:eastAsia="Amiri" w:cs="Amiri" w:ascii="Amiri" w:hAnsi="Amiri"/>
          <w:color w:val="111111"/>
          <w:sz w:val="28"/>
          <w:szCs w:val="28"/>
          <w:rtl w:val="true"/>
          <w:lang w:bidi="ar-SA"/>
        </w:rPr>
        <w:t>»</w:t>
      </w:r>
      <w:r>
        <w:rPr>
          <w:rStyle w:val="FootnoteAnchor"/>
          <w:rtl w:val="true"/>
        </w:rPr>
        <w:footnoteReference w:id="2963"/>
      </w:r>
      <w:r>
        <w:rPr>
          <w:rFonts w:ascii="Amiri" w:hAnsi="Amiri" w:eastAsia="Amiri" w:cs="Amiri"/>
          <w:color w:val="111111"/>
          <w:sz w:val="28"/>
          <w:sz w:val="28"/>
          <w:szCs w:val="28"/>
          <w:rtl w:val="true"/>
          <w:lang w:bidi="ar-SA"/>
        </w:rPr>
        <w:t xml:space="preserve">و هي الطينة، في غاية البعد من هذه العبارة، و إنّما هي ظاهرة في العفو بالمعنى المراد بالنسبة إلى المتساقط، و هو أنّ الجدران و الطينة و إن كانت نجسة بملاقاة </w:t>
      </w:r>
      <w:bookmarkStart w:id="959" w:name="pg16144_233664"/>
    </w:p>
    <w:p>
      <w:pPr>
        <w:pStyle w:val="BookText"/>
        <w:rPr/>
      </w:pPr>
      <w:bookmarkEnd w:id="959"/>
      <w:r>
        <w:rPr>
          <w:rFonts w:ascii="Amiri" w:hAnsi="Amiri" w:eastAsia="Amiri" w:cs="Amiri"/>
          <w:color w:val="111111"/>
          <w:sz w:val="28"/>
          <w:sz w:val="28"/>
          <w:szCs w:val="28"/>
          <w:rtl w:val="true"/>
          <w:lang w:bidi="ar-SA"/>
        </w:rPr>
        <w:t>الماء المتنجّس، غير أنّ نجاستها لا تؤثّر في ماء البئر حال النجاسة و لا حال صيرورته طاهرا بالنزح، و ليت شعري لم لم يحكم بطهارتهما تبعا لطهارة الماء بعد كمال النزح؟ كما ذكروه في المباشر، و الدلو، و الرشاء كما يأتي في المسألة الآتية، فإنّه أقرب بظاهر الشرع، و لعلّه المراد من العبارة، و إن كانت غير ظاهرة فيه كما فهمه الشارح المتقدّم،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بالعفو أنّه بعد تمام النزح يصير طاهرا</w:t>
      </w:r>
      <w:r>
        <w:rPr>
          <w:rFonts w:eastAsia="Amiri" w:cs="Amiri" w:ascii="Amiri" w:hAnsi="Amiri"/>
          <w:color w:val="111111"/>
          <w:sz w:val="28"/>
          <w:szCs w:val="28"/>
          <w:rtl w:val="true"/>
          <w:lang w:bidi="ar-SA"/>
        </w:rPr>
        <w:t>»</w:t>
      </w:r>
      <w:r>
        <w:rPr>
          <w:rStyle w:val="FootnoteAnchor"/>
          <w:rtl w:val="true"/>
        </w:rPr>
        <w:footnoteReference w:id="2964"/>
      </w:r>
      <w:r>
        <w:rPr>
          <w:rFonts w:ascii="Amiri" w:hAnsi="Amiri" w:eastAsia="Amiri" w:cs="Amiri"/>
          <w:color w:val="111111"/>
          <w:sz w:val="28"/>
          <w:sz w:val="28"/>
          <w:szCs w:val="28"/>
          <w:rtl w:val="true"/>
          <w:lang w:bidi="ar-SA"/>
        </w:rPr>
        <w:t>و كيف كان فالأقرب هو الطهارة</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1805092_1280447820"/>
      <w:bookmarkStart w:id="961" w:name="_Toc377"/>
      <w:bookmarkEnd w:id="960"/>
      <w:r>
        <w:rPr>
          <w:rtl w:val="true"/>
        </w:rPr>
        <w:t>الثالثة</w:t>
      </w:r>
      <w:r>
        <w:rPr>
          <w:rtl w:val="true"/>
        </w:rPr>
        <w:t xml:space="preserve">: </w:t>
      </w:r>
      <w:r>
        <w:rPr>
          <w:rtl w:val="true"/>
        </w:rPr>
        <w:t>جعل في شرح الدروس المتساقط الخارج عن المعتاد أعمّ من أن ينصبّ جميع الدلو المنزوح في الماء و عدمه،</w:t>
      </w:r>
      <w:bookmarkEnd w:id="96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شرح الدروس</w:t>
      </w:r>
      <w:r>
        <w:rPr>
          <w:rStyle w:val="FootnoteAnchor"/>
          <w:rtl w:val="true"/>
        </w:rPr>
        <w:footnoteReference w:id="2965"/>
      </w:r>
      <w:r>
        <w:rPr>
          <w:rFonts w:ascii="Amiri" w:hAnsi="Amiri" w:eastAsia="Amiri" w:cs="Amiri"/>
          <w:color w:val="111111"/>
          <w:sz w:val="28"/>
          <w:sz w:val="28"/>
          <w:szCs w:val="28"/>
          <w:rtl w:val="true"/>
          <w:lang w:bidi="ar-SA"/>
        </w:rPr>
        <w:t>المتساقط الخارج عن المعتاد أعمّ من أن ينصبّ جميع الدلو المنزوح في الماء و عدمه،</w:t>
      </w:r>
    </w:p>
    <w:p>
      <w:pPr>
        <w:pStyle w:val="BookText"/>
        <w:rPr/>
      </w:pPr>
      <w:r>
        <w:rPr>
          <w:rFonts w:ascii="Amiri" w:hAnsi="Amiri" w:eastAsia="Amiri" w:cs="Amiri"/>
          <w:color w:val="111111"/>
          <w:sz w:val="28"/>
          <w:sz w:val="28"/>
          <w:szCs w:val="28"/>
          <w:rtl w:val="true"/>
          <w:lang w:bidi="ar-SA"/>
        </w:rPr>
        <w:t>و انصباب الدلو بأجمعه عندهم مسألة يستفاد منهم الخلاف فيها على قولين، بل أقوال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انصبّ بأسره اعيد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الأخير، للأصل</w:t>
      </w:r>
      <w:r>
        <w:rPr>
          <w:rFonts w:eastAsia="Amiri" w:cs="Amiri" w:ascii="Amiri" w:hAnsi="Amiri"/>
          <w:color w:val="111111"/>
          <w:sz w:val="28"/>
          <w:szCs w:val="28"/>
          <w:rtl w:val="true"/>
          <w:lang w:bidi="ar-SA"/>
        </w:rPr>
        <w:t>»</w:t>
      </w:r>
      <w:r>
        <w:rPr>
          <w:rStyle w:val="FootnoteAnchor"/>
          <w:rtl w:val="true"/>
        </w:rPr>
        <w:footnoteReference w:id="2966"/>
      </w:r>
      <w:r>
        <w:rPr>
          <w:rFonts w:ascii="Amiri" w:hAnsi="Amiri" w:eastAsia="Amiri" w:cs="Amiri"/>
          <w:color w:val="111111"/>
          <w:sz w:val="28"/>
          <w:sz w:val="28"/>
          <w:szCs w:val="28"/>
          <w:rtl w:val="true"/>
          <w:lang w:bidi="ar-SA"/>
        </w:rPr>
        <w:t xml:space="preserve">، و هو الّذي يظهر من إطلاق المحقّق المتقدّم في حاشية المدارك بل صريحه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يوجب إلاّ نزح عوضه</w:t>
      </w:r>
      <w:r>
        <w:rPr>
          <w:rFonts w:eastAsia="Amiri" w:cs="Amiri" w:ascii="Amiri" w:hAnsi="Amiri"/>
          <w:color w:val="111111"/>
          <w:sz w:val="28"/>
          <w:szCs w:val="28"/>
          <w:rtl w:val="true"/>
          <w:lang w:bidi="ar-SA"/>
        </w:rPr>
        <w:t>»</w:t>
      </w:r>
      <w:r>
        <w:rPr>
          <w:rStyle w:val="FootnoteAnchor"/>
          <w:rtl w:val="true"/>
        </w:rPr>
        <w:footnoteReference w:id="2967"/>
      </w:r>
      <w:r>
        <w:rPr>
          <w:rFonts w:ascii="Amiri" w:hAnsi="Amiri" w:eastAsia="Amiri" w:cs="Amiri"/>
          <w:color w:val="111111"/>
          <w:sz w:val="28"/>
          <w:sz w:val="28"/>
          <w:szCs w:val="28"/>
          <w:rtl w:val="true"/>
          <w:lang w:bidi="ar-SA"/>
        </w:rPr>
        <w:t>، ثمّ حكى الفرق عن منتهى العلاّمة</w:t>
      </w:r>
      <w:r>
        <w:rPr>
          <w:rStyle w:val="FootnoteAnchor"/>
          <w:rtl w:val="true"/>
        </w:rPr>
        <w:footnoteReference w:id="2968"/>
      </w:r>
      <w:r>
        <w:rPr>
          <w:rFonts w:ascii="Amiri" w:hAnsi="Amiri" w:eastAsia="Amiri" w:cs="Amiri"/>
          <w:color w:val="111111"/>
          <w:sz w:val="28"/>
          <w:sz w:val="28"/>
          <w:szCs w:val="28"/>
          <w:rtl w:val="true"/>
          <w:lang w:bidi="ar-SA"/>
        </w:rPr>
        <w:t>بإدخال ما يكون من الدلو الأخير فيما لا نصّ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الفرق تأمّل</w:t>
      </w:r>
      <w:r>
        <w:rPr>
          <w:rFonts w:eastAsia="Amiri" w:cs="Amiri" w:ascii="Amiri" w:hAnsi="Amiri"/>
          <w:color w:val="111111"/>
          <w:sz w:val="28"/>
          <w:szCs w:val="28"/>
          <w:rtl w:val="true"/>
          <w:lang w:bidi="ar-SA"/>
        </w:rPr>
        <w:t>»</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الشرح المتقدّم من الميل إلى دخوله في غير المنصوص في كلّ من الدلو الأخير و غيرها، حيث أخذ بالمناقشة فيما فصّله العلاّمة بنفي الفرق،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وجه إدخال الدلو الأخير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نجس لاقى البئر فانفعل عنه كغيره من أنواع النجاسات، و لم يرد له مقدّر، فيكون من أفراد غير المنصوص، و هو جار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الفرق بأنّ البئر طاهرة في صورة انصباب الدلو الأخير و نجسة في غيرها</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الانفعال بنوع من أسبابه لا يمنع من تأثير سبب آخر، أ لا ترى أنّ أهل القول بالتداخل أوجبوا نزح الأكثر، و إن كان الموجب له متأخّرا في الوقوع عن موجب الأقلّ</w:t>
      </w:r>
      <w:r>
        <w:rPr>
          <w:rFonts w:eastAsia="Amiri" w:cs="Amiri" w:ascii="Amiri" w:hAnsi="Amiri"/>
          <w:color w:val="111111"/>
          <w:sz w:val="28"/>
          <w:szCs w:val="28"/>
          <w:rtl w:val="true"/>
          <w:lang w:bidi="ar-SA"/>
        </w:rPr>
        <w:t>»</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فصّله العلاّمة قائلا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وجب نزح عدد معيّن، فنزح الدلو الأوّل ثمّ صبّ فيها، فالّذي أقوله تفريعا على القول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نزح ما زاد على العدد عملا بالأصل، و لأنّه لم تزد النجاسة بالنزح و الإلقاء، و كذا إذا القي الدلو الأوسط، أمّا لو القي الدلو الأخير بعد انفصاله عنها، فالوجه دخوله تحت النجاسة الّتي لم يرد فيها نصّ، و كذا لو رمى الدلو الأوّل في بئر طاهرة الحق بغير المنصوص</w:t>
      </w:r>
      <w:r>
        <w:rPr>
          <w:rFonts w:eastAsia="Amiri" w:cs="Amiri" w:ascii="Amiri" w:hAnsi="Amiri"/>
          <w:color w:val="111111"/>
          <w:sz w:val="28"/>
          <w:szCs w:val="28"/>
          <w:rtl w:val="true"/>
          <w:lang w:bidi="ar-SA"/>
        </w:rPr>
        <w:t>»</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و هذا القول بظاهر القواعد لا يخلو عن قوّة، ففيما عدا الدلو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الدلو الأوّل و ما 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الزيادة على ما في الذمّة أوّلا من تمام العدد، كما في الدلو الأوّل أو ما بقي منه كما في غيره، و دخوله في غير المنصوص إن اريد به في الاسم فقط فهو مسلّم، لكنّه غير مجد في التزام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به في الحكم أيضا، فهو إنّما يسلّم إذا اقتضى انفعالا آخر في الماء غير ما هو حاصل قبل انصبابه،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نجاسته أثرا من الأثر الثابت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المنع، فيدفع احتماله بالأصل، و كونه مشمولا لعموم أدلّة الانفعال ممنوع، لظهور الأدلّة في ملاقاة نجس أو متنجّس محلاّ طاهرا، و لا ريب أنّ هذه الصغرى منتفية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الكلام متّجه في الدلو الأخير بعد انفصاله عن المحلّ الموجب لطهارته، فإنّه بعد الانصباب داخل في الصغرى المذكورة، فيترتّب عليها الكبرى و هي انفعال المحلّ ثانيا، و لمّا لم يرد بالنسبة إليه نصّ بالخصوص فيلحقه حكم 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المتعيّن في نزحه هنا في بادئ النظر ما صار إليه صاحب المعالم</w:t>
      </w:r>
      <w:r>
        <w:rPr>
          <w:rStyle w:val="FootnoteAnchor"/>
          <w:rtl w:val="true"/>
        </w:rPr>
        <w:footnoteReference w:id="2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بنزح أقلّ الأمرين من مقدّر النجاسة المقتضية للنزح و منزوح غير المنصوص حسبما يترجّح فيه، و لمّا ثبت أنّ الأرجح عندنا في ذلك نزح الجميع فالمتعيّن حينئذ نزح المقدّر، للقطع بأنّ نجاسته فرع من هذا الأصل، و أنّها أضعف منها بمراتب، فلا يزيد حكمها على حكم الأصل</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يرجع الأولويّة الّتي ادّعاها في المعالم</w:t>
      </w:r>
      <w:r>
        <w:rPr>
          <w:rStyle w:val="FootnoteAnchor"/>
          <w:rtl w:val="true"/>
        </w:rPr>
        <w:footnoteReference w:id="2973"/>
      </w:r>
      <w:r>
        <w:rPr>
          <w:rFonts w:ascii="Amiri" w:hAnsi="Amiri" w:eastAsia="Amiri" w:cs="Amiri"/>
          <w:color w:val="111111"/>
          <w:sz w:val="28"/>
          <w:sz w:val="28"/>
          <w:szCs w:val="28"/>
          <w:rtl w:val="true"/>
          <w:lang w:bidi="ar-SA"/>
        </w:rPr>
        <w:t xml:space="preserve">لصورة الاكتفاء بالمقدّر، و المناقشة فيها بمنع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الخوانساري شارح الدروس </w:t>
      </w:r>
      <w:r>
        <w:rPr>
          <w:rFonts w:eastAsia="Amiri" w:cs="Amiri" w:ascii="Amiri" w:hAnsi="Amiri"/>
          <w:color w:val="111111"/>
          <w:sz w:val="28"/>
          <w:szCs w:val="28"/>
          <w:rtl w:val="true"/>
          <w:lang w:bidi="ar-SA"/>
        </w:rPr>
        <w:t xml:space="preserve">- </w:t>
      </w:r>
      <w:r>
        <w:rPr>
          <w:rStyle w:val="FootnoteAnchor"/>
          <w:rtl w:val="true"/>
        </w:rPr>
        <w:footnoteReference w:id="2974"/>
      </w:r>
      <w:r>
        <w:rPr>
          <w:rFonts w:ascii="Amiri" w:hAnsi="Amiri" w:eastAsia="Amiri" w:cs="Amiri"/>
          <w:color w:val="111111"/>
          <w:sz w:val="28"/>
          <w:sz w:val="28"/>
          <w:szCs w:val="28"/>
          <w:rtl w:val="true"/>
          <w:lang w:bidi="ar-SA"/>
        </w:rPr>
        <w:t>لا يلتفت إليها</w:t>
      </w:r>
      <w:r>
        <w:rPr>
          <w:rFonts w:eastAsia="Amiri" w:cs="Amiri" w:ascii="Amiri" w:hAnsi="Amiri"/>
          <w:color w:val="111111"/>
          <w:sz w:val="28"/>
          <w:szCs w:val="28"/>
          <w:rtl w:val="true"/>
          <w:lang w:bidi="ar-SA"/>
        </w:rPr>
        <w:t xml:space="preserve">. </w:t>
      </w:r>
      <w:bookmarkStart w:id="962" w:name="pg16144_233666"/>
    </w:p>
    <w:p>
      <w:pPr>
        <w:pStyle w:val="Heading6"/>
        <w:numPr>
          <w:ilvl w:val="5"/>
          <w:numId w:val="1"/>
        </w:numPr>
        <w:rPr/>
      </w:pPr>
      <w:bookmarkStart w:id="963" w:name="__RefHeading___Toc1805094_1280447820"/>
      <w:bookmarkStart w:id="964" w:name="_Toc378"/>
      <w:bookmarkEnd w:id="962"/>
      <w:bookmarkEnd w:id="963"/>
      <w:r>
        <w:rPr>
          <w:rtl w:val="true"/>
        </w:rPr>
        <w:t>الرابعة</w:t>
      </w:r>
      <w:r>
        <w:rPr>
          <w:rtl w:val="true"/>
        </w:rPr>
        <w:t xml:space="preserve">: </w:t>
      </w:r>
      <w:r>
        <w:rPr>
          <w:rtl w:val="true"/>
        </w:rPr>
        <w:t>قال في الدروس</w:t>
      </w:r>
      <w:r>
        <w:rPr>
          <w:rtl w:val="true"/>
        </w:rPr>
        <w:t>: «</w:t>
      </w:r>
      <w:r>
        <w:rPr>
          <w:rtl w:val="true"/>
        </w:rPr>
        <w:t>و بطهرها يطهر المباشر و الرشاء</w:t>
      </w:r>
      <w:r>
        <w:rPr>
          <w:rtl w:val="true"/>
        </w:rPr>
        <w:t>»</w:t>
      </w:r>
      <w:bookmarkEnd w:id="96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بطهرها يطهر المباشر و الرشاء</w:t>
      </w:r>
      <w:r>
        <w:rPr>
          <w:rFonts w:eastAsia="Amiri" w:cs="Amiri" w:ascii="Amiri" w:hAnsi="Amiri"/>
          <w:color w:val="111111"/>
          <w:sz w:val="28"/>
          <w:szCs w:val="28"/>
          <w:rtl w:val="true"/>
          <w:lang w:bidi="ar-SA"/>
        </w:rPr>
        <w:t>»</w:t>
      </w:r>
      <w:r>
        <w:rPr>
          <w:rStyle w:val="FootnoteAnchor"/>
          <w:rtl w:val="true"/>
        </w:rPr>
        <w:footnoteReference w:id="2975"/>
      </w:r>
    </w:p>
    <w:p>
      <w:pPr>
        <w:pStyle w:val="BookText"/>
        <w:rPr/>
      </w:pPr>
      <w:r>
        <w:rPr>
          <w:rFonts w:ascii="Amiri" w:hAnsi="Amiri" w:eastAsia="Amiri" w:cs="Amiri"/>
          <w:color w:val="111111"/>
          <w:sz w:val="28"/>
          <w:sz w:val="28"/>
          <w:szCs w:val="28"/>
          <w:rtl w:val="true"/>
          <w:lang w:bidi="ar-SA"/>
        </w:rPr>
        <w:t>و الظاهر أنّ مراده من المباشر ما يعمّ بدنه و ثيابه، لكن بشرط كون النجاسة الحاصلة فيهما مستندة إلى ما يلزمه النزح من مباشرة الماء المتنجّس، و هذا الحكم لم يرد لبيانه نصّ بالخصوص غير أنّه يستفاد من غير واحد كونه اتّفاقيّا، و يجوز للفقيه أن يستند فيه إلى ظهورات يستظهرها من الروايات بدلالاتها الغير المقصودة، مثل سكوتها عن إيجاب غسل هذه الأشياء بعد كمال النزح، و خلوّها عمّا يدلّ على بقائها على نجاسة، مع أنّها لا ينفكّ عنها النزح، و استحباب الزائد على المقدّر في بعض المنزوحات من دون إشارة إلى تبديل الدلو و الرشاء و لا تطهيرهما و تطهير المباشرة، مع أنّه لو بقي أحد هذه الأشياء على نجاسة لسرت إلى ماء البئر لضرورة الملاقاة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ما يستظهر منه ذلك الحكم صحيحة الفضلاء و صحيحة الفضل المتقدّمتان في الأبواب السابقة، القائلة اولاهما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اشرب منه و توضّأ</w:t>
      </w:r>
      <w:r>
        <w:rPr>
          <w:rFonts w:eastAsia="Amiri" w:cs="Amiri" w:ascii="Amiri" w:hAnsi="Amiri"/>
          <w:color w:val="111111"/>
          <w:sz w:val="28"/>
          <w:szCs w:val="28"/>
          <w:rtl w:val="true"/>
          <w:lang w:bidi="ar-SA"/>
        </w:rPr>
        <w:t>»</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ثمّ ينزح من البئر دلاء، ثمّ يشرب و يتوضّأ</w:t>
      </w:r>
      <w:r>
        <w:rPr>
          <w:rFonts w:eastAsia="Amiri" w:cs="Amiri" w:ascii="Amiri" w:hAnsi="Amiri"/>
          <w:color w:val="111111"/>
          <w:sz w:val="28"/>
          <w:szCs w:val="28"/>
          <w:rtl w:val="true"/>
          <w:lang w:bidi="ar-SA"/>
        </w:rPr>
        <w:t>»</w:t>
      </w:r>
      <w:r>
        <w:rPr>
          <w:rStyle w:val="FootnoteAnchor"/>
          <w:rtl w:val="true"/>
        </w:rPr>
        <w:footnoteReference w:id="2977"/>
      </w:r>
      <w:r>
        <w:rPr>
          <w:rFonts w:ascii="Amiri" w:hAnsi="Amiri" w:eastAsia="Amiri" w:cs="Amiri"/>
          <w:color w:val="111111"/>
          <w:sz w:val="28"/>
          <w:sz w:val="28"/>
          <w:szCs w:val="28"/>
          <w:rtl w:val="true"/>
          <w:lang w:bidi="ar-SA"/>
        </w:rPr>
        <w:t>فلو أنّ الدلو و غيره لا يطهّر بطهر الماء لكان عليه أن يقول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الدلو، و الرشاء، و يد المباشر، ثمّ يشرب 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بعض ما ذكرناه هنا أشار المحقّق في محكيّ المعتبر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كان نجسا لم يسكت عنه الشرع، و لأنّ الاستحباب في النزح</w:t>
      </w:r>
      <w:r>
        <w:rPr>
          <w:rStyle w:val="FootnoteAnchor"/>
          <w:rtl w:val="true"/>
        </w:rPr>
        <w:footnoteReference w:id="2978"/>
      </w:r>
      <w:r>
        <w:rPr>
          <w:rFonts w:ascii="Amiri" w:hAnsi="Amiri" w:eastAsia="Amiri" w:cs="Amiri"/>
          <w:color w:val="111111"/>
          <w:sz w:val="28"/>
          <w:sz w:val="28"/>
          <w:szCs w:val="28"/>
          <w:rtl w:val="true"/>
          <w:lang w:bidi="ar-SA"/>
        </w:rPr>
        <w:t>يدلّ على عدم نجاستها، و إلاّ لوجب نجاسة ماء البئر عند الزيادة عليه</w:t>
      </w:r>
      <w:r>
        <w:rPr>
          <w:rStyle w:val="FootnoteAnchor"/>
          <w:rtl w:val="true"/>
        </w:rPr>
        <w:footnoteReference w:id="2979"/>
      </w:r>
      <w:r>
        <w:rPr>
          <w:rFonts w:ascii="Amiri" w:hAnsi="Amiri" w:eastAsia="Amiri" w:cs="Amiri"/>
          <w:color w:val="111111"/>
          <w:sz w:val="28"/>
          <w:sz w:val="28"/>
          <w:szCs w:val="28"/>
          <w:rtl w:val="true"/>
          <w:lang w:bidi="ar-SA"/>
        </w:rPr>
        <w:t>قبل غسلها، و المعلوم من عادة الشرع خلافه</w:t>
      </w:r>
      <w:r>
        <w:rPr>
          <w:rFonts w:eastAsia="Amiri" w:cs="Amiri" w:ascii="Amiri" w:hAnsi="Amiri"/>
          <w:color w:val="111111"/>
          <w:sz w:val="28"/>
          <w:szCs w:val="28"/>
          <w:rtl w:val="true"/>
          <w:lang w:bidi="ar-SA"/>
        </w:rPr>
        <w:t>»</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5" w:name="__RefHeading___Toc1805096_1280447820"/>
      <w:bookmarkStart w:id="966" w:name="_Toc379"/>
      <w:bookmarkEnd w:id="965"/>
      <w:r>
        <w:rPr>
          <w:rtl w:val="true"/>
        </w:rPr>
        <w:t>الخامسة</w:t>
      </w:r>
      <w:r>
        <w:rPr>
          <w:rtl w:val="true"/>
        </w:rPr>
        <w:t xml:space="preserve">: </w:t>
      </w:r>
      <w:r>
        <w:rPr>
          <w:rtl w:val="true"/>
        </w:rPr>
        <w:t>وجوب النزح على القولين توصّلي و لو من جهة الأصل فيه،</w:t>
      </w:r>
      <w:bookmarkEnd w:id="966"/>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لازمه أن لا يعتبر فيه نيّة و لا قصد القربة و لا مباشرة نفسيّة، فلو انعقد في الخارج على العدد المقدّر لا بنيّة، أو بنيّة جهة اخرى، أو بنيّة نزح المقدّر لكن رياء، كان كافيا في سقوط </w:t>
      </w:r>
      <w:bookmarkStart w:id="967" w:name="pg16144_233667"/>
    </w:p>
    <w:p>
      <w:pPr>
        <w:pStyle w:val="BookText"/>
        <w:rPr/>
      </w:pPr>
      <w:bookmarkEnd w:id="967"/>
      <w:r>
        <w:rPr>
          <w:rFonts w:ascii="Amiri" w:hAnsi="Amiri" w:eastAsia="Amiri" w:cs="Amiri"/>
          <w:color w:val="111111"/>
          <w:sz w:val="28"/>
          <w:sz w:val="28"/>
          <w:szCs w:val="28"/>
          <w:rtl w:val="true"/>
          <w:lang w:bidi="ar-SA"/>
        </w:rPr>
        <w:t>الأمر، كما أنّه كذلك لو حصل من غير المكلّف بالغا أو غيره، مسلما أو غيره بشرط عدم المباشرة المنجّسة، بل يكفي نزح المقدّر لو حصل من غير إنسان كالثور و نحوه، و قد صرّح بأكثر ما ذكرناه غير واحد من أصحابنا، منهم العلاّمة في المنتهى</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8" w:name="__RefHeading___Toc1805098_1280447820"/>
      <w:bookmarkStart w:id="969" w:name="_Toc380"/>
      <w:bookmarkEnd w:id="968"/>
      <w:r>
        <w:rPr>
          <w:rtl w:val="true"/>
        </w:rPr>
        <w:t>المبحث الثالث</w:t>
      </w:r>
      <w:r>
        <w:rPr>
          <w:rtl w:val="true"/>
        </w:rPr>
        <w:t xml:space="preserve">: </w:t>
      </w:r>
      <w:r>
        <w:rPr>
          <w:rtl w:val="true"/>
        </w:rPr>
        <w:t>فيما يتعلّق بما ينزح له من النجاسات الموجبة له،</w:t>
      </w:r>
      <w:bookmarkEnd w:id="969"/>
    </w:p>
    <w:p>
      <w:pPr>
        <w:pStyle w:val="Heading6"/>
        <w:numPr>
          <w:ilvl w:val="5"/>
          <w:numId w:val="1"/>
        </w:numPr>
        <w:rPr/>
      </w:pPr>
      <w:bookmarkStart w:id="970" w:name="__RefHeading___Toc1805100_1280447820"/>
      <w:bookmarkStart w:id="971" w:name="_Toc381"/>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1805102_1280447820"/>
      <w:bookmarkStart w:id="973" w:name="_Toc382"/>
      <w:bookmarkEnd w:id="972"/>
      <w:r>
        <w:rPr>
          <w:rtl w:val="true"/>
        </w:rPr>
        <w:t>الاولى</w:t>
      </w:r>
      <w:r>
        <w:rPr>
          <w:rtl w:val="true"/>
        </w:rPr>
        <w:t xml:space="preserve">: </w:t>
      </w:r>
      <w:r>
        <w:rPr>
          <w:rtl w:val="true"/>
        </w:rPr>
        <w:t>قال المحقّق في شرائعه</w:t>
      </w:r>
      <w:r>
        <w:rPr>
          <w:rtl w:val="true"/>
        </w:rPr>
        <w:t>: «</w:t>
      </w:r>
      <w:r>
        <w:rPr>
          <w:rtl w:val="true"/>
        </w:rPr>
        <w:t>حكم صغير الحيوان في النزح حكم كبيره في النزح</w:t>
      </w:r>
      <w:r>
        <w:rPr>
          <w:rtl w:val="true"/>
        </w:rPr>
        <w:t>»</w:t>
      </w:r>
      <w:bookmarkEnd w:id="97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شرائعه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صغير الحيوان في النزح حكم كبيره في النزح</w:t>
      </w:r>
      <w:r>
        <w:rPr>
          <w:rFonts w:eastAsia="Amiri" w:cs="Amiri" w:ascii="Amiri" w:hAnsi="Amiri"/>
          <w:color w:val="111111"/>
          <w:sz w:val="28"/>
          <w:szCs w:val="28"/>
          <w:rtl w:val="true"/>
          <w:lang w:bidi="ar-SA"/>
        </w:rPr>
        <w:t>»</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 xml:space="preserve">و لعلّه أخذ بما يوجب اليقين بالبراءة، و إلاّ فلمنع انصراف أدلّة العناوين الموجبة للنزح إلى ما عدا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ما كان من الصغير في أوائل تولّده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واسع، و عليه دخول الصغير في غير المنصوص لا يخلو عن قوّة، غير أنّه لو قيل في غير المنصوص بما يزيد على مقدّر هذا النوع من الحيوان فالقطع حاصل بأنّ منزوح صغيره لا يزيد على منزوح كبيره، و لو قيل بما يقصر عنه فالاكتفاء به له غير بعيد، و إن كان الاحتياط في الأخذ بمقدّر النوع، و يعضده استصحاب النجاسة</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1805104_1280447820"/>
      <w:bookmarkStart w:id="975" w:name="_Toc383"/>
      <w:bookmarkEnd w:id="974"/>
      <w:r>
        <w:rPr>
          <w:rtl w:val="true"/>
        </w:rPr>
        <w:t>الثانية</w:t>
      </w:r>
      <w:r>
        <w:rPr>
          <w:rtl w:val="true"/>
        </w:rPr>
        <w:t xml:space="preserve">: </w:t>
      </w:r>
      <w:r>
        <w:rPr>
          <w:rtl w:val="true"/>
        </w:rPr>
        <w:t>قال في المنتهى</w:t>
      </w:r>
      <w:r>
        <w:rPr>
          <w:rtl w:val="true"/>
        </w:rPr>
        <w:t>: «</w:t>
      </w:r>
      <w:r>
        <w:rPr>
          <w:rtl w:val="true"/>
        </w:rPr>
        <w:t>لو وقع جزء الحيوان في البئر، كيده و رجله، يلحق بحكمه،</w:t>
      </w:r>
      <w:bookmarkEnd w:id="975"/>
    </w:p>
    <w:p>
      <w:pPr>
        <w:pStyle w:val="BookText"/>
        <w:rPr/>
      </w:pPr>
      <w:r>
        <w:rPr>
          <w:rFonts w:ascii="Amiri" w:hAnsi="Amiri" w:eastAsia="Amiri" w:cs="Amiri"/>
          <w:color w:val="111111"/>
          <w:sz w:val="28"/>
          <w:sz w:val="28"/>
          <w:szCs w:val="28"/>
          <w:rtl w:val="true"/>
          <w:lang w:bidi="ar-SA"/>
        </w:rPr>
        <w:t>عملا بالاحتياط الدالّ على المساواة، و أصالة البراءة الدالّة على عدم الزيادة</w:t>
      </w:r>
      <w:r>
        <w:rPr>
          <w:rFonts w:eastAsia="Amiri" w:cs="Amiri" w:ascii="Amiri" w:hAnsi="Amiri"/>
          <w:color w:val="111111"/>
          <w:sz w:val="28"/>
          <w:szCs w:val="28"/>
          <w:rtl w:val="true"/>
          <w:lang w:bidi="ar-SA"/>
        </w:rPr>
        <w:t>»</w:t>
      </w:r>
      <w:r>
        <w:rPr>
          <w:rStyle w:val="FootnoteAnchor"/>
          <w:rtl w:val="true"/>
        </w:rPr>
        <w:footnoteReference w:id="2983"/>
      </w:r>
      <w:r>
        <w:rPr>
          <w:rFonts w:ascii="Amiri" w:hAnsi="Amiri" w:eastAsia="Amiri" w:cs="Amiri"/>
          <w:color w:val="111111"/>
          <w:sz w:val="28"/>
          <w:sz w:val="28"/>
          <w:szCs w:val="28"/>
          <w:rtl w:val="true"/>
          <w:lang w:bidi="ar-SA"/>
        </w:rPr>
        <w:t>و هو الظاهر من شرائع المحقّق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بعضا من جملة لها مقدّر فلا يزيد حكم أبعاضها عن جملتها</w:t>
      </w:r>
      <w:r>
        <w:rPr>
          <w:rFonts w:eastAsia="Amiri" w:cs="Amiri" w:ascii="Amiri" w:hAnsi="Amiri"/>
          <w:color w:val="111111"/>
          <w:sz w:val="28"/>
          <w:szCs w:val="28"/>
          <w:rtl w:val="true"/>
          <w:lang w:bidi="ar-SA"/>
        </w:rPr>
        <w:t>»</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الشيخ عليّ‌</w:t>
      </w:r>
      <w:r>
        <w:rPr>
          <w:rStyle w:val="FootnoteAnchor"/>
          <w:rtl w:val="true"/>
        </w:rPr>
        <w:footnoteReference w:id="2985"/>
      </w:r>
      <w:r>
        <w:rPr>
          <w:rFonts w:ascii="Amiri" w:hAnsi="Amiri" w:eastAsia="Amiri" w:cs="Amiri"/>
          <w:color w:val="111111"/>
          <w:sz w:val="28"/>
          <w:sz w:val="28"/>
          <w:szCs w:val="28"/>
          <w:rtl w:val="true"/>
          <w:lang w:bidi="ar-SA"/>
        </w:rPr>
        <w:t>احتمال إلحاقه بغير المنصوص لعدم تناول اسم الجملة له، و عن صاحب المعالم التفصيل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إن كان مقدّر الكلّ أقلّ من منزوح غير المنصوص اكتفى به للجزء، لأنّ الاجتزاء به في الكلّ يقتضي الاجتزاء به في الجزء بالطريق الأولى، و إن كان المقدّر زائدا فالمتّجه عدم وجوب نزح الزائد</w:t>
      </w:r>
      <w:r>
        <w:rPr>
          <w:rFonts w:eastAsia="Amiri" w:cs="Amiri" w:ascii="Amiri" w:hAnsi="Amiri"/>
          <w:color w:val="111111"/>
          <w:sz w:val="28"/>
          <w:szCs w:val="28"/>
          <w:rtl w:val="true"/>
          <w:lang w:bidi="ar-SA"/>
        </w:rPr>
        <w:t>»</w:t>
      </w:r>
      <w:r>
        <w:rPr>
          <w:rStyle w:val="FootnoteAnchor"/>
          <w:rtl w:val="true"/>
        </w:rPr>
        <w:footnoteReference w:id="29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الأقرب و إن كان الأحوط المتأيّد بالاستصحاب على القول بالنجاسة اعتبار مقدّر الكلّ مطلقا</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بوجوب النزح تعبّدا رجع الشكّ إلى ثبوت التكليف بالزائد و الأصل ينفيه، و لا يعارض هنا باستصحاب الأمر و لا اشتغال الذمّة، مع إمكان المنع </w:t>
      </w:r>
      <w:bookmarkStart w:id="976" w:name="pg16144_233668"/>
    </w:p>
    <w:p>
      <w:pPr>
        <w:pStyle w:val="BookText"/>
        <w:rPr/>
      </w:pPr>
      <w:bookmarkEnd w:id="976"/>
      <w:r>
        <w:rPr>
          <w:rFonts w:ascii="Amiri" w:hAnsi="Amiri" w:eastAsia="Amiri" w:cs="Amiri"/>
          <w:color w:val="111111"/>
          <w:sz w:val="28"/>
          <w:sz w:val="28"/>
          <w:szCs w:val="28"/>
          <w:rtl w:val="true"/>
          <w:lang w:bidi="ar-SA"/>
        </w:rPr>
        <w:t>عن أصل الاشتغال على هذا القول بالنسبة إلى 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المنع قويّ متّجه، و عليه يختصّ ما تقدّم من حكم غير المنصوص و اخترنا فيه لزوم نزح الجميع بالقول بالانفعال، لأنّ الاشتغال على هذا القول تابع لعروض النجاسة للبئر و هو قدر مشترك بين المنصوص و غيره، و إن كان إتمامه في غاية الإشكال إلاّ من جهة الإجماع على عدم الفرق، و لعلّه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اتّحد الجزء أو تعدّد و علم بكونه من حيوان واحد، و أمّا مع الاشتباه في كونه من واحد أو اثنين 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عدم التضاعف، لأصالة عدم التعدّد</w:t>
      </w:r>
      <w:r>
        <w:rPr>
          <w:rFonts w:eastAsia="Amiri" w:cs="Amiri" w:ascii="Amiri" w:hAnsi="Amiri"/>
          <w:color w:val="111111"/>
          <w:sz w:val="28"/>
          <w:szCs w:val="28"/>
          <w:rtl w:val="true"/>
          <w:lang w:bidi="ar-SA"/>
        </w:rPr>
        <w:t>»</w:t>
      </w:r>
      <w:r>
        <w:rPr>
          <w:rStyle w:val="FootnoteAnchor"/>
          <w:rtl w:val="true"/>
        </w:rPr>
        <w:footnoteReference w:id="2987"/>
      </w:r>
      <w:r>
        <w:rPr>
          <w:rFonts w:ascii="Amiri" w:hAnsi="Amiri" w:eastAsia="Amiri" w:cs="Amiri"/>
          <w:color w:val="111111"/>
          <w:sz w:val="28"/>
          <w:sz w:val="28"/>
          <w:szCs w:val="28"/>
          <w:rtl w:val="true"/>
          <w:lang w:bidi="ar-SA"/>
        </w:rPr>
        <w:t>و هو واضح الضعف، لأنّ التعدّد بالنسبة إلى الجزءين محرز فلا يعقل نفيه بالأصل، و بالنسبة إلى الكلّ محتمل ككون الاتّحاد محتملا فلا يقين بشيء منهما لاحقا و لا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الأجود التضاعف</w:t>
      </w:r>
      <w:r>
        <w:rPr>
          <w:rFonts w:eastAsia="Amiri" w:cs="Amiri" w:ascii="Amiri" w:hAnsi="Amiri"/>
          <w:color w:val="111111"/>
          <w:sz w:val="28"/>
          <w:szCs w:val="28"/>
          <w:rtl w:val="true"/>
          <w:lang w:bidi="ar-SA"/>
        </w:rPr>
        <w:t>»</w:t>
      </w:r>
      <w:r>
        <w:rPr>
          <w:rStyle w:val="FootnoteAnchor"/>
          <w:rtl w:val="true"/>
        </w:rPr>
        <w:footnoteReference w:id="2988"/>
      </w:r>
      <w:r>
        <w:rPr>
          <w:rFonts w:ascii="Amiri" w:hAnsi="Amiri" w:eastAsia="Amiri" w:cs="Amiri"/>
          <w:color w:val="111111"/>
          <w:sz w:val="28"/>
          <w:sz w:val="28"/>
          <w:szCs w:val="28"/>
          <w:rtl w:val="true"/>
          <w:lang w:bidi="ar-SA"/>
        </w:rPr>
        <w:t>و كأنّ مستنده الاستصحاب، لكن بناء على عدم التداخل و لو من جهة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عندي نزح أقلّ الأمرين من مقدّر الكلّ من كلّ منهما و من منزوح غير المنصوص</w:t>
      </w:r>
      <w:r>
        <w:rPr>
          <w:rFonts w:eastAsia="Amiri" w:cs="Amiri" w:ascii="Amiri" w:hAnsi="Amiri"/>
          <w:color w:val="111111"/>
          <w:sz w:val="28"/>
          <w:szCs w:val="28"/>
          <w:rtl w:val="true"/>
          <w:lang w:bidi="ar-SA"/>
        </w:rPr>
        <w:t>»</w:t>
      </w:r>
      <w:r>
        <w:rPr>
          <w:rStyle w:val="FootnoteAnchor"/>
          <w:rtl w:val="true"/>
        </w:rPr>
        <w:footnoteReference w:id="2989"/>
      </w:r>
      <w:r>
        <w:rPr>
          <w:rFonts w:ascii="Amiri" w:hAnsi="Amiri" w:eastAsia="Amiri" w:cs="Amiri"/>
          <w:color w:val="111111"/>
          <w:sz w:val="28"/>
          <w:sz w:val="28"/>
          <w:szCs w:val="28"/>
          <w:rtl w:val="true"/>
          <w:lang w:bidi="ar-SA"/>
        </w:rPr>
        <w:t>، و هذا جيّد و إن كان الاحتياط و استصحاب النجاسة يقتضي اعتبار مقدّر الكلّ بل القول بالتضاعف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الجزء بين حيوانين مقدّر أحدهما أكثر من الآخر، فمقتضى الاستصحاب اعتبار مقدّر الأكثر، و منه يعلم الحال في الجزءين المشتبهين بين حيوانين مختلفين في المقدّر</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1805106_1280447820"/>
      <w:bookmarkStart w:id="978" w:name="_Toc384"/>
      <w:bookmarkEnd w:id="977"/>
      <w:r>
        <w:rPr>
          <w:rtl w:val="true"/>
        </w:rPr>
        <w:t>الثالثة</w:t>
      </w:r>
      <w:r>
        <w:rPr>
          <w:rtl w:val="true"/>
        </w:rPr>
        <w:t xml:space="preserve">: </w:t>
      </w:r>
      <w:r>
        <w:rPr>
          <w:rtl w:val="true"/>
        </w:rPr>
        <w:t>قال في الدروس</w:t>
      </w:r>
      <w:r>
        <w:rPr>
          <w:rtl w:val="true"/>
        </w:rPr>
        <w:t>: «</w:t>
      </w:r>
      <w:r>
        <w:rPr>
          <w:rtl w:val="true"/>
        </w:rPr>
        <w:t>و لو تضاعف المنجّس تضاعف النزح، تخالف أو تماثل في الاسم أو في المقدّر</w:t>
      </w:r>
      <w:r>
        <w:rPr>
          <w:rtl w:val="true"/>
        </w:rPr>
        <w:t>»</w:t>
      </w:r>
      <w:bookmarkEnd w:id="97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تضاعف المنجّس تضاعف النزح، تخالف أو تماثل في الاسم أو في المقدّر</w:t>
      </w:r>
      <w:r>
        <w:rPr>
          <w:rFonts w:eastAsia="Amiri" w:cs="Amiri" w:ascii="Amiri" w:hAnsi="Amiri"/>
          <w:color w:val="111111"/>
          <w:sz w:val="28"/>
          <w:szCs w:val="28"/>
          <w:rtl w:val="true"/>
          <w:lang w:bidi="ar-SA"/>
        </w:rPr>
        <w:t>»</w:t>
      </w:r>
      <w:r>
        <w:rPr>
          <w:rStyle w:val="FootnoteAnchor"/>
          <w:rtl w:val="true"/>
        </w:rPr>
        <w:footnoteReference w:id="2990"/>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عزاه الخوانساري في الشرح</w:t>
      </w:r>
      <w:r>
        <w:rPr>
          <w:rStyle w:val="FootnoteAnchor"/>
          <w:rtl w:val="true"/>
        </w:rPr>
        <w:footnoteReference w:id="2991"/>
      </w:r>
      <w:r>
        <w:rPr>
          <w:rFonts w:ascii="Amiri" w:hAnsi="Amiri" w:eastAsia="Amiri" w:cs="Amiri"/>
          <w:color w:val="111111"/>
          <w:sz w:val="28"/>
          <w:sz w:val="28"/>
          <w:szCs w:val="28"/>
          <w:rtl w:val="true"/>
          <w:lang w:bidi="ar-SA"/>
        </w:rPr>
        <w:t>إلى جماعة من المتأخّرين، منهم المحقّق و الشهيد الثانيين</w:t>
      </w:r>
      <w:r>
        <w:rPr>
          <w:rStyle w:val="FootnoteAnchor"/>
          <w:rtl w:val="true"/>
        </w:rPr>
        <w:footnoteReference w:id="2992"/>
      </w:r>
      <w:r>
        <w:rPr>
          <w:rFonts w:ascii="Amiri" w:hAnsi="Amiri" w:eastAsia="Amiri" w:cs="Amiri"/>
          <w:color w:val="111111"/>
          <w:sz w:val="28"/>
          <w:sz w:val="28"/>
          <w:szCs w:val="28"/>
          <w:rtl w:val="true"/>
          <w:lang w:bidi="ar-SA"/>
        </w:rPr>
        <w:t>، و هو محكيّ عن المعالم أيضا</w:t>
      </w:r>
      <w:r>
        <w:rPr>
          <w:rStyle w:val="FootnoteAnchor"/>
          <w:rtl w:val="true"/>
        </w:rPr>
        <w:footnoteReference w:id="2993"/>
      </w:r>
      <w:r>
        <w:rPr>
          <w:rFonts w:ascii="Amiri" w:hAnsi="Amiri" w:eastAsia="Amiri" w:cs="Amiri"/>
          <w:color w:val="111111"/>
          <w:sz w:val="28"/>
          <w:sz w:val="28"/>
          <w:szCs w:val="28"/>
          <w:rtl w:val="true"/>
          <w:lang w:bidi="ar-SA"/>
        </w:rPr>
        <w:t>، و هذا هو الّذي يعبّر عنه بعدم التداخل مطلقا، و عن العلاّمة في جملة من كتبه كالقواعد</w:t>
      </w:r>
      <w:r>
        <w:rPr>
          <w:rStyle w:val="FootnoteAnchor"/>
          <w:rtl w:val="true"/>
        </w:rPr>
        <w:footnoteReference w:id="2994"/>
      </w:r>
      <w:r>
        <w:rPr>
          <w:rFonts w:ascii="IRNazanin" w:hAnsi="IRNazanin" w:eastAsia="IRNazanin"/>
          <w:color w:val="111111"/>
          <w:sz w:val="28"/>
          <w:sz w:val="28"/>
          <w:szCs w:val="28"/>
          <w:rtl w:val="true"/>
          <w:lang w:bidi="fa-IR"/>
        </w:rPr>
        <w:t>، و المنتهى</w:t>
      </w:r>
      <w:r>
        <w:rPr>
          <w:rStyle w:val="FootnoteAnchor"/>
          <w:rtl w:val="true"/>
        </w:rPr>
        <w:footnoteReference w:id="2995"/>
      </w:r>
      <w:r>
        <w:rPr>
          <w:rFonts w:ascii="Amiri" w:hAnsi="Amiri" w:eastAsia="Amiri" w:cs="Amiri"/>
          <w:color w:val="111111"/>
          <w:sz w:val="28"/>
          <w:sz w:val="28"/>
          <w:szCs w:val="28"/>
          <w:rtl w:val="true"/>
          <w:lang w:bidi="ar-SA"/>
        </w:rPr>
        <w:t xml:space="preserve">المصير إلى تداخل النجاسات مطلقا، متخالفة كانت كالإنسان و الكلب، أو متماثلة في </w:t>
      </w:r>
    </w:p>
    <w:p>
      <w:pPr>
        <w:pStyle w:val="BookText"/>
        <w:rPr/>
      </w:pPr>
      <w:r>
        <w:rPr>
          <w:rFonts w:ascii="Amiri" w:hAnsi="Amiri" w:eastAsia="Amiri" w:cs="Amiri"/>
          <w:color w:val="111111"/>
          <w:sz w:val="28"/>
          <w:sz w:val="28"/>
          <w:szCs w:val="28"/>
          <w:rtl w:val="true"/>
          <w:lang w:bidi="ar-SA"/>
        </w:rPr>
        <w:t>الاسم كإنسانين، أو في المقدّر كالكلب و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تكثّرت النجاسة، فإن كانت من نوع واحد فالأقرب سقوط التكرير في النزح، لأنّ الحكم معلّق على الاسم المتناول للقليل و الكثير لغة؛ أمّا إذا تغايرت فالأشبه عندي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بفعل الأكثر يمتثل الأمرين فيحصل الإجزاء، و قد بيّنّا أنّ النيّة غير معتبرة،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النزحان، لكلّ نجاسة مقدار مغاير</w:t>
      </w:r>
      <w:r>
        <w:rPr>
          <w:rFonts w:eastAsia="Amiri" w:cs="Amiri" w:ascii="Amiri" w:hAnsi="Amiri"/>
          <w:color w:val="111111"/>
          <w:sz w:val="28"/>
          <w:szCs w:val="28"/>
          <w:rtl w:val="true"/>
          <w:lang w:bidi="ar-SA"/>
        </w:rPr>
        <w:t>»</w:t>
      </w:r>
      <w:r>
        <w:rPr>
          <w:rStyle w:val="FootnoteAnchor"/>
          <w:rtl w:val="true"/>
        </w:rPr>
        <w:footnoteReference w:id="29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تبعه في ذلك شارح الدروس</w:t>
      </w:r>
      <w:r>
        <w:rPr>
          <w:rStyle w:val="FootnoteAnchor"/>
          <w:rtl w:val="true"/>
        </w:rPr>
        <w:footnoteReference w:id="2997"/>
      </w:r>
      <w:r>
        <w:rPr>
          <w:rFonts w:ascii="Amiri" w:hAnsi="Amiri" w:eastAsia="Amiri" w:cs="Amiri"/>
          <w:color w:val="111111"/>
          <w:sz w:val="28"/>
          <w:sz w:val="28"/>
          <w:szCs w:val="28"/>
          <w:rtl w:val="true"/>
          <w:lang w:bidi="ar-SA"/>
        </w:rPr>
        <w:t>، و عن المحقّق في المعتبر القول بعدم التداخل إذا كانت الأجناس مختلفة كالطير و الإنسان، و إن تماثلت في المقدّر، لأنّ الأصل في الأسباب أن تعمل عملها و لا يتداخل مسبّباتها، و تردّد إذا كانت متساوية، لأنّ النجاسة من الجنس الواحد لا تتزايد، إذ النجاسة الكلبيّة موجودة في كلّ جزء، فلا يتحقّق زيادة توجب زيادة النزح، و أنّ كثرة الواقع تؤثّر كثرة في مقدار النجاسة فتؤثّر شياعا في الماء زائدا، و لهذا اختلف النزح بتعاظم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عن ابن إدريس</w:t>
      </w:r>
      <w:r>
        <w:rPr>
          <w:rStyle w:val="FootnoteAnchor"/>
          <w:rtl w:val="true"/>
        </w:rPr>
        <w:footnoteReference w:id="2998"/>
      </w:r>
      <w:r>
        <w:rPr>
          <w:rFonts w:ascii="Amiri" w:hAnsi="Amiri" w:eastAsia="Amiri" w:cs="Amiri"/>
          <w:color w:val="111111"/>
          <w:sz w:val="28"/>
          <w:sz w:val="28"/>
          <w:szCs w:val="28"/>
          <w:rtl w:val="true"/>
          <w:lang w:bidi="ar-SA"/>
        </w:rPr>
        <w:t>التصريح بالفرق من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أوّل شقّي المعتبر، و قد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دليل كلّ نوع سببيّة وقوعه لاشتغال الذمّة بنزح المقدّر، فتعدّد السبب يقضي بتعدّد الاشتغال، و هو يقضي بتعدّد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الأقوى على ما قرّرناه في كتبنا الاصوليّة، و الحجّة المذكورة ممّا لا دافع لها، من غير فرق في ذلك بين القول بالتنجيس و القول بوجوب النزح تعبّدا، و إن كان على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استفادة السببيّة عن أدلّة أنواع النجاسة، لجواز كونها معرّفات كما في سائر العلل الشرعيّة للأحكام، فلا مانع من تعدّدها على معلول واحد</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يجري على القول بالتنجيس، لضرورة كون وقوع كلّ نوع سببا لنجاسة البئر، إن اريد به كونه مجرّد احتمال فهو ممّا لا يصغى إليه في إخراج الخطاب عن ظاهره، و لا يقدح في وجوب الأخذ بالظاهر، حيث إنّ الاستدلال ليس بعقلي 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اريد به كونه مع ذلك ظاهرا، فمنعه أوضح ممّا مرّ، لوضوح ظهور الخطاب في السببيّة و لو من جهة دلالته التنبيهيّة، كما هو الحال في محلّ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أنّ فرض المعرّفية غير مجد في حسم مادّة الإشكال، حيث لا فرق بين العلّة و المعرّف إلاّ في أنّ الاولى واسطة في الثبوت و الثاني واسطة في الإثبات، على معنى كونه علّة للعلم بالثبوت، فالمعرّف ما كان علّة تامّة لوجود شيء في الذهن، و كما أنّه يستحيل استناد وجود شيء في الخارج إلى أكثر من علّة تامّة واحدة، فكذلك يستحيل استناد وجوده الذهني إلى أكثر من علّة تامّة، و جواز اجتماع أكثر من دليل واحد في مسألة واحدة لا يقضي بكون العلم الحاصل فيها معلولا لكلّ واحد، بل العلّة حينئذ إمّا المجموع أو أحدها الغير المعيّن، مع انتفاء سبق البعض البالغ في العلّيّة أو كونه بالقياس إلى غيره أقوى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نظائر المقام مع فرض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وقوع كلّ معرّف سبب للعلم بوجود معرّفه الواقعي و إن لم نعرفه بعينه، سواء كان نفس الحكم الشرعي أو ما هو علّة له في الواقع، حتّى أنّه إذا اجتمع هناك معرّفان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معلومين و هكذا، بل هذا ممّا لا بدّ منه على قياس ما هو الحال على فرض العلّيّة الواقعيّة، نظرا إلى أنّ كلّ واسطة في الثبوت واسطة في الإثبات أيضا، فبتعدّد العلّة يتعدّد المعلوم الّذي هو المعلول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المعلوم بعنوان كونه معلولا لا يتعدّد إلاّ إذا أثّر كلّ علّة بوجودها في وجود معلولها، و هو ملزوم للعلم بالوجود، و هكذا يقال في المعرّف و إن لم يكن المعلوم المتعدّد معلولا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تعدّد المعرّف بظاهر الخطاب بتعدّد التعريف، و هو لا يعقل إلاّ مع تعدّد المعرّف، و القول بكون الكلّ للتعريف إلى معرّف واحد خلاف ظاهر الخطاب القاضي بكون كلّ معرّفا تامّا</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بالتأمّل فيما ذكرناه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تأييد الحمل على التعريف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ظاهر الدليل اتّحاد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فلا حاجة إلى ارتكاب تعدّده الشخصي بتعدّد الأشخاص، بل ينبغي حمل السبب على المعرّف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له أنّه لا يفهم عرفا فرق بين ورود الأسباب المتعدّدة لحكم شخصي،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زنى زيد فاقتلوه، و إن ارتدّ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ورودها لحكم واحد بالنوع قابل للتعدّد الشخصي،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 من السفر فأضفه، و إن زارك في بيتك فأضفه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الاتّحاد و التعدّد الملحوظين في المقام إنّما يعتبران في إيجاد النوع، بل في إيجاب إيجاده لا في نفسه، فكون المسبّب واحدا بالنوع لا ينافي تعدّد إيجاداته إذا قضت به السببيّة المستفادة عن دليل كلّ نوع، و لا أنّه يوجب اعتبار التعدّد الشخصي في مورد الدليل، ليكون ارتكابا لخلاف ظاهر فيه، إذ الشخصيّة الملحوظة هنا من لوازم الامتثال بالنوع، لا من مقاصد دليل ذلك النوع و لا من محتملاته المخرجة له عن ظاهره، فإذا كان ظاهر الدليل سببيّة كلّ نوع أو كلّ وقوع لإيجاد نوع المسبّب و هو النزح، فقضيّة تعدّد الأنواع أو تعدّد الوقوعات تعدّد الإيجادات بتعدّد إيجابات إيجاده على حدّ الأوامر الواردة بإيجاد طبيعة واحدة في غير مورد التأكيد، فالحاجة ماسّة إلى اعتبار التعدّد لكن في الامتثال بنوع المسبّب لا في أشخاصه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التفرقة بين المثالين بكون الأوّل من باب ورود الأسباب المتعدّدة لحكم شخصي، و الثاني من باب ورودها لحكم واحد بالنوع، فضعفها واضح، بعد ملاحظة أنّ مجرّد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كونه واحدا بالشخص، لما اعتبر في الشخصيّة من انضمام خصوصيّات اخر من جهة الفاعل و زمان الفعل و مكانه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ملغاة في المثال،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كضيافته أمر كلّي، غير أنّ الأوّل غير قابل لتعدّد اشخاصه في ظرف الخارج لا في وعاء الذهن، و الثاني 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الفرق أوجب توهّم كون الأوّل واحدا بالشخص و الثاني واحدا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هو من لوازم الوجود لا يؤخذ فيما هو من مقاصد الخطاب، و عدم قابليّة التعدّد في الخارج لا ينافي إمكان فرض التعدّد</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القتل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توارد الأسباب المتعدّدة عليه يقضي بتعدّد الأمر به على نحو التكاليف المتعدّدة، و لا ينافيه عدم بقاء التكليف بعد حصول امتثال واحد منها، لأنّ ذلك من جهة سقوط الباقي بارتفاع موضوعه لا من جهة أنّ الثابت بالدليل فيه تكليف واحد، أو من جهة كفاية امتثال واحد عن اشتغالات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يندفع اعتراضان آخران أوردا على التقرير المتقدّم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قضاء تعدّد المسبّب بتعدّد الواجب، فإنّ المسبّب اللازم تعدّده بتعدّد أسبابه إنّما هو الوجوب، و لا ريب أنّ تعدّد الوجوب لا يقتضي تعدّد الواجب، بل من الجائز اجتماع إيجابات متعدّدة في واجب واحد للتأكيد أو لجهات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اقتضاء تعدّد الواجب تعدّد الامتثال، بل يكفي فعل واحد عن فعلين، لصدق الامتثال مع الواحد أيضا على قياس ما هو الحال في الأغسال و غيرها من الأحداث المقتضية للوضوء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إن اريد به التكليف الفعلي المتوقّف فعليّته على العلم بتحقّق سببه الّذي منه صدور الخطاب الكاشف عن انقداح الطلب النفساني صدورا، المتوقّف تعلّقه على العلم بتحقّق جهة صدوره، فلا ريب أنّ تعدّده يقضي بتعدّد الواجب، كيف لا و كلّ عرض لا بدّ له من معروض، و مقايسة ذلك على مقام التأكيد غير سديدة، ضرورة أنّ الحادث في التأكيد ليس إيجابات حقيقيّة متعدّدة، بل إيجاب واحد مبيّن بعبارات متعدّدة، و حمل المقام على نظير ذلك خروج عن الظاهر بلا داع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اندفاع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تعدّد الواجب تعدّد الاشتغال بأفعال متعدّدة أو فعل واحد بالنوع، و لا ريب أنّ تعدّد الأفعال ممّا يستدعي في حكم العقل تعدّد الامتثال ما لم يقم دليل على كفاية الواحد، و مع قيامه خرج المورد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يتبيّن فساد التمثيل بالأغسال و غيرها، فإنّ الاكتفاء بالواقع هناك اتّباع للدليل الغير الموجود هنا، و لو سلّم عدم قضاء العقل بلزوم التعدّد في الامتثال عند تعدّد الاشتغال فلا أقلّ من الشكّ في اعتباره، و هو محرز للأصل المقتضي لبقاء الاشتغال بغير ما امتثل به، و لا رافع له في جانب اللفظ و لو من جهة الإطلاق كما لا يخفى</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يعترض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و إن اقتضت عدم التداخل، إلاّ أنّ من المعلوم في خصوص المقام أنّ النزح لإزالة النجاسة الحاصلة من ملاقاة ما وقع فيه، و النجاسة و إن تعدّدت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 ذلك اختلاف كيفيّة إزالتها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الثابت من ذلك كفاية مزيل أحد الأفراد لإزالة الفرد الآخر المساوي له في الكيفيّة، فيكفي مزيل واحد للنجاسة الحاصلة من وقوع شاة و كلب، لأنّ الفرض اتّحاد نجاستهما لاتّحاد مزيلهما، </w:t>
      </w:r>
    </w:p>
    <w:p>
      <w:pPr>
        <w:pStyle w:val="BookText"/>
        <w:rPr/>
      </w:pPr>
      <w:r>
        <w:rPr>
          <w:rFonts w:ascii="Amiri" w:hAnsi="Amiri" w:eastAsia="Amiri" w:cs="Amiri"/>
          <w:color w:val="111111"/>
          <w:sz w:val="28"/>
          <w:sz w:val="28"/>
          <w:szCs w:val="28"/>
          <w:rtl w:val="true"/>
          <w:lang w:bidi="ar-SA"/>
        </w:rPr>
        <w:t>و كفاية مزيل الأشدّ لإزالة الأضعف، فيتداخل الأقلّ مقدارا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هذا المعنى من أدلّة المقام، فالكفاية المدّعاة من كلّ من القسمين مبنيّة على أحد الأمرين، من أصالة التداخل في مسبّبات الأسباب، أو قيام القرينة عليه في خصوص المقام، و الكلّ محلّ منع، بل الأصل المستفاد من الأدلّة يقتضي خلافه و لا مخرج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السبب المقتضي للنزح على القول بانفعال البئر بالملاقاة إنّما هو النجاسة العارضة للماء بسبب وقوع ما يقع فيها من أنواع النجاسات لا نفس الوقوع، فلا عبرة بتعدّد الوقوع و لا الواقع، بل المعتبر في عدم التداخل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أحد الأمرين، من تعدّد الحدوث لصفة النجاسة على حسب تعدّد ما يقع فيها، بأن يحدث بوقوع كلّ واقع من صفة النجاسة فرد ممتاز و لو في علم اللّه سبحانه مقتض لمقدّره المعلوم له من الشرع، زاد على مقدّر الفرد الآخر أو ساواه أو قصر عنه، أو بلوغ الصفة الحادثة بكثرة الواقع و تلاحقه في القوّة و تأكّد التأثير حدّا لا ترتفع معه إلاّ بنزح مجموع المقدّرين أو المقدّرات المساوية أو المتخالفة،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الحادثة مرتبة بالغة من مراتب النجاسة، بناء على أنّها تتأكّد و تتضاعف، و أنّ مجموع المقدّرين أو المقدّرات كأنّه في نظر الشارع مقدّر لتلك المرتبة، و كلّ من هذين الأمرين و إن كان ممكنا في نظر العقل لكن ليس في حكمه و لا في النصوص الواردة في الشرع ما يقتضي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قيام احتمال في ذلك و هو لا يعارض الأصل الجاري في المقام، فإنّ الأصل عدم حدوث ما زاد على فرد واحد، كما أنّ الأصل عدم بلوغ الصفة الحادثة إلى ما ذكر من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معارضة ذلك الأصل باستصحاب النجاسة، كما تمسّك به بعضهم على عدم التداخل، لعدم كون ذلك الاستصحاب في مجراه، إمّا لانتفاء الحالة السابقة إن قرّر بالقياس إلى ما لم ينزح مقدّره، أو لتيقّن ارتفاع الأثر إن قرّر بالقياس إلى ما ينزح مقدّره</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يقاس ذلك الاستصحاب على استصحاب القدر المشترك المتيقّن المردّد بين الأقلّ و الأكثر، لوضوح الفرق بينهما بكون القدر المشترك المتيقّن من أوّل الأمر مردّدا، فهو في الحقيقة كسائر مواقع الاستصحاب أمر واحد طرأه حالة يقين سابقة و حالة </w:t>
      </w:r>
    </w:p>
    <w:p>
      <w:pPr>
        <w:pStyle w:val="BookText"/>
        <w:rPr/>
      </w:pPr>
      <w:r>
        <w:rPr>
          <w:rFonts w:ascii="Amiri" w:hAnsi="Amiri" w:eastAsia="Amiri" w:cs="Amiri"/>
          <w:color w:val="111111"/>
          <w:sz w:val="28"/>
          <w:sz w:val="28"/>
          <w:szCs w:val="28"/>
          <w:rtl w:val="true"/>
          <w:lang w:bidi="ar-SA"/>
        </w:rPr>
        <w:t>شكّ لاحقة كما يظهر بأدنى تأمّل، بخلاف المقام لمكان اليقين بحدوث أثر أحد الواقعين بعينه كما في المتعاقبين، أو لا بعينه كما في المتقارنين، و الشكّ في حدوث أثر الآخر من أوّل الأمر، فاليقين و الشكّ هنا واردان على موضوعين ممتازين في حالة واحدة، لا على موضوع واحد في حالتين،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صفة النجاسة الحاصلة في الماء سبب للنزح، كذلك وقوع النجاسة الخارجيّة في البئر سبب لحدوث تلك الصفة، و لمّا كانت السببيّة المستفادة من أدلّة كلّ نوع السببيّة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وقوع كلّ نوع سببا تامّا لانفعال ماء البئر إلى ما يتوقّف ارتفاعه على نزح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يتعدّد الأثر الحاصل في الماء، سواء فرضت أثر كلّ فردا مستقلاّ من النجاسة، أو مجموع الآثار فردا بالغا في القوّة إلى ما لا يرتفع إلاّ بنزح مقدّرات المجموع، و إن كانت تلك الاستفادة حاصلة من إطلاق الأدلّة، فإنّ منع تماميّة السبب لا مستند له إلاّ قيام احتمال مدخليّة وجود شرط أو فقد مانع، و كلّ ذلك ممّا ينفيه إطلاق أدلّة السببيّة، و معه لا مجرى للأصل المذكور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نقض المقام بإطلاق أدلّة انفعال القليل من الراكد بكلّ نجاسة، و أدلّة تطهير الأواني و الثياب و غيرها عن النجاسات الملاقية لها، نظرا إلى أنّ الكلام حرفا بحرف جار في الجميع، و لا قائل بعدم التداخل في شيء من المسألتين، بل التداخل في ثانيتهما محكيّ عليه الاتّفاق في كلام بعض، لمكان الفرق بين المقامين، فإنّ الشرع في كلّ من المسألتين أسقط اعتبار إطلاق الأدلّة الموجودة فيهما، حيث دلّ من جهة الضرورة و غيرها على كفاية غسل واحد عن الجميع عند الاجتماع، و القول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مسألتي الأغسال و رفع الأحداث الصغيرة، و إلاّ فلو لا ذلك لكان التمسّك بإطلاق الأدلّة في الجميع متّجها، و كان مقتضاه السببيّة التامّة المقتضية في كلّ سبب وظيفته و إن تعدّدت</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الفرق بين المسألتين و غيرهما من النظائر و بين المقام بعد فرض اشتراك الجميع في بقاء إطلاق الأدلّة على حاله، و كون مقتضاه في الجميع تعدّد الآثار الحادثة في المحلّ من جهة تعدّد المؤثّرات، بناء على دلالة الإطلاق على كون كلّ مؤثّرا تامّا و لكنّ الشرع في غير المقام من جهة الضرورة اكتفى بمزيل واحد عن الجميع، و لا يجوز مقايسة المقام عليه لبطلانه رأسا، و لإمكان الفارق بمدخليّة خصوصيّة في البئر قاضية </w:t>
      </w:r>
    </w:p>
    <w:p>
      <w:pPr>
        <w:pStyle w:val="BookText"/>
        <w:rPr/>
      </w:pPr>
      <w:r>
        <w:rPr>
          <w:rFonts w:ascii="Amiri" w:hAnsi="Amiri" w:eastAsia="Amiri" w:cs="Amiri"/>
          <w:color w:val="111111"/>
          <w:sz w:val="28"/>
          <w:sz w:val="28"/>
          <w:szCs w:val="28"/>
          <w:rtl w:val="true"/>
          <w:lang w:bidi="ar-SA"/>
        </w:rPr>
        <w:t>بعدم الاكتفاء، بل تحقّق الفارق كما يفصح عنه الاختلاف في كيفيّة التطهير هنا اختلافا فاحشا شديدا مع انتفاء نظيره في المسألتين، و لو لا ذلك من جهة مدخليّة الخصوصيّة لبطل الفرق المذكور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المدّعى هنا لعلّه في حيّز المنع، بل لا نرى في أدلّة المقام إطلاقا صالحا لتناول سائر الأحوال، إن لم نقل بظهورها حال الانفراد كما هو كذلك في أكثرها، كما لا يخفى على من يلاحظها سياقا و سؤالا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نهوض الإطلاق دليلا عدم اعتبار التقييد لا ثبوت اعتبار الإطلاق، و إلاّ لانسدّ باب التمسّك بالمطلقات؛ و لا ريب في عدم ثبوت التقييد و لا عدم قيام ما يقضي باعتبار الانفراد، و ظهوره المدّعى و إن كان مسلّما في الجملة لكنّه غير كاشف عن الاعتبار، لكونه ناشئا عن اتّفاق الانفراد في الغالب؛ فالموجب للظهور هو غلبة اتّفاق الانفراد، و مثل هذه الغلبة غير معتبرة جدّا في شيء من المحاورة، و هل هي إلاّ نظير غلبة الصفاء في الماء الّذي رتّب عليه الشارع أحكاما كثيرة؟</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بالغلبة الناشئة عن مجرّد العادة، لكون موردها من البدو إلى الختم من اتّفاقيّات الامور لا من مقاصدها، بل المعتبر منها في إفادة انصراف اللفظ و ظهوره المعتبر في خلاف الإطلاق إنّما هو الغلبة في إطلاق اللفظ، بأن يغلب استعماله لبعض الأفراد المساوي للبعض الآخر في الوجود أو الأقلّ منه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يندفع ما عساك تقول في منع نهوض الإطلاق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إبداء احتمال مدخليّة طهر المحلّ و عدم سبق النجاسة إليه، فيكون ثاني السببين مصادفا للمحلّ و هو غير قابل للتأثير؛ و الإطلاق المتوهّم موهون جدّا بقوّة احتمال الغناء عن التصريح بالاشتراط و التعرّض للذكر بوجوده في موارد السؤال و عدم الحاجة إلى التنبيه عليه، كما يقتضيه سياق الأسئلة و غيرها، فإنّ ذلك في جميع النصوص ظاهر في ورود النجاسة أو فرض ورودها على محلّ طاهر، فإنّ ذلك ليس إلاّ من جهة الغلبة العادية المستندة إلى مجرّد الاتّفاق، و لا يصلح مثلها صارفة عن الإطلاق</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مناقشة اخرى قويّة لم نقف على من سبقنا إليها كجملة ممّا تقدّم، و هي أنّ تحكيم هذا الإطلاق على الأصل المتقدّم ذكره يعارضه قضاء نفس تلك الأدلّة بكون </w:t>
      </w:r>
    </w:p>
    <w:p>
      <w:pPr>
        <w:pStyle w:val="BookText"/>
        <w:rPr/>
      </w:pPr>
      <w:r>
        <w:rPr>
          <w:rFonts w:ascii="Amiri" w:hAnsi="Amiri" w:eastAsia="Amiri" w:cs="Amiri"/>
          <w:color w:val="111111"/>
          <w:sz w:val="28"/>
          <w:sz w:val="28"/>
          <w:szCs w:val="28"/>
          <w:rtl w:val="true"/>
          <w:lang w:bidi="ar-SA"/>
        </w:rPr>
        <w:t>مقدّر كلّ نوع مطهّرا تامّا و موجبا مستقلاّ لطهر الماء، فحينئذ لو وقع فيها فردان من نوع، أو نوعان متساويان، أو مختلفان في المقدّر، فنزح مقدّر أحد الفردين أو أحد النوعين ساوى مقدّر الباقي أو زاد عليه أو نقص عنه،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الطهر في الماء،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بتوقّفه على نزح مقدّر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اعتراف بالتداخل و عدم تضاعف النزح، و الثاني إخراج للسببيّة المستفادة عن الإطلاق عن كونها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السببيّة التامّة عن تلك الأدلّة بالقياس إلى المنجّس ليست بأظهر من استفادتها بالقياس إلى المطهّر، إن لم نقل بأنّها في الدلالة على أنّ كلّ مقدّر سبب تامّ للطهر أظهر، فقضيّة التنافي بين القضيّتين طرح إحداهما و الأخذ بالاخرى بمرجّح خارجي، و لا يبعد كون الرجحان في جانب القضيّة الثانية، لتأيّدها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بالأصل المتقدّم، و ثانيا، بملاحظة النظائر الّتي تقدّم إلى بعضها الإشارة؛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الاعتبار بأنّ أثر النجاسة ليس من الامور القابلة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التأكّد بكثرة الوارد ليس ممّا يساعد عليه النظر، حيث لا مقتضي له سوى قيام الدليل على تأكّد أثر بعض النجاسات بالقياس إلى أثر نجاسة اخرى، كالخمر بالقياس إلى الدم، كما يفصح الاختلاف في المقدّر بالكثرة و القلّة؛ و هو كما ترى قياس و مع الفارق، لجواز كون تأكّد الأثر في المقيس عليه من مقتضيات ذات المؤثّر و طبعه، فكيف يقاس عليه غيره في اقتضاء التأكّد بواسطة أمر عرضي و هو انضمام مؤثّر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اقتضاء الأدلّة كون كلّ مقدّر سببا تامّا للطهر، بل القدر المسلّم اقتضاؤها كونه سببا تامّا لزوال الأثر الناشئ عن النوع المعلّق على وقوعه ذلك المقدّر، و لا ريب أنّه بحكم السببيّة التامّة في مزيله حاصل، غايته كونه مقارنا لطهر المحلّ إن قلنا بكونه أمرا وجوديّا، و قد يقارن أثر النجاسة الباقية المتوقّف زواله على نزح مقدّرها أيضا، فعدم حصول الطهر فعلا لمانع بعد نزح أحد المقدّرين لا ينافي كون ذلك النزح سببا تامّا كما لا يخفى</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من الوجوه في تأييد القضيّة الثانية، فليس شيء منها بشيء يصلح للتعويل عليه في نظائر المقام</w:t>
      </w:r>
      <w:r>
        <w:rPr>
          <w:rFonts w:eastAsia="Amiri" w:cs="Amiri" w:ascii="Amiri" w:hAnsi="Amiri"/>
          <w:color w:val="111111"/>
          <w:sz w:val="28"/>
          <w:szCs w:val="28"/>
          <w:rtl w:val="true"/>
          <w:lang w:bidi="ar-SA"/>
        </w:rPr>
        <w:t xml:space="preserve">. </w:t>
      </w:r>
      <w:bookmarkStart w:id="979" w:name="pg16144_233677"/>
    </w:p>
    <w:p>
      <w:pPr>
        <w:pStyle w:val="BookText"/>
        <w:rPr/>
      </w:pPr>
      <w:bookmarkEnd w:id="979"/>
      <w:r>
        <w:rPr>
          <w:rFonts w:ascii="Amiri" w:hAnsi="Amiri" w:eastAsia="Amiri" w:cs="Amiri"/>
          <w:color w:val="111111"/>
          <w:sz w:val="28"/>
          <w:sz w:val="28"/>
          <w:szCs w:val="28"/>
          <w:rtl w:val="true"/>
          <w:lang w:bidi="ar-SA"/>
        </w:rPr>
        <w:t>و بالتأمّل في جميع ما ذكر ظهر ضعف حجّة القول بالتداخل مطلقا أو في الجملة،</w:t>
      </w:r>
    </w:p>
    <w:p>
      <w:pPr>
        <w:pStyle w:val="Heading5"/>
        <w:numPr>
          <w:ilvl w:val="4"/>
          <w:numId w:val="1"/>
        </w:numPr>
        <w:rPr/>
      </w:pPr>
      <w:bookmarkStart w:id="980" w:name="__RefHeading___Toc1805108_1280447820"/>
      <w:bookmarkStart w:id="981" w:name="_Toc385"/>
      <w:bookmarkEnd w:id="980"/>
      <w:r>
        <w:rPr>
          <w:rtl w:val="true"/>
        </w:rPr>
        <w:t>و بقي في المقام امور ينبغي الإشارة إليها من باب التفريع</w:t>
      </w:r>
      <w:r>
        <w:rPr>
          <w:rtl w:val="true"/>
        </w:rPr>
        <w:t>.</w:t>
      </w:r>
      <w:bookmarkEnd w:id="981"/>
    </w:p>
    <w:p>
      <w:pPr>
        <w:pStyle w:val="Heading6"/>
        <w:numPr>
          <w:ilvl w:val="5"/>
          <w:numId w:val="1"/>
        </w:numPr>
        <w:rPr/>
      </w:pPr>
      <w:bookmarkStart w:id="982" w:name="__RefHeading___Toc1805110_1280447820"/>
      <w:bookmarkStart w:id="983" w:name="_Toc386"/>
      <w:bookmarkEnd w:id="982"/>
      <w:r>
        <w:rPr>
          <w:rtl w:val="true"/>
        </w:rPr>
        <w:t>أحدها</w:t>
      </w:r>
      <w:r>
        <w:rPr>
          <w:rtl w:val="true"/>
        </w:rPr>
        <w:t xml:space="preserve">: </w:t>
      </w:r>
      <w:r>
        <w:rPr>
          <w:rtl w:val="true"/>
        </w:rPr>
        <w:t>قضيّة الدليل المذكور عدم الفرق في المنجّس بين النوعين المختلفين في الاسم و الحكم معا، أو في الاسم فقط،</w:t>
      </w:r>
      <w:bookmarkEnd w:id="983"/>
    </w:p>
    <w:p>
      <w:pPr>
        <w:pStyle w:val="BookText"/>
        <w:rPr/>
      </w:pPr>
      <w:r>
        <w:rPr>
          <w:rFonts w:ascii="Amiri" w:hAnsi="Amiri" w:eastAsia="Amiri" w:cs="Amiri"/>
          <w:color w:val="111111"/>
          <w:sz w:val="28"/>
          <w:sz w:val="28"/>
          <w:szCs w:val="28"/>
          <w:rtl w:val="true"/>
          <w:lang w:bidi="ar-SA"/>
        </w:rPr>
        <w:t>واقعين في البئر على سبيل التعاقب أو الدفعة، و بين فردين من نوع واحد، خلافا لمن توهّم الفرق محتجّا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معلّق في الأخير على الاسم المتناول للقليل و الكثير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الأدلّة في الأكثر تعلّق الحكم بالفرد من الجنس، نعم قد يتمّ ذلك في مثل البول و العذرة و أشباهها، لشمول اللفظ للقليل منهما و الكثير، أمّا في مثل البعير و الحمار فلا، لعدم شمول اللفظ أزيد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وهنه على الخبير البصير، فإنّ الأحكام تتبع الطبائع باعتبار وجوداتها، على معنى أنّ المصحّح لتعلّق الحكم بها وجوداتها الخارجيّة و لو بحسب الإمكان لئلاّ يلزم السفه، مضافا إلى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ترد الطبيعة في الخطاب مقرونة بما هو من لوازم الوجود الخارجي،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أسئلة نصوص الباب و أجوبتها كما هو الأكثر، فيظنّ أنّ ذلك الوجود له مدخليّة في موضوع الحكم فيترتّب عليه حينئذ دعوى تعلّقه بالفرد، و هذا كما ترى، فإنّ أقصى ما يلزم من ذلك توارد السؤال و الجواب على الفرد من حيث انطباقه على الطبيعة المطلقة لا من حيث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دفع الاحتجاج بأنّه إن اريد بما ذكر كون ذلك هو الأصل في المسألة الاصوليّة فقد دفعناه في محلّه، و إن اريد به كونه كذلك في خصوص المقام بملاحظة ما ذكر من القرينة فقد تبيّن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الحكم معلّق على الطبيعة من غير نظر إلى الأفراد، و قد دلّ الدليل على أنّها في ضمن أيّ فرد تحقّقت مؤثّر تامّ لما يقتضي نزح المقدّر، و مقتضي المؤثّريّة التامّة تعدّد أثرها بوقوعاتها المتعدّدة على سبيل التدريج</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بعض العبائر من دعوى القطع بعدم الفرق في الحكم بين مقدار من البول وقع دفعة أو وقع كلّ جزء منه دفعة؛ و أنّا نفهم من أدلّة وقوع هذه الطبائع أنّ السبب وجودها </w:t>
      </w:r>
    </w:p>
    <w:p>
      <w:pPr>
        <w:pStyle w:val="BookText"/>
        <w:rPr/>
      </w:pPr>
      <w:r>
        <w:rPr>
          <w:rFonts w:ascii="Amiri" w:hAnsi="Amiri" w:eastAsia="Amiri" w:cs="Amiri"/>
          <w:color w:val="111111"/>
          <w:sz w:val="28"/>
          <w:sz w:val="28"/>
          <w:szCs w:val="28"/>
          <w:rtl w:val="true"/>
          <w:lang w:bidi="ar-SA"/>
        </w:rPr>
        <w:t>في البئر و لو برجوعات متعدّدة، واضح الضعف؛ بعد ملاحظة ما بيّنّاه من قاعدة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كلام بعض المشايخ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الدليل لمّا دلّ على أنّ العذرة ينزح لها خمسون دلوا و كانت ماهيّة صادقة على القليل و الكثير، و اشتغل الذّمّة بالنزح بالوقوع الأوّل و جاء الوقوع الثاني انقلب الفرد الأوّل إلى الثاني، فصارت مصداقا واحدا للماهيّة، و هكذا كلّما يزداد فيدخل تحت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العذرة المذابة ينزح لها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إلاّ كتعدّد النوع الواحد من الحدث الأصغر أو الأكبر، كالبول مرّات و الجنابة مرّات</w:t>
      </w:r>
      <w:r>
        <w:rPr>
          <w:rFonts w:eastAsia="Amiri" w:cs="Amiri" w:ascii="Amiri" w:hAnsi="Amiri"/>
          <w:color w:val="111111"/>
          <w:sz w:val="28"/>
          <w:szCs w:val="28"/>
          <w:rtl w:val="true"/>
          <w:lang w:bidi="ar-SA"/>
        </w:rPr>
        <w:t>»</w:t>
      </w:r>
      <w:r>
        <w:rPr>
          <w:rStyle w:val="FootnoteAnchor"/>
          <w:rtl w:val="true"/>
        </w:rPr>
        <w:footnoteReference w:id="29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قدّس سرّه فرض الكلام فيما يقع مستمرّا على وجه يكون أجزاؤها الواقعة متواصلة أو متفاصلة بفصل غير معتدّ به، و إلاّ فلا يرجع إلى محصّل، فإنّ الواقع بالوقوع الأوّل قد وقع بوصف أنّه مؤثّر تامّ فلا بدّ له من أثر لا محالة، ثمّ إذا جاء الوقوع الثاني فإمّا أن ينعقد به مع قطع النظر عن الأوّل المؤثّر التامّ أو لا، و على الأوّل فما معنى الانقلاب؟ و أيّ شيء أوجب وحدة المصداق؟ مع أنّه عند التحقيق غير معقول بملاحظة أنّ الواقع أوّلا قد انعدم بعد وقوعه بالاستهلاك، و الواقع ثانيا حين وقوعه موجود، و كيف ينعقد المعدوم مع الموجود مصداقا واحدا 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فائدة في ذلك الانقلاب و وحدة المصداق إلاّ قيام الأثر بهما معا، و هو خلاف فرض كونهما مؤثّرين تامّين؛ مع أنّه غير معقول أيضا، إذ الأثر قد استكمل بالأوّل فتوجّه الثاني أيضا إليه توارد للعلّتين التامّتين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ترتّب الأثر على الأوّل معلّقا على لحوق الثاني و هو خلاف ما فرضناه أوّلا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فعدم التأثير إمّا لقصور في الواقع،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فاقد للماهيّة الّتي علّق عليها التأثير، أو فاقد للخصوصيّة الثابتة في الواقع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لقصور في المحلّ،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يتأثّر إلاّ إذا كان فارغا عن أثر مؤثّر آخر</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سبيل إلى شيء منها، لقيام الضرورة بوجود الماهيّة، كيف لا و أنّ الكلام على هذا الفرض دون غيره، و ضرورة عدم مدخليّة الخصوصيّة المتعيّنة في صلاحية التأثير </w:t>
      </w:r>
    </w:p>
    <w:p>
      <w:pPr>
        <w:pStyle w:val="BookText"/>
        <w:rPr/>
      </w:pPr>
      <w:r>
        <w:rPr>
          <w:rFonts w:ascii="Amiri" w:hAnsi="Amiri" w:eastAsia="Amiri" w:cs="Amiri"/>
          <w:color w:val="111111"/>
          <w:sz w:val="28"/>
          <w:sz w:val="28"/>
          <w:szCs w:val="28"/>
          <w:rtl w:val="true"/>
          <w:lang w:bidi="ar-SA"/>
        </w:rPr>
        <w:t xml:space="preserve">و لا فعليّته، سيّما مع أنّ الكلام على تقدير تعلّق الحكم بالطبيعة و ظهور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مدخليّة ما عدا الماهيّة، فسبق أثر إلى المحلّ لا يصلح مانعا عن التأثير و إلاّ لزم تقييد الأدلّة بلا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قيل</w:t>
      </w:r>
      <w:r>
        <w:rPr>
          <w:rStyle w:val="FootnoteAnchor"/>
          <w:rtl w:val="true"/>
        </w:rPr>
        <w:footnoteReference w:id="3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بعض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العذرة ينزح لها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 إنّما يوجب حدوث سبب متأخّر عن الكلّ، لا انقلاب ما حدث بالأوّل إلى كونه مسبّبا عن المصداق الواحد الصادق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تشبيه المقام بمسألة الحدث الأصغر و الأكبر، قد عرفت ما فيه بغير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في اعتبار تعدّد الأثر على حسب تعدّد الفرد الواقع في صورة وقوع الفردين على سبيل الدفعة، إذ الماهيّة حينئذ ليست إلاّ واحدة صادقة على الجميع، و لم يتحقّق لها وقوع إلاّ مرّة واحدة، فكيف يتعدّد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w:t>
      </w:r>
      <w:r>
        <w:rPr>
          <w:rFonts w:eastAsia="Amiri" w:cs="Amiri" w:ascii="Amiri" w:hAnsi="Amiri"/>
          <w:color w:val="111111"/>
          <w:sz w:val="28"/>
          <w:szCs w:val="28"/>
          <w:rtl w:val="true"/>
          <w:lang w:bidi="ar-SA"/>
        </w:rPr>
        <w:t>:</w:t>
      </w:r>
      <w:r>
        <w:rPr>
          <w:rStyle w:val="FootnoteAnchor"/>
          <w:rtl w:val="true"/>
        </w:rPr>
        <w:footnoteReference w:id="3001"/>
      </w:r>
      <w:r>
        <w:rPr>
          <w:rFonts w:ascii="Amiri" w:hAnsi="Amiri" w:eastAsia="Amiri" w:cs="Amiri"/>
          <w:color w:val="111111"/>
          <w:sz w:val="28"/>
          <w:sz w:val="28"/>
          <w:szCs w:val="28"/>
          <w:rtl w:val="true"/>
          <w:lang w:bidi="ar-SA"/>
        </w:rPr>
        <w:t>بأنّ موضوع الحكم بالمقدّر إن كان هو الفرد الواحد فوقوع المتعدّد دفعة في حكم المتعاقبين، و احتمال خروج ذلك عن مورد النصّ ضعيف، و إن كان هو الطبيعة الكلّيّة الصادقة على القليل و الكثير فلا يحصل التعدّد فيها إلاّ بالتعاقب مع الفصل الموجب لصدق التعدّد</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اعتبار التعدّد أيضا على الوجه الثاني، إذ لا عبرة بتعدّد الوقوع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بانتفائه هنا، و لا أنّ النظر في هذا الوجه إلى تعدّد الواقع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الوجه الأوّل، بل المعتبر تعدّد التأثير و إن كان قائما بماهيّة واحدة، كما هو كذلك في الفردين المتعاقبين، و كما أنّ الماهيّة يجوز اتّصافها بوصفين متضادّين فصاعدا، و وجودها في مكانين متغايرين فصاعدا، فكذلك يجوز اتّصافها بتأثيرين فصاعدا، كلّ تأثير في ضمن خصوصيّة لا بشرط انضمام الخصوصيّة، بل لأنّ من دأبها أن تؤثّر حال الوجود، نظرا إلى أنّ التأثير الفعلي من لوازم وجودها الخارجي و لا وجود لها إلاّ مع انضمام الخصوصيّة، و لا يعقل فرق من هذه الجهة بعد إلغاء الخصوصيّة بين وجودها في ضمن فردين متقارنين و وجودها في ضمن فردين متعاقبين، فإنّ المؤثّر في الكلّ هو </w:t>
      </w:r>
      <w:bookmarkStart w:id="984" w:name="pg16144_233680"/>
    </w:p>
    <w:p>
      <w:pPr>
        <w:pStyle w:val="BookText"/>
        <w:rPr/>
      </w:pPr>
      <w:bookmarkEnd w:id="984"/>
      <w:r>
        <w:rPr>
          <w:rFonts w:ascii="Amiri" w:hAnsi="Amiri" w:eastAsia="Amiri" w:cs="Amiri"/>
          <w:color w:val="111111"/>
          <w:sz w:val="28"/>
          <w:sz w:val="28"/>
          <w:szCs w:val="28"/>
          <w:rtl w:val="true"/>
          <w:lang w:bidi="ar-SA"/>
        </w:rPr>
        <w:t>الماهيّة، و كما يتعدّد تأثيرها مع التعاقب فينبغي أن يتعدّد التأثير مع التقارن، و مجرّد تقارن الفردين و تعاقبهما مع إحراز بعض ما سبق لا يصلح في حكم العقل فارقا بينهما في الحكم، كيف لا و لا ريب أنّها في ضمن كلّ من الفردين المتقارنين كانت مؤثّرة تامّة على تقدير الانفراد و عدم اتّفاق الانضمام بينهما حتّى أنّها من جهتها منفردين كانت مقتضية لأثرين، فأيّ شيء أسقطها عن هذا الحكم؟ و هل هو إلاّ إنكار السببيّة التامّة بالقياس إليها؟ أو رجوعا عن القول بأنّ الأدلّة قضت بكونها سببا تامّا للتنجيس كائنة ما كانت؛ و المفروض تحقّقها في ضمن كلّ من الفردين فيجب بحكم السببيّة المطلقة أن تؤثّر أثرين</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1805112_1280447820"/>
      <w:bookmarkStart w:id="986" w:name="_Toc387"/>
      <w:bookmarkEnd w:id="985"/>
      <w:r>
        <w:rPr>
          <w:rtl w:val="true"/>
        </w:rPr>
        <w:t>و ثانيها</w:t>
      </w:r>
      <w:r>
        <w:rPr>
          <w:rtl w:val="true"/>
        </w:rPr>
        <w:t xml:space="preserve">: </w:t>
      </w:r>
      <w:r>
        <w:rPr>
          <w:rtl w:val="true"/>
        </w:rPr>
        <w:t>عن أهل القول بعدم التداخل أنّه استثنوا من ذلك ما إذا تبدّل موضوع حكم بسبب تعاقب الفردين من ماهيّة فصاعدا بموضوع حكم آخر،</w:t>
      </w:r>
      <w:bookmarkEnd w:id="986"/>
    </w:p>
    <w:p>
      <w:pPr>
        <w:pStyle w:val="BookText"/>
        <w:rPr/>
      </w:pPr>
      <w:r>
        <w:rPr>
          <w:rFonts w:ascii="Amiri" w:hAnsi="Amiri" w:eastAsia="Amiri" w:cs="Amiri"/>
          <w:color w:val="111111"/>
          <w:sz w:val="28"/>
          <w:sz w:val="28"/>
          <w:szCs w:val="28"/>
          <w:rtl w:val="true"/>
          <w:lang w:bidi="ar-SA"/>
        </w:rPr>
        <w:t>كما لو وقع دمان قليلان فصاعدا إلى أن بلغ المجموع حدّ الدم الكثير الّذي هو موضوع لنزح خمسين، كما أنّ القليل موضوع لنزح عشرة فاكتفوا منه بمنزوح الموضوع الثاني و هو خمسون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رحمه اللّه</w:t>
      </w:r>
      <w:r>
        <w:rPr>
          <w:rStyle w:val="FootnoteAnchor"/>
          <w:rtl w:val="true"/>
        </w:rPr>
        <w:footnoteReference w:id="3002"/>
      </w:r>
      <w:r>
        <w:rPr>
          <w:rFonts w:ascii="Amiri" w:hAnsi="Amiri" w:eastAsia="Amiri" w:cs="Amiri"/>
          <w:color w:val="111111"/>
          <w:sz w:val="28"/>
          <w:sz w:val="28"/>
          <w:szCs w:val="28"/>
          <w:rtl w:val="true"/>
          <w:lang w:bidi="ar-SA"/>
        </w:rPr>
        <w:t>استثناء آخر لما إذا كان التكثّر داخلا تحت الاسم كزيادة كثرة الدم، فلا زيادة في القدر حينئذ لشمول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يخلو عن مناقشة، فإنّ القليل و الكثير ليسا بعنوانين واردين في النصوص ليتمسّك في الموارد المشتبهة بإطلاق لفظيهما، و إنّما هما معنيان استفادوهما من النصوص الواردة في رمي الشاة و الدجاجة كما مرّ، فيضعف تناولهما لمثل هذه الكثرة الانتزاعيّة جدّا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الموجود في النصوص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كالموجود في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شموله لمثل المقام في غاية الإشكال،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ظاهرة فيما كان وصفا حقيقيّا في فرد، لا ما كان منتزعا عن أفراد، مع أنّك قد عرفت أنّ التأثير قائم بذات المؤثّر حال الوجود، فالمقتضي لنزح خمسين إنّما هو الكثير الخارجي لا مفهومه الذهني الصرف و لا خارج له هنا، لأنّ الفرد الأوّل عند وجوده كان منفردا عن الثاني ثمّ انعدم باستهلاكه في الماء عند وجود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اعتبر العقل بينهما حالة انضمام حصل عنده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مفهوما ذهنيّا، مع أنّ الفرد الأوّل بحكم أدلّة السببيّة قد أثّر بحدوثه في نزح العشرة جزما، فإذا حدث الفرد الثاني لكان ينبغي أن يؤثّر في نزح عشرة اخرى لا في انقلاب الحكم الأوّل إلى حكم آخر، لا لأنّ الأصل عدم حدوث ذلك الحكم، حتّى يعارض بأصالة عدم حدوث العشرة الثانية نظرا إلى أنّ الشكّ في تعيين الحادث لا في نفس الحدوث، بل لأنّ الانقلاب يقتضي زوال الحكم الأوّل و حدوث حكم آخر و الأصل في الحادث القلّة، و لا ريب أنّ الزوال محلّ شكّ و لا معارض للأصل النافي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كما يصدق على مجموع هذه الدماء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بذلك في أدلّة دم الكثير، فكذلك يصدق على كلّ واحد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بذلك في أدلّة القليل، و لا يمكن الجمع بين الدليلين بمراعاة المنزوحين الحاصلة بنزح الخمسين تارة اعتبارا للمجموع، و نزح العشرة مكرّرا تارة اخرى اعتبارا لكلّ واحد، لأنّ العبرة في تعدّد السبب المقتضي لتعدّد المسبّب بالتعدّد الحقيقي الخارجي، و المغايرة بين المجموع و كلّ واحد اعتباري عقلي، فيجب إعمال أحد الدليلين بإعمال الترجيح بينهما، و لعلّ الرجحان مع دليل العشرة لكون القلّة في كلّ واحد حقيقيّة و الكثرة في المجموع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القليل أظهر شمولا للمقام من أدلّة الكثير فيجب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يتكلّف في المقام بلزوم مراعاة أكثر الأمرين من منزوح القليل المتكرّر و منزوح الكثير جمعا بين الدليلين، بدعوى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الموجود في الخارج على سبيل البدل إمّا أسباب متعدّدة للعشرة، و إمّا سبب واحد للخمسين، و لا وجه لإلغاء تأثير مصداق السبب المقتضي للأكثر، و لا لإلغاء تأثير المقتضي للأقلّ، لكنّه يتداخل في الأكثر لعدم إمكان الجمع بين مقتضاهما للحكم بالسبعين فيما لو وقع دمان قليلان</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اعتبرنا التداخل في جانب الأقلّ إذ بعد البناء على تداخل مقتضي المصداقين لا معنى لتداخل الأكثر في الأقلّ إلاّ إسقاط الزائد مع وجود سببه، و هو طرح لإطلاق دليله من غير تقييد، بخلاف تداخل الأقلّ في الأكثر فإنّه لا يوجب إسقاطا، فلو فرضنا أنّ التعدّد يقتضي أزيد من الخمسين كما إذا وقع القليل سبع مرّات فصار بالثامن كثيرا، فإنّه و إن صدق على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الدم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يصدق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فيه سبع </w:t>
      </w:r>
      <w:bookmarkStart w:id="987" w:name="pg16144_233682"/>
    </w:p>
    <w:p>
      <w:pPr>
        <w:pStyle w:val="BookText"/>
        <w:rPr/>
      </w:pPr>
      <w:bookmarkEnd w:id="987"/>
      <w:r>
        <w:rPr>
          <w:rFonts w:ascii="Amiri" w:hAnsi="Amiri" w:eastAsia="Amiri" w:cs="Amiri"/>
          <w:color w:val="111111"/>
          <w:sz w:val="28"/>
          <w:sz w:val="28"/>
          <w:szCs w:val="28"/>
          <w:rtl w:val="true"/>
          <w:lang w:bidi="ar-SA"/>
        </w:rPr>
        <w:t>مرّات بل ثمانية دماء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حينئذ لإلغاء ما يوجبه كلّ مرّة، و ليس في ذلك إلغاء لمقتضى مصداق الدم الكثير</w:t>
      </w:r>
      <w:r>
        <w:rPr>
          <w:rFonts w:eastAsia="Amiri" w:cs="Amiri" w:ascii="Amiri" w:hAnsi="Amiri"/>
          <w:color w:val="111111"/>
          <w:sz w:val="28"/>
          <w:szCs w:val="28"/>
          <w:rtl w:val="true"/>
          <w:lang w:bidi="ar-SA"/>
        </w:rPr>
        <w:t>»</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بعد فقد المرجّح و اليأس عن الترجيح، و قد عرفت وجود المرجّح، فالأقوى إذن الاكتفاء بمنزوح القليل متكرّرا حسب تكرّر الدم، زاد المجموع على منزوح الكثير أو ساواه أو نقص عنه، و إن كان الاحتياط مع مراعاة جانب الكثير، و أحوط منه الأخذ بالأكثر كائنا ما كان</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1805114_1280447820"/>
      <w:bookmarkStart w:id="989" w:name="_Toc388"/>
      <w:bookmarkEnd w:id="988"/>
      <w:r>
        <w:rPr>
          <w:rtl w:val="true"/>
        </w:rPr>
        <w:t>و ثالثها</w:t>
      </w:r>
      <w:r>
        <w:rPr>
          <w:rtl w:val="true"/>
        </w:rPr>
        <w:t xml:space="preserve">: </w:t>
      </w:r>
      <w:r>
        <w:rPr>
          <w:rtl w:val="true"/>
        </w:rPr>
        <w:t>قضيّة إطلاقهم في عدم التداخل مع إطلاق قولهم فيما تقدّم بلحوق الجزء بالكلّ تضاعف النجاسة فيما لو وقع فيه جزءان من حيوان،</w:t>
      </w:r>
      <w:bookmarkEnd w:id="989"/>
    </w:p>
    <w:p>
      <w:pPr>
        <w:pStyle w:val="BookText"/>
        <w:rPr/>
      </w:pPr>
      <w:r>
        <w:rPr>
          <w:rFonts w:ascii="Amiri" w:hAnsi="Amiri" w:eastAsia="Amiri" w:cs="Amiri"/>
          <w:color w:val="111111"/>
          <w:sz w:val="28"/>
          <w:sz w:val="28"/>
          <w:szCs w:val="28"/>
          <w:rtl w:val="true"/>
          <w:lang w:bidi="ar-SA"/>
        </w:rPr>
        <w:t>لكن عن الشهيد</w:t>
      </w:r>
      <w:r>
        <w:rPr>
          <w:rStyle w:val="FootnoteAnchor"/>
          <w:rtl w:val="true"/>
        </w:rPr>
        <w:footnoteReference w:id="3004"/>
      </w:r>
      <w:r>
        <w:rPr>
          <w:rFonts w:ascii="Amiri" w:hAnsi="Amiri" w:eastAsia="Amiri" w:cs="Amiri"/>
          <w:color w:val="111111"/>
          <w:sz w:val="28"/>
          <w:sz w:val="28"/>
          <w:szCs w:val="28"/>
          <w:rtl w:val="true"/>
          <w:lang w:bidi="ar-SA"/>
        </w:rPr>
        <w:t>أنّه مع اختياره القولين المذكورين اكتفى بنزح مقدّر الكلّ، بناء على صدق الاسم فيما لو اتّفق وقوع أجزاء الحيوان كلّها دفعة أو تدريجا،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مستثنى من قاعدة عدم التداخل، و كأنّ القائل بدخول الجزء فيما لا نصّ فيه أيضا قائل بالاكتفاء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الخوانساري في شرح الدروس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يستلزم نقصان النزح بسبب زيادة النجاسة، و ذلك لأنّه إذا وقع جزءان من الحيوان دفعتين بحيث لم يتمّ كلّه فعلى القول بالإلحاق و عدم التداخل يجب نزح مقدّر ذلك الحيوان مرّتين، و على القول بإدخاله فيما لا نصّ فيه يجب نزح ما يجب فيه مرّتين، و إذا وقع حينئذ الجزء الآخر الّذي يتمّ به الحيوان يجب نزح مقدّره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المحذور على الأوّل مطلقا و على الثاني إذا كان هذا المقدّر أقلّ من مرّتي منزوح 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الاستبعاد في الامور الشرعيّة ممّا لا مجال له خصوصا في أحكام البئر</w:t>
      </w:r>
      <w:r>
        <w:rPr>
          <w:rFonts w:eastAsia="Amiri" w:cs="Amiri" w:ascii="Amiri" w:hAnsi="Amiri"/>
          <w:color w:val="111111"/>
          <w:sz w:val="28"/>
          <w:szCs w:val="28"/>
          <w:rtl w:val="true"/>
          <w:lang w:bidi="ar-SA"/>
        </w:rPr>
        <w:t>»</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بعدم ابتناء الاعتراض على الاستبعاد الصرف، بل الاعتراض متّجه من جهة أنّ في الحكم المذكور مخالفة للأصل، لابتنائه على انقلاب الحكم الأوّل الناشئ من قاعدة عدم التداخل المبتنية على قاعدة السببيّة، و لا معنى له إلاّ زوال حكم و حدوث حكم آخر، و لا دليل لهم عليه يرفع حكم الأصل</w:t>
      </w:r>
      <w:r>
        <w:rPr>
          <w:rFonts w:eastAsia="Amiri" w:cs="Amiri" w:ascii="Amiri" w:hAnsi="Amiri"/>
          <w:color w:val="111111"/>
          <w:sz w:val="28"/>
          <w:szCs w:val="28"/>
          <w:rtl w:val="true"/>
          <w:lang w:bidi="ar-SA"/>
        </w:rPr>
        <w:t xml:space="preserve">. </w:t>
      </w:r>
      <w:bookmarkStart w:id="990" w:name="pg16144_233683"/>
    </w:p>
    <w:p>
      <w:pPr>
        <w:pStyle w:val="BookText"/>
        <w:rPr/>
      </w:pPr>
      <w:bookmarkEnd w:id="990"/>
      <w:r>
        <w:rPr>
          <w:rFonts w:ascii="Amiri" w:hAnsi="Amiri" w:eastAsia="Amiri" w:cs="Amiri"/>
          <w:color w:val="111111"/>
          <w:sz w:val="28"/>
          <w:sz w:val="28"/>
          <w:szCs w:val="28"/>
          <w:rtl w:val="true"/>
          <w:lang w:bidi="ar-SA"/>
        </w:rPr>
        <w:t>و تحقّق صدق اسم الكلّ لا يصلح رافعا لحكم حادث قبله، و إنّما هو موجب لحدوث حكم غير حادث لو لا المانع، و هو هنا غير معقول لما عرفت من كون المغايرة بين الكلّ و الأبعاض اعتباريّة، و معه لا يتعدّد مقتضاهما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بلحوق الجزء بالكلّ كان مبنيّا على الاحتياط، بناء على عدم صدق اسم الكلّ على الجزء، و تضاعف النزح على تقدير تعدّد الجزء الغير البالغ حدّ الكلّ أيضا كان مبنيّا على ذلك، فالاستصحاب المذكور النافي لاحتمال زوال الحكم الأوّل استصحاب في حكم الاحتياط، فهو حكم ظاهري في حكم ظاهري، و صدق الاسم حيثما تحقّق إنّما يعطي الحكم الواقعي و لو بملاحظة دليل اجتهادي، و من البيّن ارتفاع الحكم الظاهري بانكشاف الحكم الواقعي و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إنّما يستقيم ذلك بعد تسليم قضيّة الصدق، و إلاّ فللمناقشة فيه مجال واسع، لوضوح مدخليّة تواصل الأعضاء في صدق اسم الحيوان بعنوان الحقيقة أو المجاز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كلّ من الجزء و الجزءين فصاعدا و تمام الأجزاء اعتبار ما تقدّم عن صاحب المعالم</w:t>
      </w:r>
      <w:r>
        <w:rPr>
          <w:rStyle w:val="FootnoteAnchor"/>
          <w:rtl w:val="true"/>
        </w:rPr>
        <w:footnoteReference w:id="3006"/>
      </w:r>
      <w:r>
        <w:rPr>
          <w:rFonts w:ascii="Amiri" w:hAnsi="Amiri" w:eastAsia="Amiri" w:cs="Amiri"/>
          <w:color w:val="111111"/>
          <w:sz w:val="28"/>
          <w:sz w:val="28"/>
          <w:szCs w:val="28"/>
          <w:rtl w:val="true"/>
          <w:lang w:bidi="ar-SA"/>
        </w:rPr>
        <w:t>من الاكتفاء بأقلّ الأمرين من مقدّر الكلّ و مقدّر غير المنصوص، و دليله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بل ثبوتها مع تمام الأجزاء أو ما يقرب منه من الأجزاء الناقصة في الإلحاق بغير المنصوص المقتضي عند التعدّد المفروض تعدّد نزح ما يجب لغير المنصوص، للقطع بأنّ النجاسة الملاقية للماء حينئذ أكثر و أزيد من الملاقية فيما لو وقع الحيوان كاملا متواصلة الأعضاء، هذا و مع ذلك فالمسألة ليست بخالية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جميعا بان الحكم فيما لو وقع جزءان من إنسانين مثلا، فعلى القول بإلحاق الجزء بالكلّ يجب نزح مقدّر الإنسان مرّتين، و على القول بإدخاله فيما لا نصّ فيه يجب منزوح ما لا نصّ فيه مرّتين، و على قول صاحب المعالم يجب نزح أقلّ الأمرين من المقدّر للكلّ من كلّ منهما و من منزوح غير المنصوص، كذا قيل</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1805116_1280447820"/>
      <w:bookmarkStart w:id="992" w:name="_Toc389"/>
      <w:bookmarkEnd w:id="991"/>
      <w:r>
        <w:rPr>
          <w:rtl w:val="true"/>
        </w:rPr>
        <w:t>و رابعها</w:t>
      </w:r>
      <w:r>
        <w:rPr>
          <w:rtl w:val="true"/>
        </w:rPr>
        <w:t xml:space="preserve">: </w:t>
      </w:r>
      <w:r>
        <w:rPr>
          <w:rtl w:val="true"/>
        </w:rPr>
        <w:t>عن الشهيد في الذكرى أنّه ألحق الحيوان الحامل و ذا الرجيع النجس بغيرهما،</w:t>
      </w:r>
      <w:bookmarkEnd w:id="992"/>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في الذكرى</w:t>
      </w:r>
      <w:r>
        <w:rPr>
          <w:rStyle w:val="FootnoteAnchor"/>
          <w:rtl w:val="true"/>
        </w:rPr>
        <w:footnoteReference w:id="3007"/>
      </w:r>
      <w:r>
        <w:rPr>
          <w:rFonts w:ascii="Amiri" w:hAnsi="Amiri" w:eastAsia="Amiri" w:cs="Amiri"/>
          <w:color w:val="111111"/>
          <w:sz w:val="28"/>
          <w:sz w:val="28"/>
          <w:szCs w:val="28"/>
          <w:rtl w:val="true"/>
          <w:lang w:bidi="ar-SA"/>
        </w:rPr>
        <w:t>أنّه ألحق الحيوان الحامل و ذا الرجيع النجس بغيرهما،</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لانضمام المخرج المانع من الدخول في الماء، أو لإطلاق الأدلّة في تقدير </w:t>
      </w:r>
      <w:bookmarkStart w:id="993" w:name="pg16144_233684"/>
    </w:p>
    <w:p>
      <w:pPr>
        <w:pStyle w:val="BookText"/>
        <w:rPr/>
      </w:pPr>
      <w:bookmarkEnd w:id="993"/>
      <w:r>
        <w:rPr>
          <w:rFonts w:ascii="Amiri" w:hAnsi="Amiri" w:eastAsia="Amiri" w:cs="Amiri"/>
          <w:color w:val="111111"/>
          <w:sz w:val="28"/>
          <w:sz w:val="28"/>
          <w:szCs w:val="28"/>
          <w:rtl w:val="true"/>
          <w:lang w:bidi="ar-SA"/>
        </w:rPr>
        <w:t>النزح، إلاّ إذا انفتح المخرج بحيث تحقّق معه ملاقاة الماء لما في 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صاحب المعالم</w:t>
      </w:r>
      <w:r>
        <w:rPr>
          <w:rStyle w:val="FootnoteAnchor"/>
          <w:rtl w:val="true"/>
        </w:rPr>
        <w:footnoteReference w:id="3008"/>
      </w:r>
      <w:r>
        <w:rPr>
          <w:rFonts w:ascii="Amiri" w:hAnsi="Amiri" w:eastAsia="Amiri" w:cs="Amiri"/>
          <w:color w:val="111111"/>
          <w:sz w:val="28"/>
          <w:sz w:val="28"/>
          <w:szCs w:val="28"/>
          <w:rtl w:val="true"/>
          <w:lang w:bidi="ar-SA"/>
        </w:rPr>
        <w:t>أنّه استوجهه إلاّ في ثاني التعليلين، فإنّ الاعتماد عليه في الحيوان الحامل مشكل، من حيث إنّ الإطلاق إنّما يجدي فيما يغلب لزومه لذي المقدّر كالرجيع الكائن في الجوف، و ليس الحمل منه كما لا يخفى، و إنّما الاعتماد على التعليل الأوّل و استحسنه في هذا الكلام الخوانساري</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ابتناء هذا الكلام على قاعدتهم في انصراف المطلق إلى الغالب، الّتي مآلها إلى مانعيّة الندرة عن شمول الإطلاق، و إن كان مؤدّى العبارة يعطي شرطيّة الغلبة للشمول، و على أيّ تقدير فلا وجه له بعد ملاحظة ما سبق بيانه من أنّ العبرة في انصراف المطلق ليست بالغلبة العاديّة</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1805118_1280447820"/>
      <w:bookmarkStart w:id="995" w:name="_Toc390"/>
      <w:bookmarkEnd w:id="994"/>
      <w:r>
        <w:rPr>
          <w:rtl w:val="true"/>
        </w:rPr>
        <w:t>و خامسها</w:t>
      </w:r>
      <w:r>
        <w:rPr>
          <w:rtl w:val="true"/>
        </w:rPr>
        <w:t xml:space="preserve">: </w:t>
      </w:r>
      <w:r>
        <w:rPr>
          <w:rtl w:val="true"/>
        </w:rPr>
        <w:t>عن صاحب المعالم أنّه بعد ذكر المسألة قال</w:t>
      </w:r>
      <w:r>
        <w:rPr>
          <w:rtl w:val="true"/>
        </w:rPr>
        <w:t>: «</w:t>
      </w:r>
      <w:r>
        <w:rPr>
          <w:rtl w:val="true"/>
        </w:rPr>
        <w:t>إذا تقرّر هذا، فاعلم أنّ الحكم على تقدير سعة ماء البئر لنزح المقادير المتعدّدة واضح</w:t>
      </w:r>
      <w:r>
        <w:rPr>
          <w:rtl w:val="true"/>
        </w:rPr>
        <w:t>.</w:t>
      </w:r>
      <w:bookmarkEnd w:id="995"/>
    </w:p>
    <w:p>
      <w:pPr>
        <w:pStyle w:val="BookText"/>
        <w:rPr/>
      </w:pPr>
      <w:r>
        <w:rPr>
          <w:rFonts w:ascii="Amiri" w:hAnsi="Amiri" w:eastAsia="Amiri" w:cs="Amiri"/>
          <w:color w:val="111111"/>
          <w:sz w:val="28"/>
          <w:sz w:val="28"/>
          <w:szCs w:val="28"/>
          <w:rtl w:val="true"/>
          <w:lang w:bidi="ar-SA"/>
        </w:rPr>
        <w:t>و أمّا مع قصوره عنها فالظاهر الاكتفاء بنزح الجميع، لأنّه به يتحقّق إخراج الماء المنفعل، و الحكم بالنزح إنّما تعلّق به، و هذا آت فيما لو زاد المقدّر الواحد عن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كان كلّ واحد من المتعدّد موجبا لنزح الجميع حصل التداخل و اكتفى بنزحه مرّة، و لو كان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 قلنا بقيام التراوح مقام نزح الجميع حينئذ، ففي الاكتفاء بتراوح اليوم للكلّ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إنّه قائم مقام نزح الجميع و بدل منه، و قد فرض الاكتفاء في المبدل بالمرّة فكذا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الاكتفاء في المبدل بالمرّة إنّما هو لزوال متعلّق الحكم بالنزح أعني الماء المنفعل، و ذلك مفقود في البدل، و لا يلزم من ثبوت البدليّة المساواة من كلّ وجه</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ترجيح الوجه الأوّل بأنّ ظاهر أدلّة المنزوحات كون نزح الجميع أبعد غايات النزح عند ملاقاة النجاسات، و قيام التراوح مقامه حينئذ يقتضي نفي الزيادة عليه</w:t>
      </w:r>
      <w:r>
        <w:rPr>
          <w:rFonts w:eastAsia="Amiri" w:cs="Amiri" w:ascii="Amiri" w:hAnsi="Amiri"/>
          <w:color w:val="111111"/>
          <w:sz w:val="28"/>
          <w:szCs w:val="28"/>
          <w:rtl w:val="true"/>
          <w:lang w:bidi="ar-SA"/>
        </w:rPr>
        <w:t>»</w:t>
      </w:r>
      <w:r>
        <w:rPr>
          <w:rStyle w:val="FootnoteAnchor"/>
          <w:rtl w:val="true"/>
        </w:rPr>
        <w:footnoteReference w:id="30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يخفى ضعف الوجه الأوّل مع ما ذكره في ترجيحه، فإنّ التراوح يقوم مقام نزح الجميع في كونه أبعد الغايات إذا لم يتعدّد ما يوجب نزح الجميع، و أمّا معه فسقوط الحكم مع حصول نزح الجميع مرّة إنّما هو لعدم قابليّة المحلّ للتعدّد لا لحصول ما هو أبعد الغايات عن الكلّ، و حينئذ فلا موجب لسقوط التعدّد عن التراوح المفروض بدلا، لانتفاء موجب السقوط و هو تعذّر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البدليّة تعدّد البدل مع تعدّد المبدل و اتّحاده مع اتّحاده، و إن شئت نظّر المقام بمسألة قتل زيد إذا تعدّد أسبابه كقتل النفس مرّتين مثلا،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ببدليّة الدية عن القصاص إذا رضي بها أولياء الدم، فحينئذ لو اختير المبدل فلا إشكال في الاكتفاء بالمرّة، و إن قلنا بعدم التداخل لعدم قابليّة المحلّ للتعدّد، و أمّا مع اختيار البدل فلا أظنّ قائلا يقول بالاكتفاء فيه بدية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أوّلا نزح الجميع للكلّ فإن لم يمكن قام مقام الجميع التراوح، و كما أنّه إذا نزح الجميع في صورة الإمكان أجزأ لعدم بقاء ما يتعلّق به النزح، كذلك إذا نزح الماء بطريق التراوح، فإنّ ماء التراوح على هذا يكون عبارة عن مجموع ماء البئر، فلم يبق للنزح حينئذ متعلّق حتّى يمكن تعدّد البدل، لأنّ الماء الباقي بعد التراوح يكون في حكم النابع بعد نزح الجميع، و كما أنّه لا يتعلّق النزح بالنابع فكذلك لا يتعلّق بما هو مثله</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فضعفه واضح جدّا، ضرورة أنّ التراوح بدل عن نزح الجميع في تعلّق الحكم به لا أنّه بدل عنه في ارتفاع الحكم عنه، و لا ريب أنّ الحكم قد تعلّق بنزح يتعدّد بتعدّد أسبابه من أوّل الأمر، غايته أنّه إذا حصل في الخارج مرّة ارتفع الحكم عن الباقي لعدم بقاء متعلّقه، لا أنّ الباقي لم يتعلّق به الحكم من أوّل الأمر، و لذلك لا يوجب ذلك تخصيصا في دليل سببيّة ما يقتضي من النجاسات نزح الجميع ثانية و ثالثة و هكذا، فإنّ زوال الحكم المتعلّق بانتفاء متعلّقه غير عدم تعلّق الحكم من أوّل الأمر بما هو صالح له، و التخصيص يلزم على الأوّل دون الثاني، فإذا فرض أنّ الحكم يتعدّد تعلّقه بنزح الجميع عند تعدّد أسبابه و فرض تعذّر ذلك من جهة غلبة الماء و استيلائه، فلا جرم يتعدّد الحكم المتعلّق ببدله بعد ثبوت البدليّة؛ و المفروض أنّ انتفاء المتعلّق بالقياس إليه </w:t>
      </w:r>
    </w:p>
    <w:p>
      <w:pPr>
        <w:pStyle w:val="BookText"/>
        <w:rPr/>
      </w:pPr>
      <w:r>
        <w:rPr>
          <w:rFonts w:ascii="Amiri" w:hAnsi="Amiri" w:eastAsia="Amiri" w:cs="Amiri"/>
          <w:color w:val="111111"/>
          <w:sz w:val="28"/>
          <w:sz w:val="28"/>
          <w:szCs w:val="28"/>
          <w:rtl w:val="true"/>
          <w:lang w:bidi="ar-SA"/>
        </w:rPr>
        <w:t>غير معقول ما دام نزح الجميع غير ممكن، فلا مقتضي حينئذ لسقوط الحكم عن الباقي بعد حصول التراوح مرّة، و لو فرض أنّ الماء الباقي بعد تراوح اليوم يقصر عن تراوح يوم آخر فهو فرض انكشاف خطأ في ظنّ تعذّر نزح الجميع أوّلا، فينكشف به عدم انتقال الحكم من المبدل إلى بدله من أوّل الأمر، فيجب الإقدام على نزح الباقي لينعقد به نزح الجميع المأمور به الأوّلي</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أنّ الحكم أوّلا بمقتضى حجّيّة الظنّ كان متعلّقا بالبدل، فانكشاف القصور بالقياس إلى البدل الآخر يكشف عن كون الحكم بالقياس إليه قائما بنفس المبدل لا منتقلا منه إلى البدل</w:t>
      </w:r>
      <w:r>
        <w:rPr>
          <w:rFonts w:eastAsia="Amiri" w:cs="Amiri" w:ascii="Amiri" w:hAnsi="Amiri"/>
          <w:color w:val="111111"/>
          <w:sz w:val="28"/>
          <w:szCs w:val="28"/>
          <w:rtl w:val="true"/>
          <w:lang w:bidi="ar-SA"/>
        </w:rPr>
        <w:t>.</w:t>
      </w:r>
      <w:bookmarkStart w:id="996" w:name="pg16144_233687"/>
    </w:p>
    <w:p>
      <w:pPr>
        <w:pStyle w:val="Heading3"/>
        <w:numPr>
          <w:ilvl w:val="2"/>
          <w:numId w:val="1"/>
        </w:numPr>
        <w:rPr/>
      </w:pPr>
      <w:bookmarkStart w:id="997" w:name="__RefHeading___Toc1805120_1280447820"/>
      <w:bookmarkStart w:id="998" w:name="_Toc391"/>
      <w:bookmarkEnd w:id="996"/>
      <w:bookmarkEnd w:id="997"/>
      <w:r>
        <w:rPr>
          <w:rtl w:val="true"/>
        </w:rPr>
        <w:t xml:space="preserve">ينبوع </w:t>
      </w:r>
      <w:r>
        <w:rPr>
          <w:rtl w:val="true"/>
        </w:rPr>
        <w:t>[</w:t>
      </w:r>
      <w:r>
        <w:rPr>
          <w:rtl w:val="true"/>
        </w:rPr>
        <w:t>في المسألة البئر و البالوعة</w:t>
      </w:r>
      <w:r>
        <w:rPr>
          <w:rtl w:val="true"/>
        </w:rPr>
        <w:t>]</w:t>
      </w:r>
      <w:bookmarkEnd w:id="998"/>
    </w:p>
    <w:p>
      <w:pPr>
        <w:pStyle w:val="BookText"/>
        <w:rPr/>
      </w:pPr>
      <w:r>
        <w:rPr>
          <w:rFonts w:ascii="Amiri" w:hAnsi="Amiri" w:eastAsia="Amiri" w:cs="Amiri"/>
          <w:color w:val="111111"/>
          <w:sz w:val="28"/>
          <w:sz w:val="28"/>
          <w:szCs w:val="28"/>
          <w:rtl w:val="true"/>
          <w:lang w:bidi="ar-SA"/>
        </w:rPr>
        <w:t>لا ينجّس البئر بالبالوعة، قربت منها أم بعدت ما لم يعلم بتغيّرها بما فيها إذا كان نجاسة عينيّة، على المختار من عدم انفعالها بمجرّد الملاقاة أو بملاقاة ما فيها لها، و إن لم يكن نجاسة عينيّة على القول الآخر، و لا يكفي فيهما الظنّ المطلق بتحقّق السبب، و الكلام في كلّ هذه المطالب و أدلّتها قد تقدّم، و يدلّ على المختار أو يؤيّده رواية محمّد بن القاسم عن أبي الحسن عليه السّلام في البئر يكون بينها و بين الكنيف خمسة أذرع و أقلّ و 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 لا بعد، يتوضّأ منها و يغتسل ما لم يتغيّر الماء</w:t>
      </w:r>
      <w:r>
        <w:rPr>
          <w:rFonts w:eastAsia="Amiri" w:cs="Amiri" w:ascii="Amiri" w:hAnsi="Amiri"/>
          <w:color w:val="111111"/>
          <w:sz w:val="28"/>
          <w:szCs w:val="28"/>
          <w:rtl w:val="true"/>
          <w:lang w:bidi="ar-SA"/>
        </w:rPr>
        <w:t>»</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القول الآخر يؤول الرواية إلى أنّ التغيّر إنّما اعتبر هنا أمارة غالبيّة على الملاقاة، لا لقصر الحكم على التغيّر ليخرج عنه الملاقاة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في وسط الدار كما في المجمع</w:t>
      </w:r>
      <w:r>
        <w:rPr>
          <w:rStyle w:val="FootnoteAnchor"/>
          <w:rtl w:val="true"/>
        </w:rPr>
        <w:footnoteReference w:id="3012"/>
      </w:r>
      <w:r>
        <w:rPr>
          <w:rFonts w:ascii="Amiri" w:hAnsi="Amiri" w:eastAsia="Amiri" w:cs="Amiri"/>
          <w:color w:val="111111"/>
          <w:sz w:val="28"/>
          <w:sz w:val="28"/>
          <w:szCs w:val="28"/>
          <w:rtl w:val="true"/>
          <w:lang w:bidi="ar-SA"/>
        </w:rPr>
        <w:t>، و عن الصحاح أيضا</w:t>
      </w:r>
      <w:r>
        <w:rPr>
          <w:rStyle w:val="FootnoteAnchor"/>
          <w:rtl w:val="true"/>
        </w:rPr>
        <w:footnoteReference w:id="3013"/>
      </w:r>
      <w:r>
        <w:rPr>
          <w:rFonts w:ascii="Amiri" w:hAnsi="Amiri" w:eastAsia="Amiri" w:cs="Amiri"/>
          <w:color w:val="111111"/>
          <w:sz w:val="28"/>
          <w:sz w:val="28"/>
          <w:szCs w:val="28"/>
          <w:rtl w:val="true"/>
          <w:lang w:bidi="ar-SA"/>
        </w:rPr>
        <w:t>، أو بئر يحفر ضيّق الرأس يجري فيها ماء المطر و نحوه كما عن القاموس</w:t>
      </w:r>
      <w:r>
        <w:rPr>
          <w:rStyle w:val="FootnoteAnchor"/>
          <w:rtl w:val="true"/>
        </w:rPr>
        <w:footnoteReference w:id="3014"/>
      </w:r>
      <w:r>
        <w:rPr>
          <w:rFonts w:ascii="Amiri" w:hAnsi="Amiri" w:eastAsia="Amiri" w:cs="Amiri"/>
          <w:color w:val="111111"/>
          <w:sz w:val="28"/>
          <w:sz w:val="28"/>
          <w:szCs w:val="28"/>
          <w:rtl w:val="true"/>
          <w:lang w:bidi="ar-SA"/>
        </w:rPr>
        <w:t>، أو مجمع ماء النزح كما في الروضة</w:t>
      </w:r>
      <w:r>
        <w:rPr>
          <w:rStyle w:val="FootnoteAnchor"/>
          <w:rtl w:val="true"/>
        </w:rPr>
        <w:footnoteReference w:id="3015"/>
      </w:r>
      <w:r>
        <w:rPr>
          <w:rFonts w:ascii="Amiri" w:hAnsi="Amiri" w:eastAsia="Amiri" w:cs="Amiri"/>
          <w:color w:val="111111"/>
          <w:sz w:val="28"/>
          <w:sz w:val="28"/>
          <w:szCs w:val="28"/>
          <w:rtl w:val="true"/>
          <w:lang w:bidi="ar-SA"/>
        </w:rPr>
        <w:t>، أو مرمى مطلق النجاسات كما عن الروض</w:t>
      </w:r>
      <w:r>
        <w:rPr>
          <w:rStyle w:val="FootnoteAnchor"/>
          <w:rtl w:val="true"/>
        </w:rPr>
        <w:footnoteReference w:id="3016"/>
      </w:r>
      <w:r>
        <w:rPr>
          <w:rFonts w:ascii="Amiri" w:hAnsi="Amiri" w:eastAsia="Amiri" w:cs="Amiri"/>
          <w:color w:val="111111"/>
          <w:sz w:val="28"/>
          <w:sz w:val="28"/>
          <w:szCs w:val="28"/>
          <w:rtl w:val="true"/>
          <w:lang w:bidi="ar-SA"/>
        </w:rPr>
        <w:t>، أو ما يرمى فيه ماء النزح أو غيره من النجاسات كما في المدارك</w:t>
      </w:r>
      <w:r>
        <w:rPr>
          <w:rStyle w:val="FootnoteAnchor"/>
          <w:rtl w:val="true"/>
        </w:rPr>
        <w:footnoteReference w:id="3017"/>
      </w:r>
      <w:r>
        <w:rPr>
          <w:rFonts w:ascii="IRNazanin" w:hAnsi="IRNazanin" w:eastAsia="IRNazanin"/>
          <w:color w:val="111111"/>
          <w:sz w:val="28"/>
          <w:sz w:val="28"/>
          <w:szCs w:val="28"/>
          <w:rtl w:val="true"/>
          <w:lang w:bidi="fa-IR"/>
        </w:rPr>
        <w:t>، و هو الأجود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معنى فحكموا بأنّه تستحبّ التباعد بينها و بين البئر و اتّفقوا عليه، و إن اختلفوا في تحديد ما ينبغي بينهما من البعد، فعن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استفاضة حكاية الشهرة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بخمسة أذرع مع صلابة الأرض أو فوقيّة البئر، و بسبعة أذرع مع انتفاء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مقتضى ذلك استحباب الخمس في أربع صور من الستّ الّتي هي مرتفع الاثنين اللذين هما صلابة الأرض و رخاوتها في الثلاث الّتي هي فوقيّة البئر و مساواتها و تحتيّتها، و استحباب السبع في صورتين منها و هما صورة المساواة و تحتيّة البئر مع رخاوة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فوقيّة البئر أن يكون قرارها أعلى من قرار البالوعة، بأن يكون البالوعة أعمق منها كما في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كلام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العبرة في الفوقيّة على ما ذكره الأصحاب بقراريهما، لا بوجه الأرض</w:t>
      </w:r>
      <w:r>
        <w:rPr>
          <w:rFonts w:eastAsia="Amiri" w:cs="Amiri" w:ascii="Amiri" w:hAnsi="Amiri"/>
          <w:color w:val="111111"/>
          <w:sz w:val="28"/>
          <w:szCs w:val="28"/>
          <w:rtl w:val="true"/>
          <w:lang w:bidi="ar-SA"/>
        </w:rPr>
        <w:t>»</w:t>
      </w:r>
      <w:r>
        <w:rPr>
          <w:rStyle w:val="FootnoteAnchor"/>
          <w:rtl w:val="true"/>
        </w:rPr>
        <w:footnoteReference w:id="3018"/>
      </w:r>
      <w:r>
        <w:rPr>
          <w:rFonts w:ascii="Amiri" w:hAnsi="Amiri" w:eastAsia="Amiri" w:cs="Amiri"/>
          <w:color w:val="111111"/>
          <w:sz w:val="28"/>
          <w:sz w:val="28"/>
          <w:szCs w:val="28"/>
          <w:rtl w:val="true"/>
          <w:lang w:bidi="ar-SA"/>
        </w:rPr>
        <w:t>، و في عبارة الشيخ علي في حاشية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بالفوقيّة كون قرار البئر أعلى، و يتحقّق علوّ أحدهما بكونها أكثر عمقا و بالجهة</w:t>
      </w:r>
      <w:r>
        <w:rPr>
          <w:rFonts w:eastAsia="Amiri" w:cs="Amiri" w:ascii="Amiri" w:hAnsi="Amiri"/>
          <w:color w:val="111111"/>
          <w:sz w:val="28"/>
          <w:szCs w:val="28"/>
          <w:rtl w:val="true"/>
          <w:lang w:bidi="ar-SA"/>
        </w:rPr>
        <w:t>»</w:t>
      </w:r>
      <w:r>
        <w:rPr>
          <w:rStyle w:val="FootnoteAnchor"/>
          <w:rtl w:val="true"/>
        </w:rPr>
        <w:footnoteReference w:id="3019"/>
      </w:r>
      <w:r>
        <w:rPr>
          <w:rFonts w:ascii="Amiri" w:hAnsi="Amiri" w:eastAsia="Amiri" w:cs="Amiri"/>
          <w:color w:val="111111"/>
          <w:sz w:val="28"/>
          <w:sz w:val="28"/>
          <w:szCs w:val="28"/>
          <w:rtl w:val="true"/>
          <w:lang w:bidi="ar-SA"/>
        </w:rPr>
        <w:t xml:space="preserve">، و 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القرار عبارة عن قعريهما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الماء لا قعره، و الأوّل أظهر؛ و صرّحوا أيضا بأنّ المراد بالذراع ما هو المعتبر في تحديد المسافة، و فسّرها في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بالذراع الهاشميّة</w:t>
      </w:r>
      <w:r>
        <w:rPr>
          <w:rStyle w:val="FootnoteAnchor"/>
          <w:rtl w:val="true"/>
        </w:rPr>
        <w:footnoteReference w:id="3020"/>
      </w:r>
      <w:r>
        <w:rPr>
          <w:rFonts w:ascii="Amiri" w:hAnsi="Amiri" w:eastAsia="Amiri" w:cs="Amiri"/>
          <w:color w:val="111111"/>
          <w:sz w:val="28"/>
          <w:sz w:val="28"/>
          <w:szCs w:val="28"/>
          <w:rtl w:val="true"/>
          <w:lang w:bidi="ar-SA"/>
        </w:rPr>
        <w:t>، و ليس على ما ينبغي؛ بل المعتبر في المسافة ذراع اليد المحدودة بستّ قبضات معتدلة، و كلّ قبضة أربع أصابع معتدلة، و الإصبع عرض ستّ شعيرات معتدلة، و الشعيرة ستّ شعرات من ذنب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 المشهور مذهب ابن جنيد الإسكافي، و هو على ما في مختلف العلاّمة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الأرض رخوة و البئر تحت البالوعة فليكن بينهما اثنى عشر ذراعا، و إن كانت صلبة أو كانت البئر فوق البالوعة فليكن بينهما سبع أذرع</w:t>
      </w:r>
      <w:r>
        <w:rPr>
          <w:rFonts w:eastAsia="Amiri" w:cs="Amiri" w:ascii="Amiri" w:hAnsi="Amiri"/>
          <w:color w:val="111111"/>
          <w:sz w:val="28"/>
          <w:szCs w:val="28"/>
          <w:rtl w:val="true"/>
          <w:lang w:bidi="ar-SA"/>
        </w:rPr>
        <w:t>»</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العبارة كما ترى لا توافق عبارته المحكيّة عنه في مختصره؛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استحبّ الطهارة من بئر يكون بئر للنجاسة الّتي يستقرّ فيها النجاسة من أعلاها في مجرى الوادي، إلاّ إذا كان بينهما في الأرض الرخوة اثنى عشر ذراعا، و في الأرض الصلبة سبع أذرع، فإن كان تحتها و النظيفة أعلاها فلا بأس، و إن كانت محاذيتها في سمت القبلة فإذا كان بينهما سبع أذرع فلا بأس</w:t>
      </w:r>
      <w:r>
        <w:rPr>
          <w:rFonts w:eastAsia="Amiri" w:cs="Amiri" w:ascii="Amiri" w:hAnsi="Amiri"/>
          <w:color w:val="111111"/>
          <w:sz w:val="28"/>
          <w:szCs w:val="28"/>
          <w:rtl w:val="true"/>
          <w:lang w:bidi="ar-SA"/>
        </w:rPr>
        <w:t>»</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وجه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يقضي باعتبار اثنى عشر بشرط فوقيّة البالوعة و رخاوة الأرض، و السبع بشرط فوقيّة البالوعة و صلابة الأرض، أو بشرط تحاذيهما من جهة القبلة، بأن يكون إحداهما في جهة الشرق و اخراهما في جهة الغرب؛ و عدم اعتبار شيء من التقديرين و غيرهما مع انتفاء الامور كلّها، بأن يكون البالوعة تحت البئر في رخوة أو صلبة، فإنّ إطلاق نفي البأس هنا يقضي بعدم اعتبار تقدير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مذاهب اخر 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ظاهر الصدوق من جعله المدار على الصلابة و الرخاوة، و هذه عبارته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البئر إذا كان إلى جانبها كنيف، فإن كانت الأرض صلبة فينبغي أن يكون بينهما خمسة أذرع، و إن كانت رخوة فسبعة أذرع</w:t>
      </w:r>
      <w:r>
        <w:rPr>
          <w:rFonts w:eastAsia="Amiri" w:cs="Amiri" w:ascii="Amiri" w:hAnsi="Amiri"/>
          <w:color w:val="111111"/>
          <w:sz w:val="28"/>
          <w:szCs w:val="28"/>
          <w:rtl w:val="true"/>
          <w:lang w:bidi="ar-SA"/>
        </w:rPr>
        <w:t>»</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السرائر</w:t>
      </w:r>
      <w:r>
        <w:rPr>
          <w:rStyle w:val="FootnoteAnchor"/>
          <w:rtl w:val="true"/>
        </w:rPr>
        <w:footnoteReference w:id="3024"/>
      </w:r>
      <w:r>
        <w:rPr>
          <w:rFonts w:ascii="Amiri" w:hAnsi="Amiri" w:eastAsia="Amiri" w:cs="Amiri"/>
          <w:color w:val="111111"/>
          <w:sz w:val="28"/>
          <w:sz w:val="28"/>
          <w:szCs w:val="28"/>
          <w:rtl w:val="true"/>
          <w:lang w:bidi="ar-SA"/>
        </w:rPr>
        <w:t>من أنّه يستحبّ أن يكون بين البئر الّتي يستقى منها و بين البالوعة سبعة أذرع، إذا كانت البئر تحت البالوعة و كانت الأرض سهلة، و خمسة أذرع إذا كانت فوقها و الأرض أيضا سهلة، و إن كانت الأرض صلبة فخمس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إلى ما حكي من عبارة التلخيص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تباعد البئر عن البالوعة بسبع أذرع مع الرخاوة و التحتيّة، و إلاّ فخمس</w:t>
      </w:r>
      <w:r>
        <w:rPr>
          <w:rFonts w:eastAsia="Amiri" w:cs="Amiri" w:ascii="Amiri" w:hAnsi="Amiri"/>
          <w:color w:val="111111"/>
          <w:sz w:val="28"/>
          <w:szCs w:val="28"/>
          <w:rtl w:val="true"/>
          <w:lang w:bidi="ar-SA"/>
        </w:rPr>
        <w:t>»</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الإرشاد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تباعد البئر عن البالوعة بسبع أذرع إن كانت الأرض رخوة أو كانت البالوعة فوقها، و إلاّ فخمس</w:t>
      </w:r>
      <w:r>
        <w:rPr>
          <w:rFonts w:eastAsia="Amiri" w:cs="Amiri" w:ascii="Amiri" w:hAnsi="Amiri"/>
          <w:color w:val="111111"/>
          <w:sz w:val="28"/>
          <w:szCs w:val="28"/>
          <w:rtl w:val="true"/>
          <w:lang w:bidi="ar-SA"/>
        </w:rPr>
        <w:t>»</w:t>
      </w:r>
      <w:r>
        <w:rPr>
          <w:rStyle w:val="FootnoteAnchor"/>
          <w:rtl w:val="true"/>
        </w:rPr>
        <w:footnoteReference w:id="3026"/>
      </w:r>
      <w:r>
        <w:rPr>
          <w:rFonts w:ascii="Amiri" w:hAnsi="Amiri" w:eastAsia="Amiri" w:cs="Amiri"/>
          <w:color w:val="111111"/>
          <w:sz w:val="28"/>
          <w:sz w:val="28"/>
          <w:szCs w:val="28"/>
          <w:rtl w:val="true"/>
          <w:lang w:bidi="ar-SA"/>
        </w:rPr>
        <w:t xml:space="preserve">،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يرجع إلى عبارة التلخيص،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المشهور الجمع بين رواية الحسن بن رباط و مرسلة قدامة بن أبي زياد الجمّاز، المرويّتين في الكتب الثلاث الكافي و التهذيبين</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البالوعة يكون فوق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أسفل من البئر فخمسة أذرع، و إن كانت فوق البئر فسبعة أذرع من كلّ ناحية</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و ذلك كثير</w:t>
      </w:r>
      <w:r>
        <w:rPr>
          <w:rFonts w:eastAsia="Amiri" w:cs="Amiri" w:ascii="Amiri" w:hAnsi="Amiri"/>
          <w:color w:val="111111"/>
          <w:sz w:val="28"/>
          <w:szCs w:val="28"/>
          <w:rtl w:val="true"/>
          <w:lang w:bidi="ar-SA"/>
        </w:rPr>
        <w:t>»</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أدنى ما يكون بين بئر الماء و البالوعة؟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سهلا فسبعة أذرع، و إن كان جبلا فخمسة أذرع،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الماء إلى القبلة إلى يمين القبلة، و يجري عن يمين القبلة إلى يسار القبلة، و يجري عن يسار القبلة إلى يمين القبلة، و لا يجري من القبلة إلى دبر القبلة</w:t>
      </w:r>
      <w:r>
        <w:rPr>
          <w:rFonts w:eastAsia="Amiri" w:cs="Amiri" w:ascii="Amiri" w:hAnsi="Amiri"/>
          <w:color w:val="111111"/>
          <w:sz w:val="28"/>
          <w:szCs w:val="28"/>
          <w:rtl w:val="true"/>
          <w:lang w:bidi="ar-SA"/>
        </w:rPr>
        <w:t>»</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بالخمس في الاولى معلّق على أسفليّة البالوعة و في الثانية على جبليّة الأرض و هي صلابتها، كما أنّ الحكم بالسبع في الاولى معلّق على فوقيّة البالوعة و في الثانية على سهليّة الأرض و هي رخاوتها، فالاولى مطلقة من حيث الأرض و مقيّدة من حيث الوضع، كما أنّ الثانية مطلقة من حيث الوضع و مقيّدة من حيث الأرض، فيتعارضان فيما لو كانت البالوعة فوقا في أرض صلبة و ما لو كانت البالوعة أسفل في أرض سهلة، ضرورة أنّ مطلق الاولى في الصورة الاولى يقتضي السبع، و مقيّد الثانية يقتضي فيها الخمس، كما أنّ مقيّد الاولى في الصورة الثانية يقتضي الخمس و مطلق الثانية يقتضي فيها السبع، فيطرح مطلق كلّ في جانب السبع بمقيّد الاخرى في جانب الخمس جمعا بينهما</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ذلك دخول الصورتين المذكورتين في حكم الخمس، لرجوع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فوق البئر فسبعة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الاولى بعد التقييد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فوق البئر فسبعة أذرع إلاّ أن تكونا في أرض صلبة فيكفي حينئذ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الاولى من الصورتين في حكم الخمس، و رجوع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سهلا فسبعة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 بعد التقييد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سهلا فسبعة أذرع إلاّ مع أسفليّة البالوعة </w:t>
      </w:r>
    </w:p>
    <w:p>
      <w:pPr>
        <w:pStyle w:val="BookText"/>
        <w:rPr/>
      </w:pPr>
      <w:r>
        <w:rPr>
          <w:rFonts w:ascii="Amiri" w:hAnsi="Amiri" w:eastAsia="Amiri" w:cs="Amiri"/>
          <w:color w:val="111111"/>
          <w:sz w:val="28"/>
          <w:sz w:val="28"/>
          <w:szCs w:val="28"/>
          <w:rtl w:val="true"/>
          <w:lang w:bidi="ar-SA"/>
        </w:rPr>
        <w:t>فيكفي حينئذ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الثانية من الصورتين في حكم الخمس أيضا، فالداخل في حكم الخمس أربع صور من الستّ المذكورة، و الباقي تحت السبع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يمكن انعكاس الفرض أيضا بحيث كان الداخل في حكم السبع أربع صور و الباقي تحت الخمس صورتين، و إنّما يتأتّى ذلك بطريق آخر للجمع، و هو طرح مطلق كلّ في جانب الخمس بمقيّد الاخرى في جانب السبع، و قضيّة ذلك دخول الصورتين المذكورتين موردا للتعارض في حكم السبع، فيبقى تحت الخمس ما لو كانت البالوعة في الأرض الصلبة أسفل من البئر أو مساوية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ينظر عبارة الإرشاد المتقدّمة على النسخة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منشؤها اختيار هذا الطريق من الجمع على خلاف ما اختاره المشهور، و من هنا ترى شارح الدروس اعترض على مختار المشهور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الجمع لا ينحصر فيما ذكر، إذ كما يقيّد الحكم بالسبعة في الموضعين، يمكن أن يقيّد الحكم بالخمسة فيهما، لكن الأولى متابعة المشهور مع التأييد بالأصل</w:t>
      </w:r>
      <w:r>
        <w:rPr>
          <w:rFonts w:eastAsia="Amiri" w:cs="Amiri" w:ascii="Amiri" w:hAnsi="Amiri"/>
          <w:color w:val="111111"/>
          <w:sz w:val="28"/>
          <w:szCs w:val="28"/>
          <w:rtl w:val="true"/>
          <w:lang w:bidi="ar-SA"/>
        </w:rPr>
        <w:t>»</w:t>
      </w:r>
      <w:r>
        <w:rPr>
          <w:rStyle w:val="FootnoteAnchor"/>
          <w:rtl w:val="true"/>
        </w:rPr>
        <w:footnoteReference w:id="30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صاحب الحدائق تصدّى بدفعه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الغرض من التحديد في هذه الأخبار و الشروط المذكورة فيها إنّما هو منع تعدّي ماء البالوعة إلى البئر، فمع السهولة فيما عدا صورة علوّ قرار البئر لمّا كان مظنّة التعدّي كان اعتبار البعد بالسبعة أليق، و مع الصلابة و كذا مع علوّ قرار البئر في السهلة لمّا كان مظنّة عدم التعدّي حسن الاقتصار على الخمسة، فلا يحتاج إلى قيد آخر</w:t>
      </w:r>
      <w:r>
        <w:rPr>
          <w:rFonts w:eastAsia="Amiri" w:cs="Amiri" w:ascii="Amiri" w:hAnsi="Amiri"/>
          <w:color w:val="111111"/>
          <w:sz w:val="28"/>
          <w:szCs w:val="28"/>
          <w:rtl w:val="true"/>
          <w:lang w:bidi="ar-SA"/>
        </w:rPr>
        <w:t>»</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 في الروض المناقشة في مستند 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الّتي هي مستند الحكم ليس فيها ما يدلّ على حكم التساوي فهو مسكوت عنه</w:t>
      </w:r>
      <w:r>
        <w:rPr>
          <w:rFonts w:eastAsia="Amiri" w:cs="Amiri" w:ascii="Amiri" w:hAnsi="Amiri"/>
          <w:color w:val="111111"/>
          <w:sz w:val="28"/>
          <w:szCs w:val="28"/>
          <w:rtl w:val="true"/>
          <w:lang w:bidi="ar-SA"/>
        </w:rPr>
        <w:t>»</w:t>
      </w:r>
      <w:r>
        <w:rPr>
          <w:rStyle w:val="FootnoteAnchor"/>
          <w:rtl w:val="true"/>
        </w:rPr>
        <w:footnoteReference w:id="30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دفع هذه المناقشة ينظر ما قد يتكلّف في بيان وجه جمع المشهور،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المشهور بينهما بتقييد حكم السبع في الروايتين مع إرادة عدم فوقيّة البئر من الفقرة الثانية من الرواية الاولى، لأنّ المتبادر من مثله نقيض الشرطيّة الاولى لا ضدّها</w:t>
      </w:r>
      <w:r>
        <w:rPr>
          <w:rFonts w:eastAsia="Amiri" w:cs="Amiri" w:ascii="Amiri" w:hAnsi="Amiri"/>
          <w:color w:val="111111"/>
          <w:sz w:val="28"/>
          <w:szCs w:val="28"/>
          <w:rtl w:val="true"/>
          <w:lang w:bidi="ar-SA"/>
        </w:rPr>
        <w:t>»</w:t>
      </w:r>
      <w:r>
        <w:rPr>
          <w:rStyle w:val="FootnoteAnchor"/>
          <w:rtl w:val="true"/>
        </w:rPr>
        <w:footnoteReference w:id="30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عدم فوقيّة البئر المراد من تلك الفقرة أعمّ من فوقيّة البالوعة و مساواتها، فعلم من الرواية حينئذ حكم التساوي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الحاجة إلى ارتكاب هذا التكلّف و عدم ورود المناقشة المذكورة، فإنّها إنّما تتوجّه إذا انحصر مستند المشهور في الرواية الاولى، و قد عرفت أنّه المجموع منها و من الرواية الثانية بعد اعتبار الجمع بينهما و تقييد مطلق كلّ بمقيّد الاخرى، و لا ريب أنّ حكم التساوي و إن كان مسكوتا عنه بالقياس إلى الرواية الاولى، غير أنّه منطوق به في الرواية الثانية بحكم الإطلاق من حيث الوضع، الشامل لصور ثلاث، منها صورة التساوي، و المفروض أنّه لم يخرج من هذا الإطلاق بعد اعتبار التقييد بالقياس إليه إلاّ صورة فوقيّة البئر، فتبقي الصورتان الأخيرتان مندرجتين في حكم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عدم خروج صورة التساوي المحكوم عليها بالخمس مع صلابة الأرض، لأنّها مندرجة في الفقرة الثانية من الرواية الثانية أخذا بموجب الإطلاق الّذي لم يطرأه التقييد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المستفاد من مجموع الروايتين أنّ السبعة لها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السهولة و فوقيّة البالوعة، و الخمسة أيضا لها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الجبليّة و أسفليّة البالوعة، و يحصل التعارض عند تعارض السببين، كما إذا كانت الأرض سهلة و البالوعة أسفل، فلا بدّ من مرجّح خارجي، و كذا إذا كانت الأرض جبليّة و البالوعة فوق البئر، و لعلّه بالنسبة إلينا يكفي الشهرة في الترجيح، فيحكّم كلّ منهما على الآخر بمعونتها، و بالنسبة إليهم لا نعلم المرجّح و لعلّه دليل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نقله بعض مشايخنا</w:t>
      </w:r>
      <w:r>
        <w:rPr>
          <w:rStyle w:val="FootnoteAnchor"/>
          <w:rtl w:val="true"/>
        </w:rPr>
        <w:footnoteReference w:id="3034"/>
      </w:r>
      <w:r>
        <w:rPr>
          <w:rFonts w:ascii="Amiri" w:hAnsi="Amiri" w:eastAsia="Amiri" w:cs="Amiri"/>
          <w:color w:val="111111"/>
          <w:sz w:val="28"/>
          <w:sz w:val="28"/>
          <w:szCs w:val="28"/>
          <w:rtl w:val="true"/>
          <w:lang w:bidi="ar-SA"/>
        </w:rPr>
        <w:t>عن بعض مشايخه المعاصرين</w:t>
      </w:r>
      <w:r>
        <w:rPr>
          <w:rStyle w:val="FootnoteAnchor"/>
          <w:rtl w:val="true"/>
        </w:rPr>
        <w:footnoteReference w:id="3035"/>
      </w:r>
      <w:r>
        <w:rPr>
          <w:rFonts w:ascii="Amiri" w:hAnsi="Amiri" w:eastAsia="Amiri" w:cs="Amiri"/>
          <w:color w:val="111111"/>
          <w:sz w:val="28"/>
          <w:sz w:val="28"/>
          <w:szCs w:val="28"/>
          <w:rtl w:val="true"/>
          <w:lang w:bidi="ar-SA"/>
        </w:rPr>
        <w:t>أنّه ذكره بعد ما زيّف جمع المشهور بعدم جريانه على القواعد، و مبناه على العمل بالروايتين معا من دون تصرّف فيهما، و هو كما ترى غير معقول مع فرض التعارض، فكيف يستفاد السببيّة لكلّ من الامور الأربع حتّى يفرض صورة التعارض بين السببين</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هذا التعارض فكيف يصحّ الشهرة مرجّحة فيه، و هي على فرض صلوحها للمرجّحيّة إنّما يرجع إليها في تعارض الدليلين، و الكلام المذكور مبنيّ على </w:t>
      </w:r>
    </w:p>
    <w:p>
      <w:pPr>
        <w:pStyle w:val="BookText"/>
        <w:rPr/>
      </w:pPr>
      <w:r>
        <w:rPr>
          <w:rFonts w:ascii="Amiri" w:hAnsi="Amiri" w:eastAsia="Amiri" w:cs="Amiri"/>
          <w:color w:val="111111"/>
          <w:sz w:val="28"/>
          <w:sz w:val="28"/>
          <w:szCs w:val="28"/>
          <w:rtl w:val="true"/>
          <w:lang w:bidi="ar-SA"/>
        </w:rPr>
        <w:t>عدم الالتفات إلى تعارض الدليلين، لأنّه أخذ بالمدلولين بعد الفراغ عن تماميّة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ما صنعه المشهور هو الموافق للقواعد، و عليه كان المستفاد من الروايتين بعد الجمع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الغرض الأصلي من التقدير و التحديد الواردين فيهما إنّما هو حفظ ماء البالوعة عن النفوذ و التعدّي إلى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التعدّي مشروط بأحد الامور الثلاث من صلابة الأرض في البعد المحدود بالخمس، و أسفليّة البالوعة في ذلك البعد أيضا، و كون البعد بينهما سبعة أذرع مع انتفاء الأمرين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الدليل على جمع المشهور، و كونه أولى من الجمع الّذي كان يقتضيه الإرشاد على إحدى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الكلام في مستند سائر الأقوال ما عدا قولي المشهور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مبنيّ على الأخذ بالرواية الثانية بعد البناء على التخيير، أو من جهة ترجيحها على الرواية الاولى بمرجّح داخلي أو خارجي، أو على العمل بهما معا، بتوهّم أنّهما من باب العامّ و الخاصّ المتوافقي الظاهر، نظرا إلى أنّ الفقرة الاولى من الرواية الاولى مقيسا إلى الفقرة الثانية من الثانية، و الفقرة الثانية من الاولى مقيسا إلى الفقرة الاولى من الثانية خاصّ في مقابل العامّ موافق ظاهراهما فلا تعارض بينهما، و معه يجب العمل عليهما معا بحمل الخاصّ على بيان إحدى فردي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عموم فقرتي الرواية الثانية فلأنّهما يتضمّنان من جهة الوضع صورا ثلاث، و أمّا خصوص فقرتي الرواية الاولى فلاختصاص كلّ منهما من جهة الوضع بإحدى الثلاث، و أمّا موافقة الظاهرين في الحكم فلاتّحاد اولى الاولى مع ثانية الثانية في التقدير بالخمس، و اتّحاد ثانية الاولى مع اولى الثانية في التقدير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كلّ من هذه الوجوه من الفساد الواضح</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فساد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اعتبار التخيير أو الترجيح بين الدليلين المتعارضين إنّما هو مبنيّ على عدم إمكان الجمع بينهما بأحد من وجوه التصرّف، من تخصيص أو تقييد فيهما معا أو في أحدهما حسبما يقتضيه القواعد و القرائن العرفيّة، و قد عرفت أنّ الجمع بنحو التقييد في الروايتين معا مع قيام القرينة على تعيينه ممكن، و معه لا يعقل التخيير و لا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فساد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كلاّ من الروايتين بالقياس إلى الاخرى خاصّ من جهة و عامّ من جهة اخرى، و معه لا يمكن العمل عليهما بعد مقابلة الفقرة الاولى من كلّ للفقرة الثانية من الاخرى لتخالفهما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وجه رابع يمكن كونه مناط قول الصدوق، و هو ابتناؤه على طرح الرواية الاولى أوّلا و بالذات و الإعراض عنها ابتداء، لما بلغه من الخارج و كشف له عن عدم سلامة سندها، فهو أعلم بما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شيئا من الروايتين لا يخلو سندها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فيها من الإرسال؛ لكن عمل المشهور بهما جابر لضعفهما، هذا مع ما تقرّر عندهم من جواز المسامحة في أدلّة السنّة كما صرّح به هنا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مستنده الجمع بين الروايتين بتقييد حكم السبع في إحداهما به في الاخرى، مع بقاء الفقرة الثانية من الاولى على ظاهرها من إرادة خصوص فوقيّة البالوعة دون عدم فوقيّة البئر، الشامل بعمومه لصورة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جمع لا يجامع القواعد، كيف و هو فرع التعارض، و لا تعارض بين الروايتين بالقياس إلى حكم السبع لتوافق الحكمين، غاية الأمر أنّ مقتضاهما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كلّ أعمّ من الآخر من وجه 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السببين للسبع في صورة سهولة الأرض مع فوقيّة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مستند هذا القول كونه جمعا بين الروايتين بتقييد كلّ من فقرتي الاولى بالفقرة الاولى من الثانية مع بقاء فقرتها الثانية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الفقرة الاولى من الثانية لا تعارض الفقرة الثانية من الاولى لما ذكر، فلا وجه لاعتبار التقييد هنا، مضافا إلى أنّ الفقرة الثانية من الثانية لا يلائم الفقرة الثانية من الاولى، فلا بدّ من تقييد في إحداهما بالاخرى</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التلخيص و إحدى نسختي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مرجعهما إلى قول السرائر إلاّ بنحو من الاعتبار الّذي قد يتكلّف، و هو أن يراد بتحتيّة البئر مع رخاوة الأرض نقيض الفوقيّة، و هو عدم فوقيّة البئر الشامل لصورتي التساوي مع الرخاوة أيضا، بناء على أنّ المراد بها في عبارة السرائر معناه الظاهر، و عليه يكون مستند هذا </w:t>
      </w:r>
    </w:p>
    <w:p>
      <w:pPr>
        <w:pStyle w:val="BookText"/>
        <w:rPr/>
      </w:pPr>
      <w:r>
        <w:rPr>
          <w:rFonts w:ascii="Amiri" w:hAnsi="Amiri" w:eastAsia="Amiri" w:cs="Amiri"/>
          <w:color w:val="111111"/>
          <w:sz w:val="28"/>
          <w:sz w:val="28"/>
          <w:szCs w:val="28"/>
          <w:rtl w:val="true"/>
          <w:lang w:bidi="ar-SA"/>
        </w:rPr>
        <w:t>القول الجمع بين الروايتين حسبما فهمه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بأنّ هذا الفرق بين القولين تحكّم بحت، فهما معا إمّا يوافقان المشهور أو يخالفانه، بناء على أنّهما يهملان صورة التساوي مع رخاوة الأرض المحكوم عليها في كلام المشهور باعتبار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العلاّمة في المختلف</w:t>
      </w:r>
      <w:r>
        <w:rPr>
          <w:rStyle w:val="FootnoteAnchor"/>
          <w:rtl w:val="true"/>
        </w:rPr>
        <w:footnoteReference w:id="3036"/>
      </w:r>
      <w:r>
        <w:rPr>
          <w:rFonts w:ascii="Amiri" w:hAnsi="Amiri" w:eastAsia="Amiri" w:cs="Amiri"/>
          <w:color w:val="111111"/>
          <w:sz w:val="28"/>
          <w:sz w:val="28"/>
          <w:szCs w:val="28"/>
          <w:rtl w:val="true"/>
          <w:lang w:bidi="ar-SA"/>
        </w:rPr>
        <w:t xml:space="preserve">بعد ما حكى مذهبه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سليمان الديلمي عن أبيه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البئر يكون إلى جنبها الكنيف؟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العيون كلّها مع</w:t>
      </w:r>
      <w:r>
        <w:rPr>
          <w:rStyle w:val="FootnoteAnchor"/>
          <w:rtl w:val="true"/>
        </w:rPr>
        <w:footnoteReference w:id="3037"/>
      </w:r>
      <w:r>
        <w:rPr>
          <w:rFonts w:ascii="Amiri" w:hAnsi="Amiri" w:eastAsia="Amiri" w:cs="Amiri"/>
          <w:color w:val="111111"/>
          <w:sz w:val="28"/>
          <w:sz w:val="28"/>
          <w:szCs w:val="28"/>
          <w:rtl w:val="true"/>
          <w:lang w:bidi="ar-SA"/>
        </w:rPr>
        <w:t xml:space="preserve">مهبّ الشمال، 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النظيفة فوق الشمال و الكنيف أسفل منها لم يضرّها إذا كان بينهما أذرع، و إن كان الكنيف فوق النظيفة فلا أقلّ من اثنى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إن كانت تجاهها بحذاء القبلة و هما مستويان في مهبّ الشمال فسبعة أذرع</w:t>
      </w:r>
      <w:r>
        <w:rPr>
          <w:rFonts w:eastAsia="Amiri" w:cs="Amiri" w:ascii="Amiri" w:hAnsi="Amiri"/>
          <w:color w:val="111111"/>
          <w:sz w:val="28"/>
          <w:szCs w:val="28"/>
          <w:rtl w:val="true"/>
          <w:lang w:bidi="ar-SA"/>
        </w:rPr>
        <w:t>...»</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الاستناد إلى تلك الرواية صريح عبارته المتقدّمة المذيّلة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تسليما لما رواه ابن يحيى عن سليمان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ما تقدّم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لا تنطبق على كلامه بشيء من النقلين المتقدّمين، أمّا على ما نقله العلاّمة و غيره فلأنّهم نقلوا عنه التباعد بسبعة أذرع في صورة فوقيّة البئر، مع أنّه ليس في الرواية لذلك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نقلوه من العبارة المتقدّمة، فلأنّهم نقلوا عنه التفصيل في صورة علوّ البالوعة بالرخاوة و الصلابة، و الرواية كما ترى لا تفصيل فيها بشيء من ذلك</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يعتذر له بما يدفع معه هذا الإشكال عن العبارة المنقولة عنه لو كان سديدا،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لعلّه قدّس سرّه فهم من إطلاق الأرض الرخوة، لأنّها الغالب، و تحديده البعد في الصلبة بسبع لرواية الحسن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السبع مع فوقيّة البالوعة، بناء على أنّ المراد بالفوقيّة أعمّ من العلوّ من حيث الجهة، و حملها على الصلبة لكونها الفرد المتيقّن من الإطلاق كالرخوة في هذه الرواية، فيطرح ظاهر كلّ بنصّ الآخر</w:t>
      </w:r>
      <w:r>
        <w:rPr>
          <w:rFonts w:eastAsia="Amiri" w:cs="Amiri" w:ascii="Amiri" w:hAnsi="Amiri"/>
          <w:color w:val="111111"/>
          <w:sz w:val="28"/>
          <w:szCs w:val="28"/>
          <w:rtl w:val="true"/>
          <w:lang w:bidi="ar-SA"/>
        </w:rPr>
        <w:t>»</w:t>
      </w:r>
      <w:r>
        <w:rPr>
          <w:rStyle w:val="FootnoteAnchor"/>
          <w:rtl w:val="true"/>
        </w:rPr>
        <w:footnoteReference w:id="30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يخفى بعده و خروجه عن السداد، 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هذا القول لشذوذه و ندرة القائل به ليس ممّا يلتفت إليه ليصرف النظر في تصحيح مستنده، و يزيد على ضعف القول رأسا ضعف هذه الرواية بمحمّد بن سليمان الديلمي،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سليمان كان غاليا كذّابا، و 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الغلاة الكبار،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محمّدا ضعيف جدّا لا يعوّل عليه في شيء</w:t>
      </w:r>
      <w:r>
        <w:rPr>
          <w:rFonts w:eastAsia="Amiri" w:cs="Amiri" w:ascii="Amiri" w:hAnsi="Amiri"/>
          <w:color w:val="111111"/>
          <w:sz w:val="28"/>
          <w:szCs w:val="28"/>
          <w:rtl w:val="true"/>
          <w:lang w:bidi="ar-SA"/>
        </w:rPr>
        <w:t>»</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عن جماعة من المتأخّرين القائلين بالمشهور أنّهم ألحقوا بالفوقيّة الحسّية الفوقيّة بالجهة، فحكموا بالاكتفاء بالخمس مع استواء القرارين و رخاوة الأرض إذا كانت البئر في جهة الشمال، بناء على أنّ جهة الشمال أعلى و أنّ مجاري العيون كما يدلّ عليه رواية سليمان المتقدّمة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مجرى العيون كلّها مع مهبّ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 رواية قدامة أيضا إشارة إلى هذا المعنى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الماء إلى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يجري من القبلة إلى 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بالقبلة قبلة أهل العراق بقرينة أنّ الرواة منهم، و هي كناية عن جهة الجنوب، و إنّما عبّر عنها بها لمعروفيّتها عند عامّة الناس من العراقيّين، فالمراد بدبر القبلة العراق و ما يحاذيها، لوقوعها في جهة الشمال، فيمين القبلة و يسارها إشارة إلى الغرب و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بالأخرة يميل إلى جهة القبلة و هي الجنوب، و إن مال أوّلا إلى يمين القبلة، و عن يمين القبلة إلى يسار القبلة، و عن يسار القبلة إلى يمين القبلة، بخلاف دبر القبلة فإنّ الماء لا يميل إليه بالطبع أصلا</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شيء يميل إلى مركزه، و مركز الماء البحر، و هو في طرف الجنوب، فهو بالطبع</w:t>
      </w:r>
      <w:r>
        <w:rPr>
          <w:rStyle w:val="FootnoteAnchor"/>
          <w:rtl w:val="true"/>
        </w:rPr>
        <w:footnoteReference w:id="3041"/>
      </w:r>
      <w:r>
        <w:rPr>
          <w:rFonts w:ascii="Amiri" w:hAnsi="Amiri" w:eastAsia="Amiri" w:cs="Amiri"/>
          <w:color w:val="111111"/>
          <w:sz w:val="28"/>
          <w:sz w:val="28"/>
          <w:szCs w:val="28"/>
          <w:rtl w:val="true"/>
          <w:lang w:bidi="ar-SA"/>
        </w:rPr>
        <w:t>مائل إلى الجنوب ليصل إلى البحر، و ما قد يشاهد من خلاف ذلك فليس من جهة الطبع، بل هو لأجل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 الإلحاق </w:t>
      </w:r>
    </w:p>
    <w:p>
      <w:pPr>
        <w:pStyle w:val="BookText"/>
        <w:rPr/>
      </w:pPr>
      <w:r>
        <w:rPr>
          <w:rFonts w:ascii="Amiri" w:hAnsi="Amiri" w:eastAsia="Amiri" w:cs="Amiri"/>
          <w:color w:val="111111"/>
          <w:sz w:val="28"/>
          <w:sz w:val="28"/>
          <w:szCs w:val="28"/>
          <w:rtl w:val="true"/>
          <w:lang w:bidi="ar-SA"/>
        </w:rPr>
        <w:t>على ما في المدارك و غيره</w:t>
      </w:r>
      <w:r>
        <w:rPr>
          <w:rStyle w:val="FootnoteAnchor"/>
          <w:rtl w:val="true"/>
        </w:rPr>
        <w:footnoteReference w:id="3042"/>
      </w:r>
      <w:r>
        <w:rPr>
          <w:rFonts w:ascii="Amiri" w:hAnsi="Amiri" w:eastAsia="Amiri" w:cs="Amiri"/>
          <w:color w:val="111111"/>
          <w:sz w:val="28"/>
          <w:sz w:val="28"/>
          <w:szCs w:val="28"/>
          <w:rtl w:val="true"/>
          <w:lang w:bidi="ar-SA"/>
        </w:rPr>
        <w:t>رواية سليمان المتقدّمة، و أورد عليه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غير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المقصود بالاستناد إليها إثبات العلوّ لجهة الشمال بالقياس إلى الجنوب، ليترتّب عليه الإلحاق، بناء على ما استفادوه من النصوص من أنّ الغرض من التحديد الوارد فيها حفظ الماء عن نفوذ البالوعة إليه كما تقدّم الإشارة إليه، و حينئذ فلا إشكال في أنّ البئر إذا كانت واقعة في جهة الشمال فلا تميل إليها البالوعة و إن تساوى قراراهما، بخلاف ما لو كانت واقعة في جهة الجنوب، فإنّ البالوعة حينئذ يميل إليها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صور المسألة على ما ذكره الجماعة أربع و عشرون، حاصلة من ضرب الجهات الأربع و هي الجنوب و الشمال و المشرق و المغرب في الستّة المتقدّمة، الحاصلة من ضرب الاثنين المتصوّرين من جهة الأرض في الثلاث المتصوّرة من حيث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البعد فيما بين البئر و البالوعة إمّا أن يكون ممّا بين الجنوب و الشمال، أو ممّا بين المشرق و المغرب، و كلّ من هذين صورتان، و على التقادير الأربع فالأرض إمّا صلبة أو رخوة، فهذه ثمان صور، و على التقادير إمّا أن يستوي القراران حسّا، أو يكون البئر أعلى، أو البالوعة، فالمرتفع أربع و عشرون صورة، و إن لم يكن لبعضها تأثير في اختلاف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سبع عشر منها يكون التباعد بخمس أذرع، و في سبع منها بسبع أذرع، و هذه السبع بعض من الثمان المخرجة لصورتي استواء القرارين، أو علوّ قرار البالوعة في الأرض الرخوة، بناء على أنّ كلّ صورة من الصور الستّ المتقدّمة يتحصّل لها بملاحظة الجهة أربع صور، فإذا اخرج من تلك الثمان صورة ما لو استوى القراران و كان البئر أعلى جهة من البالوعة بكونها في جهة الشمال و البالوعة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ادخلت في صور الحكم بالخمس، يبقى تحت حكم السبع سبع صور يعلم تفاصيلها بالتأمّل</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كلام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الصور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صورة يقع التعارض بين الفوقيّتين يجعلونها بمنزلة التساوي</w:t>
      </w:r>
      <w:r>
        <w:rPr>
          <w:rFonts w:eastAsia="Amiri" w:cs="Amiri" w:ascii="Amiri" w:hAnsi="Amiri"/>
          <w:color w:val="111111"/>
          <w:sz w:val="28"/>
          <w:szCs w:val="28"/>
          <w:rtl w:val="true"/>
          <w:lang w:bidi="ar-SA"/>
        </w:rPr>
        <w:t>»</w:t>
      </w:r>
      <w:r>
        <w:rPr>
          <w:rStyle w:val="FootnoteAnchor"/>
          <w:rtl w:val="true"/>
        </w:rPr>
        <w:footnoteReference w:id="3043"/>
      </w:r>
      <w:r>
        <w:rPr>
          <w:rFonts w:ascii="Amiri" w:hAnsi="Amiri" w:eastAsia="Amiri" w:cs="Amiri"/>
          <w:color w:val="111111"/>
          <w:sz w:val="28"/>
          <w:sz w:val="28"/>
          <w:szCs w:val="28"/>
          <w:rtl w:val="true"/>
          <w:lang w:bidi="ar-SA"/>
        </w:rPr>
        <w:t xml:space="preserve">، و مراده بالفوقيّتين فوقيّة البئر قرارا و فوقيّة البالوعة جهة، أو بالعكس، و المراد من كونها بمنزلة التساوي الحكم عليها بالسبع، و حينئذ </w:t>
      </w:r>
    </w:p>
    <w:p>
      <w:pPr>
        <w:pStyle w:val="BookText"/>
        <w:rPr/>
      </w:pPr>
      <w:r>
        <w:rPr>
          <w:rFonts w:ascii="Amiri" w:hAnsi="Amiri" w:eastAsia="Amiri" w:cs="Amiri"/>
          <w:color w:val="111111"/>
          <w:sz w:val="28"/>
          <w:sz w:val="28"/>
          <w:szCs w:val="28"/>
          <w:rtl w:val="true"/>
          <w:lang w:bidi="ar-SA"/>
        </w:rPr>
        <w:t>لا يتمّ العددان المذكوران حسبما ضبطوهما، و لذا اعترض عليهم المحقّق المشار إليه عقيب الكلام المذكور بكثير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كلام جمع من الأصحاب هاهنا تأمّل ظاهر، إذ ذكروا أنّ التباعد بسبع في سبع، و بخمس في الباقي، و الاعتبار يقتضي أن يكون التباعد بسبع في ثمان أو ستّ، لأنّ فوقيّة القرار إمّا أن تعارض فوقيّة الجهة و تصير بمنزلة التساوي أو لا، فعلى الأوّل الأوّل، و على الثاني الثاني، و أمّا اعتبار الجهة في البئر دون البالوعة فتحكّم</w:t>
      </w:r>
      <w:r>
        <w:rPr>
          <w:rFonts w:eastAsia="Amiri" w:cs="Amiri" w:ascii="Amiri" w:hAnsi="Amiri"/>
          <w:color w:val="111111"/>
          <w:sz w:val="28"/>
          <w:szCs w:val="28"/>
          <w:rtl w:val="true"/>
          <w:lang w:bidi="ar-SA"/>
        </w:rPr>
        <w:t>»</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الاعتراض كما ترى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بالتأمّل، و إن كان صاحب الحدائق تصدّى لدفعه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جعلهم صورة التعارض بمنزلة التساوي ممّا لم أقف عليه فيما حضرني من كلامهم، بل صرّح غير واحد منهم أنّ الفوقيّة بالجهة إنّما تعتبر في الرخاوة مع تساوى القرارين و مقتضى ذلك اختصاص اعتبارها بالبئر دون البالوعة، و لهذا صرّح في الروض</w:t>
      </w:r>
      <w:r>
        <w:rPr>
          <w:rStyle w:val="FootnoteAnchor"/>
          <w:rtl w:val="true"/>
        </w:rPr>
        <w:footnoteReference w:id="3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البئر في جهة الجنوب مع رخاوة الأرض و علوّ قرار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التباعد بخمس أذرع نظرا إلى علوّ قرار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بمقتضى ما ذكره من تعارض الفوقيّتين مطلقا ينبغي أن يكون بسبع</w:t>
      </w:r>
      <w:r>
        <w:rPr>
          <w:rFonts w:eastAsia="Amiri" w:cs="Amiri" w:ascii="Amiri" w:hAnsi="Amiri"/>
          <w:color w:val="111111"/>
          <w:sz w:val="28"/>
          <w:szCs w:val="28"/>
          <w:rtl w:val="true"/>
          <w:lang w:bidi="ar-SA"/>
        </w:rPr>
        <w:t>»</w:t>
      </w:r>
      <w:r>
        <w:rPr>
          <w:rStyle w:val="FootnoteAnchor"/>
          <w:rtl w:val="true"/>
        </w:rPr>
        <w:footnoteReference w:id="30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الكلام عند التحقيق غير صالح لدفع الاعتراض، كيف و التحكّم المذكور في كلام المعترض باق على حاله، و الاستشهاد بكلام الروض لا يجدي نفعا، إذ الاعتراض على هذا الكلام و نظائره، و وجه التحكّم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علوّ الجهة إمّا أن يصلح مؤثّرا في اقتضاء خلاف ما يلزم مع انتفائه أو لا، فعلى الأوّل ينبغي أن يلاحظ في كلّ من البئر و البالوعة و يرتّب عليه أثره، و على الثاني ينبغي أن لا يلاحظ في شيء منهما، و الفرق بينهما في الاعتبار و العدم ليس إلاّ تحكّما بحتا، كما أنّ ما عساه أن يدّعي من أنّه صالح للتأثير في البئر دون البالوعة ليس إلاّ مكابرة محضة، بل ليس إلاّ من الخرافات، فالاعتراض بظاهر الحال في محلّه</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تحديد البعد بين البئر و البالوعة روايات اخر لم يعمل بها الأصحاب، مثل ما حكاه في الحدائق</w:t>
      </w:r>
      <w:r>
        <w:rPr>
          <w:rStyle w:val="FootnoteAnchor"/>
          <w:rtl w:val="true"/>
        </w:rPr>
        <w:footnoteReference w:id="3047"/>
      </w:r>
      <w:r>
        <w:rPr>
          <w:rFonts w:ascii="Amiri" w:hAnsi="Amiri" w:eastAsia="Amiri" w:cs="Amiri"/>
          <w:color w:val="111111"/>
          <w:sz w:val="28"/>
          <w:sz w:val="28"/>
          <w:szCs w:val="28"/>
          <w:rtl w:val="true"/>
          <w:lang w:bidi="ar-SA"/>
        </w:rPr>
        <w:t xml:space="preserve">عن الحميري في قرب الأسناد عن محمّد بن خالد الطيالسي </w:t>
      </w:r>
    </w:p>
    <w:p>
      <w:pPr>
        <w:pStyle w:val="BookText"/>
        <w:rPr/>
      </w:pPr>
      <w:r>
        <w:rPr>
          <w:rFonts w:ascii="Amiri" w:hAnsi="Amiri" w:eastAsia="Amiri" w:cs="Amiri"/>
          <w:color w:val="111111"/>
          <w:sz w:val="28"/>
          <w:sz w:val="28"/>
          <w:szCs w:val="28"/>
          <w:rtl w:val="true"/>
          <w:lang w:bidi="ar-SA"/>
        </w:rPr>
        <w:t xml:space="preserve">عن العلاء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يتوضّأ منها القوم، و إلى جانبها بالوعة؟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عشرة أذرع و كانت البئر الّتي يستقون منها تلي الوادي، فلا بأس</w:t>
      </w:r>
      <w:r>
        <w:rPr>
          <w:rFonts w:eastAsia="Amiri" w:cs="Amiri" w:ascii="Amiri" w:hAnsi="Amiri"/>
          <w:color w:val="111111"/>
          <w:sz w:val="28"/>
          <w:szCs w:val="28"/>
          <w:rtl w:val="true"/>
          <w:lang w:bidi="ar-SA"/>
        </w:rPr>
        <w:t>»</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الكافي عن الفضلاء الثلاث زرارة، و محمّد بن مسلم، و أبي بصير،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يتوضّأ منها، يجري البول قريبا منها أ ينجّسها؟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البئر في أعلى الوادي، و الوادي يجري فيه البول من تحتها، فكان بينهما قدر ثلاثة أذرع، أو أربعة أذرع، لم ينجّس ذلك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أقلّ من ذلك نجسها</w:t>
      </w:r>
      <w:r>
        <w:rPr>
          <w:rFonts w:eastAsia="Amiri" w:cs="Amiri" w:ascii="Amiri" w:hAnsi="Amiri"/>
          <w:color w:val="111111"/>
          <w:sz w:val="28"/>
          <w:szCs w:val="28"/>
          <w:rtl w:val="true"/>
          <w:lang w:bidi="ar-SA"/>
        </w:rPr>
        <w:t>]</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البئر في أسفل الوادي، و يمرّ الماء عليها، و كان بين البئر و بينه سبعة أذرع لم ينجّسها، و ما كان أقلّ من ذلك لم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مجرى البول يلزقها و كان لا يثبت على الأرض؟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له قرار فليس به بأس؛ و إن استقرّ منه قليل فإنّه لا يثقب الأرض، و لا قعر له حتّى بلغ البئر، و ليس على البئر منه بأس، فيتوضّأ منه، إنّما ذلك إذا استنقع كلّه</w:t>
      </w:r>
      <w:r>
        <w:rPr>
          <w:rFonts w:eastAsia="Amiri" w:cs="Amiri" w:ascii="Amiri" w:hAnsi="Amiri"/>
          <w:color w:val="111111"/>
          <w:sz w:val="28"/>
          <w:szCs w:val="28"/>
          <w:rtl w:val="true"/>
          <w:lang w:bidi="ar-SA"/>
        </w:rPr>
        <w:t>»</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مذكورة في التهذيبين أيضا باختلاف يسير في بعض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وجه استفادة ما أطبقوا عليه من استحباب التباعد بين البئر و البالوعة بأحد الأبعاد المتقدّمة على الخلاف، مع ظهور النصوص الموجودة في هذا الباب في الوجوب، فهو إمّا من جهة الإجماع الناهض قرينة على صرف النصوص عن ظاهرها، و لا ينافيه الاختلاف مع التمسّك بتلك النصوص، لأنّ ذلك اختلاف في مقدار المستحبّ و استعلام له</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جهة اختلاف النصوص الواردة في التحديد، نظرا إلى أنّه يصلح قرينة على إرادة الاستحباب الّذي يختلف مراتبه، كما ذكروا نظيره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روايات النزح من تصريحهم بكون اختلافها الشديد في التقادير قرينة على استحباب النزح، أو من جهة تنزيل النصوص إلى الاستحباب الّذي يتسامح في دليله، نظرا إلى ما فيها من الضعف المانع عن صلوحها دليلا على الوجوب</w:t>
      </w:r>
      <w:r>
        <w:rPr>
          <w:rFonts w:eastAsia="Amiri" w:cs="Amiri" w:ascii="Amiri" w:hAnsi="Amiri"/>
          <w:color w:val="111111"/>
          <w:sz w:val="28"/>
          <w:szCs w:val="28"/>
          <w:rtl w:val="true"/>
          <w:lang w:bidi="ar-SA"/>
        </w:rPr>
        <w:t xml:space="preserve">.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جهة قيام قرينة عليه في نفس تلك النصوص، كما تقدّم من رواية محمّد بن القاسم عن أبي الحسن عليه السّلام في البئر يكون بينها و بين الكنيف خمسة و أقلّ و أكثر يتوضّأ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 لا بعد، يتوضّأ منها و يغتسل ما لم يتغيّر الماء</w:t>
      </w:r>
      <w:r>
        <w:rPr>
          <w:rFonts w:eastAsia="Amiri" w:cs="Amiri" w:ascii="Amiri" w:hAnsi="Amiri"/>
          <w:color w:val="111111"/>
          <w:sz w:val="28"/>
          <w:szCs w:val="28"/>
          <w:rtl w:val="true"/>
          <w:lang w:bidi="ar-SA"/>
        </w:rPr>
        <w:t>»</w:t>
      </w:r>
      <w:r>
        <w:rPr>
          <w:rStyle w:val="FootnoteAnchor"/>
          <w:rtl w:val="true"/>
        </w:rPr>
        <w:footnoteReference w:id="3051"/>
      </w:r>
      <w:r>
        <w:rPr>
          <w:rFonts w:ascii="Amiri" w:hAnsi="Amiri" w:eastAsia="Amiri" w:cs="Amiri"/>
          <w:color w:val="111111"/>
          <w:sz w:val="28"/>
          <w:sz w:val="28"/>
          <w:szCs w:val="28"/>
          <w:rtl w:val="true"/>
          <w:lang w:bidi="ar-SA"/>
        </w:rPr>
        <w:t>، و ممّن صرّح بالوجه الأخير الشيخ في الاستبصار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يدلّ على أنّ الأخبار المتقدّمة كلّها محمولة على الاستحباب دون الحظر و الإيجاب</w:t>
      </w:r>
      <w:r>
        <w:rPr>
          <w:rFonts w:eastAsia="Amiri" w:cs="Amiri" w:ascii="Amiri" w:hAnsi="Amiri"/>
          <w:color w:val="111111"/>
          <w:sz w:val="28"/>
          <w:szCs w:val="28"/>
          <w:rtl w:val="true"/>
          <w:lang w:bidi="ar-SA"/>
        </w:rPr>
        <w:t>»</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bookmarkStart w:id="999" w:name="pg16144_233701"/>
    </w:p>
    <w:p>
      <w:pPr>
        <w:pStyle w:val="Heading3"/>
        <w:numPr>
          <w:ilvl w:val="2"/>
          <w:numId w:val="1"/>
        </w:numPr>
        <w:rPr/>
      </w:pPr>
      <w:bookmarkStart w:id="1000" w:name="__RefHeading___Toc1805122_1280447820"/>
      <w:bookmarkStart w:id="1001" w:name="_Toc392"/>
      <w:bookmarkEnd w:id="999"/>
      <w:bookmarkEnd w:id="1000"/>
      <w:r>
        <w:rPr>
          <w:rtl w:val="true"/>
        </w:rPr>
        <w:t xml:space="preserve">ينبوع </w:t>
      </w:r>
      <w:r>
        <w:rPr>
          <w:rtl w:val="true"/>
        </w:rPr>
        <w:t>[</w:t>
      </w:r>
      <w:r>
        <w:rPr>
          <w:rtl w:val="true"/>
        </w:rPr>
        <w:t>في الماء المضاف</w:t>
      </w:r>
      <w:r>
        <w:rPr>
          <w:rtl w:val="true"/>
        </w:rPr>
        <w:t>]</w:t>
      </w:r>
      <w:bookmarkEnd w:id="1001"/>
    </w:p>
    <w:p>
      <w:pPr>
        <w:pStyle w:val="Heading4"/>
        <w:numPr>
          <w:ilvl w:val="3"/>
          <w:numId w:val="1"/>
        </w:numPr>
        <w:rPr/>
      </w:pPr>
      <w:bookmarkStart w:id="1002" w:name="__RefHeading___Toc1805124_1280447820"/>
      <w:bookmarkStart w:id="1003" w:name="_Toc393"/>
      <w:bookmarkEnd w:id="1002"/>
      <w:r>
        <w:rPr>
          <w:rtl w:val="true"/>
        </w:rPr>
        <w:t>اشارة</w:t>
      </w:r>
      <w:bookmarkEnd w:id="1003"/>
    </w:p>
    <w:p>
      <w:pPr>
        <w:pStyle w:val="BookText"/>
        <w:rPr/>
      </w:pPr>
      <w:r>
        <w:rPr>
          <w:rFonts w:ascii="Amiri" w:hAnsi="Amiri" w:eastAsia="Amiri" w:cs="Amiri"/>
          <w:color w:val="111111"/>
          <w:sz w:val="28"/>
          <w:sz w:val="28"/>
          <w:szCs w:val="28"/>
          <w:rtl w:val="true"/>
          <w:lang w:bidi="ar-SA"/>
        </w:rPr>
        <w:t xml:space="preserve">المضاف كلّ ما افتقر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إلى تقييد، كما في منتهى العلاّمة</w:t>
      </w:r>
      <w:r>
        <w:rPr>
          <w:rStyle w:val="FootnoteAnchor"/>
          <w:rtl w:val="true"/>
        </w:rPr>
        <w:footnoteReference w:id="3053"/>
      </w:r>
      <w:r>
        <w:rPr>
          <w:rFonts w:ascii="Amiri" w:hAnsi="Amiri" w:eastAsia="Amiri" w:cs="Amiri"/>
          <w:color w:val="111111"/>
          <w:sz w:val="28"/>
          <w:sz w:val="28"/>
          <w:szCs w:val="28"/>
          <w:rtl w:val="true"/>
          <w:lang w:bidi="ar-SA"/>
        </w:rPr>
        <w:t xml:space="preserve">، أو ما لا يتناوله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Style w:val="FootnoteAnchor"/>
          <w:rtl w:val="true"/>
        </w:rPr>
        <w:footnoteReference w:id="3054"/>
      </w:r>
      <w:r>
        <w:rPr>
          <w:rFonts w:ascii="Amiri" w:hAnsi="Amiri" w:eastAsia="Amiri" w:cs="Amiri"/>
          <w:color w:val="111111"/>
          <w:sz w:val="28"/>
          <w:sz w:val="28"/>
          <w:szCs w:val="28"/>
          <w:rtl w:val="true"/>
          <w:lang w:bidi="ar-SA"/>
        </w:rPr>
        <w:t>، أو ما لا يتناوله الاسم بإطلاقه كما في نافع المحقّق</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كلّ ما اعتصر من جسم أو مزج به مزجا يسلبه إطلاق الاسم كما في شرائعه</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 لا ينصرف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عرفا بل يحتاج في صدقه إلى القيد كما في الحدائق</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كلّ مائع يصحّ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لعلاقة المشابهة الصوريّة كما في كلام بعض مشايخنا العظام</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على البصير أنّ هذه التعاريف و غيرها ممّا هو مذكور في كلام الأصحاب كلّها لفظيّة يراد بها كشف المسمّى بأشهر اسميه، على حدّ ما هو قانون أهل اللغة في بيان مسمّيات الألفاظ، فلا ضير في عدم كون بعضها مطّردا بدخول الدم المعتصر من جسم، أو منعكسا بخروج المصعّد من الأنوار أو الأوراق كماء الورد و الهندباء و نحوهما، فالمناقشة في ذلك بالقياس إلى تعريف الشرائع بعد وضوح الأمر ليست في محلّه</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المضاف منه ما يحصل بالتصعيد كماءي الورد و الهندباء، و ما يحصل بالعصر كماءي الحصرم و الرمّان، و ما يحصل بمزج الماء بغيره على وجه زال عنه عنوان المائيّة في نظر العرف كماء الزعفران و نحوه، و أمّا الممزوج بغيره لا على هذا الوجه فليس </w:t>
      </w:r>
    </w:p>
    <w:p>
      <w:pPr>
        <w:pStyle w:val="BookText"/>
        <w:rPr/>
      </w:pPr>
      <w:r>
        <w:rPr>
          <w:rFonts w:ascii="Amiri" w:hAnsi="Amiri" w:eastAsia="Amiri" w:cs="Amiri"/>
          <w:color w:val="111111"/>
          <w:sz w:val="28"/>
          <w:sz w:val="28"/>
          <w:szCs w:val="28"/>
          <w:rtl w:val="true"/>
          <w:lang w:bidi="ar-SA"/>
        </w:rPr>
        <w:t>بمضاف و إن تغيّر وصفه لونا كالممتزج بالتراب، أو طعما كالممتزج بالملح و إن اضيف إليهما، و العبرة فيهما بالصدق العرفي و عدمه، و لو اشتبه العرف أو اشتبه الأمر على العرف بتردّد الموضوع بين المطلق و المضاف يرجع في إحراز أحد العنوانين أو الأحكام المترتّبة عليهما إلى الاصول و القواعد المقرّرة، و ذلك يتأتّى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مائع و تردّد ابتداء بين المطلق و المضاف من غير تبيّن حالته السابقة، و في مثله لا أصل يحرز به العنوان، و أمّا الأحكام فبالنسبة إلى انفعاله بملاقاة النجاسة فالأصل هو الانفعال إذا كان قليلا، لأنّه إن كان في الواقع مطلقا فحكمه هذا و إن كان مضافا فأولى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كثيرا فقد يتوهّم فيه الطهارة لأصالة عدم الانفعال، و ليس كما توهّم، لما هو المعلوم من ضرورة المتشرّعة و تتبّع الأخبار الجزئيّة الواردة في الأبواب المتفرّقة من أنّ النجس معدّ لتنجيس ما يلاقيه كائنا ما كان عدا ما كان منه مخرجا بالدليل من المواضع المخصوصة الّتي ليس المقام منها، فإنّ ذلك أصل كلّي مستفاد من الشرع وارد على الأصل المذكور و نظائره، و من علامات هذا الأصل أنّ المركوز في قاطبة الأذهان من عالم أو عامّي مطالبة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w:t>
      </w:r>
      <w:r>
        <w:rPr>
          <w:rFonts w:eastAsia="Amiri" w:cs="Amiri" w:ascii="Amiri" w:hAnsi="Amiri"/>
          <w:color w:val="111111"/>
          <w:sz w:val="28"/>
          <w:szCs w:val="28"/>
          <w:rtl w:val="true"/>
          <w:lang w:bidi="ar-SA"/>
        </w:rPr>
        <w:t>]</w:t>
      </w:r>
      <w:r>
        <w:rPr>
          <w:rStyle w:val="FootnoteAnchor"/>
          <w:rtl w:val="true"/>
        </w:rPr>
        <w:footnoteReference w:id="3059"/>
      </w:r>
      <w:r>
        <w:rPr>
          <w:rFonts w:ascii="Amiri" w:hAnsi="Amiri" w:eastAsia="Amiri" w:cs="Amiri"/>
          <w:color w:val="111111"/>
          <w:sz w:val="28"/>
          <w:sz w:val="28"/>
          <w:szCs w:val="28"/>
          <w:rtl w:val="true"/>
          <w:lang w:bidi="ar-SA"/>
        </w:rPr>
        <w:t>عدم التنجيس في مواضع ملاقاة الطاهر مع النجس مع تحقّق شرائط السراية الّتي منها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يكذّبه ما استقرّ في الأذهان من مطالبة من يدّعي انفعال الماء القليل الراكد بالملاقاة، فلو أنّ الأصل ثابت لكان كافيا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هو من جهة مخالفة هذه الدعوى لأصل ثانوي ثابت في الماء خاصّة، من أنّه بحسب الخلقة الأصليّة طاهر، و أنّ الطبيعة المائيّة مقتضية للطهارة غير قابلة للنجاسة عدا ما خرج منه بالدليل و هو القليل الراكد عند من يقول بانفعاله، فإنّ الماء بمقتضى هذا الأصل من جملة المخرجات عن الأصل المذكور</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إلى ذلك و إلى تجشّم الاستدلال على الانفعال بأدلّة خاصّة، حدوث القول بعدم الانفعال استنادا إلى أدلّة خاصّة لو تمّت دليلا لما كان الأصل </w:t>
      </w:r>
    </w:p>
    <w:p>
      <w:pPr>
        <w:pStyle w:val="BookText"/>
        <w:rPr/>
      </w:pPr>
      <w:r>
        <w:rPr>
          <w:rFonts w:ascii="Amiri" w:hAnsi="Amiri" w:eastAsia="Amiri" w:cs="Amiri"/>
          <w:color w:val="111111"/>
          <w:sz w:val="28"/>
          <w:sz w:val="28"/>
          <w:szCs w:val="28"/>
          <w:rtl w:val="true"/>
          <w:lang w:bidi="ar-SA"/>
        </w:rPr>
        <w:t>صالحا للمعارضة لها، فالغرض من تجشّم الاستدلال دفع هذا القول و ردّ أدلّته،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هذا الأصل عن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3060"/>
      </w:r>
      <w:r>
        <w:rPr>
          <w:rFonts w:ascii="Amiri" w:hAnsi="Amiri" w:eastAsia="Amiri" w:cs="Amiri"/>
          <w:color w:val="111111"/>
          <w:sz w:val="28"/>
          <w:sz w:val="28"/>
          <w:szCs w:val="28"/>
          <w:rtl w:val="true"/>
          <w:lang w:bidi="ar-SA"/>
        </w:rPr>
        <w:t>، أو يؤيّد باستدلال الغنية</w:t>
      </w:r>
      <w:r>
        <w:rPr>
          <w:rStyle w:val="FootnoteAnchor"/>
          <w:rtl w:val="true"/>
        </w:rPr>
        <w:footnoteReference w:id="3061"/>
      </w:r>
      <w:r>
        <w:rPr>
          <w:rFonts w:ascii="Amiri" w:hAnsi="Amiri" w:eastAsia="Amiri" w:cs="Amiri"/>
          <w:color w:val="111111"/>
          <w:sz w:val="28"/>
          <w:sz w:val="28"/>
          <w:szCs w:val="28"/>
          <w:rtl w:val="true"/>
          <w:lang w:bidi="ar-SA"/>
        </w:rPr>
        <w:t>على نجاسة القليل بالملاقاة بتلك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الآية محمولة على المعنى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أقصى ما يستفاد منها وجوب الاجتناب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النجس أو المتنجّس أيضا، و ليس ذلك إلاّ كبرى كلّيّة، فإن اريد بصغرى تلك الكبرى كون ملاقي النجس رجزا فهو أوّل المسألة، بل لا يكاد يستقيم ذلك إلاّ بإثبات وصف الرجزيّة من الخارج، و هو ليس استدلالا بالآية، و لو اريد بها نفس النجس الّذي لاقاه الطاهر فالكبرى بالقياس إليه مسلّمة، لكنّه لا يجدي نفعا في ثبوت دعوى سراية ما فيه من النجاسة إلى ملاقيه،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بالنسبة إلى إفادته التطهير عن حدث أو خبث، فمبنيّ على المباحث الآتية، فإن ثبت فيها أنّ المضاف صالح لذلك مطلقا أو في الجملة يلزمه كون المقام صالحا له كذلك، لأنّه إمّا مطلق أو مضاف و الكلّ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امتزج المطلق بمضاف خاصّ على وجه يعلم معه بعدم صدق الاسمين عليه، فتحقّق عنوان المضاف على الوجه الكلّي ممّا لا ريب فيه بنفس الفرض، مع ملاحظة انتفاء الواسطة بحسب الشرع فيما بين المطلق و المضاف، و عدم اندراج المفروض في اسم نوع خاصّ منه لا يوجب خروجه عن عنوانه الكلّي، مع عدم اندراجه في اسم المطلق أيضا، فهو مضاف لا اسم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عدم ترتّب أحكام الماء عليه كائنة ما كانت، لأنّ الخروج عن الاسم كاف في العدم، و لا يمكن استصحاب تلك الأحكام لتيقّن ثبوتها قبل هذه الحالة في هذا الموضوع الخارجي</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المشار إليه السابق بالامتزاج و إن اعتبرنا الشخص، فإنّ الموجود بعد الامتزاج ليس بعين ما كان قبل الامتزاج ليترتّب عليه الأحكام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الأحكام تابعة للعنوان الّذي هو ليس بباق بالفرض، و عروضها لهذا الموضوع الموجود في الخارج لم يكن من جهة أنّه هو هذا الموجود في الخارج، بل من جهة انطباقه على عنوان غير باق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 فيما ذكرناه من عدم ترتّب أحكام الماء على ذلك، بين ما لو تحقّق استهلاك أحدهما بالآخر في الواقع و بين ما لو لم يتحقّق استهلاك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توهّم من احتمال ترتّب ثار المطلق على أجزاء المطلق الموجودة فيه، و ترتّب ثار المضاف على أجزاء المضاف الموجودة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ارتماس الجنب لانغماره بالأجزاء المائيّة الموجودة فيه بالفرض مقطوع بفساده، لكون تلك الأحكام منوطة بما هو داخل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لا بما يعمّ هذه الأجزاء، مع أنّ العلم بمباشرة تلك الأجزاء المتفرّقة لجميع أجزاء البشرة من أيّ شيء حصل؟ بعد فرض كون كلّ من الأجزاء المائيّة و الأجزاء المضافيّة بالقياس إلى مباشرة كلّ جزء من 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 النسبة، و لعلّ الرطوبة الموجودة في جزء غير معيّن من العضو من أثر الأجزاء المضافيّة خاصّة، على معنى أنّ هذا الجزء لم يباشره جزء مائي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امتزج المطلق بمضاف أو مائع غير مضاف كالدبس، أو جامد غير مضاف على وجه شكّ معه في سلب الإطلاق عنه، فالظاهر بقاء الإطلاق بمقتضى الأصل الجاري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المفروض من باب الشكّ في اندراج هذا الجزئي الحقيقي تحت العنوان، و هذا لم يكن متيقّنا في الآن السابق، و ما كان مندرجا في السابق تحت العنوان كان جزئيّا حقيقيّا آخر متشخّصا بمشخّصات اخر</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الدفع، بأنّ الأحكام ليست مترتّبة على الجزئي الحقيقي ليكون التبدّل مضرّا في استصحاب بقائه، و إنّما هي مترتّبة على العنوان الّذي هو مشكوك في بقائه بعد تيقّن ثبوته في الآن السابق، و لا ريب أنّ مجرّد تبدّل الشخص لا يستلزم تبدّل العنوان ما لم يعلم بكون المتبدّل إليه من أشخاص عنوان آخر غير العنوان المتيقّن، و المقام ليس منه، لجواز كون هذا الشخص من أشخاص العنوان الأوّل، و إن غاير الشخص الأوّل بتغاير مشخّصاته الحادثة، كيف لا و معنى الشكّ في بقاء العنوان الأوّل هو هذا، فالقطع بتبدّل </w:t>
      </w:r>
      <w:bookmarkStart w:id="1004" w:name="pg16144_233705"/>
    </w:p>
    <w:p>
      <w:pPr>
        <w:pStyle w:val="BookText"/>
        <w:rPr/>
      </w:pPr>
      <w:bookmarkEnd w:id="1004"/>
      <w:r>
        <w:rPr>
          <w:rFonts w:ascii="Amiri" w:hAnsi="Amiri" w:eastAsia="Amiri" w:cs="Amiri"/>
          <w:color w:val="111111"/>
          <w:sz w:val="28"/>
          <w:sz w:val="28"/>
          <w:szCs w:val="28"/>
          <w:rtl w:val="true"/>
          <w:lang w:bidi="ar-SA"/>
        </w:rPr>
        <w:t>الشخص لا ينافي الشكّ في بقاء العنوان و هو المستصحب المتيقّن الثبوت المشكوك البقاء، فالاستصحاب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تمهّد هذا، فاعلم أنّه لا إشكال و لا كلام في طهارة المضاف بنفسه إذا كان أصله طاهر، أو لم يطرأه ما يقتضي تنجّسه، و نقل الإجماعات عليه و نفي الخلاف فيه في حدّ الاستفاضة، مضافا إلى أنّ الطهارة هي الأصل في الأشياء و النجاسة طارئة فيحتاج إلى سبب، فهذا الحكم ليس بمقصود المقام، بل المقصود البحث عن امور اخر يلحقها من جهة قبوله الانفعال و عدمه، و صلوحه رافعا للحدث و عدمه، مزيلا للخبث و عدمه، و قبوله التطهير على فرض الانفعال و طريق تطهيره، و غير ذلك ممّا يتلى عقيب ذلك،</w:t>
      </w:r>
    </w:p>
    <w:p>
      <w:pPr>
        <w:pStyle w:val="Heading4"/>
        <w:numPr>
          <w:ilvl w:val="3"/>
          <w:numId w:val="1"/>
        </w:numPr>
        <w:rPr/>
      </w:pPr>
      <w:bookmarkStart w:id="1005" w:name="__RefHeading___Toc1805126_1280447820"/>
      <w:bookmarkStart w:id="1006" w:name="_Toc394"/>
      <w:bookmarkEnd w:id="1005"/>
      <w:r>
        <w:rPr>
          <w:rtl w:val="true"/>
        </w:rPr>
        <w:t>فينبغي إيراد الكلام في مباحث</w:t>
      </w:r>
      <w:r>
        <w:rPr>
          <w:rtl w:val="true"/>
        </w:rPr>
        <w:t>:</w:t>
      </w:r>
      <w:bookmarkEnd w:id="1006"/>
    </w:p>
    <w:p>
      <w:pPr>
        <w:pStyle w:val="Heading5"/>
        <w:numPr>
          <w:ilvl w:val="4"/>
          <w:numId w:val="1"/>
        </w:numPr>
        <w:rPr/>
      </w:pPr>
      <w:bookmarkStart w:id="1007" w:name="__RefHeading___Toc1805128_1280447820"/>
      <w:bookmarkStart w:id="1008" w:name="_Toc395"/>
      <w:bookmarkEnd w:id="1007"/>
      <w:r>
        <w:rPr>
          <w:rtl w:val="true"/>
        </w:rPr>
        <w:t>المبحث الأوّل</w:t>
      </w:r>
      <w:r>
        <w:rPr>
          <w:rtl w:val="true"/>
        </w:rPr>
        <w:t xml:space="preserve">: </w:t>
      </w:r>
      <w:r>
        <w:rPr>
          <w:rtl w:val="true"/>
        </w:rPr>
        <w:t>المشهور القريب من الإجماع أنّ المضاف مطلقا لا يرفع حدثا مطلقا اختيارا و لا اضطرارا،</w:t>
      </w:r>
      <w:bookmarkEnd w:id="1008"/>
    </w:p>
    <w:p>
      <w:pPr>
        <w:pStyle w:val="BookText"/>
        <w:rPr/>
      </w:pPr>
      <w:r>
        <w:rPr>
          <w:rFonts w:ascii="Amiri" w:hAnsi="Amiri" w:eastAsia="Amiri" w:cs="Amiri"/>
          <w:color w:val="111111"/>
          <w:sz w:val="28"/>
          <w:sz w:val="28"/>
          <w:szCs w:val="28"/>
          <w:rtl w:val="true"/>
          <w:lang w:bidi="ar-SA"/>
        </w:rPr>
        <w:t>بل هو إجماع من أصحابنا حقيقة كما يفصح عنه نقل الإجماعات في كلام غير واحد، بناء على أنّ مخالفة معلوم النسب لا تقدح في انعقاد الإجماع، أو أنّها منقرضة بتأخّر الإجماع، و المخالف من أصحابنا الصدوق على ما حكي عنه في الفقيه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بالوضوء و الغسل من الجنابة و الاستياك بماء الورد</w:t>
      </w:r>
      <w:r>
        <w:rPr>
          <w:rFonts w:eastAsia="Amiri" w:cs="Amiri" w:ascii="Amiri" w:hAnsi="Amiri"/>
          <w:color w:val="111111"/>
          <w:sz w:val="28"/>
          <w:szCs w:val="28"/>
          <w:rtl w:val="true"/>
          <w:lang w:bidi="ar-SA"/>
        </w:rPr>
        <w:t>»</w:t>
      </w:r>
      <w:r>
        <w:rPr>
          <w:rStyle w:val="FootnoteAnchor"/>
          <w:rtl w:val="true"/>
        </w:rPr>
        <w:footnoteReference w:id="3062"/>
      </w:r>
      <w:r>
        <w:rPr>
          <w:rFonts w:ascii="Amiri" w:hAnsi="Amiri" w:eastAsia="Amiri" w:cs="Amiri"/>
          <w:color w:val="111111"/>
          <w:sz w:val="28"/>
          <w:sz w:val="28"/>
          <w:szCs w:val="28"/>
          <w:rtl w:val="true"/>
          <w:lang w:bidi="ar-SA"/>
        </w:rPr>
        <w:t>، و عن الشيخ في الخلاف</w:t>
      </w:r>
      <w:r>
        <w:rPr>
          <w:rStyle w:val="FootnoteAnchor"/>
          <w:rtl w:val="true"/>
        </w:rPr>
        <w:footnoteReference w:id="3063"/>
      </w:r>
      <w:r>
        <w:rPr>
          <w:rFonts w:ascii="Amiri" w:hAnsi="Amiri" w:eastAsia="Amiri" w:cs="Amiri"/>
          <w:color w:val="111111"/>
          <w:sz w:val="28"/>
          <w:sz w:val="28"/>
          <w:szCs w:val="28"/>
          <w:rtl w:val="true"/>
          <w:lang w:bidi="ar-SA"/>
        </w:rPr>
        <w:t>أنّه حكى عن قوم من أصحاب الحديث منّا أنّهم أجازوا الوضوء بماء الورد، و عن ظاهر ابن أبي عقيل العماني</w:t>
      </w:r>
      <w:r>
        <w:rPr>
          <w:rStyle w:val="FootnoteAnchor"/>
          <w:rtl w:val="true"/>
        </w:rPr>
        <w:footnoteReference w:id="3064"/>
      </w:r>
      <w:r>
        <w:rPr>
          <w:rFonts w:ascii="Amiri" w:hAnsi="Amiri" w:eastAsia="Amiri" w:cs="Amiri"/>
          <w:color w:val="111111"/>
          <w:sz w:val="28"/>
          <w:sz w:val="28"/>
          <w:szCs w:val="28"/>
          <w:rtl w:val="true"/>
          <w:lang w:bidi="ar-SA"/>
        </w:rPr>
        <w:t>أنّه جوّز الوضوء حال الضرورة فيقدّم على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لأصالة بقاء الحدث، و المنع عن الدخول في الصلاة إلى أن يتحقّق رافع يقيني و مبيح شرعي، مضافا إلى جملة ممّا احتجّ به الأكثر و 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3065"/>
      </w:r>
      <w:r>
        <w:rPr>
          <w:rFonts w:ascii="Amiri" w:hAnsi="Amiri" w:eastAsia="Amiri" w:cs="Amiri"/>
          <w:color w:val="111111"/>
          <w:sz w:val="28"/>
          <w:sz w:val="28"/>
          <w:szCs w:val="28"/>
          <w:rtl w:val="true"/>
          <w:lang w:bidi="ar-SA"/>
        </w:rPr>
        <w:t>حيث أوجب التيمّم عند فقد الماء، و لا ريب أنّ الماء بإطلاقه لا يتناول المضاف، فعلم منه سقوط الواسطة، إذ اللفظ يحمل على حقيقته، فلو كان الوضوء سائغا بغير الماء لم يجب التيمّم عند فقده</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العلاّمة في المختلف</w:t>
      </w:r>
      <w:r>
        <w:rPr>
          <w:rStyle w:val="FootnoteAnchor"/>
          <w:rtl w:val="true"/>
        </w:rPr>
        <w:footnoteReference w:id="3066"/>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w:t>
      </w:r>
    </w:p>
    <w:p>
      <w:pPr>
        <w:pStyle w:val="BookText"/>
        <w:rPr/>
      </w:pPr>
      <w:r>
        <w:rPr>
          <w:rFonts w:ascii="Amiri" w:hAnsi="Amiri" w:eastAsia="Amiri" w:cs="Amiri"/>
          <w:color w:val="111111"/>
          <w:sz w:val="28"/>
          <w:sz w:val="28"/>
          <w:szCs w:val="28"/>
          <w:rtl w:val="true"/>
          <w:lang w:bidi="ar-SA"/>
        </w:rPr>
        <w:t xml:space="preserve">اَلسَّمٰاءِ مٰاءً لِيُطَهِّرَكُمْ بِهِ </w:t>
      </w:r>
      <w:r>
        <w:rPr>
          <w:rStyle w:val="FootnoteAnchor"/>
          <w:rtl w:val="true"/>
        </w:rPr>
        <w:footnoteReference w:id="3067"/>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التطهير بالماء بقرينة وروده مورد الامتنان، فلو وقع بغيره لكان الامتنان بالأعمّ أولى، و لم تكن للتخصيص فائدة، و قضيّة ذلك كلّه أن لا يقع بغيره، و لا يخفى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الامتنان معلّق على حيثيّة الإنزال من السماء لأجل فائدة التطهير لا على مجرّد جعل تلك الفائدة في الماء، و لا ريب أنّ هذه الحيثيّة المحقّقة للامتنان مختصّة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إنزال الماء من السماء إنّما هو لأجل تطهيركم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هذا المعنى لا ينافي حصول التطهير بغير الماء أيضا، و إلاّ يرد النقض بالصعيد الّذي يحصل به التطهير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المضاف أيضا بجميع أقسامه أصله من الماء كما يظهر بأدنى التفات، فحصول التطهير به لا ينافي قصد الامتنان بكون الماء منزّلا لحصول التطهير به، لرجوعه بالأخرة إليه من جهة استناده إليه بحسب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يخصّ أحد الشيئين الممتنّ بهما بالذكر، لكونه أبلغ و أكثر وجودا و أعمّ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المرويّة في التهذيبين عن أبي عبد اللّه عليه السّلام عن الرجل يكون معه اللبن، أ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w:t>
      </w:r>
      <w:r>
        <w:rPr>
          <w:rStyle w:val="FootnoteAnchor"/>
          <w:rtl w:val="true"/>
        </w:rPr>
        <w:footnoteReference w:id="3068"/>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فتفيد انتفاء التطهّر بغير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الاحتجاج بما رواه في التهذيب عن محمّد بن عيسى عن يونس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 سنده على سهل بن زياد و هو عامّي، و محمّد بن عيسى عن يونس، و قد نقل الصدوق عن شيخه محمّد بن الوليد أنّه لا يعتمد على حديث محمّد بن </w:t>
      </w:r>
    </w:p>
    <w:p>
      <w:pPr>
        <w:pStyle w:val="BookText"/>
        <w:rPr/>
      </w:pPr>
      <w:r>
        <w:rPr>
          <w:rFonts w:ascii="Amiri" w:hAnsi="Amiri" w:eastAsia="Amiri" w:cs="Amiri"/>
          <w:color w:val="111111"/>
          <w:sz w:val="28"/>
          <w:sz w:val="28"/>
          <w:szCs w:val="28"/>
          <w:rtl w:val="true"/>
          <w:lang w:bidi="ar-SA"/>
        </w:rPr>
        <w:t>عيسى عن يونس، و حكم الشيخ في كتابي الأخبار</w:t>
      </w:r>
      <w:r>
        <w:rPr>
          <w:rStyle w:val="FootnoteAnchor"/>
          <w:rtl w:val="true"/>
        </w:rPr>
        <w:footnoteReference w:id="3070"/>
      </w:r>
      <w:r>
        <w:rPr>
          <w:rFonts w:ascii="Amiri" w:hAnsi="Amiri" w:eastAsia="Amiri" w:cs="Amiri"/>
          <w:color w:val="111111"/>
          <w:sz w:val="28"/>
          <w:sz w:val="28"/>
          <w:szCs w:val="28"/>
          <w:rtl w:val="true"/>
          <w:lang w:bidi="ar-SA"/>
        </w:rPr>
        <w:t>بشذوذ هذه الرواية، و أنّ العصابة أجمعت على ترك العمل بظاهرها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خبر شاذّ شديد الشذوذ، و إن تكرّر في الكتب و الاصول، فإنّما أصله يونس عن أبي الحسن و لم يروه غيره، و قد أجمعت العصابة على ترك العمل بظاهره، و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لاحتمل أن يكون أراد به الوضوء الّذي هو التحسين، و قد بيّنّا فيما تقدّم أنّه يسمّى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الخبر أنّه سأله عن ماء الورد يتوضّأ به للصلاة؟ فإنّ ذلك لا ينافي ما قلناه، لأنّه يجوز أن يستعمل للتحسين و مع هذا يقصد به الدخول في الصلاة من حيث أنّه متى استعمل الرائحة الطيّبة لدخوله في الصلاة و لمناجاة ربّه كان أفضل من أن يقصد به التلذّذ حسب دون وجه اللّه، و في هذا إسقاط ما ظنّه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فيه الورد، لأنّ 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معتصرا منه، لأنّ كلّ شيء جاور غيره فإنّه يكسب اسم الإضافة إليه</w:t>
      </w:r>
      <w:r>
        <w:rPr>
          <w:rFonts w:eastAsia="Amiri" w:cs="Amiri" w:ascii="Amiri" w:hAnsi="Amiri"/>
          <w:color w:val="111111"/>
          <w:sz w:val="28"/>
          <w:szCs w:val="28"/>
          <w:rtl w:val="true"/>
          <w:lang w:bidi="ar-SA"/>
        </w:rPr>
        <w:t>»</w:t>
      </w:r>
      <w:r>
        <w:rPr>
          <w:rStyle w:val="FootnoteAnchor"/>
          <w:rtl w:val="true"/>
        </w:rPr>
        <w:footnoteReference w:id="30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وجّه بأنّ المراد ماء الورد</w:t>
      </w:r>
      <w:r>
        <w:rPr>
          <w:rFonts w:eastAsia="Amiri" w:cs="Amiri" w:ascii="Amiri" w:hAnsi="Amiri"/>
          <w:color w:val="111111"/>
          <w:sz w:val="28"/>
          <w:szCs w:val="28"/>
          <w:rtl w:val="true"/>
          <w:lang w:bidi="ar-SA"/>
        </w:rPr>
        <w:t>»</w:t>
      </w:r>
      <w:r>
        <w:rPr>
          <w:rStyle w:val="FootnoteAnchor"/>
          <w:rtl w:val="true"/>
        </w:rPr>
        <w:footnoteReference w:id="3072"/>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 يظهر ضعف قول العماني أيضا، و لم يذكر له مستند فيما حضرنا من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النقل عنه أنّه يجوز التطهير بكلّ مضاف من غير اختصاص له بماء الورد و لا موافق له و للصدوق فيما ادّعياه</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يحكى عن المحدّث الكاشاني في المفاتيح و الوافي ما يوهم ميله إلى موافقة الصدوق، حيث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قويّا الجواز لصدق الماء على ماء الورد، لأنّ الإضافة ليست إلاّ لمجرّد اللفظ كماء السماء، دون المعنى كماء الزعفران و الحناء و الخليط بغيره، مع تأيّد الخبر بعمل الصدوق و ضمانه صحّة ما رواه في الفقيه </w:t>
      </w:r>
      <w:bookmarkStart w:id="1009" w:name="pg16144_233708"/>
    </w:p>
    <w:p>
      <w:pPr>
        <w:pStyle w:val="BookText"/>
        <w:rPr/>
      </w:pPr>
      <w:bookmarkEnd w:id="1009"/>
      <w:r>
        <w:rPr>
          <w:rFonts w:ascii="IRNazanin" w:hAnsi="IRNazanin" w:eastAsia="IRNazanin"/>
          <w:color w:val="111111"/>
          <w:sz w:val="28"/>
          <w:sz w:val="28"/>
          <w:szCs w:val="28"/>
          <w:rtl w:val="true"/>
          <w:lang w:bidi="fa-IR"/>
        </w:rPr>
        <w:t>و عدم المعارض النافع</w:t>
      </w:r>
      <w:r>
        <w:rPr>
          <w:rFonts w:eastAsia="IRNazanin" w:cs="IRNazanin"/>
          <w:color w:val="111111"/>
          <w:sz w:val="28"/>
          <w:szCs w:val="28"/>
          <w:rtl w:val="true"/>
          <w:lang w:bidi="fa-IR"/>
        </w:rPr>
        <w:t>»</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يونس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أفتى بمضمونه في الفقيه، و نسبه في التهذيبين إلى الشذوذ، ثمّ حمله على التحسين و التطيّب للصلاة دون رفع الحدث مستدلاّ بما في الخبر الآتي إنّما هو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غير صحيح، إذ لا منافاة بين الحديثين، فإنّ ماء الورد ماء مستخرج من الورد</w:t>
      </w:r>
      <w:r>
        <w:rPr>
          <w:rFonts w:eastAsia="Amiri" w:cs="Amiri" w:ascii="Amiri" w:hAnsi="Amiri"/>
          <w:color w:val="111111"/>
          <w:sz w:val="28"/>
          <w:szCs w:val="28"/>
          <w:rtl w:val="true"/>
          <w:lang w:bidi="ar-SA"/>
        </w:rPr>
        <w:t>»</w:t>
      </w:r>
      <w:r>
        <w:rPr>
          <w:rStyle w:val="FootnoteAnchor"/>
          <w:rtl w:val="true"/>
        </w:rPr>
        <w:footnoteReference w:id="30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مرجعه إلى إنكار الإضافة المخرجة عن الإطلاق، فماء الورد ماء و إن اضيف إلى الورد كماء البئر و نحوه، فما لم يكن الإضافة مؤثّرة في سلب الإطلاق لم يكن منافاة بين الخبر و ما دلّ على انحصار الطهور في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كما ترى يرجع إلى إنكار الصغرى، فلا مخالفة بينه و بين المشهور في منع التطهّر بغير الماء، و إنّما خالفهم في خصوص المقام في دعوى كون المتّخذ من الورد ماء و إن أطلق مضافا إلى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كلامه حينئذ إنّما هو بدفع هذه الدعوى، لا بإقامة الدليل على أنّ المضاف لا يرفع الحدث، كما قد يوجد في بعض العبائر</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805130_1280447820"/>
      <w:bookmarkStart w:id="1011" w:name="_Toc396"/>
      <w:bookmarkEnd w:id="1010"/>
      <w:r>
        <w:rPr>
          <w:rtl w:val="true"/>
        </w:rPr>
        <w:t>المبحث الثاني</w:t>
      </w:r>
      <w:r>
        <w:rPr>
          <w:rtl w:val="true"/>
        </w:rPr>
        <w:t xml:space="preserve">: </w:t>
      </w:r>
      <w:r>
        <w:rPr>
          <w:rtl w:val="true"/>
        </w:rPr>
        <w:t>المشهور أنّ المضاف كما لا يرفع الحدث لا يرفع الخبث أيضا،</w:t>
      </w:r>
      <w:bookmarkEnd w:id="1011"/>
    </w:p>
    <w:p>
      <w:pPr>
        <w:pStyle w:val="BookText"/>
        <w:rPr/>
      </w:pPr>
      <w:r>
        <w:rPr>
          <w:rFonts w:ascii="IRNazanin" w:hAnsi="IRNazanin" w:eastAsia="IRNazanin"/>
          <w:color w:val="111111"/>
          <w:sz w:val="28"/>
          <w:sz w:val="28"/>
          <w:szCs w:val="28"/>
          <w:rtl w:val="true"/>
          <w:lang w:bidi="fa-IR"/>
        </w:rPr>
        <w:t>و عن الروض</w:t>
      </w:r>
      <w:r>
        <w:rPr>
          <w:rStyle w:val="FootnoteAnchor"/>
          <w:rtl w:val="true"/>
        </w:rPr>
        <w:footnoteReference w:id="3075"/>
      </w:r>
      <w:r>
        <w:rPr>
          <w:rFonts w:ascii="Amiri" w:hAnsi="Amiri" w:eastAsia="Amiri" w:cs="Amiri"/>
          <w:color w:val="111111"/>
          <w:sz w:val="28"/>
          <w:sz w:val="28"/>
          <w:szCs w:val="28"/>
          <w:rtl w:val="true"/>
          <w:lang w:bidi="ar-SA"/>
        </w:rPr>
        <w:t>الإجماع عليه، خلافا للمفيد في المسائل الخلافيّة</w:t>
      </w:r>
      <w:r>
        <w:rPr>
          <w:rStyle w:val="FootnoteAnchor"/>
          <w:rtl w:val="true"/>
        </w:rPr>
        <w:footnoteReference w:id="3076"/>
      </w:r>
      <w:r>
        <w:rPr>
          <w:rFonts w:ascii="Amiri" w:hAnsi="Amiri" w:eastAsia="Amiri" w:cs="Amiri"/>
          <w:color w:val="111111"/>
          <w:sz w:val="28"/>
          <w:sz w:val="28"/>
          <w:szCs w:val="28"/>
          <w:rtl w:val="true"/>
          <w:lang w:bidi="ar-SA"/>
        </w:rPr>
        <w:t>، و المرتضى في شرح الرسالة قائلا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عندنا إزالة النجاسة بالمائع الطاهر غير الماء</w:t>
      </w:r>
      <w:r>
        <w:rPr>
          <w:rFonts w:eastAsia="Amiri" w:cs="Amiri" w:ascii="Amiri" w:hAnsi="Amiri"/>
          <w:color w:val="111111"/>
          <w:sz w:val="28"/>
          <w:szCs w:val="28"/>
          <w:rtl w:val="true"/>
          <w:lang w:bidi="ar-SA"/>
        </w:rPr>
        <w:t>»</w:t>
      </w:r>
      <w:r>
        <w:rPr>
          <w:rStyle w:val="FootnoteAnchor"/>
          <w:rtl w:val="true"/>
        </w:rPr>
        <w:footnoteReference w:id="3077"/>
      </w:r>
      <w:r>
        <w:rPr>
          <w:rFonts w:ascii="Amiri" w:hAnsi="Amiri" w:eastAsia="Amiri" w:cs="Amiri"/>
          <w:color w:val="111111"/>
          <w:sz w:val="28"/>
          <w:sz w:val="28"/>
          <w:szCs w:val="28"/>
          <w:rtl w:val="true"/>
          <w:lang w:bidi="ar-SA"/>
        </w:rPr>
        <w:t>و نقل عنه أيضا في المسائل الناصريّة</w:t>
      </w:r>
      <w:r>
        <w:rPr>
          <w:rStyle w:val="FootnoteAnchor"/>
          <w:rtl w:val="true"/>
        </w:rPr>
        <w:footnoteReference w:id="3078"/>
      </w:r>
      <w:r>
        <w:rPr>
          <w:rFonts w:ascii="Amiri" w:hAnsi="Amiri" w:eastAsia="Amiri" w:cs="Amiri"/>
          <w:color w:val="111111"/>
          <w:sz w:val="28"/>
          <w:sz w:val="28"/>
          <w:szCs w:val="28"/>
          <w:rtl w:val="true"/>
          <w:lang w:bidi="ar-SA"/>
        </w:rPr>
        <w:t>جواز ذلك بكلّ مائع، و عن المعتبر</w:t>
      </w:r>
      <w:r>
        <w:rPr>
          <w:rStyle w:val="FootnoteAnchor"/>
          <w:rtl w:val="true"/>
        </w:rPr>
        <w:footnoteReference w:id="3079"/>
      </w:r>
      <w:r>
        <w:rPr>
          <w:rFonts w:ascii="Amiri" w:hAnsi="Amiri" w:eastAsia="Amiri" w:cs="Amiri"/>
          <w:color w:val="111111"/>
          <w:sz w:val="28"/>
          <w:sz w:val="28"/>
          <w:szCs w:val="28"/>
          <w:rtl w:val="true"/>
          <w:lang w:bidi="ar-SA"/>
        </w:rPr>
        <w:t>أنّه أضاف ذلك إلى مذهبنا، و عن ابن أبي عقيل</w:t>
      </w:r>
      <w:r>
        <w:rPr>
          <w:rStyle w:val="FootnoteAnchor"/>
          <w:rtl w:val="true"/>
        </w:rPr>
        <w:footnoteReference w:id="3080"/>
      </w:r>
      <w:r>
        <w:rPr>
          <w:rFonts w:ascii="Amiri" w:hAnsi="Amiri" w:eastAsia="Amiri" w:cs="Amiri"/>
          <w:color w:val="111111"/>
          <w:sz w:val="28"/>
          <w:sz w:val="28"/>
          <w:szCs w:val="28"/>
          <w:rtl w:val="true"/>
          <w:lang w:bidi="ar-SA"/>
        </w:rPr>
        <w:t>أيضا القول بجواز ذلك حال الضرورة خاصّة، و المعتمد الأوّل للأصل المتقدّم، حجّة المشهور امور</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الأمر بغسل الثوب و البدن بالماء في أخبار كثيرة، و هو حقيقة في </w:t>
      </w:r>
    </w:p>
    <w:p>
      <w:pPr>
        <w:pStyle w:val="BookText"/>
        <w:rPr/>
      </w:pPr>
      <w:r>
        <w:rPr>
          <w:rFonts w:ascii="Amiri" w:hAnsi="Amiri" w:eastAsia="Amiri" w:cs="Amiri"/>
          <w:color w:val="111111"/>
          <w:sz w:val="28"/>
          <w:sz w:val="28"/>
          <w:szCs w:val="28"/>
          <w:rtl w:val="true"/>
          <w:lang w:bidi="ar-SA"/>
        </w:rPr>
        <w:t>المطلق فيجب حمله عليه، و لا ينافي ذلك إطلاق الأمر بالغسل في بعضها أيضا، لأنّ المقيّد يحكم على المطلق كما هو مقرّر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المذكورة مخصوصة بنجاسات معيّنة و المدّعى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حكي عنه في بعض مسائله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قائل هنا بالفرق</w:t>
      </w:r>
      <w:r>
        <w:rPr>
          <w:rFonts w:eastAsia="Amiri" w:cs="Amiri" w:ascii="Amiri" w:hAnsi="Amiri"/>
          <w:color w:val="111111"/>
          <w:sz w:val="28"/>
          <w:szCs w:val="28"/>
          <w:rtl w:val="true"/>
          <w:lang w:bidi="ar-SA"/>
        </w:rPr>
        <w:t>»</w:t>
      </w:r>
      <w:r>
        <w:rPr>
          <w:rStyle w:val="FootnoteAnchor"/>
          <w:rtl w:val="true"/>
        </w:rPr>
        <w:footnoteReference w:id="3081"/>
      </w:r>
      <w:r>
        <w:rPr>
          <w:rFonts w:ascii="Amiri" w:hAnsi="Amiri" w:eastAsia="Amiri" w:cs="Amiri"/>
          <w:color w:val="111111"/>
          <w:sz w:val="28"/>
          <w:sz w:val="28"/>
          <w:szCs w:val="28"/>
          <w:rtl w:val="true"/>
          <w:lang w:bidi="ar-SA"/>
        </w:rPr>
        <w:t>و اخرى بما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كما يمكن الجمع بحمل المطلق على المقيّد، كذا يمكن بالحمل على الاستحباب، أو على ما هو الغالب من أنّه لا يستعمل في الإزالة غير الماء</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الغلبة المدّعاة إن اريد بها ما هو في جانب المطلق، على معنى أنّ الأمر بمطلق الغسل ينصرف إليه بالماء لأنّه الغالب، فهو تأييد لقول المشهور، و دفع لما ورد على تمسّكهم بالأوامر المقيّدة من وجود الأوامر بالمطلق أيضا، و رفع للحاجة إلى تجشّم حمل المطلق على المقيّد دفعا للمعارضة بينهما، إذ مبنى هذا الكلام على منع المعارضة بينهما من طريق آخر غير قاعدة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بها ما هو في جانب القيد الوارد في المقيّد، على معنى 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مورد الغالب فلا يكون مفهومه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ابتناء قاعدة الحمل على أن يكون للقيد الوارد في الكلام مفهوم كما هو مقرّر في الاصول، و إنّما هو مبتن على التنافي بين إطلاق المطلق و تقييد المقيّد، و هو حيثما حصل كان من مقتضيات منطوق المقيّد و إن لم يكن له مفهوم، حيث إنّ إطلاق المطلق يقتضي تخيير الوجوب، و التقييد يقتضي تعيينه رأسا و هما متنافيان، و من هنا كان الحمل ممّا يقول به من لا يقول بالمفهوم رأسا</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 هذا الحمل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شرائطه المقرّرة في محلّه اتّحاد موجب الخطابين، بأن يكون علّة الحكمين متّحدة، و هذا الشرط ليس بمحرز في المقام، حيث إنّ علّة الحكم في المقيّد النجاسة البوليّة و نحوها، و هي في المطلق سائر النجاسات، و لعلّه إلى هذا البيان يرجع ما تقدّم في 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ما عرفت عن </w:t>
      </w:r>
    </w:p>
    <w:p>
      <w:pPr>
        <w:pStyle w:val="BookText"/>
        <w:rPr/>
      </w:pPr>
      <w:r>
        <w:rPr>
          <w:rFonts w:ascii="IRNazanin" w:hAnsi="IRNazanin" w:eastAsia="IRNazanin"/>
          <w:color w:val="111111"/>
          <w:sz w:val="28"/>
          <w:sz w:val="28"/>
          <w:szCs w:val="28"/>
          <w:rtl w:val="true"/>
          <w:lang w:bidi="fa-IR"/>
        </w:rPr>
        <w:t>المعتبر</w:t>
      </w:r>
      <w:r>
        <w:rPr>
          <w:rStyle w:val="FootnoteAnchor"/>
          <w:rtl w:val="true"/>
        </w:rPr>
        <w:footnoteReference w:id="3083"/>
      </w:r>
      <w:r>
        <w:rPr>
          <w:rFonts w:ascii="Amiri" w:hAnsi="Amiri" w:eastAsia="Amiri" w:cs="Amiri"/>
          <w:color w:val="111111"/>
          <w:sz w:val="28"/>
          <w:sz w:val="28"/>
          <w:szCs w:val="28"/>
          <w:rtl w:val="true"/>
          <w:lang w:bidi="ar-SA"/>
        </w:rPr>
        <w:t>، و مرجعه على هذا البيان إلى منع انحصار الشرط في اتّحاد ذات الموجب، بل هو أحد الأمرين من اتّحاد الذات و اتّحاد الأثر و إن تعدّدت الذات، و يعلم ذلك عند تعدّد ذات الموجب بقيام دليل من الخارج، على أنّ هذه الموجبات متّحدة في الاقتضاء و الأثر، و المقام من هذا الباب، و الدليل الخارج هو عدم القول بالفرق بين أنواع النجاسات في اقتضاء الغسل بما يوجب زوالها، إن ماء ففي الجميع و إن أعمّ منه ففي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المقام و لا بدّ من المناقشة فيه،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قاعدة الحمل كون المطلق و المقيّد تكليفيّين إلزاميّين، دون وضعيّين، أو تكليفيّين غير إلزاميّين، و لعلّه منتف في المقام، لما هو المقرّر من أنّ الأوامر و النواهي الواردتين في نظائره يراد بها الإرشاد دون الطلب و الإلزام، فهي إرشاد ورد بصورة الطلب، فتكون مساقها مساق القضايا الوضعيّة، و هي في الحقيقة قضايا إخباريّة، و معه لا تنافي بين مطلقاتها و مقيّداتها ليوجب الاضطرار إلى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طريق الاستدلال منع إطلاق الغسل بالقياس إلى ما يحصل منه بالمضاف،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باعتبار اللغة و العرف حقيقة فيما يحصل بالماء، كما هو مذكور في كلام جماعة من الأصحاب، فحينئذ لا تنافي بين المطلقات و المقيّدات، بل المقيّدات على ذلك معتبرة بالقياس إلى المطلقات من باب القرائن المؤكّدة، بل لا تقييد حينئذ و لا إطلاق، بل الكلّ مجتمعة على مدلول واحد، غاية الأمر أنّ الدلالة في البعض من باب النصوصيّة و في الباقي من باب الظهور لابتنائها فيه على إعمال أصالة الحقيقة كما لا يخفى</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المعنى يشير ما ورد في بعض المعتبرة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يجزي في البول غير الماء</w:t>
      </w:r>
      <w:r>
        <w:rPr>
          <w:rFonts w:eastAsia="Amiri" w:cs="Amiri" w:ascii="Amiri" w:hAnsi="Amiri"/>
          <w:color w:val="111111"/>
          <w:sz w:val="28"/>
          <w:szCs w:val="28"/>
          <w:rtl w:val="true"/>
          <w:lang w:bidi="ar-SA"/>
        </w:rPr>
        <w:t>»</w:t>
      </w:r>
      <w:r>
        <w:rPr>
          <w:rStyle w:val="FootnoteAnchor"/>
          <w:rtl w:val="true"/>
        </w:rPr>
        <w:footnoteReference w:id="30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Style w:val="FootnoteAnchor"/>
          <w:rtl w:val="true"/>
        </w:rPr>
        <w:footnoteReference w:id="3085"/>
      </w:r>
      <w:r>
        <w:rPr>
          <w:rFonts w:ascii="Amiri" w:hAnsi="Amiri" w:eastAsia="Amiri" w:cs="Amiri"/>
          <w:color w:val="111111"/>
          <w:sz w:val="28"/>
          <w:sz w:val="28"/>
          <w:szCs w:val="28"/>
          <w:rtl w:val="true"/>
          <w:lang w:bidi="ar-SA"/>
        </w:rPr>
        <w:t>بناء على كون المراد أنّ الحكم معلّق على الغسل و هو لا يتأتّى بغير الماء،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مبالغة في إنكار تأتّيه بغير الماء، و ليس ذلك إلاّ من جهة كمال البعد بين الغسل المعلّق عليه الحكم و ما يحصل بغير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ما عن الصحيح عن الحلبي عن الصادق عليه السّلام عن رجل أجنب في ثوب و ليس معه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إلى حين وجدان الماء</w:t>
      </w:r>
      <w:r>
        <w:rPr>
          <w:rFonts w:eastAsia="Amiri" w:cs="Amiri" w:ascii="Amiri" w:hAnsi="Amiri"/>
          <w:color w:val="111111"/>
          <w:sz w:val="28"/>
          <w:szCs w:val="28"/>
          <w:rtl w:val="true"/>
          <w:lang w:bidi="ar-SA"/>
        </w:rPr>
        <w:t>»</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قضيّة الجمع بين الجواب و السؤال أنّ الرجل كان في حالة الاضطرار لمجرّد انحصار ثوبه في ثوب الجنابة و عدم وجدانه الماء، فلو أنّ الغسل أو إزالة الخبث يتأتّى بغير طريق استعمال الماء لم يكن هناك حالة اضطرار، و ليس في الرواية تعرّض لعدم وجدانه غير الماء من أنواع المضاف، و لا أقلّ من الريق، مع ما قيل من أنّ أهل الحجاز كان في بيوتهم الخلّ و ماء الورد و أمثالهما، أو كان هذه الأشياء موجودة في بلادهم مكّة و المدينة و نحوهما، فكيف يفرض في حقّهم عدم التمكّن عن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أَنْزَلْنٰا مِنَ اَلسَّمٰاءِ مٰاءً طَهُوراً </w:t>
      </w:r>
      <w:r>
        <w:rPr>
          <w:rStyle w:val="FootnoteAnchor"/>
          <w:rtl w:val="true"/>
        </w:rPr>
        <w:footnoteReference w:id="3087"/>
      </w:r>
      <w:r>
        <w:rPr>
          <w:rFonts w:ascii="Amiri" w:hAnsi="Amiri" w:eastAsia="Amiri" w:cs="Amiri"/>
          <w:color w:val="111111"/>
          <w:sz w:val="28"/>
          <w:sz w:val="28"/>
          <w:szCs w:val="28"/>
          <w:rtl w:val="true"/>
          <w:lang w:bidi="ar-SA"/>
        </w:rPr>
        <w:t xml:space="preserve">و قوله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إسرائيل إذا أصاب أحدهم قطرة البول قرضوا لحومهم بالمقاريض، و قد وسّع اللّه عليكم بأوسع ما بين السماء و الأرض، و جعل لكم الماء طهورا</w:t>
      </w:r>
      <w:r>
        <w:rPr>
          <w:rFonts w:eastAsia="Amiri" w:cs="Amiri" w:ascii="Amiri" w:hAnsi="Amiri"/>
          <w:color w:val="111111"/>
          <w:sz w:val="28"/>
          <w:szCs w:val="28"/>
          <w:rtl w:val="true"/>
          <w:lang w:bidi="ar-SA"/>
        </w:rPr>
        <w:t>»</w:t>
      </w:r>
      <w:r>
        <w:rPr>
          <w:rStyle w:val="FootnoteAnchor"/>
          <w:rtl w:val="true"/>
        </w:rPr>
        <w:footnoteReference w:id="3088"/>
      </w:r>
      <w:r>
        <w:rPr>
          <w:rFonts w:ascii="Amiri" w:hAnsi="Amiri" w:eastAsia="Amiri" w:cs="Amiri"/>
          <w:color w:val="111111"/>
          <w:sz w:val="28"/>
          <w:sz w:val="28"/>
          <w:szCs w:val="28"/>
          <w:rtl w:val="true"/>
          <w:lang w:bidi="ar-SA"/>
        </w:rPr>
        <w:t>فإنّ قصر الحكم في مقام الامتنان يدلّ على انحصار المطهّر فيه، و هذا موهون بما ذكرنا في المسألة السابقة فلاحظ بعين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ملاقاة المائع للنجاسة يقتضي نجاسته، و النجس لا يزال به النجاسة، و هو كما ترى لا يتمّ على القول بطهارة الغسالة، و على قول المرتضى</w:t>
      </w:r>
      <w:r>
        <w:rPr>
          <w:rStyle w:val="FootnoteAnchor"/>
          <w:rtl w:val="true"/>
        </w:rPr>
        <w:footnoteReference w:id="3089"/>
      </w:r>
      <w:r>
        <w:rPr>
          <w:rFonts w:ascii="Amiri" w:hAnsi="Amiri" w:eastAsia="Amiri" w:cs="Amiri"/>
          <w:color w:val="111111"/>
          <w:sz w:val="28"/>
          <w:sz w:val="28"/>
          <w:szCs w:val="28"/>
          <w:rtl w:val="true"/>
          <w:lang w:bidi="ar-SA"/>
        </w:rPr>
        <w:t>بالفرق بين الورودين، بل على قول الآخرين بنجاسة الغسالة أيضا، كيف و هو منقوض على هذا القول باستعمال المطلق القليل في إزالة النجاسة، فإنّه ينجّس بالملاقاة و مع هذا يفيد 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مقتضى الدليل التسوية بينهما، لكن ترك العمل به في المطلق للإجماع و لضرورة الحاجة إلى الإزالة، و الضرورة تندفع بالمطلق، و لا يسوّى غيره لما في ذلك من تكثير المخالفة للدليل</w:t>
      </w:r>
      <w:r>
        <w:rPr>
          <w:rFonts w:eastAsia="Amiri" w:cs="Amiri" w:ascii="Amiri" w:hAnsi="Amiri"/>
          <w:color w:val="111111"/>
          <w:sz w:val="28"/>
          <w:szCs w:val="28"/>
          <w:rtl w:val="true"/>
          <w:lang w:bidi="ar-SA"/>
        </w:rPr>
        <w:t>»</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الغفلة عن حقيقة المقصود بالنقض، فإنّه عند التحقيق حلّ و ردّ بصورة النقض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استحاله المستدلّ من إفادة المتنجّس طهر متنجّس غيره، و سنده عدم المنافاة بين نجاسة المطهّر المكتسبة عن المتنجّس الّذي يطهّره و بين طهارة ذلك المتنجّس بهذا المطهّر، كما كشف عنه الشرع في القليل المطلق المستعمل في إزالة النجاسة، و معه انهدم بنيان الاستدلال الّذي مبناه على الاستحالة العقليّة، و إن لم يوجب بنفسه ثبوت مدّعى الخصم، نظرا إلى أنّ الاحتمال مبطل لمثل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طهارة تراد لأجل الصلاة، فلا تجوز إلاّ بالماء كطهارة الحدث، بل اشتراط الماء هنا أولى، لأنّ اشتراطه في النجاسة الحكميّة يعطي أولويّة اشتراطه في النجاسات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واضح، و إن قال العلاّمة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استدلال بالاقتضاء، فإنّ التنصيص على الأضعف يقتضي أولويّة ثبوت الحكم في الأقوى، كما في دلالة تحريم التأفيف على تحريم الضرب، لمنع كونه أقوى بعد ملاحظة أنّه يعتبر في النجاسة الحكميّة ما لا يعتبر في الحقيقيّة كالنيّة و غيرها من الشرائط المقرّرة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الشرع في استصحاب الثوب النجس مثلا في الصلاة ثابت قبل غسله بالماء، فيثبت بعد غسله بغير الماء أيضا بحكم الاستصحاب، و هذا أمتن و إليه يرجع ما اعتمدنا عليه من الأصل، و إن اعترض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الاستصحاب إنّما يكون حجّة إذا كان دليل الحكم غير مقيّد بوقت دون وقت و ليس المقام كذلك، إذ العمدة في إثبات المنع المذكور بطريق العموم الإجماع، و هو في منع استصحاب النجس قبل الغسل مطلقا، لا قبل الغسل بالماء</w:t>
      </w:r>
      <w:r>
        <w:rPr>
          <w:rFonts w:eastAsia="Amiri" w:cs="Amiri" w:ascii="Amiri" w:hAnsi="Amiri"/>
          <w:color w:val="111111"/>
          <w:sz w:val="28"/>
          <w:szCs w:val="28"/>
          <w:rtl w:val="true"/>
          <w:lang w:bidi="ar-SA"/>
        </w:rPr>
        <w:t>»</w:t>
      </w:r>
      <w:r>
        <w:rPr>
          <w:rStyle w:val="FootnoteAnchor"/>
          <w:rtl w:val="true"/>
        </w:rPr>
        <w:footnoteReference w:id="3091"/>
      </w:r>
      <w:r>
        <w:rPr>
          <w:rFonts w:ascii="Amiri" w:hAnsi="Amiri" w:eastAsia="Amiri" w:cs="Amiri"/>
          <w:color w:val="111111"/>
          <w:sz w:val="28"/>
          <w:sz w:val="28"/>
          <w:szCs w:val="28"/>
          <w:rtl w:val="true"/>
          <w:lang w:bidi="ar-SA"/>
        </w:rPr>
        <w:t>فإنّ هذا التشكيك مدفوع بما قرّر في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المرتضى الاحتجاج بوجوه</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ضعفه بعد ملاحظة مصير المعظم إلى المخالفة واضح، و أمّا نسبة ذلك إلى مذهبنا فعن المحقّق أنّه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مذهبنا العمل بالبراءة الأصليّة ما لم يثبت الناقل، و هنا لم يثبت</w:t>
      </w:r>
      <w:r>
        <w:rPr>
          <w:rFonts w:eastAsia="Amiri" w:cs="Amiri" w:ascii="Amiri" w:hAnsi="Amiri"/>
          <w:color w:val="111111"/>
          <w:sz w:val="28"/>
          <w:szCs w:val="28"/>
          <w:rtl w:val="true"/>
          <w:lang w:bidi="ar-SA"/>
        </w:rPr>
        <w:t>»</w:t>
      </w:r>
      <w:r>
        <w:rPr>
          <w:rStyle w:val="FootnoteAnchor"/>
          <w:rtl w:val="true"/>
        </w:rPr>
        <w:footnoteReference w:id="309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هذا التوجيه لظنّنا موافقة بعض من تقدّم عليهما </w:t>
      </w:r>
    </w:p>
    <w:p>
      <w:pPr>
        <w:pStyle w:val="BookText"/>
        <w:rPr/>
      </w:pPr>
      <w:r>
        <w:rPr>
          <w:rFonts w:ascii="Amiri" w:hAnsi="Amiri" w:eastAsia="Amiri" w:cs="Amiri"/>
          <w:color w:val="111111"/>
          <w:sz w:val="28"/>
          <w:sz w:val="28"/>
          <w:szCs w:val="28"/>
          <w:rtl w:val="true"/>
          <w:lang w:bidi="ar-SA"/>
        </w:rPr>
        <w:t>لهما في هذه المسألة</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3094"/>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أمر بتطهير الثوب من دون استفصال بين الماء و غيره،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المختلف </w:t>
      </w:r>
      <w:r>
        <w:rPr>
          <w:rFonts w:eastAsia="Amiri" w:cs="Amiri" w:ascii="Amiri" w:hAnsi="Amiri"/>
          <w:color w:val="111111"/>
          <w:sz w:val="28"/>
          <w:szCs w:val="28"/>
          <w:rtl w:val="true"/>
          <w:lang w:bidi="ar-SA"/>
        </w:rPr>
        <w:t>-</w:t>
      </w:r>
      <w:r>
        <w:rPr>
          <w:rStyle w:val="FootnoteAnchor"/>
          <w:rtl w:val="true"/>
        </w:rPr>
        <w:footnoteReference w:id="3095"/>
      </w:r>
      <w:r>
        <w:rPr>
          <w:rFonts w:ascii="Amiri" w:hAnsi="Amiri" w:eastAsia="Amiri" w:cs="Amiri"/>
          <w:color w:val="111111"/>
          <w:sz w:val="28"/>
          <w:sz w:val="28"/>
          <w:szCs w:val="28"/>
          <w:rtl w:val="true"/>
          <w:lang w:bidi="ar-SA"/>
        </w:rPr>
        <w:t>أنّه اعترض على نفسه بالمنع من تناول الطهارة للغسل بغير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تطهير الثوب ليس بأكثر من إزالة النجاسة منه، و قد زالت بغسله بغير الماء مشاهدة، لأنّ الثوب لا يلحقه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تلبسها على معصية و لا على غدر، فإنّ الغادر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 يسمّى دنس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الطهارة المتعارفة شرعا، لكن لا دلالة فيه على أنّ الطهارة بأيّ شيء تحصل، بل دلالتها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إنّما تحصل بالماء أولى، إذ مع الغسل بالماء يحصل الامتثال قطعا، و ليس كذلك لو غسل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 قد زالت حسّا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زوالها في الحسّ زوالها شرعا، فإنّ الثوب لو يبس بلله بالماء النجس، أو بالبول لم يطهر و إن زالت النجاسة عنه، مع أنّه أجاب حين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معنى نجس العين و نجس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ليست بنجسة لأنّها عبارة عن جواهر مركّبة و هي متماثلة، فلو نجس بعضها نجس سائرها، و انتفى الفرق بين الخنزير و غيره، و قد علم خلافه، و إنّما التنجيس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 إلاّ على وجه المجاز دون الحقيقة، و إذا كانت النجاسة حكما شرعيّا لم يزل عن المحلّ إلاّ بحكم شرعي، فحكمه رحمه اللّه بزوالها عن المحلّ لزوالها حسّا ممنوع</w:t>
      </w:r>
      <w:r>
        <w:rPr>
          <w:rFonts w:eastAsia="Amiri" w:cs="Amiri" w:ascii="Amiri" w:hAnsi="Amiri"/>
          <w:color w:val="111111"/>
          <w:sz w:val="28"/>
          <w:szCs w:val="28"/>
          <w:rtl w:val="true"/>
          <w:lang w:bidi="ar-SA"/>
        </w:rPr>
        <w:t>»</w:t>
      </w:r>
      <w:r>
        <w:rPr>
          <w:rStyle w:val="FootnoteAnchor"/>
          <w:rtl w:val="true"/>
        </w:rPr>
        <w:footnoteReference w:id="30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لطف هذا الجواب خصوصا بعض وجوهه، و هو منع دلالة الآية على أنّ الطهارة بأيّ شيء تحصل، فإنّ ذلك في كمال المتانة</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 على هذا الجواب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w:t>
      </w:r>
      <w:r>
        <w:rPr>
          <w:rStyle w:val="FootnoteAnchor"/>
          <w:rtl w:val="true"/>
        </w:rPr>
        <w:footnoteReference w:id="309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دلالتها على، </w:t>
      </w:r>
    </w:p>
    <w:p>
      <w:pPr>
        <w:pStyle w:val="BookText"/>
        <w:rPr/>
      </w:pPr>
      <w:r>
        <w:rPr>
          <w:rFonts w:ascii="Amiri" w:hAnsi="Amiri" w:eastAsia="Amiri" w:cs="Amiri"/>
          <w:color w:val="111111"/>
          <w:sz w:val="28"/>
          <w:sz w:val="28"/>
          <w:szCs w:val="28"/>
          <w:rtl w:val="true"/>
          <w:lang w:bidi="ar-SA"/>
        </w:rPr>
        <w:t>موضع النزاع، لأنّها دالّة على وجوب التطهير و البحث ليس فيه، بل في كيفيّة الإزالة</w:t>
      </w:r>
      <w:r>
        <w:rPr>
          <w:rFonts w:eastAsia="Amiri" w:cs="Amiri" w:ascii="Amiri" w:hAnsi="Amiri"/>
          <w:color w:val="111111"/>
          <w:sz w:val="28"/>
          <w:szCs w:val="28"/>
          <w:rtl w:val="true"/>
          <w:lang w:bidi="ar-SA"/>
        </w:rPr>
        <w:t>»</w:t>
      </w:r>
      <w:r>
        <w:rPr>
          <w:rStyle w:val="FootnoteAnchor"/>
          <w:rtl w:val="true"/>
        </w:rPr>
        <w:footnoteReference w:id="3098"/>
      </w:r>
      <w:r>
        <w:rPr>
          <w:rFonts w:ascii="Amiri" w:hAnsi="Amiri" w:eastAsia="Amiri" w:cs="Amiri"/>
          <w:color w:val="111111"/>
          <w:sz w:val="28"/>
          <w:sz w:val="28"/>
          <w:szCs w:val="28"/>
          <w:rtl w:val="true"/>
          <w:lang w:bidi="ar-SA"/>
        </w:rPr>
        <w:t>و ملخّصه على ما رامه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الاستدلال بالآية إلى التمسّك بإطلاقها المتناول لما يحصل بالماء و ما يحصل بغيره، لمكان عدم الاستفصال، و هو باطل لأنّ الآية ليست في صدد بيان كيفيّة التطهير و طريقه ليكون الإطلاق من هذه الجهة مناطا للحكم، و إنّما هي في صدد تشريع أصل التطهير مع السكوت عن كيفيّته، و معه لا معنى للتمسّك بالإطلاق من هذه الجهة، على ما هو الشرط المقرّر في التمسّك بالمطلقات من عدم ورودها مورد 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بالغسل من النجاسة في عدّة أخبار من غير تقييد بالماء، و قد اعترض على نفسه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إطلاق الأمر بالغسل ينصرف إلى ما يغسل به في العادة، و لم يقض العادة بالغسل بغير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اختصاص الغسل بما يسمّى الغاسل به غاسلا عادة، إذ لو كان كذلك لوجب المنع من غسل الثوب بماء الكبريت و النفط و غيرهما ممّا لم يجر العادة بالغسل به، و لمّا جاز ذلك و إن لم يكن معتادا إجماعا علمنا عدم الاشتراط بالعادة، و أنّ المراد بالغسل ما يتناوله اسمه حقيقة من غير اعتبار العادة</w:t>
      </w:r>
      <w:r>
        <w:rPr>
          <w:rFonts w:eastAsia="Amiri" w:cs="Amiri" w:ascii="Amiri" w:hAnsi="Amiri"/>
          <w:color w:val="111111"/>
          <w:sz w:val="28"/>
          <w:szCs w:val="28"/>
          <w:rtl w:val="true"/>
          <w:lang w:bidi="ar-SA"/>
        </w:rPr>
        <w:t>»</w:t>
      </w:r>
      <w:r>
        <w:rPr>
          <w:rStyle w:val="FootnoteAnchor"/>
          <w:rtl w:val="true"/>
        </w:rPr>
        <w:footnoteReference w:id="30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 بناء على ما قدّمناه في تتميم الاستدلال على المذهب المشهور واضح، و مرجعه إلى منع إطلاق الغسل بالقياس إلى ما يحصل بغير الماء، فإنّ اللفظ لا يعقل فيه إطلاق بالقياس إلى معنييه الحقيقي و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هذا الجواب عن جماعة من الأصحاب منهم العلاّمة في المنتهى</w:t>
      </w:r>
      <w:r>
        <w:rPr>
          <w:rStyle w:val="FootnoteAnchor"/>
          <w:rtl w:val="true"/>
        </w:rPr>
        <w:footnoteReference w:id="3100"/>
      </w:r>
      <w:r>
        <w:rPr>
          <w:rFonts w:ascii="Amiri" w:hAnsi="Amiri" w:eastAsia="Amiri" w:cs="Amiri"/>
          <w:color w:val="111111"/>
          <w:sz w:val="28"/>
          <w:sz w:val="28"/>
          <w:szCs w:val="28"/>
          <w:rtl w:val="true"/>
          <w:lang w:bidi="ar-SA"/>
        </w:rPr>
        <w:t>، و الشهيد في الذكرى</w:t>
      </w:r>
      <w:r>
        <w:rPr>
          <w:rStyle w:val="FootnoteAnchor"/>
          <w:rtl w:val="true"/>
        </w:rPr>
        <w:footnoteReference w:id="3101"/>
      </w:r>
      <w:r>
        <w:rPr>
          <w:rFonts w:ascii="Amiri" w:hAnsi="Amiri" w:eastAsia="Amiri" w:cs="Amiri"/>
          <w:color w:val="111111"/>
          <w:sz w:val="28"/>
          <w:sz w:val="28"/>
          <w:szCs w:val="28"/>
          <w:rtl w:val="true"/>
          <w:lang w:bidi="ar-SA"/>
        </w:rPr>
        <w:t>، و إن كانوا في دعوى الحقيقة بين مطلق و مقيّد لها بالشرعيّة، و عن المطلقين الاحتجاج بسبقه إلى الذهن عند الإطلاق، كما يسبق عند إطلاق الأمر بالسقي فيما لو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يتبادر منه إلاّ السقي بالماء، و لذا لو أتاه المأمور بمضاف كان معاقبا، و ليس ذلك إلاّ من جهة كون الماء مأخوذا في مفهوم السقي</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طريقة من يقول بأنّ الغسل باعتبار مفهومه اللغوي و إن كان للأعمّ و لكنّه </w:t>
      </w:r>
    </w:p>
    <w:p>
      <w:pPr>
        <w:pStyle w:val="BookText"/>
        <w:rPr/>
      </w:pPr>
      <w:r>
        <w:rPr>
          <w:rFonts w:ascii="Amiri" w:hAnsi="Amiri" w:eastAsia="Amiri" w:cs="Amiri"/>
          <w:color w:val="111111"/>
          <w:sz w:val="28"/>
          <w:sz w:val="28"/>
          <w:szCs w:val="28"/>
          <w:rtl w:val="true"/>
          <w:lang w:bidi="ar-SA"/>
        </w:rPr>
        <w:t>لا ينصرف عند الإطلاق إلاّ إلى أحد فرديه لكونه الغالب، فيجاب عن النقض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بالفرق بين الانصرافين،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شمول المطلق أو حكمه لبعض الأفراد النادرة لدليل لا يوجب التعدّي إلى غيره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الطهارة إزالة عين النجاسة كما يشهد به ما رواه الفقيه في باب ما ينجّس الثوب و الجسد في الصحيح عن 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أبول فلا اصيب الماء، و قد أصاب يدي شيء من البول، فأمسحه بالحائط و التراب، ثمّ يعرق يدي فأمسّ وجهي أو بعض جسدي، أو يصيب ثوبي؟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التهذيب في زيادات باب تطهير الثياب عن غياث بن إبراهيم عن أبي عبد اللّه عليه السّلام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يغسل الدم بالبصاق</w:t>
      </w:r>
      <w:r>
        <w:rPr>
          <w:rFonts w:eastAsia="Amiri" w:cs="Amiri" w:ascii="Amiri" w:hAnsi="Amiri"/>
          <w:color w:val="111111"/>
          <w:sz w:val="28"/>
          <w:szCs w:val="28"/>
          <w:rtl w:val="true"/>
          <w:lang w:bidi="ar-SA"/>
        </w:rPr>
        <w:t>»</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w:t>
      </w:r>
      <w:r>
        <w:rPr>
          <w:rStyle w:val="FootnoteAnchor"/>
          <w:rtl w:val="true"/>
        </w:rPr>
        <w:footnoteReference w:id="3104"/>
      </w:r>
      <w:r>
        <w:rPr>
          <w:rFonts w:ascii="Amiri" w:hAnsi="Amiri" w:eastAsia="Amiri" w:cs="Amiri"/>
          <w:color w:val="111111"/>
          <w:sz w:val="28"/>
          <w:sz w:val="28"/>
          <w:szCs w:val="28"/>
          <w:rtl w:val="true"/>
          <w:lang w:bidi="ar-SA"/>
        </w:rPr>
        <w:t>بما يرجع محصّله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النجاسة بالتراب ممّا لا يقول به الخصم، و خبر غياث متروك لكون غياث بتريّا ضعيف الرواية فلا يعمل على ما ينفرد به، أو محمول على جواز الاستعانة في غسله بالبصاق، فإنّ جواز الغسل به لا يقتضي طهر المحلّ به منفردا، و البحث فيه</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في الرياض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التبعيّة مصادرة محضة</w:t>
      </w:r>
      <w:r>
        <w:rPr>
          <w:rStyle w:val="FootnoteAnchor"/>
          <w:rtl w:val="true"/>
        </w:rPr>
        <w:footnoteReference w:id="3105"/>
      </w:r>
      <w:r>
        <w:rPr>
          <w:rFonts w:ascii="Amiri" w:hAnsi="Amiri" w:eastAsia="Amiri" w:cs="Amiri"/>
          <w:color w:val="111111"/>
          <w:sz w:val="28"/>
          <w:sz w:val="28"/>
          <w:szCs w:val="28"/>
          <w:rtl w:val="true"/>
          <w:lang w:bidi="ar-SA"/>
        </w:rPr>
        <w:t>، و الخبر مع ضعفه و عدم صراحته لا يقاوم ما قدّمناه، و هو مع ذلك من طريق الآحاد و السيّد لا يعمل به، و به يجاب عن الحسن</w:t>
      </w:r>
      <w:r>
        <w:rPr>
          <w:rStyle w:val="FootnoteAnchor"/>
          <w:rtl w:val="true"/>
        </w:rPr>
        <w:footnoteReference w:id="3106"/>
      </w:r>
      <w:r>
        <w:rPr>
          <w:rFonts w:ascii="Amiri" w:hAnsi="Amiri" w:eastAsia="Amiri" w:cs="Amiri"/>
          <w:color w:val="111111"/>
          <w:sz w:val="28"/>
          <w:sz w:val="28"/>
          <w:szCs w:val="28"/>
          <w:rtl w:val="true"/>
          <w:lang w:bidi="ar-SA"/>
        </w:rPr>
        <w:t xml:space="preserve">، مع معارضته بما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في البول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 الدلالة، لاحتمال رجوع نفي البأس إلى نجاسة الممسوس لا إلى طهارة الماسّ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العلم بملاقاة المحلّ النجس له و إن حصل الظنّ به، بناء على عدم اعتباره في أمثاله، 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بلت و تمسّحت فامسح ذكرك </w:t>
      </w:r>
      <w:bookmarkStart w:id="1012" w:name="pg16144_233716"/>
    </w:p>
    <w:p>
      <w:pPr>
        <w:pStyle w:val="BookText"/>
        <w:rPr/>
      </w:pPr>
      <w:bookmarkEnd w:id="1012"/>
      <w:r>
        <w:rPr>
          <w:rFonts w:ascii="Amiri" w:hAnsi="Amiri" w:eastAsia="Amiri" w:cs="Amiri"/>
          <w:color w:val="111111"/>
          <w:sz w:val="28"/>
          <w:sz w:val="28"/>
          <w:szCs w:val="28"/>
          <w:rtl w:val="true"/>
          <w:lang w:bidi="ar-SA"/>
        </w:rPr>
        <w:t>بريقك، فإن وجدت شيئا فقل هذا من ذاك</w:t>
      </w:r>
      <w:r>
        <w:rPr>
          <w:rFonts w:eastAsia="Amiri" w:cs="Amiri" w:ascii="Amiri" w:hAnsi="Amiri"/>
          <w:color w:val="111111"/>
          <w:sz w:val="28"/>
          <w:szCs w:val="28"/>
          <w:rtl w:val="true"/>
          <w:lang w:bidi="ar-SA"/>
        </w:rPr>
        <w:t>»</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عن المحدّث الكاشاني في المفاتيح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الإزالة إطلاق الماء على المشهور خلافا للسيّد و المفيد فجوّزا بالمضاف، بل جوّزا تطهير الأجسام الصيقليّة بالمسح بحيث يزول العين لزوال العلّة، و لا يخلو من قوّة، إذ غاية ما يستفاد من الشرع وجوب اجتناب أعيان النجاسات، أمّا وجوب غسلها بالماء من كلّ جسم فلا، فكلّ ما علم زوال النجاسة عنه قطعا حكم بتطهيره إلاّ ما أخرج بدليل، حيث اقتضى فيه اشتراط الماء كالثوب و البدن، و من هنا يظهر طهارة البواطن كلّها بزوال العين مضافا إلى نفي الحرج، و يدلّ عليه الموثّق، و كذا أعضاء الحيوان المتنجّسة غير الآدمي كما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w:t>
      </w:r>
      <w:r>
        <w:rPr>
          <w:rStyle w:val="FootnoteAnchor"/>
          <w:rtl w:val="true"/>
        </w:rPr>
        <w:footnoteReference w:id="31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هذا الكلام بل صريحه موافقة السيّد فيما نسب إليه من تطهير الأجسام الصيقليّة بالمسح على الوجه الّذي ذكره، بل ظاهره موافقته في رفع الحدث بالمضاف لكن في غير الثوب و الجسد، و لا يخفى ما فيه من مخالفته لما علم من الشرع ضرورة، و نطقت به الأخبار البالغة فوق الكثرة المتفرّقة في أبواب النجاسات و المطهّرات، و لباس المصلّي و غيره، و بالجملة المعلوم من الشرع خلاف ما ذكره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من معارضة الكلّيّة المدّعاة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متنجّس يجب تطهيره بالماء إلاّ ما خرج بالدليل، و لا ريب أنّ هذه الكلّيّة أكثر أفرادا و أشمل أشخاصا من الكلّيّة الّتي ادّعاها، بحيث لم يخرج سوى ما ذكره من الفردين، و هما طهارة البواطن و طهارة أعضاء الحيوان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من عالم كامل أو جاهل عاقل أن يدّعي قاعدة كلّيّة و ضابطة مطّردة يكون خارجها أكثر بمراتب شيء من داخلها، بحيث لم يعلم لها داخل إلاّ فردان أو ثلاثة أفراد، و ليس ذلك إلاّ من سوء الحدس و قصور الملكة</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805132_1280447820"/>
      <w:bookmarkStart w:id="1014" w:name="_Toc397"/>
      <w:bookmarkEnd w:id="1013"/>
      <w:r>
        <w:rPr>
          <w:rtl w:val="true"/>
        </w:rPr>
        <w:t>المبحث الثالث</w:t>
      </w:r>
      <w:r>
        <w:rPr>
          <w:rtl w:val="true"/>
        </w:rPr>
        <w:t xml:space="preserve">: </w:t>
      </w:r>
      <w:r>
        <w:rPr>
          <w:rtl w:val="true"/>
        </w:rPr>
        <w:t>المعروف من مذهب الأصحاب المنقول فيه الإجماع في كلام غير واحد أنّ المضاف ينفعل بملاقاة النجاسة</w:t>
      </w:r>
      <w:bookmarkEnd w:id="1014"/>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كثر و بلغ في الكثرة ما بلغ مطلقا، أو بشرط ورودها، بناء على ما هو لازم كلام المفيد و السيّد من تجويز رفع الحدث به، إلاّ </w:t>
      </w:r>
    </w:p>
    <w:p>
      <w:pPr>
        <w:pStyle w:val="BookText"/>
        <w:rPr/>
      </w:pPr>
      <w:r>
        <w:rPr>
          <w:rFonts w:ascii="Amiri" w:hAnsi="Amiri" w:eastAsia="Amiri" w:cs="Amiri"/>
          <w:color w:val="111111"/>
          <w:sz w:val="28"/>
          <w:sz w:val="28"/>
          <w:szCs w:val="28"/>
          <w:rtl w:val="true"/>
          <w:lang w:bidi="ar-SA"/>
        </w:rPr>
        <w:t>على المشهور المنصور من الجمع بين الانفعال و الرفع على الوجه الّذي سبق بيانه في محلّه، و 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الحجّة فيه بعد الإجماع الضروري فتوى و عملا، بعض الأخبار الواردة في مواضع مخصوصة من المضافات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المائعات و إن كانت من قبيل الأدهان، مع ضميمة الإجماع على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التهذيب في باب الأطعمة و الأشربة عن زكريّا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قطرة خمر، أو نبيذ مسكر، قطرت في قدر فيه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يهراق المرق، أو يطعمه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الكلاب، و اللحم اغسله و كله</w:t>
      </w:r>
      <w:r>
        <w:rPr>
          <w:rFonts w:eastAsia="Amiri" w:cs="Amiri" w:ascii="Amiri" w:hAnsi="Amiri"/>
          <w:color w:val="111111"/>
          <w:sz w:val="28"/>
          <w:szCs w:val="28"/>
          <w:rtl w:val="true"/>
          <w:lang w:bidi="ar-SA"/>
        </w:rPr>
        <w:t>»</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في الباب المذكور عن السكوني عن أبي عبد اللّه عليه السّلام أنّ أمير المؤمنين عليه السّلام سئل عن قدر طبخت، و إذا في القدر فأرة؟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الخبر الأخير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ممّا نحن فيه، إذا المضاف في اصطلاحهم لا يشمل الدهن و الزيت</w:t>
      </w:r>
      <w:r>
        <w:rPr>
          <w:rFonts w:eastAsia="Amiri" w:cs="Amiri" w:ascii="Amiri" w:hAnsi="Amiri"/>
          <w:color w:val="111111"/>
          <w:sz w:val="28"/>
          <w:szCs w:val="28"/>
          <w:rtl w:val="true"/>
          <w:lang w:bidi="ar-SA"/>
        </w:rPr>
        <w:t>»</w:t>
      </w:r>
      <w:r>
        <w:rPr>
          <w:rStyle w:val="FootnoteAnchor"/>
          <w:rtl w:val="true"/>
        </w:rPr>
        <w:footnoteReference w:id="3113"/>
      </w:r>
      <w:r>
        <w:rPr>
          <w:rFonts w:ascii="Amiri" w:hAnsi="Amiri" w:eastAsia="Amiri" w:cs="Amiri"/>
          <w:color w:val="111111"/>
          <w:sz w:val="28"/>
          <w:sz w:val="28"/>
          <w:szCs w:val="28"/>
          <w:rtl w:val="true"/>
          <w:lang w:bidi="ar-SA"/>
        </w:rPr>
        <w:t xml:space="preserve">، ليس على ما ينبغي القاعدة المستفادة من الشرع بملاحظة بناء المتشرّعة و الأخبار المتفرّقة في الأبواب الفقهيّة، من أنّ كلّ 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جامد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للانفعال بملاقاة النجاسة، و أنّ كلّ نجس معدّ لتنجيس ملاقيه برطوبة، عدا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نبذة من الأخبار الّتي يستفاد منها تلك الكلّيّة و هي كثيرة جدّا</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الوسائل عن عليّ بن جعفر في كتابه،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الثوب قد أصابه الجنابة، فلم يغسله هل </w:t>
      </w:r>
    </w:p>
    <w:p>
      <w:pPr>
        <w:pStyle w:val="BookText"/>
        <w:rPr/>
      </w:pPr>
      <w:r>
        <w:rPr>
          <w:rFonts w:ascii="Amiri" w:hAnsi="Amiri" w:eastAsia="Amiri" w:cs="Amiri"/>
          <w:color w:val="111111"/>
          <w:sz w:val="28"/>
          <w:sz w:val="28"/>
          <w:szCs w:val="28"/>
          <w:rtl w:val="true"/>
          <w:lang w:bidi="ar-SA"/>
        </w:rPr>
        <w:t>يصلح النوم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يعرق في الثوب يعلم أنّ فيه جنابة كيف يصنع؟ هل يصلح له أن يصلّي قبل أن 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إذا عرق أصاب جسده من ذلك الجنابة الّتي في الثوب فليغسل ما أصاب جسده من ذلك، و إن علم أنّه قد أصاب جسده و لم يعرف مكانه فليغسل جسده كلّه</w:t>
      </w:r>
      <w:r>
        <w:rPr>
          <w:rFonts w:eastAsia="Amiri" w:cs="Amiri" w:ascii="Amiri" w:hAnsi="Amiri"/>
          <w:color w:val="111111"/>
          <w:sz w:val="28"/>
          <w:szCs w:val="28"/>
          <w:rtl w:val="true"/>
          <w:lang w:bidi="ar-SA"/>
        </w:rPr>
        <w:t>»</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الخصال عن عليّ بن إبراهيم في حديث الأربعمائة،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عن قرب الكلاب، فمن أصاب الكلب و هو رطب فليغسله، و إن كان جافّا فلينضح ثوبه بالماء</w:t>
      </w:r>
      <w:r>
        <w:rPr>
          <w:rFonts w:eastAsia="Amiri" w:cs="Amiri" w:ascii="Amiri" w:hAnsi="Amiri"/>
          <w:color w:val="111111"/>
          <w:sz w:val="28"/>
          <w:szCs w:val="28"/>
          <w:rtl w:val="true"/>
          <w:lang w:bidi="ar-SA"/>
        </w:rPr>
        <w:t>»</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ما رواه أيضا عن الشيخ عن حريز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ثوبك من الكلب رطوبة فاغسله، و إن مسّه جافّا فاصبب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بهذه المنزلة؟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النبيّ صلّى اللّه عليه و آله أمر بغسلها</w:t>
      </w:r>
      <w:r>
        <w:rPr>
          <w:rFonts w:eastAsia="Amiri" w:cs="Amiri" w:ascii="Amiri" w:hAnsi="Amiri"/>
          <w:color w:val="111111"/>
          <w:sz w:val="28"/>
          <w:szCs w:val="28"/>
          <w:rtl w:val="true"/>
          <w:lang w:bidi="ar-SA"/>
        </w:rPr>
        <w:t>»</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الكافي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نية أهل الذمّة و 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من نيتهم، و لا من طعامهم الّذي يطبخون، و لا في 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3117"/>
      </w:r>
      <w:r>
        <w:rPr>
          <w:rFonts w:ascii="Amiri" w:hAnsi="Amiri" w:eastAsia="Amiri" w:cs="Amiri"/>
          <w:color w:val="111111"/>
          <w:sz w:val="28"/>
          <w:sz w:val="28"/>
          <w:szCs w:val="28"/>
          <w:rtl w:val="true"/>
          <w:lang w:bidi="ar-SA"/>
        </w:rPr>
        <w:t>و في هذا دلالة على ما هو من محلّ البحث بالخصوص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ما رواه أيضا عنه عن عبد اللّه بن يحيى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مسلمين يأكلون و حضرهم رجل مجوسي، أ يدعونه إلى طعامهم؟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فلا أؤاكل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لمن صافح الكافر بغسل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الناهية عن مؤاكلته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الدالّة على نجاسة سؤره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الشاملة بعمومها لما هو من أفراد المبحث، و هي كثيرة كما </w:t>
      </w:r>
    </w:p>
    <w:p>
      <w:pPr>
        <w:pStyle w:val="BookText"/>
        <w:rPr/>
      </w:pPr>
      <w:r>
        <w:rPr>
          <w:rFonts w:ascii="Amiri" w:hAnsi="Amiri" w:eastAsia="Amiri" w:cs="Amiri"/>
          <w:color w:val="111111"/>
          <w:sz w:val="28"/>
          <w:sz w:val="28"/>
          <w:szCs w:val="28"/>
          <w:rtl w:val="true"/>
          <w:lang w:bidi="ar-SA"/>
        </w:rPr>
        <w:t>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الشيخ عن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بال في موضع ليس فيه ماء، فمسح ذكره بحجر، و قد عرق ذكره و فخذه؟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فخذيه</w:t>
      </w:r>
      <w:r>
        <w:rPr>
          <w:rFonts w:eastAsia="Amiri" w:cs="Amiri" w:ascii="Amiri" w:hAnsi="Amiri"/>
          <w:color w:val="111111"/>
          <w:sz w:val="28"/>
          <w:szCs w:val="28"/>
          <w:rtl w:val="true"/>
          <w:lang w:bidi="ar-SA"/>
        </w:rPr>
        <w:t>»</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الموثّق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الشمس هل تطهّر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الموضع قذرا من البول أو غير ذلك فأصابته الشمس، ثمّ يبس الموضع فالصلاة على الموضع جائزة، و إن أصابته الشمس و لم ييبس الموضع القذر و كان رطبا فلا يجوز الصلاة عليه حتّى ييبس، و إن كان رجلك رطبة أو جبهتك رطبة أو غير ذلك منك ما يصيب ذلك الموضع القذر فلا تصلّ على ذلك الموضع، و إن كان غير الشمس أصابه حتّى يبس فانّه لا يجوز ذلك</w:t>
      </w:r>
      <w:r>
        <w:rPr>
          <w:rFonts w:eastAsia="Amiri" w:cs="Amiri" w:ascii="Amiri" w:hAnsi="Amiri"/>
          <w:color w:val="111111"/>
          <w:sz w:val="28"/>
          <w:szCs w:val="28"/>
          <w:rtl w:val="true"/>
          <w:lang w:bidi="ar-SA"/>
        </w:rPr>
        <w:t>»</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الدنّ يكون فيه الخمر، هل يصلح أن يكون فيه الخلّ أو كامخ أو زيتون؟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أيضا دلالة على ما هو من أفراد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المتقدّمة في بحث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تلك الأخبار و غيرها بعنوان القطع أنّ الرطوبة حيثما توسّطت فيما بين نجس أو متنجّس و طاهر أثّرت في تنجّس ذلك الطاهر بملاقاته النجس أو المتنجّس، فهذا أصل كلّي لا ريب فيه و لا شبهة تعتريه، و لا يفرّق فيه بين النجس و المتنجّس، كما يعلم بملاحظة بعض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المتأخّرين</w:t>
      </w:r>
      <w:r>
        <w:rPr>
          <w:rStyle w:val="FootnoteAnchor"/>
          <w:rtl w:val="true"/>
        </w:rPr>
        <w:footnoteReference w:id="3121"/>
      </w:r>
      <w:r>
        <w:rPr>
          <w:rFonts w:ascii="Amiri" w:hAnsi="Amiri" w:eastAsia="Amiri" w:cs="Amiri"/>
          <w:color w:val="111111"/>
          <w:sz w:val="28"/>
          <w:sz w:val="28"/>
          <w:szCs w:val="28"/>
          <w:rtl w:val="true"/>
          <w:lang w:bidi="ar-SA"/>
        </w:rPr>
        <w:t>من التشكيك في تنجّس الشيء بملاقاة المتنجّس الّذي ليس معه نجاسة عينيّة، بل تقويته العدم استظهارا له من بعض الأخبار، ممّا لا ينبغي الالتفات إليه للقطع بفساده</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المحدّث الكاشاني في جملة كلام له في الوافي و نحوه في المفاتيح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من فكّ رقبته عن ربقة التقليد أنّ هذه الأخبار و ما يجري مجراها صريحة في عدم تعدّي النجاسة من المتنجّس إلى شيء قبل تطهيره و إن كان رطبا إذا ازيل عنه عين النجاسة بالتمسّح و نحوه، و إنّما المنجّس للشيء عين النجاسة لا غير، على أنّا لا نحتاج إلى دليل في ذلك، فإنّ عدم الدليل على وجوب الغسل دليل على عدم الوجوب، إذ لا تكليف إلاّ بعد البيان</w:t>
      </w:r>
      <w:r>
        <w:rPr>
          <w:rFonts w:eastAsia="Amiri" w:cs="Amiri" w:ascii="Amiri" w:hAnsi="Amiri"/>
          <w:color w:val="111111"/>
          <w:sz w:val="28"/>
          <w:szCs w:val="28"/>
          <w:rtl w:val="true"/>
          <w:lang w:bidi="ar-SA"/>
        </w:rPr>
        <w:t>»</w:t>
      </w:r>
      <w:r>
        <w:rPr>
          <w:rStyle w:val="FootnoteAnchor"/>
          <w:rtl w:val="true"/>
        </w:rPr>
        <w:footnoteReference w:id="3122"/>
      </w:r>
      <w:r>
        <w:rPr>
          <w:rFonts w:ascii="IRNazanin" w:hAnsi="IRNazanin" w:eastAsia="IRNazanin"/>
          <w:color w:val="111111"/>
          <w:sz w:val="28"/>
          <w:sz w:val="28"/>
          <w:szCs w:val="28"/>
          <w:rtl w:val="true"/>
          <w:lang w:bidi="fa-IR"/>
        </w:rPr>
        <w:t>مقطوع بفساده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يستدلّ على هذا الأصل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3123"/>
      </w:r>
      <w:r>
        <w:rPr>
          <w:rFonts w:ascii="Amiri" w:hAnsi="Amiri" w:eastAsia="Amiri" w:cs="Amiri"/>
          <w:color w:val="111111"/>
          <w:sz w:val="28"/>
          <w:sz w:val="28"/>
          <w:szCs w:val="28"/>
          <w:rtl w:val="true"/>
          <w:lang w:bidi="ar-SA"/>
        </w:rPr>
        <w:t>، و يؤيّد ذلك بفهم الغنية</w:t>
      </w:r>
      <w:r>
        <w:rPr>
          <w:rStyle w:val="FootnoteAnchor"/>
          <w:rtl w:val="true"/>
        </w:rPr>
        <w:footnoteReference w:id="3124"/>
      </w:r>
      <w:r>
        <w:rPr>
          <w:rFonts w:ascii="Amiri" w:hAnsi="Amiri" w:eastAsia="Amiri" w:cs="Amiri"/>
          <w:color w:val="111111"/>
          <w:sz w:val="28"/>
          <w:sz w:val="28"/>
          <w:szCs w:val="28"/>
          <w:rtl w:val="true"/>
          <w:lang w:bidi="ar-SA"/>
        </w:rPr>
        <w:t>حيث استدلّ به على انفعال القليل بملاقاة النجاسة، و قد تقدّم منّا ما يخدشه في صدر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w:t>
      </w:r>
      <w:r>
        <w:rPr>
          <w:rStyle w:val="FootnoteAnchor"/>
          <w:rtl w:val="true"/>
        </w:rPr>
        <w:footnoteReference w:id="3125"/>
      </w:r>
      <w:r>
        <w:rPr>
          <w:rFonts w:ascii="Amiri" w:hAnsi="Amiri" w:eastAsia="Amiri" w:cs="Amiri"/>
          <w:color w:val="111111"/>
          <w:sz w:val="28"/>
          <w:sz w:val="28"/>
          <w:szCs w:val="28"/>
          <w:rtl w:val="true"/>
          <w:lang w:bidi="ar-SA"/>
        </w:rPr>
        <w:t>بما دلّ على وجوب الاجتناب عن النجاسات،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منه وجوب الاجتناب عمّا يلاقيها، و يجعل من أجل هذه الاستفادة عدّ الإمام عليه السّلام من ارتكب الطعام الملاقي للميتة مخالفة للشارع في تحريمه لها، كما نطق به خبر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فأرة في خابية فيها سمن أو زيت، فما ترى في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تستخفّ بالفأرة، و إنّما استخففت بدينك، أنّ اللّه حرّم الميتة من كلّ شيء</w:t>
      </w:r>
      <w:r>
        <w:rPr>
          <w:rFonts w:eastAsia="Amiri" w:cs="Amiri" w:ascii="Amiri" w:hAnsi="Amiri"/>
          <w:color w:val="111111"/>
          <w:sz w:val="28"/>
          <w:szCs w:val="28"/>
          <w:rtl w:val="true"/>
          <w:lang w:bidi="ar-SA"/>
        </w:rPr>
        <w:t>»</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أكل الطعام المذكور لا يكون استخفافا لحكم الشارع بحرمة الميتة، يعني نجاستها إلاّ من جهة ما هو المركوز في الأذهان من استلزام نجاسة الشيء لنجاسة ما يلاقيه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تأمّل، و العمدة أصل القاعدة و هي ثابتة جدّا لوضوح مدركها للمتتبّع، و يستفاد من كلام الفقهاء أيضا تسالمهم عليها، و إليها يرجع استدلال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نجاسة المضاف و إن كثر بالملاقاة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المائع قابل للنجاسة، و النجاسة موجبة لنجاسة ما لاقته، فيظهر حكمها عند الملاقاة، ثمّ تسري النجاسة بممازجة المائع بعضه بعضا</w:t>
      </w:r>
      <w:r>
        <w:rPr>
          <w:rFonts w:eastAsia="Amiri" w:cs="Amiri" w:ascii="Amiri" w:hAnsi="Amiri"/>
          <w:color w:val="111111"/>
          <w:sz w:val="28"/>
          <w:szCs w:val="28"/>
          <w:rtl w:val="true"/>
          <w:lang w:bidi="ar-SA"/>
        </w:rPr>
        <w:t>»</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استحسنه في المدارك</w:t>
      </w:r>
      <w:r>
        <w:rPr>
          <w:rStyle w:val="FootnoteAnchor"/>
          <w:rtl w:val="true"/>
        </w:rPr>
        <w:footnoteReference w:id="3128"/>
      </w:r>
      <w:r>
        <w:rPr>
          <w:rFonts w:ascii="Amiri" w:hAnsi="Amiri" w:eastAsia="Amiri" w:cs="Amiri"/>
          <w:color w:val="111111"/>
          <w:sz w:val="28"/>
          <w:sz w:val="28"/>
          <w:szCs w:val="28"/>
          <w:rtl w:val="true"/>
          <w:lang w:bidi="ar-SA"/>
        </w:rPr>
        <w:t>، فما في كلام شارح الدروس من المناقشة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دليل عامّ يدلّ على نجاسة جميع المائعات بملاقاة النجاسة أو المتنجّس بأيّ نحو كان</w:t>
      </w:r>
      <w:r>
        <w:rPr>
          <w:rFonts w:eastAsia="Amiri" w:cs="Amiri" w:ascii="Amiri" w:hAnsi="Amiri"/>
          <w:color w:val="111111"/>
          <w:sz w:val="28"/>
          <w:szCs w:val="28"/>
          <w:rtl w:val="true"/>
          <w:lang w:bidi="ar-SA"/>
        </w:rPr>
        <w:t>»</w:t>
      </w:r>
      <w:r>
        <w:rPr>
          <w:rStyle w:val="FootnoteAnchor"/>
          <w:rtl w:val="true"/>
        </w:rPr>
        <w:footnoteReference w:id="3129"/>
      </w:r>
      <w:r>
        <w:rPr>
          <w:rFonts w:ascii="Amiri" w:hAnsi="Amiri" w:eastAsia="Amiri" w:cs="Amiri"/>
          <w:color w:val="111111"/>
          <w:sz w:val="28"/>
          <w:sz w:val="28"/>
          <w:szCs w:val="28"/>
          <w:rtl w:val="true"/>
          <w:lang w:bidi="ar-SA"/>
        </w:rPr>
        <w:t>ليس على ما ينبغي بعد استفادة عموم القاعدة من الأخبار الجزئيّة الواردة في موارد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الحكم المستفاد من تلك القاعدة بالقياس إلى محلّ البحث مخصوص بما عدا الأجزاء العالية فيما اختلفت سطوحه، بناء على أصالة عدم سراية النجاسة من السافل إلى العالي على الوجه الّذي قدّمناه مفصّلا في مستثنيات انفعال القليل، من غير فرق فيه بين المطلق و المضاف كما تقدّم ذكره، وفاقا لبعض مشايخنا المحقّقين</w:t>
      </w:r>
      <w:r>
        <w:rPr>
          <w:rStyle w:val="FootnoteAnchor"/>
          <w:rtl w:val="true"/>
        </w:rPr>
        <w:footnoteReference w:id="3130"/>
      </w:r>
      <w:r>
        <w:rPr>
          <w:rFonts w:ascii="Amiri" w:hAnsi="Amiri" w:eastAsia="Amiri" w:cs="Amiri"/>
          <w:color w:val="111111"/>
          <w:sz w:val="28"/>
          <w:sz w:val="28"/>
          <w:szCs w:val="28"/>
          <w:rtl w:val="true"/>
          <w:lang w:bidi="ar-SA"/>
        </w:rPr>
        <w:t>، و ممّن صرّح به هنا بالخصوص صاحب المدارك مدّعيا فيه القطع، حيث إنّه بعد ما استحسن الدليل المتقدّم على الانفعال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تسري النجاسة مع اختلاف السطوح إلى الأعلى قطعا، تمسّكا بمقتضى الأصل السالم من المعارض</w:t>
      </w:r>
      <w:r>
        <w:rPr>
          <w:rFonts w:eastAsia="Amiri" w:cs="Amiri" w:ascii="Amiri" w:hAnsi="Amiri"/>
          <w:color w:val="111111"/>
          <w:sz w:val="28"/>
          <w:szCs w:val="28"/>
          <w:rtl w:val="true"/>
          <w:lang w:bidi="ar-SA"/>
        </w:rPr>
        <w:t>»</w:t>
      </w:r>
      <w:r>
        <w:rPr>
          <w:rStyle w:val="FootnoteAnchor"/>
          <w:rtl w:val="true"/>
        </w:rPr>
        <w:footnoteReference w:id="31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أنّ دعوى القطع لا تقصر عن دعوى الإجماع، و إن كان الجمع بينهما و بين التمسّك بالأصل لها ممّا لا يكاد يمكن، غير أنّه قدّس سرّه أعلم بحقيقة ما ادّعاه، و قد تقدّم في البحث المذكور عن الشهيد في روض الجنان</w:t>
      </w:r>
      <w:r>
        <w:rPr>
          <w:rStyle w:val="FootnoteAnchor"/>
          <w:rtl w:val="true"/>
        </w:rPr>
        <w:footnoteReference w:id="3132"/>
      </w:r>
      <w:r>
        <w:rPr>
          <w:rFonts w:ascii="Amiri" w:hAnsi="Amiri" w:eastAsia="Amiri" w:cs="Amiri"/>
          <w:color w:val="111111"/>
          <w:sz w:val="28"/>
          <w:sz w:val="28"/>
          <w:szCs w:val="28"/>
          <w:rtl w:val="true"/>
          <w:lang w:bidi="ar-SA"/>
        </w:rPr>
        <w:t>و عن غيره دعوى عدم معقوليّة السراية، فإنّها و إن كانت لا تخلو عن إشكال كما تقدّم وجهه، لكنّه في قوّة نقل الإجماع الكاشف عن عدم وجدانهم الخلاف في المسألة، الكاشف عن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مرادهم عدم تعقّل المتشرّعة له و عدم دخوله في أذهانهم لا عدم المعقوليّة المصطلح عليه عند أهل المعقول، فإنّ عدم السراية إلى الأعلى في مطلق المائعات من الامور المركوزة في أذهان المتشرّعة، الكاشفة عن بناء الشارع عليه و اعتقاده به</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مخالف في ذلك عدا السيّد الجليل في مناهله</w:t>
      </w:r>
      <w:r>
        <w:rPr>
          <w:rStyle w:val="FootnoteAnchor"/>
          <w:rtl w:val="true"/>
        </w:rPr>
        <w:footnoteReference w:id="3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bookmarkStart w:id="1015" w:name="pg16144_233722"/>
    </w:p>
    <w:p>
      <w:pPr>
        <w:pStyle w:val="BookText"/>
        <w:rPr/>
      </w:pPr>
      <w:bookmarkEnd w:id="1015"/>
      <w:r>
        <w:rPr>
          <w:rFonts w:ascii="Amiri" w:hAnsi="Amiri" w:eastAsia="Amiri" w:cs="Amiri"/>
          <w:color w:val="111111"/>
          <w:sz w:val="28"/>
          <w:sz w:val="28"/>
          <w:szCs w:val="28"/>
          <w:rtl w:val="true"/>
          <w:lang w:bidi="ar-SA"/>
        </w:rPr>
        <w:t xml:space="preserve">حكي عنه </w:t>
      </w:r>
      <w:r>
        <w:rPr>
          <w:rFonts w:eastAsia="Amiri" w:cs="Amiri" w:ascii="Amiri" w:hAnsi="Amiri"/>
          <w:color w:val="111111"/>
          <w:sz w:val="28"/>
          <w:szCs w:val="28"/>
          <w:rtl w:val="true"/>
          <w:lang w:bidi="ar-SA"/>
        </w:rPr>
        <w:t>-</w:t>
      </w:r>
      <w:r>
        <w:rPr>
          <w:rStyle w:val="FootnoteAnchor"/>
          <w:rtl w:val="true"/>
        </w:rPr>
        <w:footnoteReference w:id="3134"/>
      </w:r>
      <w:r>
        <w:rPr>
          <w:rFonts w:ascii="Amiri" w:hAnsi="Amiri" w:eastAsia="Amiri" w:cs="Amiri"/>
          <w:color w:val="111111"/>
          <w:sz w:val="28"/>
          <w:sz w:val="28"/>
          <w:szCs w:val="28"/>
          <w:rtl w:val="true"/>
          <w:lang w:bidi="ar-SA"/>
        </w:rPr>
        <w:t>من إنكار ذلك في خصوص المضاف، تمسّكا بشمول إطلاق فتاويهم و معاقد إجماعاتهم على انفعال المضاف بالملاقاة لما إذا كان المضاف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إطلاق الفتاوى يقيّد بما ذكر، على قياس ما هو الحال في انفعال القليل من المطلق، و إلاّ فالفتاوى و نقل الإجماعات و أخبار الأئمّة عليهم السّلام في ذلك أيضا مطلقة تشمل بإطلاقها لما إذا كان المطلق عاليا، و مع ذلك فلا كلام لأحد بالنسبة إليه في عدم سراية النجاسة إلى الأعلى بالشروط المتقدّمة، هذا كلّه و لكنّ الاحتياط ممّا يحسن مراعاته هنا جدّا</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805134_1280447820"/>
      <w:bookmarkStart w:id="1017" w:name="_Toc398"/>
      <w:bookmarkEnd w:id="1016"/>
      <w:r>
        <w:rPr>
          <w:rtl w:val="true"/>
        </w:rPr>
        <w:t>المبحث الرابع</w:t>
      </w:r>
      <w:r>
        <w:rPr>
          <w:rtl w:val="true"/>
        </w:rPr>
        <w:t xml:space="preserve">: </w:t>
      </w:r>
      <w:r>
        <w:rPr>
          <w:rtl w:val="true"/>
        </w:rPr>
        <w:t>لا خلاف بين الأصحاب في طهر المضاف المتنجّس بصيرورته مطلقا بسبب اختلاطه بما زاد على الكثير من المياه المطلقة،</w:t>
      </w:r>
      <w:bookmarkEnd w:id="1017"/>
    </w:p>
    <w:p>
      <w:pPr>
        <w:pStyle w:val="BookText"/>
        <w:rPr/>
      </w:pPr>
      <w:r>
        <w:rPr>
          <w:rFonts w:ascii="Amiri" w:hAnsi="Amiri" w:eastAsia="Amiri" w:cs="Amiri"/>
          <w:color w:val="111111"/>
          <w:sz w:val="28"/>
          <w:sz w:val="28"/>
          <w:szCs w:val="28"/>
          <w:rtl w:val="true"/>
          <w:lang w:bidi="ar-SA"/>
        </w:rPr>
        <w:t xml:space="preserve">بل بكلّ ماء معتصم و إن كان جاريا أو ماء مطر، بناء على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عباراتهم إنّما ورد من باب المثال، أو من جهة غلبة استعماله في التطهير، لا من باب قصر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تطهير المطلق المتنجّس من الإجماع على الملازمة الّتي يعبّر عنها بامتناع اختلاف ماء واحد في سطح واحد في الحكم، بكون بعضه محكوما عليه بالطهارة و البعض الآخر محكوما عليه بالنجاسة، على ما هو المفروض من أنّهما باختلاطهما و امتزاجهما صارا ماء واحدا و وقع عليهما إشارة واحدة، مع انضمام ما دلّ على عدم انفعال الماء المعتصم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لا بدّ أن يكون له حكم واحد من طهارة الجميع أو نجاسة الجميع بحكم الملازمة المجمع عليها، و لا سبيل إلى الحكم بنجاسة الجميع بحكم أدلّة عدم انفعال المعتصم بما لاقاه من نجس أو متنجّس، فتعيّن طهارة الجميع إذ لا واسطة بعد</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هذه الحجّة أشار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الطريق إلى تطهيره حينئذ إلقاء كرّ فما زاد عليه من الماء المطلق، لأنّ بلوغ الكرّيّة سبب لعدم الانفعال عن الملاقي، و قد مازجه المضاف فاستهلكه، فلم يكون مؤثّرا في تنجيسه لوجود السبب، و لا يمكن الإشارة إلى عين نجسة فوجب الجزم بطهارة الجميع</w:t>
      </w:r>
      <w:r>
        <w:rPr>
          <w:rFonts w:eastAsia="Amiri" w:cs="Amiri" w:ascii="Amiri" w:hAnsi="Amiri"/>
          <w:color w:val="111111"/>
          <w:sz w:val="28"/>
          <w:szCs w:val="28"/>
          <w:rtl w:val="true"/>
          <w:lang w:bidi="ar-SA"/>
        </w:rPr>
        <w:t>»</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يستدلّ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عدم انفعال الكثير بوقوع الأبوال النجسة و الدم و العذرة و نحوها، إذ من المعلوم أنّ هذه النجاسات توجب إضافة أجزاء من الماء مجاورة لها و لو يسيرة، بل اختلاطها بالماء يوجب صيرورة أنفسها مضافة في أوّل الاختلاط، فحكم الشارع بطهارة الجميع لا يكون إلاّ بالاستهلاك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واضح، من حيث إنّ حكم الشارع بطهارة الجميع ممّا لا يستفاد من تلك الأدلّة و لا دلالة فيها عليه بشيء، بل غايتها الدلالة على بقاء الماء بعد وقوع هذه الأشياء على طهارته الأصليّة و عدم زوال الطهارة، و هو كما ترى يجامع بقاء ما وقع فيه من هذه الأشياء على حكمها الأصلي من النجاسة و لو في علم اللّه سبحانه على فرض الاستهلاك، بناء على أنّه ليس عبارة عن الانعدام بالمرّة، بل عن تلاشي الأجزاء و شيوعها في أجزاء الماء على وجه امتنع على الحسّ إدراكها، فلا قاضي إذا بطهر هذه الأجزاء و زوال صفة النجاسة عنها، و لو انضمّ إلى تلك الأدلّة مقدّمة امتناع اختلاف الماء الواحد في الحكم رجع الدليل إلى الوجه الأوّل، فلا تغاير بينهما ليكون دليلا ثانيا كما هو مقصود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المتنجّس يصير ماء مطلقا، فيطهّر بامتزاجه بالكثير إجماعا، كما تقدّم في تطهير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صيرورته ماء مطلقا لم تكن جزما إلاّ بالامتزاج، و عبارة الدليل تستدعي اعتبار امتزاج آخر غير هذا الامتزاج الموجب للإطلاق، على وجه يتحقّق هنا امتزاجان، أحدهما ما هو موجب للإطلاق، و الآخر ما هو موجب للطهر، ليكون طهره من باب طهر الماء القليل و مندرجا في دليله</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اريد بما ذكر ما هو ظاهر العبارة،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ثاني الامتزاجين بعد تحقّق الامتزاج الأوّل محال، إذ الامتزاج وصف يحصل في الشيئين، مسبوق بالامتياز بينهما، رافع لذلك الامتزاج</w:t>
      </w:r>
      <w:r>
        <w:rPr>
          <w:rStyle w:val="FootnoteAnchor"/>
          <w:rtl w:val="true"/>
        </w:rPr>
        <w:footnoteReference w:id="3137"/>
      </w:r>
      <w:r>
        <w:rPr>
          <w:rFonts w:ascii="Amiri" w:hAnsi="Amiri" w:eastAsia="Amiri" w:cs="Amiri"/>
          <w:color w:val="111111"/>
          <w:sz w:val="28"/>
          <w:sz w:val="28"/>
          <w:szCs w:val="28"/>
          <w:rtl w:val="true"/>
          <w:lang w:bidi="ar-SA"/>
        </w:rPr>
        <w:t>، و المفروض أنّ الكثير مع المضاف المتنجّس بالامتزاج الأوّل صارا ماء واحدا، فلا امتياز بينهما بعد ليلحقه امتزاج رافع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الامتزاج الثاني على فرض تحقّقه يشبه بكونه خلاف الإجماع، لتطابق عباراتهم بعد البناء على اشتراط الامتزاج في التطهير على كفاية الامتزاج الأوّل الموجب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خلاف ظاهر العبارة، و هو الاكتفاء بالامتزاج الأوّل كما هو مقتضى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الطهر بذلك لا تتمّ إلاّ بعد إحراز المقدّمة المذكورة في الوجه الأوّل المجمع عليها، و معه يرجع الكلام أيضا إلى الوجه الأوّل، فلم يتحقّق هنا دليل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تطهيرا للماء بعينه، فيكون مشمولا لدليله من حيث إنّه دليله، ممّا يكذّبه الوجدان، بل هو تطهير من باب تطهير المطلق لجريان دليله فيه، لا تطهير المطلق بعينه، و الفرق بين المعنيين واضح للمتأمّل، و كيف كان فلا خلاف عندهم في كون ما ذكر مطهّرا للمضاف المتنجّس، لكنّهم اختلفوا في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الزيادة على الكرّ في مطهّر المضاف و عدمه، و القائل بالاعتبار الشيخ في المبسوط على ما هو ظاهر عبارته المحكيّة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طريق إلى تطهيرها بحال إلاّ أن يختلط بما زاد على الكرّ من المياه الطاهرة المطلقة</w:t>
      </w:r>
      <w:r>
        <w:rPr>
          <w:rFonts w:eastAsia="Amiri" w:cs="Amiri" w:ascii="Amiri" w:hAnsi="Amiri"/>
          <w:color w:val="111111"/>
          <w:sz w:val="28"/>
          <w:szCs w:val="28"/>
          <w:rtl w:val="true"/>
          <w:lang w:bidi="ar-SA"/>
        </w:rPr>
        <w:t>»</w:t>
      </w:r>
      <w:r>
        <w:rPr>
          <w:rStyle w:val="FootnoteAnchor"/>
          <w:rtl w:val="true"/>
        </w:rPr>
        <w:footnoteReference w:id="3138"/>
      </w:r>
      <w:r>
        <w:rPr>
          <w:rFonts w:ascii="Amiri" w:hAnsi="Amiri" w:eastAsia="Amiri" w:cs="Amiri"/>
          <w:color w:val="111111"/>
          <w:sz w:val="28"/>
          <w:sz w:val="28"/>
          <w:szCs w:val="28"/>
          <w:rtl w:val="true"/>
          <w:lang w:bidi="ar-SA"/>
        </w:rPr>
        <w:t>كما في كلام شارح الدروس</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المضاف إذا وقعت فيه نجاسة نجس قليلا كان أو كثيرا على ما قدّمناه و لا يطهر إلاّ بأن يختلط بما زاد على الكثير</w:t>
      </w:r>
      <w:r>
        <w:rPr>
          <w:rStyle w:val="FootnoteAnchor"/>
          <w:rtl w:val="true"/>
        </w:rPr>
        <w:footnoteReference w:id="3140"/>
      </w:r>
      <w:r>
        <w:rPr>
          <w:rFonts w:ascii="Amiri" w:hAnsi="Amiri" w:eastAsia="Amiri" w:cs="Amiri"/>
          <w:color w:val="111111"/>
          <w:sz w:val="28"/>
          <w:sz w:val="28"/>
          <w:szCs w:val="28"/>
          <w:rtl w:val="true"/>
          <w:lang w:bidi="ar-SA"/>
        </w:rPr>
        <w:t>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مختلف العلاّمة</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إلاّ بأن يختلط بما زاد عن الكرّ الطاهر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كلام بعض مشايخنا العظام</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هذه العبارات المحكيّة عن الشيخ اشتراط الزيادة على الكرّ، و اتّفق الآخرون على خلافه، و إن احتمل موافقة المعتبر</w:t>
      </w:r>
      <w:r>
        <w:rPr>
          <w:rStyle w:val="FootnoteAnchor"/>
          <w:rtl w:val="true"/>
        </w:rPr>
        <w:footnoteReference w:id="3143"/>
      </w:r>
      <w:r>
        <w:rPr>
          <w:rFonts w:ascii="Amiri" w:hAnsi="Amiri" w:eastAsia="Amiri" w:cs="Amiri"/>
          <w:color w:val="111111"/>
          <w:sz w:val="28"/>
          <w:sz w:val="28"/>
          <w:szCs w:val="28"/>
          <w:rtl w:val="true"/>
          <w:lang w:bidi="ar-SA"/>
        </w:rPr>
        <w:t>له حيث إنّه تصدّى لنقل قوله و لم يتعرّض لردّه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ممّن صرّح بمخالفته العلاّمة في المختلف، حيث إنّه بعد ما نقل كلامه المشتمل على فقرة اخرى تأتي بيانها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عندي خلاف ما قاله الشيخ رحمه اللّه في موضعين،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نشترط امتزاجه بما زاد على الكرّ، بل لو مزج بالكرّ و بقي الإطلاق جاز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كلام الشيخ إلى كونه واردا على جهة التساهل لا على جهة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عبارته إلى إرادة ما يراد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بإلقاء كرّ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نظيره في عبارة المنتهى، و على تقدير كون المراد ظاهر العبارة على وجه ينشأ منه الخلاف في المسألة فلا وجه له يعتدّ به، إلاّ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قدر الكرّ لا ينفكّ غالبا عن تغيّر أحد أوصاف جزء ما منه، و معه ينتقض عن الكرّيّة فينجّس البتّة، فلا بدّ من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بكثير من أفراد الزائد على الكرّ أيضا كما لا يخفى، إلاّ أن يكون المراد بالزيادة زيادة ما يبقى بعد تغيّره من كرّ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الحقيقة اجتهادا في مقابلة النصّ، لأنّ اعتبار الزيادة بالوجه المذكور هنا يستدعي اعتبارها في مسألة عدم انفعال الكثير بملاقاة النجاسات الّتي منها البول المغيّر و الدم و العذرة، إذ الفرق بين المسألتين تحكّم بحت، و الالتزام بالاعتبار فيهما تقييد للأدلّة القاضية بعدم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التزام التقييد ممّا لا محيص عنه، عملا بموجب ما دلّ بعمومه على نجاسة الماء بالتغيّر قليلا كثيرا أو جزء كثير، بناء على ما قدّمنا تحقيقه من الإجماع على تحكيم أدلّة التغيّر على أدلّة الكثير، و إن كان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نحن نفرّق بين المسألتين باعتبار الزيادة بالقدر المذكور ثمّة دون المقام، و الفارق ما قدّمنا في بحث التغيّر من أنّه إنّما يوجب التنجّس إذا حصل من عين النجاسة دون المتنجّس منها، و التغيّر المفروض في المقام مستند إلى المضاف و هو ليس بعين النجس</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يرد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على فرض اعتباره ليس أمرا وراء ما يعتبره في مطهّر المضاف من بقائه على إطلاقه و عدم تغيّر أوصافه من الطعم و اللون و الرائحة على ما سيجيء من الخلاف فيه، بناء على ما اشتهر في كلامهم من أنّ الشيخ يعتبر هنا امورا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على الكرّيّة، و بقاء الإطلاق، و عدم التغيّر، إلاّ أن يحكم </w:t>
      </w:r>
    </w:p>
    <w:p>
      <w:pPr>
        <w:pStyle w:val="BookText"/>
        <w:rPr/>
      </w:pPr>
      <w:r>
        <w:rPr>
          <w:rFonts w:ascii="Amiri" w:hAnsi="Amiri" w:eastAsia="Amiri" w:cs="Amiri"/>
          <w:color w:val="111111"/>
          <w:sz w:val="28"/>
          <w:sz w:val="28"/>
          <w:szCs w:val="28"/>
          <w:rtl w:val="true"/>
          <w:lang w:bidi="ar-SA"/>
        </w:rPr>
        <w:t>بخطئهم في تلك النسبة،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قائل باعتبار أمرين يعبّر عن أحدهما بعبارتين متلازمتين، و قضيّة ذلك أن يكون للشيخ موافق في اعتبار الزيادة و إن لم يصرّح بها في عبائرهم، نظرا إلى ما سيأتي في الجهة الثانية من مصير جماعة إلى اعتبار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بقاء المطهّر بعد الاختلاط على إطلاقه، و عدم سلبه المضاف الإطلاق و عدمه، و أوّل من علم منه القول بالاعتبار الشيخ حيث أنّه بعد العبارة المتقدّمة عنه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ينظر فإن سلبه إطلاق اسم الماء لم يجز استعماله بحال، و إن لم يسلبه إطلاق اسم الماء و غيّر أحد أوصافه إمّا لونه أو طعمه أو رائحته لم يجز استعماله بحال</w:t>
      </w:r>
      <w:r>
        <w:rPr>
          <w:rFonts w:eastAsia="Amiri" w:cs="Amiri" w:ascii="Amiri" w:hAnsi="Amiri"/>
          <w:color w:val="111111"/>
          <w:sz w:val="28"/>
          <w:szCs w:val="28"/>
          <w:rtl w:val="true"/>
          <w:lang w:bidi="ar-SA"/>
        </w:rPr>
        <w:t>»</w:t>
      </w:r>
      <w:r>
        <w:rPr>
          <w:rStyle w:val="FootnoteAnchor"/>
          <w:rtl w:val="true"/>
        </w:rPr>
        <w:footnoteReference w:id="3144"/>
      </w:r>
      <w:r>
        <w:rPr>
          <w:rFonts w:ascii="Amiri" w:hAnsi="Amiri" w:eastAsia="Amiri" w:cs="Amiri"/>
          <w:color w:val="111111"/>
          <w:sz w:val="28"/>
          <w:sz w:val="28"/>
          <w:szCs w:val="28"/>
          <w:rtl w:val="true"/>
          <w:lang w:bidi="ar-SA"/>
        </w:rPr>
        <w:t>ثمّ تبعه بعده المحقّق في المعتبر</w:t>
      </w:r>
      <w:r>
        <w:rPr>
          <w:rStyle w:val="FootnoteAnchor"/>
          <w:rtl w:val="true"/>
        </w:rPr>
        <w:footnoteReference w:id="3145"/>
      </w:r>
      <w:r>
        <w:rPr>
          <w:rFonts w:ascii="Amiri" w:hAnsi="Amiri" w:eastAsia="Amiri" w:cs="Amiri"/>
          <w:color w:val="111111"/>
          <w:sz w:val="28"/>
          <w:sz w:val="28"/>
          <w:szCs w:val="28"/>
          <w:rtl w:val="true"/>
          <w:lang w:bidi="ar-SA"/>
        </w:rPr>
        <w:t>، و العلاّمة في التحرير</w:t>
      </w:r>
      <w:r>
        <w:rPr>
          <w:rStyle w:val="FootnoteAnchor"/>
          <w:rtl w:val="true"/>
        </w:rPr>
        <w:footnoteReference w:id="3146"/>
      </w:r>
      <w:r>
        <w:rPr>
          <w:rFonts w:ascii="Amiri" w:hAnsi="Amiri" w:eastAsia="Amiri" w:cs="Amiri"/>
          <w:color w:val="111111"/>
          <w:sz w:val="28"/>
          <w:sz w:val="28"/>
          <w:szCs w:val="28"/>
          <w:rtl w:val="true"/>
          <w:lang w:bidi="ar-SA"/>
        </w:rPr>
        <w:t>، و النهاية</w:t>
      </w:r>
      <w:r>
        <w:rPr>
          <w:rStyle w:val="FootnoteAnchor"/>
          <w:rtl w:val="true"/>
        </w:rPr>
        <w:footnoteReference w:id="3147"/>
      </w:r>
      <w:r>
        <w:rPr>
          <w:rFonts w:ascii="Amiri" w:hAnsi="Amiri" w:eastAsia="Amiri" w:cs="Amiri"/>
          <w:color w:val="111111"/>
          <w:sz w:val="28"/>
          <w:sz w:val="28"/>
          <w:szCs w:val="28"/>
          <w:rtl w:val="true"/>
          <w:lang w:bidi="ar-SA"/>
        </w:rPr>
        <w:t>، و التذكرة</w:t>
      </w:r>
      <w:r>
        <w:rPr>
          <w:rStyle w:val="FootnoteAnchor"/>
          <w:rtl w:val="true"/>
        </w:rPr>
        <w:footnoteReference w:id="3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ظاهره في المختلف</w:t>
      </w:r>
      <w:r>
        <w:rPr>
          <w:rStyle w:val="FootnoteAnchor"/>
          <w:rtl w:val="true"/>
        </w:rPr>
        <w:footnoteReference w:id="3149"/>
      </w:r>
      <w:r>
        <w:rPr>
          <w:rFonts w:ascii="Amiri" w:hAnsi="Amiri" w:eastAsia="Amiri" w:cs="Amiri"/>
          <w:color w:val="111111"/>
          <w:sz w:val="28"/>
          <w:sz w:val="28"/>
          <w:szCs w:val="28"/>
          <w:rtl w:val="true"/>
          <w:lang w:bidi="ar-SA"/>
        </w:rPr>
        <w:t>، حيث إنّه في ردّ قول الشيخ لم يتعرّض إلاّ لنفي اعتبار الزيادة على الكرّيّة و اعتبار عدم التغيّر في الأوصاف الثلاث، و حكي اختيار هذا القول عن المحقّق و الشهيد الثانيين</w:t>
      </w:r>
      <w:r>
        <w:rPr>
          <w:rStyle w:val="FootnoteAnchor"/>
          <w:rtl w:val="true"/>
        </w:rPr>
        <w:footnoteReference w:id="3150"/>
      </w:r>
      <w:r>
        <w:rPr>
          <w:rFonts w:ascii="Amiri" w:hAnsi="Amiri" w:eastAsia="Amiri" w:cs="Amiri"/>
          <w:color w:val="111111"/>
          <w:sz w:val="28"/>
          <w:sz w:val="28"/>
          <w:szCs w:val="28"/>
          <w:rtl w:val="true"/>
          <w:lang w:bidi="ar-SA"/>
        </w:rPr>
        <w:t>، و عليه الشهيد في الدروس</w:t>
      </w:r>
      <w:r>
        <w:rPr>
          <w:rStyle w:val="FootnoteAnchor"/>
          <w:rtl w:val="true"/>
        </w:rPr>
        <w:footnoteReference w:id="3151"/>
      </w:r>
      <w:r>
        <w:rPr>
          <w:rFonts w:ascii="Amiri" w:hAnsi="Amiri" w:eastAsia="Amiri" w:cs="Amiri"/>
          <w:color w:val="111111"/>
          <w:sz w:val="28"/>
          <w:sz w:val="28"/>
          <w:szCs w:val="28"/>
          <w:rtl w:val="true"/>
          <w:lang w:bidi="ar-SA"/>
        </w:rPr>
        <w:t>، و محكي الذكرى</w:t>
      </w:r>
      <w:r>
        <w:rPr>
          <w:rStyle w:val="FootnoteAnchor"/>
          <w:rtl w:val="true"/>
        </w:rPr>
        <w:footnoteReference w:id="3152"/>
      </w:r>
      <w:r>
        <w:rPr>
          <w:rFonts w:ascii="Amiri" w:hAnsi="Amiri" w:eastAsia="Amiri" w:cs="Amiri"/>
          <w:color w:val="111111"/>
          <w:sz w:val="28"/>
          <w:sz w:val="28"/>
          <w:szCs w:val="28"/>
          <w:rtl w:val="true"/>
          <w:lang w:bidi="ar-SA"/>
        </w:rPr>
        <w:t>، و عبارته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 بصيرورته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باختلاطه بالكثير و إن بقى الاسم</w:t>
      </w:r>
      <w:r>
        <w:rPr>
          <w:rFonts w:eastAsia="Amiri" w:cs="Amiri" w:ascii="Amiri" w:hAnsi="Amiri"/>
          <w:color w:val="111111"/>
          <w:sz w:val="28"/>
          <w:szCs w:val="28"/>
          <w:rtl w:val="true"/>
          <w:lang w:bidi="ar-SA"/>
        </w:rPr>
        <w:t>»</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العبارة المحكيّة عن المعتبر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المائع الواقع في الماء نجسا، فإن غلب أحد أوصاف المطلق كان نجسا، و لو لم يغلب أحد أوصافه و كان الماء كرّا فإن استهلكه الماء صار بحكم المطلق و جاز استعمالها أجمع، و لو كانت النجاسة جامدة جاز استعمال الماء حتّى ينقص عن الكرّ، ثمّ ينجّس الماء بما فيه من عين النجاسة</w:t>
      </w:r>
      <w:r>
        <w:rPr>
          <w:rFonts w:eastAsia="Amiri" w:cs="Amiri" w:ascii="Amiri" w:hAnsi="Amiri"/>
          <w:color w:val="111111"/>
          <w:sz w:val="28"/>
          <w:szCs w:val="28"/>
          <w:rtl w:val="true"/>
          <w:lang w:bidi="ar-SA"/>
        </w:rPr>
        <w:t>»</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العبارة و إن لم يصرّح فيها باشتراط بقاء الإطلاق و لكن اشتراط عدم التغيّر يقضي باشتراط بقاء الإطلاق بطريق أولى كما لا يخفى، مضافا إلى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استهلكه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المحكيّة عن التحرير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 بإلقاء كرّ عليه فما زاد عليه دفعة بشرط أن لا يسلبه الإطلاق و لا يغيّر أحد أوصافه</w:t>
      </w:r>
      <w:r>
        <w:rPr>
          <w:rFonts w:eastAsia="Amiri" w:cs="Amiri" w:ascii="Amiri" w:hAnsi="Amiri"/>
          <w:color w:val="111111"/>
          <w:sz w:val="28"/>
          <w:szCs w:val="28"/>
          <w:rtl w:val="true"/>
          <w:lang w:bidi="ar-SA"/>
        </w:rPr>
        <w:t>»</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النهاية و التذكرة فلم نقف على عبارتهما</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المخالف في المسألة العلاّمة في المنتهى و القواعد</w:t>
      </w:r>
      <w:r>
        <w:rPr>
          <w:rStyle w:val="FootnoteAnchor"/>
          <w:rtl w:val="true"/>
        </w:rPr>
        <w:footnoteReference w:id="3157"/>
      </w:r>
      <w:r>
        <w:rPr>
          <w:rFonts w:ascii="Amiri" w:hAnsi="Amiri" w:eastAsia="Amiri" w:cs="Amiri"/>
          <w:color w:val="111111"/>
          <w:sz w:val="28"/>
          <w:sz w:val="28"/>
          <w:szCs w:val="28"/>
          <w:rtl w:val="true"/>
          <w:lang w:bidi="ar-SA"/>
        </w:rPr>
        <w:t>، لمصيره فيهما إلى تطهيره باختلاطه بالكثير و إن تغيّر أحد أوصاف المطلق، بل و إن سلب عنها الإطلاق، لكن في الصورة الثانية يزول عنه حكم الطهوريّة لا الطهارة، و يصير في حكم المضاف فينجّس بملاقاة النجاسة، و عبارته المؤدّية في المنتهى لهذا المعنى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سلبه المضاف إطلاق الاسم، فالأقوى حصول الطهارة و ارتفاع الطهوريّة</w:t>
      </w:r>
      <w:r>
        <w:rPr>
          <w:rFonts w:eastAsia="Amiri" w:cs="Amiri" w:ascii="Amiri" w:hAnsi="Amiri"/>
          <w:color w:val="111111"/>
          <w:sz w:val="28"/>
          <w:szCs w:val="28"/>
          <w:rtl w:val="true"/>
          <w:lang w:bidi="ar-SA"/>
        </w:rPr>
        <w:t>»</w:t>
      </w:r>
      <w:r>
        <w:rPr>
          <w:rStyle w:val="FootnoteAnchor"/>
          <w:rtl w:val="true"/>
        </w:rPr>
        <w:footnoteReference w:id="3158"/>
      </w:r>
      <w:r>
        <w:rPr>
          <w:rFonts w:ascii="Amiri" w:hAnsi="Amiri" w:eastAsia="Amiri" w:cs="Amiri"/>
          <w:color w:val="111111"/>
          <w:sz w:val="28"/>
          <w:sz w:val="28"/>
          <w:szCs w:val="28"/>
          <w:rtl w:val="true"/>
          <w:lang w:bidi="ar-SA"/>
        </w:rPr>
        <w:t>و لم نقف على عبارة القواعد</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يذهب عليك أنّ قول الشيخ باشتراط بقاء الكثير على إطلاقه مع اختلاطه بالمضاف المتنجّس يستلزم اشتراط زوال الإضافة عن المضاف، ضرورة أنّ البقاء على الإطلاق مع امتزاج المضاف على وجه صارا واحدا لا يتأتّى إلاّ مع زوال الإضافة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شارح الدروس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يفهم من كلام المبسوط أنّه إذا لم يتغيّر أحد أوصاف المطلق لكن بقى المضاف ممتازا، و لم يسلب عنه الإضافة زالت أوصافه أو لا، فما حكمه</w:t>
      </w:r>
      <w:r>
        <w:rPr>
          <w:rFonts w:eastAsia="Amiri" w:cs="Amiri" w:ascii="Amiri" w:hAnsi="Amiri"/>
          <w:color w:val="111111"/>
          <w:sz w:val="28"/>
          <w:szCs w:val="28"/>
          <w:rtl w:val="true"/>
          <w:lang w:bidi="ar-SA"/>
        </w:rPr>
        <w:t>»</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ما ينبغي بل الاستلزام المذكور ثابت على القول باشتراط بقاء الإطلاق و عدم اشتراط عدم التغيّر بغير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وجه لقوله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لم يعلم على القول الثالث أنّ حكمه مع الامتياز و عدم سلب الإضافة ما ذا؟</w:t>
      </w:r>
      <w:r>
        <w:rPr>
          <w:rFonts w:eastAsia="Amiri" w:cs="Amiri" w:ascii="Amiri" w:hAnsi="Amiri"/>
          <w:color w:val="111111"/>
          <w:sz w:val="28"/>
          <w:szCs w:val="28"/>
          <w:rtl w:val="true"/>
          <w:lang w:bidi="ar-SA"/>
        </w:rPr>
        <w:t>»</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حكم ذلك يعلم من اعتبارهم الاختلاط في التطهير كما لا يخفى، و مراده بالقول الثالث حسبما ذكره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باشتراط بقاء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يتوقّف طهره على شيوعه في المطلق بحيث يستهلك، و هذا لا يتمّ بدون بقاء المطلق على إطلاقه، و إذا لم يحصل الطهارة للمضاف و صار المطلق بخروجه عن الاسم قابلا للانفعال فلا جرم ينجّس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الحجّة أنّ هذا الشرط من فروع اشتراط الاختلاط و الامتزاج، بمعنى شيوع الأجزاء في الأجزاء على وجه زالت الامتياز بينهما، و هو كما ترى، فإنّ ظاهرهم التسالم في اشتراط الاختلاط بهذا المعنى، و الّذي يختلفون فيه أمر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اختلافهم في اشتراط الاختلاط أيضا كما يومئ إليه تعبير العلاّمة في المنتهى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الطريق في تطهيره إلقاء كرّ فما زاد عليه</w:t>
      </w:r>
      <w:r>
        <w:rPr>
          <w:rFonts w:eastAsia="Amiri" w:cs="Amiri" w:ascii="Amiri" w:hAnsi="Amiri"/>
          <w:color w:val="111111"/>
          <w:sz w:val="28"/>
          <w:szCs w:val="28"/>
          <w:rtl w:val="true"/>
          <w:lang w:bidi="ar-SA"/>
        </w:rPr>
        <w:t>»</w:t>
      </w:r>
      <w:r>
        <w:rPr>
          <w:rStyle w:val="FootnoteAnchor"/>
          <w:rtl w:val="true"/>
        </w:rPr>
        <w:footnoteReference w:id="3162"/>
      </w:r>
      <w:r>
        <w:rPr>
          <w:rFonts w:ascii="Amiri" w:hAnsi="Amiri" w:eastAsia="Amiri" w:cs="Amiri"/>
          <w:color w:val="111111"/>
          <w:sz w:val="28"/>
          <w:sz w:val="28"/>
          <w:szCs w:val="28"/>
          <w:rtl w:val="true"/>
          <w:lang w:bidi="ar-SA"/>
        </w:rPr>
        <w:t>و تعبير الشيخ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يطهّر إلاّ بأن يختلط بما زاد على الكثير</w:t>
      </w:r>
      <w:r>
        <w:rPr>
          <w:rFonts w:eastAsia="Amiri" w:cs="Amiri" w:ascii="Amiri" w:hAnsi="Amiri"/>
          <w:color w:val="111111"/>
          <w:sz w:val="28"/>
          <w:szCs w:val="28"/>
          <w:rtl w:val="true"/>
          <w:lang w:bidi="ar-SA"/>
        </w:rPr>
        <w:t>»</w:t>
      </w:r>
      <w:r>
        <w:rPr>
          <w:rStyle w:val="FootnoteAnchor"/>
          <w:rtl w:val="true"/>
        </w:rPr>
        <w:footnoteReference w:id="3163"/>
      </w:r>
      <w:r>
        <w:rPr>
          <w:rFonts w:ascii="Amiri" w:hAnsi="Amiri" w:eastAsia="Amiri" w:cs="Amiri"/>
          <w:color w:val="111111"/>
          <w:sz w:val="28"/>
          <w:sz w:val="28"/>
          <w:szCs w:val="28"/>
          <w:rtl w:val="true"/>
          <w:lang w:bidi="ar-SA"/>
        </w:rPr>
        <w:t>فهو أمر آخر لا ربط له بمسألة بقاء المطلق على إطلاقه، إذ قد يحصل الشيوع بينهما على الوجه المذكور مع خروج المطلق عن إطلاقه، و إن خرج المضاف أيضا عن اسمه الأوّل، كما لو كان الخليط خلاًّ حادّا في غاية الحدّة، أو ماء ممزوجا بالدبس، و كان بعد الامتزاج حلوا في غاية الحلاوة، و ذلك واضح، و يتّضح غاية الاتّضاح فيما لو كان الخليط كثيرا في غاية الكثرة، فعبارة الحجّة حينئذ إمّا مسامحة في التعبير أو اشتباه عن سوء الفهم</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المنقول من حجّة المنتهى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بلوغ الكرّيّة سبب لعدم الانفعال من دون التغيّر بالنجاسة، فلا يؤثّر المضاف في تنجّسه باستهلاكه إيّاه، لقيام السبب المانع، و ليس </w:t>
      </w:r>
    </w:p>
    <w:p>
      <w:pPr>
        <w:pStyle w:val="BookText"/>
        <w:rPr/>
      </w:pPr>
      <w:r>
        <w:rPr>
          <w:rFonts w:ascii="Amiri" w:hAnsi="Amiri" w:eastAsia="Amiri" w:cs="Amiri"/>
          <w:color w:val="111111"/>
          <w:sz w:val="28"/>
          <w:sz w:val="28"/>
          <w:szCs w:val="28"/>
          <w:rtl w:val="true"/>
          <w:lang w:bidi="ar-SA"/>
        </w:rPr>
        <w:t>ثمّة عين نجسة مشار إليها يقتضي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أيضا من الاشتباه الواضح، لأنّ عبارة المنتهى خالية عن الاحتجاج على نفي شرطيّة البقاء على الإطلاق، و إنّما هي فتوى بلا دليل، و ما ذكر من الحجّة شيء قرّره العلاّمة على ما ادّعاه من حصول المطهّر بإلقاء كرّ فما زاد، و ليس كلامه في تقريره صريحا و لا ظاهرا في فرض استهلاك المطلق في جنب المضاف، بل سوق الدليل يقتضي انعكاس الفرض كما لا يخفى على من يراجع كلامه و تأمّل في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فاجيب عن التقرير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بلوغ الكرّيّة وصف للماء المطلق، فإنّما يكون سببا لعدم الانفعال مع وجود موصوفه، و مع صيرورته مستهلكا يخرج عن الاسم، فيزول الوصف الّذي هو السبب لعدم الانفعال، فينفعل حينئذ و لو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ذكر في الجواب أنّ الماء المطلق بعد صيرورته مضافا ينجّس بملاقاة النجاسة و هو ليس بتمام، لأنّ الشأن حينئذ في إثبات نجس أو متنجّس ينجّسه و لا سبيل إليه، إذ المضاف الّذي كان نجسا قبل الاختلاط لم يعلم بقاؤه على النجاسة حينئذ، نظرا إلى أنّ نجاسته السابقة كانت ثابتة بالإجماع و لا إجماع فيما نحن فيه، لمكان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حجّيّة الاستصحاب فيما نحن فيه أيضا، و سلّم شمول روايات عدم جواز نقض اليقين بالشكّ له، لكان الأمر كما ذكر، فإنّ نجاسته المستصحبة حينئذ يبقى إلى صيرورة المطلق مضافا، و حينئذ ينجّس به</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المذكور حجّة على ما قرّر في محلّه، لكنّ الإشكال يقع في إفادة النجاسة المستصحبة تنجّس الغير، فإنّ دليل تنجّس الملاقي للنجس أو المتنجّس لا يشمله، لظهوره في النجس أو المتنجّس اليقينيّين كما يظهر بأدنى تأمّل، و أقصى ما يقتضيه النجاسة المستصحبة إنّما هو وجوب الاجتناب عن معروضها، و هو لا يقضي بنجاسة ما يلاقي ذلك المعروض، إلاّ على القول بأنّ وجوب الاجتناب عن الشيء يستلزم وجوب الاجتناب عمّا يلاقيه، و هو عندنا محلّ تأمّل كما سبق الإشارة إليه في المبحث الثالث، إلاّ أن يتمّ ذلك الاستلزام في خصوص المقام بضميمة إجماع الأعلام </w:t>
      </w:r>
    </w:p>
    <w:p>
      <w:pPr>
        <w:pStyle w:val="BookText"/>
        <w:rPr/>
      </w:pPr>
      <w:r>
        <w:rPr>
          <w:rFonts w:ascii="Amiri" w:hAnsi="Amiri" w:eastAsia="Amiri" w:cs="Amiri"/>
          <w:color w:val="111111"/>
          <w:sz w:val="28"/>
          <w:sz w:val="28"/>
          <w:szCs w:val="28"/>
          <w:rtl w:val="true"/>
          <w:lang w:bidi="ar-SA"/>
        </w:rPr>
        <w:t>على امتناع اختلاف الماء الواحد في الحكم،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هذه القاعدة بالماء بل تجري في مطلق المائع، و لعلّها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الأصحاب ليس مفروضا في صورة استهلاك المطلق، بل المعتبر عندهم استهلاك المضاف في الكثير المطلق، و حينئذ لو فرض أنّ استهلاك المضاف في الماء المطلق و حدوث إضافته صار دفعة واحدة حقيقيّة،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لم يلاق نجسا، بل الكثير بتلاشيه فيه صار مضافا، و المفروض حدوث الطهارة بنفس التلاشي لأنّ الكثير لا ينفعل، فالاختلاط سبب للتطهير و الإضافة معا، و لو شكّ في طهارة المضاف حينئذ شكّ في نجاسة الكرّ و الأصل عدمهما، فيتساقطان و يرجع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الامتزاج الدفعي الحقيقي ممّا لا يوجد في الخارج، و بدونه لا مناص عن التزام النجاسة بما ذكر، بل ينبغي الحكم بالانفعال مع الدفعة إذا القي الكرّ على المضاف على ما فرضه في المنتهى، لأنّ محلّه يبقى على النجاسة فينجّس المضاف بملاقاته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 ذلك بأنّ طهارة المحلّ حينئذ تابعة لطهارة الحالّ، فإذا فرض أنّ طهارة المضاف مع إضافة المطلق قد حصلتا في آن واحد، فيلزم طهارة المحلّ أيضا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منه كون مطهّره المضاف، ليرد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لا يصلح مطهّرا، لأنّ المؤثّر في طهارة الحالّ حين الامتزاج هو المطلق، و هو لو صلح مؤثّرا فيها في تلك الحين كان صالحا له بالقياس إلى المحلّ أيضا و 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المقتضي لتأثيره في طهارة الحالّ إنّما هو امتناع اختلاف المائعين في الحكم المجمع عليه عند الأصحاب، و هذا غير جار بالقياس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الإجماع ثابت بالقياس إلى الحالّ كذلك ثابت بالقياس إلى المحلّ أيضا، إذ لا يعقل شرعا كون مائع كائن في محلّ طاهرا و محلّه نجسا، فطهارته حين ما هو طاهر تستلزم طهارة محلّه، و بعد حدوث الطهارة فيه لا يعود نجاسته الزائلة</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المسألة لا بدّ و أن يستفاد من الملازمة المجمع عليها النافية لاختلاف المتخالطين في الحكم، فإن حكم ببقاء المضاف على نجاسته فيتبعه المطلق، و إن حكم ببقاء المطلق بعد الإضافة على طهارته فيتبعه المضاف، لكنّ الحكم </w:t>
      </w:r>
    </w:p>
    <w:p>
      <w:pPr>
        <w:pStyle w:val="BookText"/>
        <w:rPr/>
      </w:pPr>
      <w:r>
        <w:rPr>
          <w:rFonts w:ascii="Amiri" w:hAnsi="Amiri" w:eastAsia="Amiri" w:cs="Amiri"/>
          <w:color w:val="111111"/>
          <w:sz w:val="28"/>
          <w:sz w:val="28"/>
          <w:szCs w:val="28"/>
          <w:rtl w:val="true"/>
          <w:lang w:bidi="ar-SA"/>
        </w:rPr>
        <w:t>ببقاء المطلق على الطهارة لا بدّ و أن يستند إلى أدلّة عدم انفعال الكثير بملاقاة النجاسة، و شمول تلك الأدلّة لمثل المقام محلّ تأمّل، بل مقطوع بعدمه عند التحقيق، و ذلك لأنّها لا تثمر في المقام إلاّ بعد إحراز الملازمة المذكورة، و قد تبيّن في مباحث تطهير المطلق المتنجّس أنّ تلك الملازمة منوطة بصدق الوحدة الحقيقيّة على المتخالطين، و لا ريب أنّها لا تتأتّى إلاّ بعد الامتزاج الكلّي بينهما، و كما أنّ الامتزاج بحصوله هنا علّة لتحقّق الوحدة فكذلك علّة لحدوث الإضافة في المطلق على وجه كلّي، فالوحدة حين حدوثها مقارنة لوصف الإضافة في الجميع، فالجميع ماء مضاف حين هو واحد، فلا يقع مع ذلك مشمولا لأدلّة عدم انفعال الكثير، لكون تلك الأدلّة واردة في الماء، و المفروض حين ما هو واحد ليس بماء، بل هو عند حدوث وصفي الوحدة و الإضافة مضاف ملاق للمضاف المتنجّس، و معه يجب القطع بنجاسة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نجاسة المضاف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رافع لنجاسته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نجاسة المضاف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فلملاقاته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بيّنّا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محلّ للاستصحاب هنا لا في جانب المضاف الأوّل و لا في جانب المضاف الثاني،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الشكّ اللاحق،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فلانقلاب الموضوع كما لا يخفى، بناء على أنّ الموضوع هو العنوان الغير الباقي لا مصداقه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إذا قول الشيخ و تابعيه، من غير فرق في ذلك بين ما لو القي المضاف في المطلق أو انعكس الأمر،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موضع النزاع هو الأوّل دون الثاني، كما عن جماعة من أصحابنا كجامع المقاصد</w:t>
      </w:r>
      <w:r>
        <w:rPr>
          <w:rStyle w:val="FootnoteAnchor"/>
          <w:rtl w:val="true"/>
        </w:rPr>
        <w:footnoteReference w:id="3164"/>
      </w:r>
      <w:r>
        <w:rPr>
          <w:rFonts w:ascii="Amiri" w:hAnsi="Amiri" w:eastAsia="Amiri" w:cs="Amiri"/>
          <w:color w:val="111111"/>
          <w:sz w:val="28"/>
          <w:sz w:val="28"/>
          <w:szCs w:val="28"/>
          <w:rtl w:val="true"/>
          <w:lang w:bidi="ar-SA"/>
        </w:rPr>
        <w:t>، و كاشف اللثام</w:t>
      </w:r>
      <w:r>
        <w:rPr>
          <w:rStyle w:val="FootnoteAnchor"/>
          <w:rtl w:val="true"/>
        </w:rPr>
        <w:footnoteReference w:id="3165"/>
      </w:r>
      <w:r>
        <w:rPr>
          <w:rFonts w:ascii="IRNazanin" w:hAnsi="IRNazanin" w:eastAsia="IRNazanin"/>
          <w:color w:val="111111"/>
          <w:sz w:val="28"/>
          <w:sz w:val="28"/>
          <w:szCs w:val="28"/>
          <w:rtl w:val="true"/>
          <w:lang w:bidi="fa-IR"/>
        </w:rPr>
        <w:t>، و المعالم</w:t>
      </w:r>
      <w:r>
        <w:rPr>
          <w:rStyle w:val="FootnoteAnchor"/>
          <w:rtl w:val="true"/>
        </w:rPr>
        <w:footnoteReference w:id="3166"/>
      </w:r>
      <w:r>
        <w:rPr>
          <w:rFonts w:ascii="Amiri" w:hAnsi="Amiri" w:eastAsia="Amiri" w:cs="Amiri"/>
          <w:color w:val="111111"/>
          <w:sz w:val="28"/>
          <w:sz w:val="28"/>
          <w:szCs w:val="28"/>
          <w:rtl w:val="true"/>
          <w:lang w:bidi="ar-SA"/>
        </w:rPr>
        <w:t xml:space="preserve">، قائلين بأنّ صورة العكس يجب فيها الحكم بعدم الطهارة جزما، لأنّ مكان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متنجّس به، و هو ما لم يصر مطلقا لا يطهّره، و ملاقاته له مستمرّة فيردّه على النجاسة لو فرضنا طهارته، و قد سبق منّا ما يصحّح هذا الكلام و يزيّفه</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تغيّر أحد أوصاف المطلق باختلاطه مع المضاف المتنجّس و عدمه، و المصرّح بالاعتبار هو الشيخ</w:t>
      </w:r>
      <w:r>
        <w:rPr>
          <w:rStyle w:val="FootnoteAnchor"/>
          <w:rtl w:val="true"/>
        </w:rPr>
        <w:footnoteReference w:id="3167"/>
      </w:r>
      <w:r>
        <w:rPr>
          <w:rFonts w:ascii="Amiri" w:hAnsi="Amiri" w:eastAsia="Amiri" w:cs="Amiri"/>
          <w:color w:val="111111"/>
          <w:sz w:val="28"/>
          <w:sz w:val="28"/>
          <w:szCs w:val="28"/>
          <w:rtl w:val="true"/>
          <w:lang w:bidi="ar-SA"/>
        </w:rPr>
        <w:t xml:space="preserve">على ما عرفت في عبارته المتقدّمة، و بعده </w:t>
      </w:r>
    </w:p>
    <w:p>
      <w:pPr>
        <w:pStyle w:val="BookText"/>
        <w:rPr/>
      </w:pPr>
      <w:r>
        <w:rPr>
          <w:rFonts w:ascii="Amiri" w:hAnsi="Amiri" w:eastAsia="Amiri" w:cs="Amiri"/>
          <w:color w:val="111111"/>
          <w:sz w:val="28"/>
          <w:sz w:val="28"/>
          <w:szCs w:val="28"/>
          <w:rtl w:val="true"/>
          <w:lang w:bidi="ar-SA"/>
        </w:rPr>
        <w:t>المحقّق في المعتبر</w:t>
      </w:r>
      <w:r>
        <w:rPr>
          <w:rStyle w:val="FootnoteAnchor"/>
          <w:rtl w:val="true"/>
        </w:rPr>
        <w:footnoteReference w:id="3168"/>
      </w:r>
      <w:r>
        <w:rPr>
          <w:rFonts w:ascii="Amiri" w:hAnsi="Amiri" w:eastAsia="Amiri" w:cs="Amiri"/>
          <w:color w:val="111111"/>
          <w:sz w:val="28"/>
          <w:sz w:val="28"/>
          <w:szCs w:val="28"/>
          <w:rtl w:val="true"/>
          <w:lang w:bidi="ar-SA"/>
        </w:rPr>
        <w:t>، و العلاّمة في التحرير</w:t>
      </w:r>
      <w:r>
        <w:rPr>
          <w:rStyle w:val="FootnoteAnchor"/>
          <w:rtl w:val="true"/>
        </w:rPr>
        <w:footnoteReference w:id="3169"/>
      </w:r>
      <w:r>
        <w:rPr>
          <w:rFonts w:ascii="Amiri" w:hAnsi="Amiri" w:eastAsia="Amiri" w:cs="Amiri"/>
          <w:color w:val="111111"/>
          <w:sz w:val="28"/>
          <w:sz w:val="28"/>
          <w:szCs w:val="28"/>
          <w:rtl w:val="true"/>
          <w:lang w:bidi="ar-SA"/>
        </w:rPr>
        <w:t>، كما يظهر بملاحظة عبارتيهما المتقدّمتين، و المخالف العلاّمة في صريح المنتهى</w:t>
      </w:r>
      <w:r>
        <w:rPr>
          <w:rStyle w:val="FootnoteAnchor"/>
          <w:rtl w:val="true"/>
        </w:rPr>
        <w:footnoteReference w:id="3170"/>
      </w:r>
      <w:r>
        <w:rPr>
          <w:rFonts w:ascii="IRNazanin" w:hAnsi="IRNazanin" w:eastAsia="IRNazanin"/>
          <w:color w:val="111111"/>
          <w:sz w:val="28"/>
          <w:sz w:val="28"/>
          <w:szCs w:val="28"/>
          <w:rtl w:val="true"/>
          <w:lang w:bidi="fa-IR"/>
        </w:rPr>
        <w:t>، و المختلف</w:t>
      </w:r>
      <w:r>
        <w:rPr>
          <w:rStyle w:val="FootnoteAnchor"/>
          <w:rtl w:val="true"/>
        </w:rPr>
        <w:footnoteReference w:id="3171"/>
      </w:r>
      <w:r>
        <w:rPr>
          <w:rFonts w:ascii="Amiri" w:hAnsi="Amiri" w:eastAsia="Amiri" w:cs="Amiri"/>
          <w:color w:val="111111"/>
          <w:sz w:val="28"/>
          <w:sz w:val="28"/>
          <w:szCs w:val="28"/>
          <w:rtl w:val="true"/>
          <w:lang w:bidi="ar-SA"/>
        </w:rPr>
        <w:t>، و محكيّ النهاية</w:t>
      </w:r>
      <w:r>
        <w:rPr>
          <w:rStyle w:val="FootnoteAnchor"/>
          <w:rtl w:val="true"/>
        </w:rPr>
        <w:footnoteReference w:id="3172"/>
      </w:r>
      <w:r>
        <w:rPr>
          <w:rFonts w:ascii="Amiri" w:hAnsi="Amiri" w:eastAsia="Amiri" w:cs="Amiri"/>
          <w:color w:val="111111"/>
          <w:sz w:val="28"/>
          <w:sz w:val="28"/>
          <w:szCs w:val="28"/>
          <w:rtl w:val="true"/>
          <w:lang w:bidi="ar-SA"/>
        </w:rPr>
        <w:t>، و التذكرة</w:t>
      </w:r>
      <w:r>
        <w:rPr>
          <w:rStyle w:val="FootnoteAnchor"/>
          <w:rtl w:val="true"/>
        </w:rPr>
        <w:footnoteReference w:id="3173"/>
      </w:r>
      <w:r>
        <w:rPr>
          <w:rFonts w:ascii="IRNazanin" w:hAnsi="IRNazanin" w:eastAsia="IRNazanin"/>
          <w:color w:val="111111"/>
          <w:sz w:val="28"/>
          <w:sz w:val="28"/>
          <w:szCs w:val="28"/>
          <w:rtl w:val="true"/>
          <w:lang w:bidi="fa-IR"/>
        </w:rPr>
        <w:t>، و القواعد</w:t>
      </w:r>
      <w:r>
        <w:rPr>
          <w:rStyle w:val="FootnoteAnchor"/>
          <w:rtl w:val="true"/>
        </w:rPr>
        <w:footnoteReference w:id="3174"/>
      </w:r>
      <w:r>
        <w:rPr>
          <w:rFonts w:ascii="Amiri" w:hAnsi="Amiri" w:eastAsia="Amiri" w:cs="Amiri"/>
          <w:color w:val="111111"/>
          <w:sz w:val="28"/>
          <w:sz w:val="28"/>
          <w:szCs w:val="28"/>
          <w:rtl w:val="true"/>
          <w:lang w:bidi="ar-SA"/>
        </w:rPr>
        <w:t>، و الشهيد في ظاهر الدروس</w:t>
      </w:r>
      <w:r>
        <w:rPr>
          <w:rStyle w:val="FootnoteAnchor"/>
          <w:rtl w:val="true"/>
        </w:rPr>
        <w:footnoteReference w:id="3175"/>
      </w:r>
      <w:r>
        <w:rPr>
          <w:rFonts w:ascii="Amiri" w:hAnsi="Amiri" w:eastAsia="Amiri" w:cs="Amiri"/>
          <w:color w:val="111111"/>
          <w:sz w:val="28"/>
          <w:sz w:val="28"/>
          <w:szCs w:val="28"/>
          <w:rtl w:val="true"/>
          <w:lang w:bidi="ar-SA"/>
        </w:rPr>
        <w:t>بناء على إطلاق كلامه، و محكيّ الذكرى</w:t>
      </w:r>
      <w:r>
        <w:rPr>
          <w:rStyle w:val="FootnoteAnchor"/>
          <w:rtl w:val="true"/>
        </w:rPr>
        <w:footnoteReference w:id="3176"/>
      </w:r>
      <w:r>
        <w:rPr>
          <w:rFonts w:ascii="Amiri" w:hAnsi="Amiri" w:eastAsia="Amiri" w:cs="Amiri"/>
          <w:color w:val="111111"/>
          <w:sz w:val="28"/>
          <w:sz w:val="28"/>
          <w:szCs w:val="28"/>
          <w:rtl w:val="true"/>
          <w:lang w:bidi="ar-SA"/>
        </w:rPr>
        <w:t>، و المحقّق و الشهيد الثانيان</w:t>
      </w:r>
      <w:r>
        <w:rPr>
          <w:rStyle w:val="FootnoteAnchor"/>
          <w:rtl w:val="true"/>
        </w:rPr>
        <w:footnoteReference w:id="3177"/>
      </w:r>
      <w:r>
        <w:rPr>
          <w:rFonts w:ascii="Amiri" w:hAnsi="Amiri" w:eastAsia="Amiri" w:cs="Amiri"/>
          <w:color w:val="111111"/>
          <w:sz w:val="28"/>
          <w:sz w:val="28"/>
          <w:szCs w:val="28"/>
          <w:rtl w:val="true"/>
          <w:lang w:bidi="ar-SA"/>
        </w:rPr>
        <w:t>في المحكيّ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شيء ينبغي أن ينبّه عليه و هو أنّه ربّما وقع الاختلاف فيما حكي عن الشيخ بحسب العبارة اختلاف مؤدّيا إلى اختلاف المعنى في وجه، و ذلك أنّه قد عرفت عبارة المختلف في نقل القول عن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إذا وقعت فيه نجاسة نجس، قليلا كان أو كثيرا على ما قدّمناه، و لا يطهّر إلاّ بأن يختلط بما زاد على الكثير من المطلق، ثمّ ينظر فإن سلبه إطلاق اسم الماء لم يجز استعماله بحال، و إن لم يسلبه إطلاق اسم الماء و غيّر أحد أوصافه إمّا لونه أو طعمه أو رائحته لم يجز استعماله بحال</w:t>
      </w:r>
      <w:r>
        <w:rPr>
          <w:rFonts w:eastAsia="Amiri" w:cs="Amiri" w:ascii="Amiri" w:hAnsi="Amiri"/>
          <w:color w:val="111111"/>
          <w:sz w:val="28"/>
          <w:szCs w:val="28"/>
          <w:rtl w:val="true"/>
          <w:lang w:bidi="ar-SA"/>
        </w:rPr>
        <w:t>»</w:t>
      </w:r>
      <w:r>
        <w:rPr>
          <w:rStyle w:val="FootnoteAnchor"/>
          <w:rtl w:val="true"/>
        </w:rPr>
        <w:footnoteReference w:id="31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عبارته على ما حكاه بعض مشايخنا</w:t>
      </w:r>
      <w:r>
        <w:rPr>
          <w:rStyle w:val="FootnoteAnchor"/>
          <w:rtl w:val="true"/>
        </w:rPr>
        <w:footnoteReference w:id="3179"/>
      </w:r>
      <w:r>
        <w:rPr>
          <w:rFonts w:ascii="Amiri" w:hAnsi="Amiri" w:eastAsia="Amiri" w:cs="Amiri"/>
          <w:color w:val="111111"/>
          <w:sz w:val="28"/>
          <w:sz w:val="28"/>
          <w:szCs w:val="28"/>
          <w:rtl w:val="true"/>
          <w:lang w:bidi="ar-SA"/>
        </w:rPr>
        <w:t>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يطهّر إلاّ بأن يختلط بما زاد عن الكرّ الطاهر المطلق، ثمّ نظر فيه، فإن سلبه أو غيّر أحد أوصافه لم يجز استعماله و إن لم يغيّره و لم يسلبه جاز استعماله فيما يستعمل فيه المياه الطاهرة</w:t>
      </w:r>
      <w:r>
        <w:rPr>
          <w:rFonts w:eastAsia="Amiri" w:cs="Amiri" w:ascii="Amiri" w:hAnsi="Amiri"/>
          <w:color w:val="111111"/>
          <w:sz w:val="28"/>
          <w:szCs w:val="28"/>
          <w:rtl w:val="true"/>
          <w:lang w:bidi="ar-SA"/>
        </w:rPr>
        <w:t>»</w:t>
      </w:r>
      <w:r>
        <w:rPr>
          <w:rStyle w:val="FootnoteAnchor"/>
          <w:rtl w:val="true"/>
        </w:rPr>
        <w:footnoteReference w:id="3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نسخ المبسوط عطف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يوافق العبارة ما نقله شارح الدروس عن المبسوط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 لا طريق إلى تطهيرها بحال إلاّ أن يختلط بما زاد على الكرّ من المياه الطاهرة المطلقة، ثمّ ينظر فيه، فإن سلبه إطلاق اسم الماء و غيّر أحد أوصافه، إمّا لونه أو طعمه أو رائحته، فلا يجوز أيضا استعماله بحال، و إن لم يغيّر أحد أوصافه و لا سلبه اسم الماء جاز استعماله في جميع ما يجوز استعمال المياه الطاهرة</w:t>
      </w:r>
      <w:r>
        <w:rPr>
          <w:rFonts w:eastAsia="Amiri" w:cs="Amiri" w:ascii="Amiri" w:hAnsi="Amiri"/>
          <w:color w:val="111111"/>
          <w:sz w:val="28"/>
          <w:szCs w:val="28"/>
          <w:rtl w:val="true"/>
          <w:lang w:bidi="ar-SA"/>
        </w:rPr>
        <w:t>»</w:t>
      </w:r>
      <w:r>
        <w:rPr>
          <w:rStyle w:val="FootnoteAnchor"/>
          <w:rtl w:val="true"/>
        </w:rPr>
        <w:footnoteReference w:id="31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الاولى مع الثانية على نسخة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 المانع عن الاستعمال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سلبه الإطلاق، و حدوث التغيّر، و إذا اجتمعا فأولى بالمنع، و الجواز يتوقّف حينئذ على ارتفاع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العبارة الثالثة مع الثانية على نسخة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تقتضي كون المانع مجموع الأمرين، و أمّا أحدهما منفردا عن الآخر فيمكن أن لا يكون مانعا و إن لم يصرّح بحكمه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فمستند القول بعدم الاعتبار ما سبق ذكره عن المختلف</w:t>
      </w:r>
      <w:r>
        <w:rPr>
          <w:rStyle w:val="FootnoteAnchor"/>
          <w:rtl w:val="true"/>
        </w:rPr>
        <w:footnoteReference w:id="3182"/>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مقتضى دليل نجاسة الماء بالتغيّر أنّه ينجّس إذا تغيّر بعين النجاسة لا إذا تغيّر بالمتنجّس بها، و هذا حقّ لا مدفع له على 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قول الشيخ و 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بعد تنجّسه صار في حكم النجاسة، فكما ينجّس الماء بالتغيير بها ينجّس بالتغيّر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واضح، إذ لو اريد بما ادّعى من القضيّة الكلّيّة،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بها كونها كذلك في الجملة، فهو حقّ لكنّه غير مجد في ثبوت المطلب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بناء القولين هنا على ما تقدّم من الخلاف في اقتضاء التغيّر بالمتنجّس نجاسة الماء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يحتجّ عليه باستصحاب النجاسة إلى أن يثبت المزيل، و هو غير ثابت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كما يحكم باستصحاب النجاسة في المضاف يحكم باستصحاب الطهارة أيضا في المطلق، بل فيه أولى لوجود أدلّة اخر فيه سوى الأصل مقتضية للطهارة، من الروايات الدالّة على طهارته ما لم يتغيّر بعين النجاسة، و مقتضى الاستصحابين حينئذ الحكم ببقاء كلّ على وصفه السابق، و إذا أدخل اليد مثلا في هذا الماء فإن علم بملاقاة الأجزاء المضافة أيضا يحكم بنجاسة اليد، و إلاّ بني على أصل الطهارة</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الاستدلال على طهارة الجميع بظهور تحقّق الإجماع على أنّ </w:t>
      </w:r>
      <w:bookmarkStart w:id="1018" w:name="pg16144_233734"/>
    </w:p>
    <w:p>
      <w:pPr>
        <w:pStyle w:val="BookText"/>
        <w:rPr/>
      </w:pPr>
      <w:bookmarkEnd w:id="1018"/>
      <w:r>
        <w:rPr>
          <w:rFonts w:ascii="Amiri" w:hAnsi="Amiri" w:eastAsia="Amiri" w:cs="Amiri"/>
          <w:color w:val="111111"/>
          <w:sz w:val="28"/>
          <w:sz w:val="28"/>
          <w:szCs w:val="28"/>
          <w:rtl w:val="true"/>
          <w:lang w:bidi="ar-SA"/>
        </w:rPr>
        <w:t>هذا الماء له حكم واحد، و لا اختلاف لأجزائه في الحكم، و لا ترجيح ليغلّب أحد الاستصحابين على الآخر، فيحكم بتساقطهما، و يبنى الحكم على أصالة الطهارة في جميع الأشياء سيّما الماء، و أصالة حلّ التناول، و حصول الامتثال باستعماله في الأوامر الواردة بالتطهير بالماء</w:t>
      </w:r>
      <w:r>
        <w:rPr>
          <w:rFonts w:eastAsia="Amiri" w:cs="Amiri" w:ascii="Amiri" w:hAnsi="Amiri"/>
          <w:color w:val="111111"/>
          <w:sz w:val="28"/>
          <w:szCs w:val="28"/>
          <w:rtl w:val="true"/>
          <w:lang w:bidi="ar-SA"/>
        </w:rPr>
        <w:t>»</w:t>
      </w:r>
      <w:r>
        <w:rPr>
          <w:rStyle w:val="FootnoteAnchor"/>
          <w:rtl w:val="true"/>
        </w:rPr>
        <w:footnoteReference w:id="3183"/>
      </w:r>
      <w:r>
        <w:rPr>
          <w:rFonts w:ascii="IRNazanin" w:hAnsi="IRNazanin" w:eastAsia="IRNazanin"/>
          <w:color w:val="111111"/>
          <w:sz w:val="28"/>
          <w:sz w:val="28"/>
          <w:szCs w:val="28"/>
          <w:rtl w:val="true"/>
          <w:lang w:bidi="fa-IR"/>
        </w:rPr>
        <w:t>انتهى محصّلا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الكلام في سائر شرائط المطهّر هنا من الدفعة و الممازجة و غيرها نفيا و إثباتا، نظيره فيما سبق من مباحث تطهير المتنجّس من المطلق حرفا بحرف، فكلّما اعتبرناه من الشروط ثمّة لا بدّ من اعتباره هنا بعين ما قدّمنا ذكره ثمّة، فراجع و تأمّل</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805136_1280447820"/>
      <w:bookmarkStart w:id="1020" w:name="_Toc399"/>
      <w:bookmarkEnd w:id="1019"/>
      <w:r>
        <w:rPr>
          <w:rtl w:val="true"/>
        </w:rPr>
        <w:t>المبحث الخامس</w:t>
      </w:r>
      <w:r>
        <w:rPr>
          <w:rtl w:val="true"/>
        </w:rPr>
        <w:t xml:space="preserve">: </w:t>
      </w:r>
      <w:r>
        <w:rPr>
          <w:rtl w:val="true"/>
        </w:rPr>
        <w:t>إذا اختلط المضاف بالمطلق فلا إشكال في أنّ الأحكام تتبع في ترتّبها إطلاق الاسم عرفا،</w:t>
      </w:r>
      <w:bookmarkEnd w:id="1020"/>
    </w:p>
    <w:p>
      <w:pPr>
        <w:pStyle w:val="BookText"/>
        <w:rPr/>
      </w:pPr>
      <w:r>
        <w:rPr>
          <w:rFonts w:ascii="Amiri" w:hAnsi="Amiri" w:eastAsia="Amiri" w:cs="Amiri"/>
          <w:color w:val="111111"/>
          <w:sz w:val="28"/>
          <w:sz w:val="28"/>
          <w:szCs w:val="28"/>
          <w:rtl w:val="true"/>
          <w:lang w:bidi="ar-SA"/>
        </w:rPr>
        <w:t>بل لا خلاف فيه إذا اختلفا في الأوصاف، و أمّا إذا اتّفقا و لو بزوال الوصف عن أحدهما كماء الورد المنقطع الرائحة فاختلفت كلمة الأصحاب في جواز التطهّر به و عدمه، و مجموع القول فيه ما تكفّله كلام العلاّمة في المختلف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المطلق بالمضاف كماء الورد المنقطع الرائحة حكم للأكثر، فإن تساويا ينبغي القول بجواز استعماله لأنّ الأصل الإباحة، و إن قلنا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يتيمّم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أنّه لا يجوز استعماله في رفع الحدث، و لا إزالة النجاسة، و يجوز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مباحثة جرت بينه و بين الشيخ رحمه اللّه، و خلاصتها تمسّك الشيخ رحمه اللّه بالأصل الدالّ على الإباحة و تمسّكه هو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القولين معا، و أنّ جواز التطهير به تابع لإطلاق الاسم، فإن كانت الممازجة أخرجته عن الإطلاق لم يجز الطهارة به و إلاّ جاز، و لا اعتبر في ذلك المساواة و التفاضل، فلو كان ماء الورد أكثر و بقى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أجزأت الطهارة به، لأنّه امتثل المأمور به و هو الطهارة بالماء المطلق، و طريق معرفة ذلك أن يقدّر ماء الورد باقيا على أوصافه ثمّ تعتبر ممازجته حينئذ فيحمل عليه منقطع الرائحة</w:t>
      </w:r>
      <w:r>
        <w:rPr>
          <w:rFonts w:eastAsia="Amiri" w:cs="Amiri" w:ascii="Amiri" w:hAnsi="Amiri"/>
          <w:color w:val="111111"/>
          <w:sz w:val="28"/>
          <w:szCs w:val="28"/>
          <w:rtl w:val="true"/>
          <w:lang w:bidi="ar-SA"/>
        </w:rPr>
        <w:t>»</w:t>
      </w:r>
      <w:r>
        <w:rPr>
          <w:rStyle w:val="FootnoteAnchor"/>
          <w:rtl w:val="true"/>
        </w:rPr>
        <w:footnoteReference w:id="31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في النهاية أنّه علّل الحكم بالتقدير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الإخراج عن الاسم سالب للطهوريّة، </w:t>
      </w:r>
    </w:p>
    <w:p>
      <w:pPr>
        <w:pStyle w:val="BookText"/>
        <w:rPr/>
      </w:pPr>
      <w:r>
        <w:rPr>
          <w:rFonts w:ascii="Amiri" w:hAnsi="Amiri" w:eastAsia="Amiri" w:cs="Amiri"/>
          <w:color w:val="111111"/>
          <w:sz w:val="28"/>
          <w:sz w:val="28"/>
          <w:szCs w:val="28"/>
          <w:rtl w:val="true"/>
          <w:lang w:bidi="ar-SA"/>
        </w:rPr>
        <w:t>و هذا الممازج لا يخرج عن الاسم بسبب الموافقة في الأوصاف، فيعتبر بغيره</w:t>
      </w:r>
      <w:r>
        <w:rPr>
          <w:rStyle w:val="FootnoteAnchor"/>
          <w:rtl w:val="true"/>
        </w:rPr>
        <w:footnoteReference w:id="3185"/>
      </w:r>
      <w:r>
        <w:rPr>
          <w:rFonts w:ascii="Amiri" w:hAnsi="Amiri" w:eastAsia="Amiri" w:cs="Amiri"/>
          <w:color w:val="111111"/>
          <w:sz w:val="28"/>
          <w:sz w:val="28"/>
          <w:szCs w:val="28"/>
          <w:rtl w:val="true"/>
          <w:lang w:bidi="ar-SA"/>
        </w:rPr>
        <w:t>كما يفعل في حكومات الجرائح</w:t>
      </w:r>
      <w:r>
        <w:rPr>
          <w:rFonts w:eastAsia="Amiri" w:cs="Amiri" w:ascii="Amiri" w:hAnsi="Amiri"/>
          <w:color w:val="111111"/>
          <w:sz w:val="28"/>
          <w:szCs w:val="28"/>
          <w:rtl w:val="true"/>
          <w:lang w:bidi="ar-SA"/>
        </w:rPr>
        <w:t>»</w:t>
      </w:r>
      <w:r>
        <w:rPr>
          <w:rStyle w:val="FootnoteAnchor"/>
          <w:rtl w:val="true"/>
        </w:rPr>
        <w:footnoteReference w:id="3186"/>
      </w:r>
      <w:r>
        <w:rPr>
          <w:rFonts w:ascii="Amiri" w:hAnsi="Amiri" w:eastAsia="Amiri" w:cs="Amiri"/>
          <w:color w:val="111111"/>
          <w:sz w:val="28"/>
          <w:sz w:val="28"/>
          <w:szCs w:val="28"/>
          <w:rtl w:val="true"/>
          <w:lang w:bidi="ar-SA"/>
        </w:rPr>
        <w:t>و إليه يرجع ما عن المحقّق الثاني في بعض فوائده من أنّه بعد ما اختار التقدير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الحكم لمّا كان دائرا مع بقاء اسم الماء مطلقا، و هو إنّما يعلم بالأوصاف، وجب تقدير بقائها قطعا كما يقدّر الحرّ عبدا في الحكومة</w:t>
      </w:r>
      <w:r>
        <w:rPr>
          <w:rFonts w:eastAsia="Amiri" w:cs="Amiri" w:ascii="Amiri" w:hAnsi="Amiri"/>
          <w:color w:val="111111"/>
          <w:sz w:val="28"/>
          <w:szCs w:val="28"/>
          <w:rtl w:val="true"/>
          <w:lang w:bidi="ar-SA"/>
        </w:rPr>
        <w:t>»</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التأمّل في هذه الكلمات و ما ذكر من التعليلات يعطي أنّهم متسالمون في أنّ العبرة في ترتيب الأحكام على المتخالطين إنّما هي بإطلاق الاسم عرفا، فما يطلق عليه اسم الماء عرفا يرتّب عليه أحكام الماء الّتي منها الطهوريّة، و ما يطلق عليه اسم المضاف خصوصا أو عموما يرتّب عليه أحكام المضاف الّتي منها عدم الطهوريّة، و أنّ ما اشتبه الحال فيه يرجع لاستعلام حكمه إلى الاصول، و ظاهر كلام الشيخ أنّ الأكثريّة في أحد المتخالطين ميزان لبقاء الاسم مطلقا كان أو مضافا، و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ما حصل بالاختلاط بالاسم الّذي هو للأكثر، أي لأكثرهما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التساوي فالميزان المميّز لأحد العنوانين مفقود، و معه يدخل الموضوع في عنوان المشتبه الّذي يرجع فيه إلى الاصول، و هذا المقدّر على ما يستفاد من الحكاية متّفق عليه بينه و بين ابن البرّاج، و اختلافهما راجع إلى تعيين الأصل الّذي يرجع إليه في مشتبه الحال، فرجّح الشيخ كونه أصل الإباحة القاضية بجواز الاستعمال، ثمّ جعل الجمع بين الاستعمال و التيمّم أحوط، و خالفه ابن البرّاج فرجّح الأصل كونه الاحتياط القاضي بالاجتناب و ترك الاستعمال</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مخالفة العلاّمة لهما ترجع إلى منع كون المفروض من صور الاشتباه الّذي يرجع فيه إلى الاصول، بناء على أنّ الاشتباه المسوّغ لذلك ما لم يكن إلى دفعه طريق و المقام ليس منه، لأنّ تقدير المخالفة في الأوصاف بين المتخالطين ثمّ حمل المفروض على ما يقتضيه اعتبار التقدير، من كونه من موارد إطلاق اسم المطلق أو من موارد إطلاق اسم المضاف طرق إلى رفع الاشتباه، و استعلام الحال في الواقع من إطلاق أحد الاسمين عرفا، فإنّ الاشتباه مانع للعرف عن الإطلاق و موجب للتوقّف ما دام هو موجودا، </w:t>
      </w:r>
    </w:p>
    <w:p>
      <w:pPr>
        <w:pStyle w:val="BookText"/>
        <w:rPr/>
      </w:pPr>
      <w:r>
        <w:rPr>
          <w:rFonts w:ascii="Amiri" w:hAnsi="Amiri" w:eastAsia="Amiri" w:cs="Amiri"/>
          <w:color w:val="111111"/>
          <w:sz w:val="28"/>
          <w:sz w:val="28"/>
          <w:szCs w:val="28"/>
          <w:rtl w:val="true"/>
          <w:lang w:bidi="ar-SA"/>
        </w:rPr>
        <w:t>و تقدير المخالفة بالمعنى المذكور رافع للمانع، فخلافه أعلى اللّه مقاماته إنّما هو في صغرى العمل بالاصول لا في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بيّنّاه ظهر أنّ ما ذكره شارح الدروس في ردّ كلام العلاّمة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اختاره العلاّمة من التقدير أمر لا مستند له أصلا لا شرعا و لا عقلا، و هل هو إلاّ مثل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جاور مضاف مطلقا و لم يخالطه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يقدّر بأنّه لو خالطه هل يخرجه عن الإطلاق أم لا؟ كيف و بناء الأحكام على الأسماء، فإذا أمر بالماء و فرض أنّه يصدق على شيء بالفعل أنّه ماء فلا شكّ أنّه يجوز الطهارة به إلى آخره</w:t>
      </w:r>
      <w:r>
        <w:rPr>
          <w:rFonts w:eastAsia="Amiri" w:cs="Amiri" w:ascii="Amiri" w:hAnsi="Amiri"/>
          <w:color w:val="111111"/>
          <w:sz w:val="28"/>
          <w:szCs w:val="28"/>
          <w:rtl w:val="true"/>
          <w:lang w:bidi="ar-SA"/>
        </w:rPr>
        <w:t>»</w:t>
      </w:r>
      <w:r>
        <w:rPr>
          <w:rStyle w:val="FootnoteAnchor"/>
          <w:rtl w:val="true"/>
        </w:rPr>
        <w:footnoteReference w:id="3188"/>
      </w:r>
      <w:r>
        <w:rPr>
          <w:rFonts w:ascii="Amiri" w:hAnsi="Amiri" w:eastAsia="Amiri" w:cs="Amiri"/>
          <w:color w:val="111111"/>
          <w:sz w:val="28"/>
          <w:sz w:val="28"/>
          <w:szCs w:val="28"/>
          <w:rtl w:val="true"/>
          <w:lang w:bidi="ar-SA"/>
        </w:rPr>
        <w:t>أجنبيّ عن هذا المقام بالمرّة، فإنّ العلاّمة أو غيره لا ينكر كون بناء الأحكام على الأسماء، بل الداعي إلى اعتباره التقدير إنّما هو هذه المقدّمة، لأنّه يرى استعلام الاسم متوقّفا على التقدير المذكور، و أنّ بدونه لم يتبيّن الاسم ليرتّب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تنظير مورد كلامه بما ذكره من المثال ليس على ما ينبغي، بل هو بالقياس إلى العلاّمة و أحزابه سوء أدب جزما، كيف و لا اشتباه فيما ذكره و معه لا داعي إلى اعتبار التقدير و إلاّ يؤدّي إلى السفه، بخلاف المقام الّذي هو مورد كلام العلاّمة، فإنّه مقام الاشتباه و الصدق العرفي لأحد الاسمين بدون الطريق المذكور و ما يجري مجراه مجهول، لا علينا فقط بل على العرف أيضا، فإنّ الاشتباه حاصل لأهل العرف، فإنّهم يتوقّفون في إطلاق أحد الاسمين حتّى يرتفع الاشتباه</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 من أنّه إذا أمر بالماء و فرض أنّه يصدق بالفعل على شيء أنّه ماء فلا شكّ أنّه يجوز الطهارة به حقّ، لكن المقام ليس منه، إذ لا صدق للاسم بالفعل ما دام الاشتباه باقيا، هذا إذا كان العبرة بصدقه عند العالمين بالحال و المطّلعين على الاختلاط المفروض في محلّ المقال، و أمّا إذا كان النظر إلى صدقه عند الجاهلين الغير المطّلعين على حقيقة الحال فالصدق عندهم ما دام الجهل و إن كان مسلّما لكنّه لا عبرة به أصلا، و إلاّ فهذا الصدق حاصل عندهم في المضاف الخالص المسلوب عنه الصفات كماء الورد المنقطع الرائحة، فإنّه بحيث لو رآه كلّ من لا يعلم بأصله يحكم عليه بأنّه ماء، و يرتّب عليه أحكام الماء، فيجب متابعته و الأخذ بقضيّة الصدق عنده، و أنّه باطل </w:t>
      </w:r>
    </w:p>
    <w:p>
      <w:pPr>
        <w:pStyle w:val="BookText"/>
        <w:rPr/>
      </w:pPr>
      <w:r>
        <w:rPr>
          <w:rFonts w:ascii="Amiri" w:hAnsi="Amiri" w:eastAsia="Amiri" w:cs="Amiri"/>
          <w:color w:val="111111"/>
          <w:sz w:val="28"/>
          <w:sz w:val="28"/>
          <w:szCs w:val="28"/>
          <w:rtl w:val="true"/>
          <w:lang w:bidi="ar-SA"/>
        </w:rPr>
        <w:t>بديهة، و ليس الاكتفاء بالصدق عند الجاهلين بالحال مع تحقّق علمنا بالحال إلاّ كالاكتفاء بصدق اسم الماء على ما نعلم كونه خمرا عند من يجهله، فيجوز شربه و استعماله في كلّ مشروط بالمطلق الطاهر و 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 ما لو كان هناك ماء نعلم بأنّ له حالة سابقة و هي النجاسة و وجده من لا يعلم له بهذه الحالة، فإنّه حينئذ بمقتضى الأصل المقرّر للجاهل الابتدائي يبني على الطهارة و يرتّب عليه أحكامها، و ليس لنا ذلك اتّباعا له بل تكليفنا البناء على النجاسة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من الاعتراض في غاية الضعف و السقوط، و لنرجع إلى تحقيق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ما نقل من كلماتهم تعطي كون الكلام في حالة الضرورة و الاضطرار إلى استعمال هذا الشيء الحاصل بالاختلاط، و إلاّ لم يكن للحكم على كون الجمع بين الاستعمال و التيمّم أحوط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أنّه ليس شيء من الأصلين المتمسّك بهما في كلامي الشيخ و ابن البرّاج في محلّه، أمّا ما تمسّك به الشيخ فليس المقام من مواضع اشتباه التكليف المحتمل للحرمة حتّى يرجع فيه إلى أصل الإباحة، بل الاشتباه إنّما هو باعتبار الوضع و هو صحّة هذا الاستعمال و ترتّب الآثار الشرعيّة عليه من زوال نجاسة أو ارتفاع حدث، و أصل الإباحة لا ينفع في ذلك شيئا، بل المقام في موارد الاستصحاب القاضي هنا ببقاء كلّ من النجاسة و الحدث، و الحرمة التشريعيّة الّتي تتأتّى في استعمال المضاف مع العلم بإضافته في التطهيرات لا تتأتّى هنا أيضا، لأنّه لا يستعمله على أنّه مضاف و إنّما يستعمله لرجاء كونه مطلقا</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تمسّك به ابن البرّاج فلأنّ الاحتياط المذكور يعارضه الاحتياط المقتضي للاستعمال، و ذلك لأنّ المقام لكونه مقام ضرورة بالنسبة إلى استعمال ذلك فالأمر دائر بين التكليف بالمائيّة و التكليف بالترابيّة، لأنّ الأوّل مشروط بوجدان الماء و الثاني مشروط بفقدانه، و لا ريب أنّ الشكّ في الشرط يستلزم الشكّ في المشروط، فكما أنّ الاقتصار على استعمال هذا الشيء خلاف الاحتياط لاحتمال كونه في الواقع مضافا، </w:t>
      </w:r>
    </w:p>
    <w:p>
      <w:pPr>
        <w:pStyle w:val="BookText"/>
        <w:rPr/>
      </w:pPr>
      <w:r>
        <w:rPr>
          <w:rFonts w:ascii="Amiri" w:hAnsi="Amiri" w:eastAsia="Amiri" w:cs="Amiri"/>
          <w:color w:val="111111"/>
          <w:sz w:val="28"/>
          <w:sz w:val="28"/>
          <w:szCs w:val="28"/>
          <w:rtl w:val="true"/>
          <w:lang w:bidi="ar-SA"/>
        </w:rPr>
        <w:t>فكذلك العدول إلى التيمّم أيضا خلاف الاحتياط، لجواز كون ذلك مطلقا في الواقع، و مقتضى العمل على الاحتياطين الجمع بين الأمرين حسبما ذكره الشيخ أخيرا، لا الاجتناب عن استعمال ذلك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يبقى الكلام بعد ما أمكن الاحتياط بالجمع فيما ذكره العلاّمة من اعتبار التقدير استعلاما للحال و رفعا للاشتباه الّذي هو مناط الاحتياط بناء على إمكانه، و جواز ذلك كما ترى ممّا لا إشكال فيه و لا خلاف، بل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 وجوبه، و لمّا كان المقام ممّا أمكن فيه الامتثال العلمي و كان دائرا بين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اوتي بشيء على أنّه بعينه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اوتي بأشياء على أنّ المأمور به فيها مردّد بينها، بأن يكون الإتيان بكلّ واحد على أنّه أحد الامور المردّد فيها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يرجع إلى أنّ المعتبر في مورد إمكان الامتثال العلمي هل هو الامتثال التفصيلى، و لا يجوز العدول إلى الامتثال الإجمالي إلاّ مع تعذّر الامتثال التفصيلي أو لا؟ بل يجوز الاكتفاء بالامتثال الإجمالي أيضا، على معنى ثبوت التخيير بين الامتثالين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اصوليّة و فيها وجهان بل قولان و تحقيقها موكول إلى محلّه، و مجمل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يساعد عليه النظر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التفصيلي متعيّن ما دام ممكنا، عملا بأصل الشغل السليم هنا عن المعارض، بناء على ما هو الراجح من كون الامتثال اللازم في الأوامر من قبيل الأغراض لا من قيود المأمور به حتّى يدفع احتمال مدخليّة التفصيل و كونه معتبرا مع المأمور به بإطلاق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كان الأقوى في المقام ما ذهب إليه العلاّمة و من وافقه كالشهيد رحمه اللّه في الدروس</w:t>
      </w:r>
      <w:r>
        <w:rPr>
          <w:rStyle w:val="FootnoteAnchor"/>
          <w:rtl w:val="true"/>
        </w:rPr>
        <w:footnoteReference w:id="3189"/>
      </w:r>
      <w:r>
        <w:rPr>
          <w:rFonts w:ascii="Amiri" w:hAnsi="Amiri" w:eastAsia="Amiri" w:cs="Amiri"/>
          <w:color w:val="111111"/>
          <w:sz w:val="28"/>
          <w:sz w:val="28"/>
          <w:szCs w:val="28"/>
          <w:rtl w:val="true"/>
          <w:lang w:bidi="ar-SA"/>
        </w:rPr>
        <w:t>، و المحقّق الثاني في بعض فوائده</w:t>
      </w:r>
      <w:r>
        <w:rPr>
          <w:rStyle w:val="FootnoteAnchor"/>
          <w:rtl w:val="true"/>
        </w:rPr>
        <w:footnoteReference w:id="3190"/>
      </w:r>
      <w:r>
        <w:rPr>
          <w:rFonts w:ascii="Amiri" w:hAnsi="Amiri" w:eastAsia="Amiri" w:cs="Amiri"/>
          <w:color w:val="111111"/>
          <w:sz w:val="28"/>
          <w:sz w:val="28"/>
          <w:szCs w:val="28"/>
          <w:rtl w:val="true"/>
          <w:lang w:bidi="ar-SA"/>
        </w:rPr>
        <w:t>من اعتبار التقدير و وجوبه، إذ به يحصل الامتثال العلمي التفصيلي، و ما يحصل من الامتثال بالاحتياط المقتضي للجمع و إن كان علميّا لكنّه إجماليّ ينفي جواز الاكتفاء به بأصل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كلام جماعة من أنّ هذا القول ممّا لا دليل عليه من عقل و لا شرع كلام خال عن التحصيل</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 العلاّمة أنّه اعتبر تقدير الوصف في كثير من كتبه و لم يتعرّض لبيان الوصف </w:t>
      </w:r>
    </w:p>
    <w:p>
      <w:pPr>
        <w:pStyle w:val="BookText"/>
        <w:rPr/>
      </w:pPr>
      <w:r>
        <w:rPr>
          <w:rFonts w:ascii="Amiri" w:hAnsi="Amiri" w:eastAsia="Amiri" w:cs="Amiri"/>
          <w:color w:val="111111"/>
          <w:sz w:val="28"/>
          <w:sz w:val="28"/>
          <w:szCs w:val="28"/>
          <w:rtl w:val="true"/>
          <w:lang w:bidi="ar-SA"/>
        </w:rPr>
        <w:t>المقدّر، من حيث إنّه يختلف بالشدّة و الضعف و التوسّط بينهما، فهل المعتبر تقدير الأشدّ أو الأضعف أو الوسط؟ لكن عن المحقّق الثاني</w:t>
      </w:r>
      <w:r>
        <w:rPr>
          <w:rStyle w:val="FootnoteAnchor"/>
          <w:rtl w:val="true"/>
        </w:rPr>
        <w:footnoteReference w:id="3191"/>
      </w:r>
      <w:r>
        <w:rPr>
          <w:rFonts w:ascii="Amiri" w:hAnsi="Amiri" w:eastAsia="Amiri" w:cs="Amiri"/>
          <w:color w:val="111111"/>
          <w:sz w:val="28"/>
          <w:sz w:val="28"/>
          <w:szCs w:val="28"/>
          <w:rtl w:val="true"/>
          <w:lang w:bidi="ar-SA"/>
        </w:rPr>
        <w:t>أنّه حكى عنه</w:t>
      </w:r>
      <w:r>
        <w:rPr>
          <w:rStyle w:val="FootnoteAnchor"/>
          <w:rtl w:val="true"/>
        </w:rPr>
        <w:footnoteReference w:id="3192"/>
      </w:r>
      <w:r>
        <w:rPr>
          <w:rFonts w:ascii="Amiri" w:hAnsi="Amiri" w:eastAsia="Amiri" w:cs="Amiri"/>
          <w:color w:val="111111"/>
          <w:sz w:val="28"/>
          <w:sz w:val="28"/>
          <w:szCs w:val="28"/>
          <w:rtl w:val="true"/>
          <w:lang w:bidi="ar-SA"/>
        </w:rPr>
        <w:t>أنّه قال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التقدير على وجه تكون المخالفة وسطا، و لا يقدّر الأوصاف الّتي كانت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في الذكرى الموافقة له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يعتبر الوسط في المخالفة، فلا يعتبر في الطعم حدّة الخلّ، و لا في الرائحة ذكاء المسك، و ينبغي اعتبار صفات الماء من العذوبة و الرقّة و الصفاء و أضدادها</w:t>
      </w:r>
      <w:r>
        <w:rPr>
          <w:rFonts w:eastAsia="Amiri" w:cs="Amiri" w:ascii="Amiri" w:hAnsi="Amiri"/>
          <w:color w:val="111111"/>
          <w:sz w:val="28"/>
          <w:szCs w:val="28"/>
          <w:rtl w:val="true"/>
          <w:lang w:bidi="ar-SA"/>
        </w:rPr>
        <w:t>»</w:t>
      </w:r>
      <w:r>
        <w:rPr>
          <w:rStyle w:val="FootnoteAnchor"/>
          <w:rtl w:val="true"/>
        </w:rPr>
        <w:footnoteReference w:id="31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المحقّق المذكور تعليل ما استوجهه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بعد زوال تلك الأوصاف صارت هي و غيرها على حدّ سواء، فيجب رعاية الوسط، لأنّه الأغلب، أو للتبادر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قلنا إنّ الزائل هنا لا ينظر إليه بعد الزوال، لأنّه لو كان المضاف في غاية المخالفة في أوصافه فنقصت مخالفته لم يعتبر ذلك القدر الناقص، فكذا لو زالت أصلا و رأسا</w:t>
      </w:r>
      <w:r>
        <w:rPr>
          <w:rFonts w:eastAsia="Amiri" w:cs="Amiri" w:ascii="Amiri" w:hAnsi="Amiri"/>
          <w:color w:val="111111"/>
          <w:sz w:val="28"/>
          <w:szCs w:val="28"/>
          <w:rtl w:val="true"/>
          <w:lang w:bidi="ar-SA"/>
        </w:rPr>
        <w:t>»</w:t>
      </w:r>
      <w:r>
        <w:rPr>
          <w:rStyle w:val="FootnoteAnchor"/>
          <w:rtl w:val="true"/>
        </w:rPr>
        <w:footnoteReference w:id="31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النظر إلى كلامه الأخير يقتضي كون المقدّر هو أقلّ ما يتحقّق به الوصف لا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المخالفة كما فرضه لو انتهى إلى حدّ لم يبق معه إلاّ أقلّ ما يصدق به المسمّى لم يؤثّر ذلك النقصان، و لا اعتبر مع الوصف الباقي أمر آخر، فكذا مع زوال الوصف من أصله، و اعتبار الأغلبيّة و التبادر هنا ممّا لا وجه له</w:t>
      </w:r>
      <w:r>
        <w:rPr>
          <w:rFonts w:eastAsia="Amiri" w:cs="Amiri" w:ascii="Amiri" w:hAnsi="Amiri"/>
          <w:color w:val="111111"/>
          <w:sz w:val="28"/>
          <w:szCs w:val="28"/>
          <w:rtl w:val="true"/>
          <w:lang w:bidi="ar-SA"/>
        </w:rPr>
        <w:t>»</w:t>
      </w:r>
      <w:r>
        <w:rPr>
          <w:rStyle w:val="FootnoteAnchor"/>
          <w:rtl w:val="true"/>
        </w:rPr>
        <w:footnoteReference w:id="31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 كلّ من التعليل و الاعتذار و تحقيق المعتبر</w:t>
      </w:r>
      <w:r>
        <w:rPr>
          <w:rStyle w:val="FootnoteAnchor"/>
          <w:rtl w:val="true"/>
        </w:rPr>
        <w:footnoteReference w:id="3196"/>
      </w:r>
      <w:r>
        <w:rPr>
          <w:rFonts w:ascii="Amiri" w:hAnsi="Amiri" w:eastAsia="Amiri" w:cs="Amiri"/>
          <w:color w:val="111111"/>
          <w:sz w:val="28"/>
          <w:sz w:val="28"/>
          <w:szCs w:val="28"/>
          <w:rtl w:val="true"/>
          <w:lang w:bidi="ar-SA"/>
        </w:rPr>
        <w:t>،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التسوية بين الوصف الزائل و غيره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إلى القياس مع توجّه المنع إلى الحكم في المقيس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يتّضح بعد ذلك</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الداعي إلى اعتبار التقدير إنّما هو استعلام كون </w:t>
      </w:r>
    </w:p>
    <w:p>
      <w:pPr>
        <w:pStyle w:val="BookText"/>
        <w:rPr/>
      </w:pPr>
      <w:r>
        <w:rPr>
          <w:rFonts w:ascii="Amiri" w:hAnsi="Amiri" w:eastAsia="Amiri" w:cs="Amiri"/>
          <w:color w:val="111111"/>
          <w:sz w:val="28"/>
          <w:sz w:val="28"/>
          <w:szCs w:val="28"/>
          <w:rtl w:val="true"/>
          <w:lang w:bidi="ar-SA"/>
        </w:rPr>
        <w:t>هذا الشيء ممّا سلب عنه الإطلاق لئلاّ يجوز استعماله في التطهير، أو سلب عنه الإضافة ليجوز استعماله في التطهير، و من المعلوم أنّ معنى سلب الإطلاق و سلب الإضافة المحتملين هنا بحسب الواقع انقلاب ماهيّة أحد المختلطين بالآخر، لا مجرّد تغيّر وصف أحدهما بوصف الآخر، أو بقائه على وصفه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فالمضاف إذا كان على الوصف الأضعف فربّما لا يوجب لضعف وصفه تغيّر وصف المطلق مع احتمال سلب الإطلاق في الواقع، كما أنّه إذا كان على الوصف الأشدّ فربّما يوجب بشدّة وصفه تغيّر وصف المطلق مع احتمال بقاء الإطلاق السالب لإضافة المضاف بحسب الواقع، و إنّما يعلم هذا الاختلاف فيما بين الظاهر و الواقع في كلّ من القسمين بفرض مضاف آخر متوسّط الوصف متساوي المقدار للمفروض، مختلطا بمثل ما اختلط به الأوّل من الماء في المقدار، فإن خالف الأوّل في التأثير و الاقتضاء كشف عن كون ما اقتضاه الأوّل من البقاء على الوصف الأصلي أو الخروج عنه مستند إلى الوصف القائم به من جهة ضعفه أو شدّته، لا إلى ذاته الموجبة عند التأثير لانقلاب الماهيّة، لاستحالة الاختلاف بينهما في الاقتضاء و التأثير، مع اتّحاد الذات فيهما و مساواتهما فيما يرجع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فرضنا ثلاثة أمداد من ماء الورد أحدهما شديد الرائحة و الآخر متوسّطها و الثالث ضعيفها، فامتزج كلّ واحد بمدّ من ماء مثلا، فإن تغيّر وصفه على الأوّلين دون الأخير كشف ذلك عن سلب الإطلاق في الواقع في كلّ من الثلاث؛ و أنّ بقاء الأخير على وصفه الأصلي إنّما هو لضعف ممزوجه في الوصف لا في الاقتضاء المستند إلى ذاته في ذلك الفرض؛ و إن تغيّر وصفه على الأوّل دون الأخير كشف ذلك عن بقاء الإطلاق الواقعي في جميع الثلاث؛ و أنّ خروج الأوّل عن وصفه الأصلي إنّما هو لأجل شدّة ممزوجه في الوصف لا في الاقتضاء المستند إلى ذاته في هذا الفرض</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نتيجة هذا الاختلاف أنّ الوصف إذا كان ضعيفا فله تأثير في عدم تغيّر الوصف و إن انقلبت معه الماهيّة، و إذا كان شديدا فله تأثير في تغيّر الوصف و إن لم تنقلب معه الماهيّة، و عليه فلا عبرة بالأوصاف الضعيفة و لا الأوصاف الشديدة، بل المعتبر هو الأوصاف المتوسّطة، لأنّ الوصف المتوسّط على البيان المذكور لا بدّ و أن يغاير </w:t>
      </w:r>
      <w:bookmarkStart w:id="1021" w:name="pg16144_233741"/>
    </w:p>
    <w:p>
      <w:pPr>
        <w:pStyle w:val="BookText"/>
        <w:rPr/>
      </w:pPr>
      <w:bookmarkEnd w:id="1021"/>
      <w:r>
        <w:rPr>
          <w:rFonts w:ascii="Amiri" w:hAnsi="Amiri" w:eastAsia="Amiri" w:cs="Amiri"/>
          <w:color w:val="111111"/>
          <w:sz w:val="28"/>
          <w:sz w:val="28"/>
          <w:szCs w:val="28"/>
          <w:rtl w:val="true"/>
          <w:lang w:bidi="ar-SA"/>
        </w:rPr>
        <w:t>القسمين، و لا يعقل المغايرة إلاّ بأن لا يكون بنفسه مؤثّرا لا في التغيّر و لا في عدمه مخالفا لما أثّرته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امتزج ذو الوصف المتوسّط بالمطلق و صادف امتزاجه لتغيّر المطلق كشف ذلك عن انقلاب الماهيّة و سلب إطلاقه بحسب الواقع، و كونه مستندا إلى ذات ذي الوصف لا إلى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لزوم تقدير الوصف المتوسّط في محلّ البحث لا الوصف الزائل، ضعيفا كان أو شديدا، إذ معه يحصل التغيّر السالب للإطلاق المصادف لانقلاب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ذلك أنّ الأقوى ما صار إليه الجماعة، و أنّ القول بلزوم تقدير أقلّ ما يتحقّق به مسمّى الوصف كالقول بأنّ تقدير الوصف المتوسّط لا دليل عليه ضعيف، كيف و هذا من مقتضى الاحتياط و أصل الشغل الّذي قرّرناه دليلا على وجوب التقدير خروجا عن شبهة بقاء الإطلاق المانع عن التيمّم أو زواله المسوّغ له، بل مقتضى هذا الاحتياط العدول إلى تقدير الوصف المتوسّط فيما له وصف محقّق شديد أو ضعيف، و إن لم نقف على القول به من الأصحاب كما لا يخفى،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1805138_1280447820"/>
      <w:bookmarkStart w:id="1023" w:name="_Toc400"/>
      <w:bookmarkEnd w:id="1022"/>
      <w:r>
        <w:rPr>
          <w:rtl w:val="true"/>
        </w:rPr>
        <w:t>المبحث السادس</w:t>
      </w:r>
      <w:r>
        <w:rPr>
          <w:rtl w:val="true"/>
        </w:rPr>
        <w:t xml:space="preserve">: </w:t>
      </w:r>
      <w:r>
        <w:rPr>
          <w:rtl w:val="true"/>
        </w:rPr>
        <w:t>لو كان مع المكلّف من المطلق ما لا يكفيه للطهارة و أمكن إتمامه بمضاف على وجه لا يسلبه الإطلاق،</w:t>
      </w:r>
      <w:bookmarkEnd w:id="1023"/>
    </w:p>
    <w:p>
      <w:pPr>
        <w:pStyle w:val="BookText"/>
        <w:rPr/>
      </w:pPr>
      <w:r>
        <w:rPr>
          <w:rFonts w:ascii="Amiri" w:hAnsi="Amiri" w:eastAsia="Amiri" w:cs="Amiri"/>
          <w:color w:val="111111"/>
          <w:sz w:val="28"/>
          <w:sz w:val="28"/>
          <w:szCs w:val="28"/>
          <w:rtl w:val="true"/>
          <w:lang w:bidi="ar-SA"/>
        </w:rPr>
        <w:t>فعن الشيخ عدم وجوب ذلك</w:t>
      </w:r>
      <w:r>
        <w:rPr>
          <w:rStyle w:val="FootnoteAnchor"/>
          <w:rtl w:val="true"/>
        </w:rPr>
        <w:footnoteReference w:id="3197"/>
      </w:r>
      <w:r>
        <w:rPr>
          <w:rFonts w:ascii="Amiri" w:hAnsi="Amiri" w:eastAsia="Amiri" w:cs="Amiri"/>
          <w:color w:val="111111"/>
          <w:sz w:val="28"/>
          <w:sz w:val="28"/>
          <w:szCs w:val="28"/>
          <w:rtl w:val="true"/>
          <w:lang w:bidi="ar-SA"/>
        </w:rPr>
        <w:t>، و خالفه العلاّمة فرجّح وجوبه</w:t>
      </w:r>
      <w:r>
        <w:rPr>
          <w:rStyle w:val="FootnoteAnchor"/>
          <w:rtl w:val="true"/>
        </w:rPr>
        <w:footnoteReference w:id="3198"/>
      </w:r>
      <w:r>
        <w:rPr>
          <w:rFonts w:ascii="Amiri" w:hAnsi="Amiri" w:eastAsia="Amiri" w:cs="Amiri"/>
          <w:color w:val="111111"/>
          <w:sz w:val="28"/>
          <w:sz w:val="28"/>
          <w:szCs w:val="28"/>
          <w:rtl w:val="true"/>
          <w:lang w:bidi="ar-SA"/>
        </w:rPr>
        <w:t>، و تبعه المحقّق الثاني</w:t>
      </w:r>
      <w:r>
        <w:rPr>
          <w:rStyle w:val="FootnoteAnchor"/>
          <w:rtl w:val="true"/>
        </w:rPr>
        <w:footnoteReference w:id="3199"/>
      </w:r>
      <w:r>
        <w:rPr>
          <w:rFonts w:ascii="Amiri" w:hAnsi="Amiri" w:eastAsia="Amiri" w:cs="Amiri"/>
          <w:color w:val="111111"/>
          <w:sz w:val="28"/>
          <w:sz w:val="28"/>
          <w:szCs w:val="28"/>
          <w:rtl w:val="true"/>
          <w:lang w:bidi="ar-SA"/>
        </w:rPr>
        <w:t>، و بعض من لا تحصيل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معه رطلان من المطلق و يفتقر في طهارته إلى ثلاثة أرطال مثلا و معه ماء الورد إذا مزجه بالمطلق لم يسلبه الإطلاق،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يجوز استعماله و ليس واجبا، بل يكون فرضه التيمّم، لأنّه ليس معه من الماء ما يكفيه لطهارته</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عندي ضعيف لاستلزامه التنافي بين الحكمين، فإنّ جواز الاستعمال يستلزم وجوب المزج، لأنّ الاستعمال إنّما يجوز بالمطلق، فإن كان هذا الاسم صادقا عليه بعد المزج وجب المزج، لأنّ الطهارة بالمطلق واجبة مع المكنة، و لا يتمّ إلاّ بالمزج، و ما لا يتمّ الواجب إلاّ به فهو واجب، و إن كذّب الإطلاق عليه لم يجز استعماله </w:t>
      </w:r>
    </w:p>
    <w:p>
      <w:pPr>
        <w:pStyle w:val="BookText"/>
        <w:rPr/>
      </w:pPr>
      <w:r>
        <w:rPr>
          <w:rFonts w:ascii="Amiri" w:hAnsi="Amiri" w:eastAsia="Amiri" w:cs="Amiri"/>
          <w:color w:val="111111"/>
          <w:sz w:val="28"/>
          <w:sz w:val="28"/>
          <w:szCs w:val="28"/>
          <w:rtl w:val="true"/>
          <w:lang w:bidi="ar-SA"/>
        </w:rPr>
        <w:t>في الطهارة و يكون خلاف الفرض، فظهر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المزج إن بقي الإطلاق، و المنع من الاستعمال إن لم يبق</w:t>
      </w:r>
      <w:r>
        <w:rPr>
          <w:rFonts w:eastAsia="Amiri" w:cs="Amiri" w:ascii="Amiri" w:hAnsi="Amiri"/>
          <w:color w:val="111111"/>
          <w:sz w:val="28"/>
          <w:szCs w:val="28"/>
          <w:rtl w:val="true"/>
          <w:lang w:bidi="ar-SA"/>
        </w:rPr>
        <w:t>»</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بعد التأمّل في سوق ما نقله عن الشيخ تعرف عدم التنافي بين ما ذكره من الحكمين، فإنّ استعمال المضاف المحكوم عليه بجوازه المتعقّب للحكم بعدم وجوبه ليس مرادا به الاستعمال في الطهارة، حتّى يرد عليه ما ذكر، بل المراد به استعماله في المزج فإنّه جائز و ليس بواجب، لا أنّ استعماله منفردا في الطهارة جائز، و لا أنّ استعماله مركّبا مع المطلق بلا سلبه الإطلاق ليس بواجب، فإنّ كلاّ من ذلك باطل جدّا، فلا تنافي بين الحكمين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رجّحه من وجوب المزج، فأجاب عنه ابنه فخر المحقّقين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الطهارة واجب مشروط بوجود الماء و التمكّن منه، فلا يجب إيجاده لأنّ شرط الواجب المشروط غير واجب</w:t>
      </w:r>
      <w:r>
        <w:rPr>
          <w:rFonts w:eastAsia="Amiri" w:cs="Amiri" w:ascii="Amiri" w:hAnsi="Amiri"/>
          <w:color w:val="111111"/>
          <w:sz w:val="28"/>
          <w:szCs w:val="28"/>
          <w:rtl w:val="true"/>
          <w:lang w:bidi="ar-SA"/>
        </w:rPr>
        <w:t>»</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بصدق الوجدان فيما نحن فيه، و ليس وجدانه هنا بأبعد من الوجدان فيما إذا أمكن حفر بئر مثلا، و الظاهر أنّه لا نزاع أنّه إذا أمكن حفر بئر مثلا لتحصيل الماء لوجب، فلم لم يحكم بالوجوب هنا و التفرقة خلاف ما يحكم به الوجدان</w:t>
      </w:r>
      <w:r>
        <w:rPr>
          <w:rFonts w:eastAsia="Amiri" w:cs="Amiri" w:ascii="Amiri" w:hAnsi="Amiri"/>
          <w:color w:val="111111"/>
          <w:sz w:val="28"/>
          <w:szCs w:val="28"/>
          <w:rtl w:val="true"/>
          <w:lang w:bidi="ar-SA"/>
        </w:rPr>
        <w:t>»</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الثاني أنّه ردّه في جامع المقاصد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بإيجاد الماء ما لا يدخل تحت قدرة المكلّف، فاشتراط الأمر بالطهارة به حقّ و لا يضرّنا، و إن أراد به الأعمّ فليس بجيّد، إذ لا دليل يدلّ على ذلك، و الإيجاد المتنازع فيه معلوم كونه مقدورا للمكلّف، و الأمر بالطهارة خال عن الاشتراط، فلا يجوز تقييده إلاّ بدليل</w:t>
      </w:r>
      <w:r>
        <w:rPr>
          <w:rFonts w:eastAsia="Amiri" w:cs="Amiri" w:ascii="Amiri" w:hAnsi="Amiri"/>
          <w:color w:val="111111"/>
          <w:sz w:val="28"/>
          <w:szCs w:val="28"/>
          <w:rtl w:val="true"/>
          <w:lang w:bidi="ar-SA"/>
        </w:rPr>
        <w:t>»</w:t>
      </w:r>
      <w:r>
        <w:rPr>
          <w:rStyle w:val="FootnoteAnchor"/>
          <w:rtl w:val="true"/>
        </w:rPr>
        <w:footnoteReference w:id="32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نظره في منع اشتراط الأمر بالطهارة إلى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Style w:val="FootnoteAnchor"/>
          <w:rtl w:val="true"/>
        </w:rPr>
        <w:footnoteReference w:id="320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وجبت الصلاة و الطهور</w:t>
      </w:r>
      <w:r>
        <w:rPr>
          <w:rFonts w:eastAsia="Amiri" w:cs="Amiri" w:ascii="Amiri" w:hAnsi="Amiri"/>
          <w:color w:val="111111"/>
          <w:sz w:val="28"/>
          <w:szCs w:val="28"/>
          <w:rtl w:val="true"/>
          <w:lang w:bidi="ar-SA"/>
        </w:rPr>
        <w:t>»</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ضعف كلّ من الردّين، أمّا ما ردّه شارح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صدق الوجدان </w:t>
      </w:r>
    </w:p>
    <w:p>
      <w:pPr>
        <w:pStyle w:val="BookText"/>
        <w:rPr/>
      </w:pPr>
      <w:r>
        <w:rPr>
          <w:rFonts w:ascii="Amiri" w:hAnsi="Amiri" w:eastAsia="Amiri" w:cs="Amiri"/>
          <w:color w:val="111111"/>
          <w:sz w:val="28"/>
          <w:sz w:val="28"/>
          <w:szCs w:val="28"/>
          <w:rtl w:val="true"/>
          <w:lang w:bidi="ar-SA"/>
        </w:rPr>
        <w:t>فيما نحن فيه، فإنّ العبرة إنّما هو بصدق وجدان الماء لا ما يؤول إلى الماء، فإنّ الماء اسم لما تلبّس بمبدإ المائيّة فعلا، و المفروض ليس من هذا الباب، بل هو آئل إلى المتلبّس بالمبدإ على تقدير لحوق المزج، و بذلك يظهر التفرقة بينه و بين حفر البئر إخراجا للماء، لأنّه طلب للمتلبّس بالمبدإ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ينظر ما عن بعض المحقّقين من أنّ صدق الوجدان على ما نحن فيه عرفا غير مسلّم، و جعله كحفر البئر على تقدير تسليم صدق الوجدان عنده قياس مع الفارق، فإنّ الماء هنا موجود بالفعل و الحفر للتوصّل إليه بخلاف ما نحن فيه، فإنّه معدوم الحقيقة و المزج إيجاد لها كنفس الاستطاعة 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و الرواية و غيرهما و إن كانت مطلقة و لكن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3206"/>
      </w:r>
      <w:r>
        <w:rPr>
          <w:rFonts w:ascii="Amiri" w:hAnsi="Amiri" w:eastAsia="Amiri" w:cs="Amiri"/>
          <w:color w:val="111111"/>
          <w:sz w:val="28"/>
          <w:sz w:val="28"/>
          <w:szCs w:val="28"/>
          <w:rtl w:val="true"/>
          <w:lang w:bidi="ar-SA"/>
        </w:rPr>
        <w:t>مقيّد، ضرورة أنّ تقيّد الأمر بالتيمّم بعدم وجدان الماء يقضي بتقييد الأمر بالوضوء بوجدانه، فيقيّد بها ما ذكر من المطلقات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الآية للإطلاق متوقّف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 مع بقاء الآية على إطلاقها، و لا ريب أنّه ليس بممكن، لأنّا نرى تحقّق وجدان الماء بالفعل مع حرمة الوضوء لمانع شرعي كخوف الضرر من استعماله و نحوه، و نرى عدم تحقّقه كالفاقد له المتمكّن عن حفر البئر و نحوه لتحصيله مع وجوب الوضوء به، فلا بدّ حينئذ من التجوّز في الآية، و هو إمّا بالتقييد لمنطوقها و مفهومها لوجوب استثناء ما عرفت من الصور، فيرد ما ذكرت حينئذ من كون التقييد بالوجدان موجبا لتقييد تلك الإطلاقات، و مقتضاه عدم وجوب 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بحمل الوجدان على التمكّن و الاقتدار مجازا، فلا يرد بذلك حينئذ عدم وجوب المزج لمكان التقييد بالقدرة و هي متحقّقة في المقام، فالوضوء حينئذ واجب لتحقّق شرط وجوبه، و هو يستلزم وجوب المزج لأنّ ما لا يتمّ الواجب إلاّ به واجب</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يتمكّن المكلّف من المزج المذكور سقط عنه الوضوء بحكم الآية، لأنّه يكون من باب الواجب المشروط المنتفي شرطه، و لكن لمّا كان المفروض تحقّق القدرة الّتي هي شرط التكليف بالفرض بقيت تلك الإطلاقات الدالّة على الوجوب على </w:t>
      </w:r>
    </w:p>
    <w:p>
      <w:pPr>
        <w:pStyle w:val="BookText"/>
        <w:rPr/>
      </w:pPr>
      <w:r>
        <w:rPr>
          <w:rFonts w:ascii="Amiri" w:hAnsi="Amiri" w:eastAsia="Amiri" w:cs="Amiri"/>
          <w:color w:val="111111"/>
          <w:sz w:val="28"/>
          <w:sz w:val="28"/>
          <w:szCs w:val="28"/>
          <w:rtl w:val="true"/>
          <w:lang w:bidi="ar-SA"/>
        </w:rPr>
        <w:t xml:space="preserve">إطلاقها، و تكون هذه المقدّمة أعني المزج المحصّل للماء بالنظر إلى الوضوء الواجب مقدّمة وجوديّة يجب تحصيلها، و المجاز و إن كان مرجوحا بالقياس إلى نوع التقييد، إلاّ أنّه لوحدته و تعدّد التقييد منطوقا 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تفسير المقدّس الأردبيلي في آيات أحكامه</w:t>
      </w:r>
      <w:r>
        <w:rPr>
          <w:rStyle w:val="FootnoteAnchor"/>
          <w:rtl w:val="true"/>
        </w:rPr>
        <w:footnoteReference w:id="3207"/>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نقل خلاف فيه، المشعر بالاتّفاق عليه، مع تصريح بعض الفقهاء أيضا بذلك، و شهرة الحكم المذكور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المصير إليه، فالقول بوجوب المزج إذا أرجح، مع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حاجة إلى استثناء بعض المذكورات حتّى يلزم بذلك تقييد، لما عرفت من صدق قضيّة وجدان الماء عند التمكّن بالحفر و نحوه من مقدّمات التحصيل، لا تعارض بين التقييد و المجاز المذكورين ليوجب ذلك إلى مراجعة الترجيح، بل مفاد الآية ما يستلزم تقييد المطلقات و لو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التمكّن، فلا يلزم وجوب المزج على التقديرين و كونه مقدّمة وجوديّة، أمّا على تقدير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 المستلزم للتقييد فلما ذكرناه، و أمّا على تقدير حمله على التمكّن و الاقتدار فلأنّ التمكّن ليس بحاصل بالقياس إلى الماء بالمعنى المذكور، و إنّما هو تمكّن بالقياس إلى ما يؤول إلى الماء بعين ما ذكر، فلا يختلف الحال بسبب اختلاف التفسير، فتفسير المحقّق الأردبيلي رحمه اللّه مع كونه متعيّنا لا ينفع شيئا في إثبات دعوى إطلاق وجوب الوضوء المقتضي لوجوب المزج، إلاّ على تقدير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معناه المجازي بعلاقة الأول، و هو كما ترى مجاز آخر غير ما يلزم منه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التمكّن، فما في كلام جماعة من بناء المسألة على احتمالي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معناه الحقيقي أو التمكّن مجازا ليس بشيء</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فالراجح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إليه الشيخ عملا بقاعدة عدم وجوب إيجاد مقدّمة الوجوب، و إن كان الإيجاد ممكنا بحسب أصله و ذاته، كاستطاعة الحجّ الغير الموجودة مع التمكّن عن إيجادها بالسعي في تحصيل المال أو قبول ما يبذله باذل</w:t>
      </w:r>
      <w:r>
        <w:rPr>
          <w:rFonts w:eastAsia="Amiri" w:cs="Amiri" w:ascii="Amiri" w:hAnsi="Amiri"/>
          <w:color w:val="111111"/>
          <w:sz w:val="28"/>
          <w:szCs w:val="28"/>
          <w:rtl w:val="true"/>
          <w:lang w:bidi="ar-SA"/>
        </w:rPr>
        <w:t>.</w:t>
      </w:r>
      <w:bookmarkStart w:id="1024" w:name="pg16144_233745"/>
    </w:p>
    <w:p>
      <w:pPr>
        <w:pStyle w:val="Heading3"/>
        <w:numPr>
          <w:ilvl w:val="2"/>
          <w:numId w:val="1"/>
        </w:numPr>
        <w:rPr/>
      </w:pPr>
      <w:bookmarkStart w:id="1025" w:name="__RefHeading___Toc1805140_1280447820"/>
      <w:bookmarkStart w:id="1026" w:name="_Toc401"/>
      <w:bookmarkEnd w:id="1024"/>
      <w:bookmarkEnd w:id="1025"/>
      <w:r>
        <w:rPr>
          <w:rtl w:val="true"/>
        </w:rPr>
        <w:t xml:space="preserve">ينبوع </w:t>
      </w:r>
      <w:r>
        <w:rPr>
          <w:rtl w:val="true"/>
        </w:rPr>
        <w:t>[</w:t>
      </w:r>
      <w:r>
        <w:rPr>
          <w:rtl w:val="true"/>
        </w:rPr>
        <w:t>في الماء المشتبه بالنجس</w:t>
      </w:r>
      <w:r>
        <w:rPr>
          <w:rtl w:val="true"/>
        </w:rPr>
        <w:t>]</w:t>
      </w:r>
      <w:bookmarkEnd w:id="1026"/>
    </w:p>
    <w:p>
      <w:pPr>
        <w:pStyle w:val="Heading4"/>
        <w:numPr>
          <w:ilvl w:val="3"/>
          <w:numId w:val="1"/>
        </w:numPr>
        <w:rPr/>
      </w:pPr>
      <w:bookmarkStart w:id="1027" w:name="__RefHeading___Toc1805142_1280447820"/>
      <w:bookmarkStart w:id="1028" w:name="_Toc402"/>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و ممّا خصّه الأصحاب بالعنوان من أفراد المياه، الماء الطاهر المباح المطلق إذا اشتبه بغيره من النجس، أو المغصوب، أو المضاف، فإنّ كلّ واحد من ذلك ممّا لحقه البحث عندهم، و كثر التشاجر في فروع بعضها لديهم، و بسط الكلام فيها يستدعي رسم مقامات</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805144_1280447820"/>
      <w:bookmarkStart w:id="1030" w:name="_Toc403"/>
      <w:bookmarkEnd w:id="1029"/>
      <w:r>
        <w:rPr>
          <w:rtl w:val="true"/>
        </w:rPr>
        <w:t>المقام الأوّل</w:t>
      </w:r>
      <w:r>
        <w:rPr>
          <w:rtl w:val="true"/>
        </w:rPr>
        <w:t xml:space="preserve">: </w:t>
      </w:r>
      <w:r>
        <w:rPr>
          <w:rtl w:val="true"/>
        </w:rPr>
        <w:t>في الماء المشتبه بالنجس، المعنون في كلام بعضهم بالإناءين أحدهما طاهر و الآخر نجس فاشتبها،</w:t>
      </w:r>
      <w:bookmarkEnd w:id="1030"/>
    </w:p>
    <w:p>
      <w:pPr>
        <w:pStyle w:val="Heading5"/>
        <w:numPr>
          <w:ilvl w:val="4"/>
          <w:numId w:val="1"/>
        </w:numPr>
        <w:rPr/>
      </w:pPr>
      <w:bookmarkStart w:id="1031" w:name="__RefHeading___Toc1805146_1280447820"/>
      <w:bookmarkStart w:id="1032" w:name="_Toc404"/>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و ظاهر أنّ تخصيص الإناء بالذكر مثال، أو اقتفاء في التعبير لعبارة النصّ على ما سيظهر في الموثّقتين الآتيتين، كما أنّ ذكر هذا العدد بالخصوص مبنيّ على المثال، أو اكتفاء بأقلّ مراتب التعدّد، و ظاهرهم كصريح غير واحد منهم عدم اختصاص الحكم بما كان الاشتباه ابتدائيّا، كما لو وقعت النجاسة في الطاهرين أو أكثر على ما لا يعلم أيّهما هو و إن اختصّ به مورد النصّ، بل يجري فيما لو كان الاشتباه طارويّا أيضا، كما لو كان الطاهر مع النجس ممتازين ففات امتيازهما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الاشتباه الابتدائي الحاصل بين الطاهرين ما يحصل بين النجسين لو زالت النجاسة عن أحدهما من غير علم بأنّه أيّ منهما، كما أنّه في حكم النجس بالذات النجس بالعرض و هو المتنجّس، فإنّ جميع هذه الصور من واد واحد و إن اختصّ عنوان الأصحاب كالنصّ الموجود في الباب ببعضها، مع ما بينها من التفاوت في قوّة احتمال عدم وجوب الاجتناب عن الجميع و ضعفه حسبما يأتي الإشارة إليه</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التفاوت في قوّة احتمال الوجوب و ضعفه، بل الظاهر بناء على عموم القاعدة المستفاد عن عموم جملة من أدلّتهم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الّذي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الحكم بين ما لو كانت أطراف الشبهة من أفراد ماهيّة واحدة مشتركة بينها </w:t>
      </w:r>
    </w:p>
    <w:p>
      <w:pPr>
        <w:pStyle w:val="BookText"/>
        <w:rPr/>
      </w:pPr>
      <w:r>
        <w:rPr>
          <w:rFonts w:ascii="Amiri" w:hAnsi="Amiri" w:eastAsia="Amiri" w:cs="Amiri"/>
          <w:color w:val="111111"/>
          <w:sz w:val="28"/>
          <w:sz w:val="28"/>
          <w:szCs w:val="28"/>
          <w:rtl w:val="true"/>
          <w:lang w:bidi="ar-SA"/>
        </w:rPr>
        <w:t>كالإناءين و الثوبين و نحوهما، و ما لو كانت من أفراد ماهيّتين فصاعدا، كالثوب و الإناء أو الثوب و البدن إذا علم بإصابة نجاسة للأمر المردّد بينهما، فإنّ قضيّة حجّيّة العلم الإجمالي وجوب الاجتناب عن كليهما معا في الصلاة و نحوها من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تخصيص الحكم بما كانت الشبهة محصورة، أخذا بموجب تصريحاتهم و أدلّتهم المقتضية لعدم وجوب الاجتناب عن الشبهة الغير المحصورة حسبما قرّر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فقال المحقّق قدّس سرّه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اشتبه الإناء النجس بالطاهر وجب الامتناع عنهما</w:t>
      </w:r>
      <w:r>
        <w:rPr>
          <w:rFonts w:eastAsia="Amiri" w:cs="Amiri" w:ascii="Amiri" w:hAnsi="Amiri"/>
          <w:color w:val="111111"/>
          <w:sz w:val="28"/>
          <w:szCs w:val="28"/>
          <w:rtl w:val="true"/>
          <w:lang w:bidi="ar-SA"/>
        </w:rPr>
        <w:t>»</w:t>
      </w:r>
      <w:r>
        <w:rPr>
          <w:rStyle w:val="FootnoteAnchor"/>
          <w:rtl w:val="true"/>
        </w:rPr>
        <w:footnoteReference w:id="3208"/>
      </w:r>
      <w:r>
        <w:rPr>
          <w:rFonts w:ascii="Amiri" w:hAnsi="Amiri" w:eastAsia="Amiri" w:cs="Amiri"/>
          <w:color w:val="111111"/>
          <w:sz w:val="28"/>
          <w:sz w:val="28"/>
          <w:szCs w:val="28"/>
          <w:rtl w:val="true"/>
          <w:lang w:bidi="ar-SA"/>
        </w:rPr>
        <w:t>و صرّح بما يقرب من ذلك في النافع</w:t>
      </w:r>
      <w:r>
        <w:rPr>
          <w:rStyle w:val="FootnoteAnchor"/>
          <w:rtl w:val="true"/>
        </w:rPr>
        <w:footnoteReference w:id="3209"/>
      </w:r>
      <w:r>
        <w:rPr>
          <w:rFonts w:ascii="Amiri" w:hAnsi="Amiri" w:eastAsia="Amiri" w:cs="Amiri"/>
          <w:color w:val="111111"/>
          <w:sz w:val="28"/>
          <w:sz w:val="28"/>
          <w:szCs w:val="28"/>
          <w:rtl w:val="true"/>
          <w:lang w:bidi="ar-SA"/>
        </w:rPr>
        <w:t>، و قريب منهما ما في الدروس</w:t>
      </w:r>
      <w:r>
        <w:rPr>
          <w:rStyle w:val="FootnoteAnchor"/>
          <w:rtl w:val="true"/>
        </w:rPr>
        <w:footnoteReference w:id="3210"/>
      </w:r>
      <w:r>
        <w:rPr>
          <w:rFonts w:ascii="Amiri" w:hAnsi="Amiri" w:eastAsia="Amiri" w:cs="Amiri"/>
          <w:color w:val="111111"/>
          <w:sz w:val="28"/>
          <w:sz w:val="28"/>
          <w:szCs w:val="28"/>
          <w:rtl w:val="true"/>
          <w:lang w:bidi="ar-SA"/>
        </w:rPr>
        <w:t>، و منتهى العلاّمة و مختلفه</w:t>
      </w:r>
      <w:r>
        <w:rPr>
          <w:rStyle w:val="FootnoteAnchor"/>
          <w:rtl w:val="true"/>
        </w:rPr>
        <w:footnoteReference w:id="3211"/>
      </w:r>
      <w:r>
        <w:rPr>
          <w:rFonts w:ascii="Amiri" w:hAnsi="Amiri" w:eastAsia="Amiri" w:cs="Amiri"/>
          <w:color w:val="111111"/>
          <w:sz w:val="28"/>
          <w:sz w:val="28"/>
          <w:szCs w:val="28"/>
          <w:rtl w:val="true"/>
          <w:lang w:bidi="ar-SA"/>
        </w:rPr>
        <w:t>، و حكى الجزم به في المنتهى</w:t>
      </w:r>
      <w:r>
        <w:rPr>
          <w:rStyle w:val="FootnoteAnchor"/>
          <w:rtl w:val="true"/>
        </w:rPr>
        <w:footnoteReference w:id="3212"/>
      </w:r>
      <w:r>
        <w:rPr>
          <w:rFonts w:ascii="Amiri" w:hAnsi="Amiri" w:eastAsia="Amiri" w:cs="Amiri"/>
          <w:color w:val="111111"/>
          <w:sz w:val="28"/>
          <w:sz w:val="28"/>
          <w:szCs w:val="28"/>
          <w:rtl w:val="true"/>
          <w:lang w:bidi="ar-SA"/>
        </w:rPr>
        <w:t>عن الشيخ في النهاية، و ابن بابويه في كتابه، و 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حكى الموافقة في ذلك في المناهل</w:t>
      </w:r>
      <w:r>
        <w:rPr>
          <w:rStyle w:val="FootnoteAnchor"/>
          <w:rtl w:val="true"/>
        </w:rPr>
        <w:footnoteReference w:id="3213"/>
      </w:r>
      <w:r>
        <w:rPr>
          <w:rFonts w:ascii="Amiri" w:hAnsi="Amiri" w:eastAsia="Amiri" w:cs="Amiri"/>
          <w:color w:val="111111"/>
          <w:sz w:val="28"/>
          <w:sz w:val="28"/>
          <w:szCs w:val="28"/>
          <w:rtl w:val="true"/>
          <w:lang w:bidi="ar-SA"/>
        </w:rPr>
        <w:t>عن الفقيه</w:t>
      </w:r>
      <w:r>
        <w:rPr>
          <w:rStyle w:val="FootnoteAnchor"/>
          <w:rtl w:val="true"/>
        </w:rPr>
        <w:footnoteReference w:id="3214"/>
      </w:r>
      <w:r>
        <w:rPr>
          <w:rFonts w:ascii="Amiri" w:hAnsi="Amiri" w:eastAsia="Amiri" w:cs="Amiri"/>
          <w:color w:val="111111"/>
          <w:sz w:val="28"/>
          <w:sz w:val="28"/>
          <w:szCs w:val="28"/>
          <w:rtl w:val="true"/>
          <w:lang w:bidi="ar-SA"/>
        </w:rPr>
        <w:t>، و النهاية</w:t>
      </w:r>
      <w:r>
        <w:rPr>
          <w:rStyle w:val="FootnoteAnchor"/>
          <w:rtl w:val="true"/>
        </w:rPr>
        <w:footnoteReference w:id="3215"/>
      </w:r>
      <w:r>
        <w:rPr>
          <w:rFonts w:ascii="Amiri" w:hAnsi="Amiri" w:eastAsia="Amiri" w:cs="Amiri"/>
          <w:color w:val="111111"/>
          <w:sz w:val="28"/>
          <w:sz w:val="28"/>
          <w:szCs w:val="28"/>
          <w:rtl w:val="true"/>
          <w:lang w:bidi="ar-SA"/>
        </w:rPr>
        <w:t>، و الناصريّات</w:t>
      </w:r>
      <w:r>
        <w:rPr>
          <w:rStyle w:val="FootnoteAnchor"/>
          <w:rtl w:val="true"/>
        </w:rPr>
        <w:footnoteReference w:id="3216"/>
      </w:r>
      <w:r>
        <w:rPr>
          <w:rFonts w:ascii="Amiri" w:hAnsi="Amiri" w:eastAsia="Amiri" w:cs="Amiri"/>
          <w:color w:val="111111"/>
          <w:sz w:val="28"/>
          <w:sz w:val="28"/>
          <w:szCs w:val="28"/>
          <w:rtl w:val="true"/>
          <w:lang w:bidi="ar-SA"/>
        </w:rPr>
        <w:t>، و الغنية</w:t>
      </w:r>
      <w:r>
        <w:rPr>
          <w:rStyle w:val="FootnoteAnchor"/>
          <w:rtl w:val="true"/>
        </w:rPr>
        <w:footnoteReference w:id="3217"/>
      </w:r>
      <w:r>
        <w:rPr>
          <w:rFonts w:ascii="IRNazanin" w:hAnsi="IRNazanin" w:eastAsia="IRNazanin"/>
          <w:color w:val="111111"/>
          <w:sz w:val="28"/>
          <w:sz w:val="28"/>
          <w:szCs w:val="28"/>
          <w:rtl w:val="true"/>
          <w:lang w:bidi="fa-IR"/>
        </w:rPr>
        <w:t>، و المعتبر</w:t>
      </w:r>
      <w:r>
        <w:rPr>
          <w:rStyle w:val="FootnoteAnchor"/>
          <w:rtl w:val="true"/>
        </w:rPr>
        <w:footnoteReference w:id="3218"/>
      </w:r>
      <w:r>
        <w:rPr>
          <w:rFonts w:ascii="IRNazanin" w:hAnsi="IRNazanin" w:eastAsia="IRNazanin"/>
          <w:color w:val="111111"/>
          <w:sz w:val="28"/>
          <w:sz w:val="28"/>
          <w:szCs w:val="28"/>
          <w:rtl w:val="true"/>
          <w:lang w:bidi="fa-IR"/>
        </w:rPr>
        <w:t>، و السرائر</w:t>
      </w:r>
      <w:r>
        <w:rPr>
          <w:rStyle w:val="FootnoteAnchor"/>
          <w:rtl w:val="true"/>
        </w:rPr>
        <w:footnoteReference w:id="3219"/>
      </w:r>
      <w:r>
        <w:rPr>
          <w:rFonts w:ascii="Amiri" w:hAnsi="Amiri" w:eastAsia="Amiri" w:cs="Amiri"/>
          <w:color w:val="111111"/>
          <w:sz w:val="28"/>
          <w:sz w:val="28"/>
          <w:szCs w:val="28"/>
          <w:rtl w:val="true"/>
          <w:lang w:bidi="ar-SA"/>
        </w:rPr>
        <w:t>، و التحرير</w:t>
      </w:r>
      <w:r>
        <w:rPr>
          <w:rStyle w:val="FootnoteAnchor"/>
          <w:rtl w:val="true"/>
        </w:rPr>
        <w:footnoteReference w:id="3220"/>
      </w:r>
      <w:r>
        <w:rPr>
          <w:rFonts w:ascii="IRNazanin" w:hAnsi="IRNazanin" w:eastAsia="IRNazanin"/>
          <w:color w:val="111111"/>
          <w:sz w:val="28"/>
          <w:sz w:val="28"/>
          <w:szCs w:val="28"/>
          <w:rtl w:val="true"/>
          <w:lang w:bidi="fa-IR"/>
        </w:rPr>
        <w:t>، و القواعد</w:t>
      </w:r>
      <w:r>
        <w:rPr>
          <w:rStyle w:val="FootnoteAnchor"/>
          <w:rtl w:val="true"/>
        </w:rPr>
        <w:footnoteReference w:id="3221"/>
      </w:r>
      <w:r>
        <w:rPr>
          <w:rFonts w:ascii="Amiri" w:hAnsi="Amiri" w:eastAsia="Amiri" w:cs="Amiri"/>
          <w:color w:val="111111"/>
          <w:sz w:val="28"/>
          <w:sz w:val="28"/>
          <w:szCs w:val="28"/>
          <w:rtl w:val="true"/>
          <w:lang w:bidi="ar-SA"/>
        </w:rPr>
        <w:t>، و نهاية الإحكام</w:t>
      </w:r>
      <w:r>
        <w:rPr>
          <w:rStyle w:val="FootnoteAnchor"/>
          <w:rtl w:val="true"/>
        </w:rPr>
        <w:footnoteReference w:id="3222"/>
      </w:r>
      <w:r>
        <w:rPr>
          <w:rFonts w:ascii="Amiri" w:hAnsi="Amiri" w:eastAsia="Amiri" w:cs="Amiri"/>
          <w:color w:val="111111"/>
          <w:sz w:val="28"/>
          <w:sz w:val="28"/>
          <w:szCs w:val="28"/>
          <w:rtl w:val="true"/>
          <w:lang w:bidi="ar-SA"/>
        </w:rPr>
        <w:t>، و الإيضاح</w:t>
      </w:r>
      <w:r>
        <w:rPr>
          <w:rStyle w:val="FootnoteAnchor"/>
          <w:rtl w:val="true"/>
        </w:rPr>
        <w:footnoteReference w:id="3223"/>
      </w:r>
      <w:r>
        <w:rPr>
          <w:rFonts w:ascii="Amiri" w:hAnsi="Amiri" w:eastAsia="Amiri" w:cs="Amiri"/>
          <w:color w:val="111111"/>
          <w:sz w:val="28"/>
          <w:sz w:val="28"/>
          <w:szCs w:val="28"/>
          <w:rtl w:val="true"/>
          <w:lang w:bidi="ar-SA"/>
        </w:rPr>
        <w:t>، و الذكرى</w:t>
      </w:r>
      <w:r>
        <w:rPr>
          <w:rStyle w:val="FootnoteAnchor"/>
          <w:rtl w:val="true"/>
        </w:rPr>
        <w:footnoteReference w:id="3224"/>
      </w:r>
      <w:r>
        <w:rPr>
          <w:rFonts w:ascii="IRNazanin" w:hAnsi="IRNazanin" w:eastAsia="IRNazanin"/>
          <w:color w:val="111111"/>
          <w:sz w:val="28"/>
          <w:sz w:val="28"/>
          <w:szCs w:val="28"/>
          <w:rtl w:val="true"/>
          <w:lang w:bidi="fa-IR"/>
        </w:rPr>
        <w:t>، و جامع المقاصد</w:t>
      </w:r>
      <w:r>
        <w:rPr>
          <w:rStyle w:val="FootnoteAnchor"/>
          <w:rtl w:val="true"/>
        </w:rPr>
        <w:footnoteReference w:id="3225"/>
      </w:r>
      <w:r>
        <w:rPr>
          <w:rFonts w:ascii="Amiri" w:hAnsi="Amiri" w:eastAsia="Amiri" w:cs="Amiri"/>
          <w:color w:val="111111"/>
          <w:sz w:val="28"/>
          <w:sz w:val="28"/>
          <w:szCs w:val="28"/>
          <w:rtl w:val="true"/>
          <w:lang w:bidi="ar-SA"/>
        </w:rPr>
        <w:t>، و الجعفريّة</w:t>
      </w:r>
      <w:r>
        <w:rPr>
          <w:rStyle w:val="FootnoteAnchor"/>
          <w:rtl w:val="true"/>
        </w:rPr>
        <w:footnoteReference w:id="3226"/>
      </w:r>
      <w:r>
        <w:rPr>
          <w:rFonts w:ascii="Amiri" w:hAnsi="Amiri" w:eastAsia="Amiri" w:cs="Amiri"/>
          <w:color w:val="111111"/>
          <w:sz w:val="28"/>
          <w:sz w:val="28"/>
          <w:szCs w:val="28"/>
          <w:rtl w:val="true"/>
          <w:lang w:bidi="ar-SA"/>
        </w:rPr>
        <w:t>، و مجمع الفائدة</w:t>
      </w:r>
      <w:r>
        <w:rPr>
          <w:rStyle w:val="FootnoteAnchor"/>
          <w:rtl w:val="true"/>
        </w:rPr>
        <w:footnoteReference w:id="3227"/>
      </w:r>
      <w:r>
        <w:rPr>
          <w:rFonts w:eastAsia="Times New Roman" w:cs="Times New Roman" w:ascii="Times New Roman" w:hAnsi="Times New Roman"/>
          <w:color w:val="111111"/>
          <w:sz w:val="28"/>
          <w:szCs w:val="28"/>
          <w:rtl w:val="true"/>
          <w:lang w:val="en-US" w:bidi="en-US"/>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استفاض نقل الإجماع عليه، و حكى نقله أيضا عن الشيخ في الخلاف</w:t>
      </w:r>
      <w:r>
        <w:rPr>
          <w:rStyle w:val="FootnoteAnchor"/>
          <w:rtl w:val="true"/>
        </w:rPr>
        <w:footnoteReference w:id="3228"/>
      </w:r>
      <w:r>
        <w:rPr>
          <w:rFonts w:ascii="Amiri" w:hAnsi="Amiri" w:eastAsia="Amiri" w:cs="Amiri"/>
          <w:color w:val="111111"/>
          <w:sz w:val="28"/>
          <w:sz w:val="28"/>
          <w:szCs w:val="28"/>
          <w:rtl w:val="true"/>
          <w:lang w:bidi="ar-SA"/>
        </w:rPr>
        <w:t>، و المحقّق في المعتبر</w:t>
      </w:r>
      <w:r>
        <w:rPr>
          <w:rStyle w:val="FootnoteAnchor"/>
          <w:rtl w:val="true"/>
        </w:rPr>
        <w:footnoteReference w:id="3229"/>
      </w:r>
      <w:r>
        <w:rPr>
          <w:rFonts w:ascii="Amiri" w:hAnsi="Amiri" w:eastAsia="Amiri" w:cs="Amiri"/>
          <w:color w:val="111111"/>
          <w:sz w:val="28"/>
          <w:sz w:val="28"/>
          <w:szCs w:val="28"/>
          <w:rtl w:val="true"/>
          <w:lang w:bidi="ar-SA"/>
        </w:rPr>
        <w:t>، و العلاّمة في المختلف</w:t>
      </w:r>
      <w:r>
        <w:rPr>
          <w:rStyle w:val="FootnoteAnchor"/>
          <w:rtl w:val="true"/>
        </w:rPr>
        <w:footnoteReference w:id="3230"/>
      </w:r>
      <w:r>
        <w:rPr>
          <w:rFonts w:ascii="Amiri" w:hAnsi="Amiri" w:eastAsia="Amiri" w:cs="Amiri"/>
          <w:color w:val="111111"/>
          <w:sz w:val="28"/>
          <w:sz w:val="28"/>
          <w:szCs w:val="28"/>
          <w:rtl w:val="true"/>
          <w:lang w:bidi="ar-SA"/>
        </w:rPr>
        <w:t>و التحرير</w:t>
      </w:r>
      <w:r>
        <w:rPr>
          <w:rStyle w:val="FootnoteAnchor"/>
          <w:rtl w:val="true"/>
        </w:rPr>
        <w:footnoteReference w:id="3231"/>
      </w:r>
      <w:r>
        <w:rPr>
          <w:rFonts w:ascii="Amiri" w:hAnsi="Amiri" w:eastAsia="Amiri" w:cs="Amiri"/>
          <w:color w:val="111111"/>
          <w:sz w:val="28"/>
          <w:sz w:val="28"/>
          <w:szCs w:val="28"/>
          <w:rtl w:val="true"/>
          <w:lang w:bidi="ar-SA"/>
        </w:rPr>
        <w:t>و نهاية الإحكام</w:t>
      </w:r>
      <w:r>
        <w:rPr>
          <w:rStyle w:val="FootnoteAnchor"/>
          <w:rtl w:val="true"/>
        </w:rPr>
        <w:footnoteReference w:id="32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صاحب الذخيرة</w:t>
      </w:r>
      <w:r>
        <w:rPr>
          <w:rStyle w:val="FootnoteAnchor"/>
          <w:rtl w:val="true"/>
        </w:rPr>
        <w:footnoteReference w:id="3233"/>
      </w:r>
      <w:r>
        <w:rPr>
          <w:rFonts w:ascii="Amiri" w:hAnsi="Amiri" w:eastAsia="Amiri" w:cs="Amiri"/>
          <w:color w:val="111111"/>
          <w:sz w:val="28"/>
          <w:sz w:val="28"/>
          <w:szCs w:val="28"/>
          <w:rtl w:val="true"/>
          <w:lang w:bidi="ar-SA"/>
        </w:rPr>
        <w:t>، و عن ظاهر جماعة كالتنقيح</w:t>
      </w:r>
      <w:r>
        <w:rPr>
          <w:rStyle w:val="FootnoteAnchor"/>
          <w:rtl w:val="true"/>
        </w:rPr>
        <w:footnoteReference w:id="3234"/>
      </w:r>
      <w:r>
        <w:rPr>
          <w:rFonts w:ascii="IRNazanin" w:hAnsi="IRNazanin" w:eastAsia="IRNazanin"/>
          <w:color w:val="111111"/>
          <w:sz w:val="28"/>
          <w:sz w:val="28"/>
          <w:szCs w:val="28"/>
          <w:rtl w:val="true"/>
          <w:lang w:bidi="fa-IR"/>
        </w:rPr>
        <w:t>، و السرائر</w:t>
      </w:r>
      <w:r>
        <w:rPr>
          <w:rStyle w:val="FootnoteAnchor"/>
          <w:rtl w:val="true"/>
        </w:rPr>
        <w:footnoteReference w:id="3235"/>
      </w:r>
      <w:r>
        <w:rPr>
          <w:rFonts w:ascii="IRNazanin" w:hAnsi="IRNazanin" w:eastAsia="IRNazanin"/>
          <w:color w:val="111111"/>
          <w:sz w:val="28"/>
          <w:sz w:val="28"/>
          <w:szCs w:val="28"/>
          <w:rtl w:val="true"/>
          <w:lang w:bidi="fa-IR"/>
        </w:rPr>
        <w:t>، و المنتهى</w:t>
      </w:r>
      <w:r>
        <w:rPr>
          <w:rStyle w:val="FootnoteAnchor"/>
          <w:rtl w:val="true"/>
        </w:rPr>
        <w:footnoteReference w:id="3236"/>
      </w:r>
      <w:r>
        <w:rPr>
          <w:rFonts w:ascii="Amiri" w:hAnsi="Amiri" w:eastAsia="Amiri" w:cs="Amiri"/>
          <w:color w:val="111111"/>
          <w:sz w:val="28"/>
          <w:sz w:val="28"/>
          <w:szCs w:val="28"/>
          <w:rtl w:val="true"/>
          <w:lang w:bidi="ar-SA"/>
        </w:rPr>
        <w:t>، بل لم نقف على حكاية خلاف في المسألة عن أصحابنا، بل عن العامّة أيضا عدا ما عن الشافعي على ما في حاشية المدارك للمحقّق البهبهاني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الإجماع في هذه المسألة غير واحد من الفقهاء، منهم الفاضلان</w:t>
      </w:r>
      <w:r>
        <w:rPr>
          <w:rStyle w:val="FootnoteAnchor"/>
          <w:rtl w:val="true"/>
        </w:rPr>
        <w:footnoteReference w:id="3237"/>
      </w:r>
      <w:r>
        <w:rPr>
          <w:rFonts w:ascii="Amiri" w:hAnsi="Amiri" w:eastAsia="Amiri" w:cs="Amiri"/>
          <w:color w:val="111111"/>
          <w:sz w:val="28"/>
          <w:sz w:val="28"/>
          <w:szCs w:val="28"/>
          <w:rtl w:val="true"/>
          <w:lang w:bidi="ar-SA"/>
        </w:rPr>
        <w:t>، بل ما نقلوا خلافا إلاّ عن الشافعي،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يجتهد المكلّف في تحصيل الأمارات المرجّحات و مع العجز يتخيّر</w:t>
      </w:r>
      <w:r>
        <w:rPr>
          <w:rFonts w:eastAsia="Amiri" w:cs="Amiri" w:ascii="Amiri" w:hAnsi="Amiri"/>
          <w:color w:val="111111"/>
          <w:sz w:val="28"/>
          <w:szCs w:val="28"/>
          <w:rtl w:val="true"/>
          <w:lang w:bidi="ar-SA"/>
        </w:rPr>
        <w:t>»</w:t>
      </w:r>
      <w:r>
        <w:rPr>
          <w:rStyle w:val="FootnoteAnchor"/>
          <w:rtl w:val="true"/>
        </w:rPr>
        <w:footnoteReference w:id="3238"/>
      </w:r>
      <w:r>
        <w:rPr>
          <w:rFonts w:ascii="Amiri" w:hAnsi="Amiri" w:eastAsia="Amiri" w:cs="Amiri"/>
          <w:color w:val="111111"/>
          <w:sz w:val="28"/>
          <w:sz w:val="28"/>
          <w:szCs w:val="28"/>
          <w:rtl w:val="true"/>
          <w:lang w:bidi="ar-SA"/>
        </w:rPr>
        <w:t>، فالظاهر أنّها وفاقيّة بين المسلمين جميعا</w:t>
      </w:r>
      <w:r>
        <w:rPr>
          <w:rFonts w:eastAsia="Amiri" w:cs="Amiri" w:ascii="Amiri" w:hAnsi="Amiri"/>
          <w:color w:val="111111"/>
          <w:sz w:val="28"/>
          <w:szCs w:val="28"/>
          <w:rtl w:val="true"/>
          <w:lang w:bidi="ar-SA"/>
        </w:rPr>
        <w:t>»</w:t>
      </w:r>
      <w:r>
        <w:rPr>
          <w:rStyle w:val="FootnoteAnchor"/>
          <w:rtl w:val="true"/>
        </w:rPr>
        <w:footnoteReference w:id="32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عن صاحب المدارك</w:t>
      </w:r>
      <w:r>
        <w:rPr>
          <w:rStyle w:val="FootnoteAnchor"/>
          <w:rtl w:val="true"/>
        </w:rPr>
        <w:footnoteReference w:id="3240"/>
      </w:r>
      <w:r>
        <w:rPr>
          <w:rFonts w:ascii="Amiri" w:hAnsi="Amiri" w:eastAsia="Amiri" w:cs="Amiri"/>
          <w:color w:val="111111"/>
          <w:sz w:val="28"/>
          <w:sz w:val="28"/>
          <w:szCs w:val="28"/>
          <w:rtl w:val="true"/>
          <w:lang w:bidi="ar-SA"/>
        </w:rPr>
        <w:t>في جعله مذهب الأصحاب، مشعرا بدعوى الإجماع، مع ميله إلى جواز الارتكاب إذا لم يحصل المباشرة بجميع ما وقع فيه الاشتباه، إلاّ أن يكون ذلك من جهة القدح في هذا الإجماع بتضعيف مستنده حسبما يأتي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صاروا إليه، و استقرّت عليه فتاواهم، و انعقد عليه إجماعهم من وجوب الامتناع عن الجميع، و مستنده من النقل الموثّقان المتقدّمان في أخبار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معه إناءان، فيهما ماء، وقع في أحدهما قذر لا يدري أيّهما هو، و ليس يقدر على ماء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يهريقهما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يتيمّم إن شاء اللّه</w:t>
      </w:r>
      <w:r>
        <w:rPr>
          <w:rFonts w:eastAsia="Amiri" w:cs="Amiri" w:ascii="Amiri" w:hAnsi="Amiri"/>
          <w:color w:val="111111"/>
          <w:sz w:val="28"/>
          <w:szCs w:val="28"/>
          <w:rtl w:val="true"/>
          <w:lang w:bidi="ar-SA"/>
        </w:rPr>
        <w:t>»</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 ليس يقدر على ماء غيره؟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الخبران المتقدّمان في مسألة إناطة أحكام النجاسة بالعلم بتحقّق السبب،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كالصحيح بإبراهيم بن هاشم المرويّ في الكافي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استيقن أنّه قد أصابه شيء و لم ير مكانه فليغسل ثوبه كلّه</w:t>
      </w:r>
      <w:r>
        <w:rPr>
          <w:rFonts w:eastAsia="Amiri" w:cs="Amiri" w:ascii="Amiri" w:hAnsi="Amiri"/>
          <w:color w:val="111111"/>
          <w:sz w:val="28"/>
          <w:szCs w:val="28"/>
          <w:rtl w:val="true"/>
          <w:lang w:bidi="ar-SA"/>
        </w:rPr>
        <w:t>»</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أنّه قد أصاب جسده و لم يعرف مكانه فليغسل جسده كلّه</w:t>
      </w:r>
      <w:r>
        <w:rPr>
          <w:rFonts w:eastAsia="Amiri" w:cs="Amiri" w:ascii="Amiri" w:hAnsi="Amiri"/>
          <w:color w:val="111111"/>
          <w:sz w:val="28"/>
          <w:szCs w:val="28"/>
          <w:rtl w:val="true"/>
          <w:lang w:bidi="ar-SA"/>
        </w:rPr>
        <w:t>»</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الاشتباه صالحا لرفع النجاسة أو أحكامها لم يكن للأمر بغسل الثوب كلّه و لا للأمر بغسل الجسد كلّه وجه، نعم لا ينهض ذلك حجّة على من جوّز الارتكاب في غير ما يحصل معه مباشرة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الآمرة في الثوبين المشتبهين بالصلاة فيهما معا، الّتي منها حسنة صفوان بن يحيى عن الصادق عليه السّلام أنّه كتب إليه يسأله عن رجل كان معه ثوبان، فأصاب أحدهما بول، و لم يدر أيّهما هو؟ و حضرت الصلاة و خاف فوتها و ليس عنده ماء،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فيهما</w:t>
      </w:r>
      <w:r>
        <w:rPr>
          <w:rFonts w:eastAsia="Amiri" w:cs="Amiri" w:ascii="Amiri" w:hAnsi="Amiri"/>
          <w:color w:val="111111"/>
          <w:sz w:val="28"/>
          <w:szCs w:val="28"/>
          <w:rtl w:val="true"/>
          <w:lang w:bidi="ar-SA"/>
        </w:rPr>
        <w:t>»</w:t>
      </w:r>
      <w:r>
        <w:rPr>
          <w:rStyle w:val="FootnoteAnchor"/>
          <w:rtl w:val="true"/>
        </w:rPr>
        <w:footnoteReference w:id="3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نقل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على الانفراد</w:t>
      </w:r>
      <w:r>
        <w:rPr>
          <w:rFonts w:eastAsia="Amiri" w:cs="Amiri" w:ascii="Amiri" w:hAnsi="Amiri"/>
          <w:color w:val="111111"/>
          <w:sz w:val="28"/>
          <w:szCs w:val="28"/>
          <w:rtl w:val="true"/>
          <w:lang w:bidi="ar-SA"/>
        </w:rPr>
        <w:t>»</w:t>
      </w:r>
      <w:r>
        <w:rPr>
          <w:rStyle w:val="FootnoteAnchor"/>
          <w:rtl w:val="true"/>
        </w:rPr>
        <w:footnoteReference w:id="3246"/>
      </w:r>
      <w:r>
        <w:rPr>
          <w:rFonts w:ascii="Amiri" w:hAnsi="Amiri" w:eastAsia="Amiri" w:cs="Amiri"/>
          <w:color w:val="111111"/>
          <w:sz w:val="28"/>
          <w:sz w:val="28"/>
          <w:szCs w:val="28"/>
          <w:rtl w:val="true"/>
          <w:lang w:bidi="ar-SA"/>
        </w:rPr>
        <w:t>و التقريب في الاستدلال بها نظير ما مرّ، مع قيامه حجّة على من جوّز الارتكاب بغير ما يحصل معه مباشرة الجميع، و فيها دلالة على المطلوب من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الغسل في تلك الصورة مع وجود الماء معتقدا للسائل مفروغا عنه لديه، كما يفصح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عنده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عمّا أشكل عليه الأمر و هو الصلاة في تلك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 عليه السّلام بما ينطبق على سؤاله</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إيراد هذه الأخبار التنبيه على أنّ الناظر فيها و في غيرها ممّا نقف عليها بالتتبّع يجد أنّ الشارع في جميع أنواع المشتبه كان بناؤه على إيجاب الاجتناب، و ترتيب آثار النجس على جميع أطراف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المناقشة في الأوّلين بما في المدارك</w:t>
      </w:r>
      <w:r>
        <w:rPr>
          <w:rStyle w:val="FootnoteAnchor"/>
          <w:rtl w:val="true"/>
        </w:rPr>
        <w:footnoteReference w:id="3247"/>
      </w:r>
      <w:r>
        <w:rPr>
          <w:rFonts w:ascii="Amiri" w:hAnsi="Amiri" w:eastAsia="Amiri" w:cs="Amiri"/>
          <w:color w:val="111111"/>
          <w:sz w:val="28"/>
          <w:sz w:val="28"/>
          <w:szCs w:val="28"/>
          <w:rtl w:val="true"/>
          <w:lang w:bidi="ar-SA"/>
        </w:rPr>
        <w:t>من ضعف السند بجماعة من الفطحيّة ممّا لا يلتفت إليها، بعد ملاحظة انجبارهما بعمل الأصحاب كافّة، و كونهما ممّا تلقّوه بالقبول كما في صريح غير واحد من الفحول، مع ملاحظة موافقة مضمونهما لحكم العقل و مقتضى القواعد و الاصول حسبما يأتي بيانها، مع أنّ الموثّق بنفسه ممّا يفيد الاطمئنان الّذي عليه مناط الحجّيّة في الأخبار حسبما قرّر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يلتفت أيضا إلى المناقشة فيها بمعارضة أصالة الطهارة، و أصالة الحلّيّة في الأشياء، و الأخبار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فيه حلال و حرام فهو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يكون فيه حرام و حلال، فهو لك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w:t>
      </w:r>
      <w:r>
        <w:rPr>
          <w:rStyle w:val="FootnoteAnchor"/>
          <w:rtl w:val="true"/>
        </w:rPr>
        <w:footnoteReference w:id="3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عن طعام يعجبني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أعطى الغلام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ابتع لنا 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دعى بالغداء فتغدّى و تغدّينا معه، فأتى الجبن فأكل و أكلنا، فلمّا فرغنا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تراني آكله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احبّ أن أسمعه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سأخبرك من الجبن و غيره، كلّما كان فيه حلال و حرام فهو لك حلال حتّى تعرف الحرام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فتدعه</w:t>
      </w:r>
      <w:r>
        <w:rPr>
          <w:rFonts w:eastAsia="Amiri" w:cs="Amiri" w:ascii="Amiri" w:hAnsi="Amiri"/>
          <w:color w:val="111111"/>
          <w:sz w:val="28"/>
          <w:szCs w:val="28"/>
          <w:rtl w:val="true"/>
          <w:lang w:bidi="ar-SA"/>
        </w:rPr>
        <w:t>]»</w:t>
      </w:r>
      <w:r>
        <w:rPr>
          <w:rStyle w:val="FootnoteAnchor"/>
          <w:rtl w:val="true"/>
        </w:rPr>
        <w:footnoteReference w:id="3250"/>
      </w:r>
      <w:r>
        <w:rPr>
          <w:rFonts w:ascii="Amiri" w:hAnsi="Amiri" w:eastAsia="Amiri" w:cs="Amiri"/>
          <w:color w:val="111111"/>
          <w:sz w:val="28"/>
          <w:sz w:val="28"/>
          <w:szCs w:val="28"/>
          <w:rtl w:val="true"/>
          <w:lang w:bidi="ar-SA"/>
        </w:rPr>
        <w:t xml:space="preserve">فإنّ الأصلين ثابتان في غير نظائر المقام ممّا لا علم معه بتحقّق السبب أصلا، كما يفصح عنه التقييد بغاية العلم في مستند الأصل الأوّل، و هو الخبر المستفيض المتقدّم ذكره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3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يعلم أنّه قذر</w:t>
      </w:r>
      <w:r>
        <w:rPr>
          <w:rFonts w:eastAsia="Amiri" w:cs="Amiri" w:ascii="Amiri" w:hAnsi="Amiri"/>
          <w:color w:val="111111"/>
          <w:sz w:val="28"/>
          <w:szCs w:val="28"/>
          <w:rtl w:val="true"/>
          <w:lang w:bidi="ar-SA"/>
        </w:rPr>
        <w:t>»</w:t>
      </w:r>
      <w:r>
        <w:rPr>
          <w:rStyle w:val="FootnoteAnchor"/>
          <w:rtl w:val="true"/>
        </w:rPr>
        <w:footnoteReference w:id="3252"/>
      </w:r>
      <w:r>
        <w:rPr>
          <w:rFonts w:ascii="Amiri" w:hAnsi="Amiri" w:eastAsia="Amiri" w:cs="Amiri"/>
          <w:color w:val="111111"/>
          <w:sz w:val="28"/>
          <w:sz w:val="28"/>
          <w:szCs w:val="28"/>
          <w:rtl w:val="true"/>
          <w:lang w:bidi="ar-SA"/>
        </w:rPr>
        <w:t>فإنّ العلم الّذي هو منتهى الحكم بالطهارة حاصل في المقام،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العلم لما اشتبه معلومه غير مسموعة</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المذكورة مع أنّها غير صالحة لمعارضة ما سبق، ظاهرة بحكم العرف في </w:t>
      </w:r>
    </w:p>
    <w:p>
      <w:pPr>
        <w:pStyle w:val="BookText"/>
        <w:rPr/>
      </w:pPr>
      <w:r>
        <w:rPr>
          <w:rFonts w:ascii="Amiri" w:hAnsi="Amiri" w:eastAsia="Amiri" w:cs="Amiri"/>
          <w:color w:val="111111"/>
          <w:sz w:val="28"/>
          <w:sz w:val="28"/>
          <w:szCs w:val="28"/>
          <w:rtl w:val="true"/>
          <w:lang w:bidi="ar-SA"/>
        </w:rPr>
        <w:t>غير ما حصل فيه العلم و لو على نحو ما هو المفروض في المقام، على معنى كون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حرام 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صالح لأن يوجد فيه فرد حرام و فرد حلال و محتمل لهما معا فهو لك حلال، كما يفصح عنه صريح صحيحة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السمن و الجبن نجده في أرض المشركين بالروم أ نأكله؟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علمت أنّه قد خلطه الحرام فلا تأكل، و أمّا ما لم تعلم فكله حتّى تعلم أنّه حرام</w:t>
      </w:r>
      <w:r>
        <w:rPr>
          <w:rFonts w:eastAsia="Amiri" w:cs="Amiri" w:ascii="Amiri" w:hAnsi="Amiri"/>
          <w:color w:val="111111"/>
          <w:sz w:val="28"/>
          <w:szCs w:val="28"/>
          <w:rtl w:val="true"/>
          <w:lang w:bidi="ar-SA"/>
        </w:rPr>
        <w:t>»</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الموثّقة الّذي هو كالصريح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 فتدعه من قبل نفسك، و ذلك مثل الثوب فيكون عليك قد اشتريته و هو سرقة، و مملوك عندك و هو حرّ قد باع نفسه، أو خدع فبيع قهرا، أو امرأة تحتك و هي اختك،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المراد به العلم بوجود شخص الحرام في محلّ الابتلاء، و هو مفروض الحصول في المقام، مع قوّة احتمال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شمولها لصورة العلم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الغير المحصورة الّتي أجمعوا فيها على عدم وجوب الاجتناب، و قضت به الأدلّة النافية للعسر و الحرج الموجبين هنا لاختلال نظم العالم، مضافة إلى قاعدة قبح التكليف بما لا يطاق في أكثر صور تلك الشبهة، بل هو الظاهر منها بعد تسليم المقدّمة المذكورة، كما يفصح عنه ما حكاه في المجالس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عن الجبن؟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رأى أنّه يجعل فيه الميتة،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أجل مكان واحد يجعل فيه الميتة حرم جميع ما في الأرض، فما علمت منه ميتة فلا تأكله، و ما لم تعلم فاشتر و بع و كل، و اللّه أنّي لأعترض السوق فأشتري بها اللحم و التمر و الجبن، و اللّه ما أظنّ كلّهم مأمون هذه البريّة و هذه السودان</w:t>
      </w:r>
      <w:r>
        <w:rPr>
          <w:rFonts w:eastAsia="Amiri" w:cs="Amiri" w:ascii="Amiri" w:hAnsi="Amiri"/>
          <w:color w:val="111111"/>
          <w:sz w:val="28"/>
          <w:szCs w:val="28"/>
          <w:rtl w:val="true"/>
          <w:lang w:bidi="ar-SA"/>
        </w:rPr>
        <w:t>»</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تسليم عموم هذه الأخبار لصورتي العلم و عدمه، و كلا قسمي الشبهة، فهي لعمومها قابلة للتخصيص، و أخبار الباب أخصّ منها مطلقا فتنهض </w:t>
      </w:r>
    </w:p>
    <w:p>
      <w:pPr>
        <w:pStyle w:val="BookText"/>
        <w:rPr/>
      </w:pPr>
      <w:r>
        <w:rPr>
          <w:rFonts w:ascii="Amiri" w:hAnsi="Amiri" w:eastAsia="Amiri" w:cs="Amiri"/>
          <w:color w:val="111111"/>
          <w:sz w:val="28"/>
          <w:sz w:val="28"/>
          <w:szCs w:val="28"/>
          <w:rtl w:val="true"/>
          <w:lang w:bidi="ar-SA"/>
        </w:rPr>
        <w:t>مخصّصة لها، و على فرض منع هذه القضيّة فهذه الأخبار موهونة بعدم أخذ الأصحاب بعمومها فيما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و الاصول العامّة وجوه بين سليم و 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نقرّره على وجه يكون سليما عمّا يقدح فيه،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في موضع العلم بتحقّق سببها ما يوجب وجود تكاليف كثيرة مترتّبة على العلم المذكور، من حرمة مباشرتها في الأكل و الشرب، و وجوب إزالتها في مشروط بها من الصلاة و الوضوء و نحوهما، و وجوب الصلاة و نحوها بما سلم عنها من ثوب أو بدن أو ماء أو نحوه، و لا ريب أنّ التكليف اليقيني بحكم العقل المرشد المكلّف إلى ما يدفع معه استحقاق العقوبة و مخالفة الإطاعة يستدعي الفراغ اليقيني و الامتثال العلمي بالمعنى الأعمّ، ممّا هو قائم مقام العلم في نظر الشارع، و الفارغ اليقيني بعنوان أنّه يقيني كالامتثال العلمي بوصف أنّه علمي لا يتأتّى إلاّ بإجراء لوازم النجاسة في الجميع، من التحرّز عن الجميع في مقام الأكل و الشرب، و عدم تطهير الثوب أو البدن، و كذلك الاغتسال و التوضّي به، و عدم الدخول في الصلاة و نحوها مع مباشرته كلاّ أم بعضا في بدن أو ثوب، و لو كان ذلك من جهة كون الثوب بنفسه من أطراف الشبهة، فيكون الكلّ واجبا من باب المقدّمة الثابت وجوبها هنا كوجوب ذيها بحكم العقل على جهة الإنشاء بنفسه، لا إدراك المنشأ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هذا الدليل إنّما هي بمنع مقدّماته، كمنع العلم بتحقّق السبب رأسا، أو منع تأثير هذا القسم في ثبوت النجاسة، أو منع كفايته في اقتضاء النجاسة الثابتة به لأحكامها و لوازمها،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الاشتباه المقارن لهذا العلم مانع عن حدوث تلك الأحكام و رافع لما حدث منها قبل طروّه كالعذر العقلي أو الشرعي، أو أنّ الشارع جعله أمارة لرفع أحكام النجاسة عن النجس المعلوم بالإجمال، أو منع شمول الأدلّة المرتّبة لتلك الأحكام للمعلوم بالإجمال، أو منع استدعاء الشغل اليقيني العلم بالفراغ بالموافقة، بل غاية ما يستدعيه إنّما هو منع المخالفة القطعيّة و هي لا تحصل بارتكاب ما لا يقطع معه بمباشرة النجس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بأنّها بجميع الوجوه المقرّرة دعوى ممنوعة على مدّعيها</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حصول العلم بوجود السبب، و كونه إجماليّا باعتبار عدم تعيّن متعلّقه في ظاهر الحال لا يقضي بانتفائه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صفة النجاسة في الشيء لا ينوط يعلم أصلا،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غير مؤثّر فيه، بناء على أنّها من الامور الواقعيّة التابعة لموضوعاتها الّتي كشف عنها الشرع و رتّب عليها أحكاما، فثبت حين ثبوت الموضوع، و تنتفي بانتفائه، من غير مدخليّة للعلم فيها وجودا و عدما،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إلاّ الأحكام المرتّبة الّتي لا بدّ فيها من العلم ضعيف جدّا، و على فرض صحّته فالمناط موجود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جريان أحكام النجاسة تابع للأدلّة المعلّقة لها على العلم بتحقّق سبب النجاسة، و لا ريب أنّه لا تقييد في تلك الأدلّة كما يظهر بملاحظة ما تقدّم من الأخبار المستفيضة القريبة من التواتر في مسألة إناطة أحكام النجاسة بالعلم، أو ما يقوم مقامه، و دعوى انصراف العلم الوارد فيها إلى غير المقام مكابرة يكشف عنها بناء العرف في عدم الفرق في الأخذ بآثار العلم بين المعلوم تحقّق سببه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تقرّر في المسألة المشار إليها من نهوض الأخبار المذكورة فيها مقيّدة لأدلّة الواقع، و إلاّ فخطاب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ما يؤدّي مؤدّاه ظاهر في وجوب الاجتناب عن النجس الواقعي من غير مدخليّة للعلم إلاّ طريقا للتوصّل إلى امتثال الأمر بالاجتناب و نحوه بحكم العقل، الّذي لا فرق فيه بين المعلوم نجاسته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شمول أدلّة الواقع، أو الأدلّة المقيّدة لتلك الأدلّة بصورة العلم لمثل المقام مكابرة،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العرف، و عدم قيام صارف من قبله، و لا من قبل العقل و لا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أهل العرف هم الّذين يقيمون بذمّ من يخالف 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لا يأبى عن معاقبة المخالف بل يجوّزها، و لا يرضى من العالم بالإجمال بخلاف الامتثال الّذي هو متمكّن عنه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خطابات الشرع إلاّ ما يقضي بمنع المخالفة كما عرفته من الأخبار الآمرة بالاجتناب، أو بما هو من لوازم الاجتناب</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المعارضة لذلك بما تقدّم من الأصلين، و عمومات الأخبار المعمولة في أصل البراءة، قد عرفت ما فيه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كلّه يندفع القول بكون الاشتباه المقارن للعلم المفروض مانعا عن ترتّب أحكام المعلوم و رافعا لما حدث منها، سواء اريد به المانعيّة و الرافعيّة الثابتتان بحكم العقل أو خطاب الشرع، فإنّ قضيّة كلّ منهما كون العلم المصادف لهذا الاشتباه مقتضيا تامّا لترتّب الأحكام جميعا، و معه لا يعقل المانعيّة و لا الرافعيّة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 ما ذكر إلى دعوى كفاية الموافقة الاحتماليّة في موضع التمكّن عن الموافقة القطعيّة، و هي ممّا ينكره العقل السليم و الوجدان المستقيم، و الّذي يكشف عن ذلك صحة معاقبة من اقتنع في امتثال الأمر المتوجّه إليه باحتمال الموافقة فصادف عمله مخالفة</w:t>
      </w:r>
      <w:r>
        <w:rPr>
          <w:rStyle w:val="FootnoteAnchor"/>
          <w:rtl w:val="true"/>
        </w:rPr>
        <w:footnoteReference w:id="3256"/>
      </w:r>
      <w:r>
        <w:rPr>
          <w:rFonts w:ascii="Amiri" w:hAnsi="Amiri" w:eastAsia="Amiri" w:cs="Amiri"/>
          <w:color w:val="111111"/>
          <w:sz w:val="28"/>
          <w:sz w:val="28"/>
          <w:szCs w:val="28"/>
          <w:rtl w:val="true"/>
          <w:lang w:bidi="ar-SA"/>
        </w:rPr>
        <w:t>الواقع، من غير فرق في ذلك بين الأفعال و التروك، فإنّ معنى كفاية الاحتمال كونه قائما مقام العلم مبرءا للذمّة، و معه لا يحسن العقاب على اتّفاق المخالفة، لأنّ الاحتمال 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 تبيّن أنّ وجوب الامتناع عن جميع أطراف الشبهة المتّفق عليه لدى الأصحاب ليس إلاّ وجوبا مقدّميّا ثابتا بحكم العقل، مضافا إلى خطاب الشرع به أصالة كما تقدّم، و من لوازم الوجوب المقدّمي أن لا يترتّب على مخالفة عقاب ما لم تفض إلى مخالفة الواقع، و ما تقدّم من خطاب الشرع لا يستفاد منه في خصوص المقام أزيد من ذلك، فهو في الحقيقة تقرير لحكم العقل، هذا بناء على الإغماض عمّا هو الأصل المقرّر عندنا في الخطابات الواردة في نظائر المقام، و إلاّ فهي بملاحظة الانسياق العرفي ظاهرة في الإرشاد إلى أمر واقعي من النجاسة أو أحكامها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المدارك </w:t>
      </w:r>
      <w:r>
        <w:rPr>
          <w:rFonts w:eastAsia="Amiri" w:cs="Amiri" w:ascii="Amiri" w:hAnsi="Amiri"/>
          <w:color w:val="111111"/>
          <w:sz w:val="28"/>
          <w:szCs w:val="28"/>
          <w:rtl w:val="true"/>
          <w:lang w:bidi="ar-SA"/>
        </w:rPr>
        <w:t>-</w:t>
      </w:r>
      <w:r>
        <w:rPr>
          <w:rStyle w:val="FootnoteAnchor"/>
          <w:rtl w:val="true"/>
        </w:rPr>
        <w:footnoteReference w:id="325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اجتناب النجس واجب قطعا، و هو لا يتمّ إلاّ باجتنابهما معا، و ما لا يتمّ الواجب إلاّ به فهو واجب</w:t>
      </w:r>
      <w:r>
        <w:rPr>
          <w:rFonts w:eastAsia="Amiri" w:cs="Amiri" w:ascii="Amiri" w:hAnsi="Amiri"/>
          <w:color w:val="111111"/>
          <w:sz w:val="28"/>
          <w:szCs w:val="28"/>
          <w:rtl w:val="true"/>
          <w:lang w:bidi="ar-SA"/>
        </w:rPr>
        <w:t>»</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إرجاعه بضرب من التأويل إلى ما قرّرناه، بأن يكون المراد من الاجتناب الواجب المتوقّف على اجتنابهما معا اجتنابه على وجه القطع به، حتّى يكون الواجب قائما به على هذا الوجه لا الاجتناب الواقعي، و يكون الواجب في الحقيقة هو القطع بالاجتناب لا نفس الاجتناب، أو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للمحمول لا للإسناد، حتّى </w:t>
      </w:r>
    </w:p>
    <w:p>
      <w:pPr>
        <w:pStyle w:val="BookText"/>
        <w:rPr/>
      </w:pPr>
      <w:r>
        <w:rPr>
          <w:rFonts w:ascii="Amiri" w:hAnsi="Amiri" w:eastAsia="Amiri" w:cs="Amiri"/>
          <w:color w:val="111111"/>
          <w:sz w:val="28"/>
          <w:sz w:val="28"/>
          <w:szCs w:val="28"/>
          <w:rtl w:val="true"/>
          <w:lang w:bidi="ar-SA"/>
        </w:rPr>
        <w:t>يكون وصف الوجوب راجعا إلى القطع، و لو لا ذلك 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المتوقّف على اجتنابهما معا ليس هو اجتناب النجس الواقعي بنفسه لاتّفاق حصوله تارة بالاجتناب عن أحدهما و اخرى باجتنابهما بل المتوقّف عليه حينئذ العلم باجتناب النجس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فعن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لشيخه الأردبيلي </w:t>
      </w:r>
      <w:r>
        <w:rPr>
          <w:rFonts w:eastAsia="Amiri" w:cs="Amiri" w:ascii="Amiri" w:hAnsi="Amiri"/>
          <w:color w:val="111111"/>
          <w:sz w:val="28"/>
          <w:szCs w:val="28"/>
          <w:rtl w:val="true"/>
          <w:lang w:bidi="ar-SA"/>
        </w:rPr>
        <w:t>-</w:t>
      </w:r>
      <w:r>
        <w:rPr>
          <w:rStyle w:val="FootnoteAnchor"/>
          <w:rtl w:val="true"/>
        </w:rPr>
        <w:footnoteReference w:id="3259"/>
      </w:r>
      <w:r>
        <w:rPr>
          <w:rFonts w:ascii="Amiri" w:hAnsi="Amiri" w:eastAsia="Amiri" w:cs="Amiri"/>
          <w:color w:val="111111"/>
          <w:sz w:val="28"/>
          <w:sz w:val="28"/>
          <w:szCs w:val="28"/>
          <w:rtl w:val="true"/>
          <w:lang w:bidi="ar-SA"/>
        </w:rPr>
        <w:t>الاعتراض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اجتناب النجس لا يقطع بوجوبه إلاّ مع تحقّقه بعينه لا مع الشكّ فيه، و استبعاد سقوط حكم هذه النجاسة شرعا إذا لم يحصل المباشرة بجميع ما وقع فيه الاشتباه غير ملتفت إليه، و قد ثبت نظيره في حكم واجدي المنيّ في الثوب المشترك، و اعترف به الأصحاب في غير المحصور أيضا، و الفرق بينه و بين المحصور غير واضح عند التأمّل</w:t>
      </w:r>
      <w:r>
        <w:rPr>
          <w:rFonts w:eastAsia="Amiri" w:cs="Amiri" w:ascii="Amiri" w:hAnsi="Amiri"/>
          <w:color w:val="111111"/>
          <w:sz w:val="28"/>
          <w:szCs w:val="28"/>
          <w:rtl w:val="true"/>
          <w:lang w:bidi="ar-SA"/>
        </w:rPr>
        <w:t>»</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بما فيه، فإنّ تقييد أدلّة أحكام النجاسة بصورة العلم بتحقّق السبب و إن كان مسلّما ثابتا بالأدلّة المتقدّم إليها الإشارة، لكن دعوى كون المعتبر في ذلك تحقّقه بعينه لا ترجع إلى محصّل، إلاّ تقييد الأدلّة المقيّدة بما يخرج معه علم يكون معلومه مجملا، و هي كما ترى دعوى لا شاهد لها من عقل و لا نقل، بل الشواهد العرفيّة و العقليّة و النقليّة متطابقة في خلاف تلك الدعوى كما تقدّم بيانه، فمنع سقوط حكم هذه النجاسة ليس من جهة الاستبعاد الصرف، مع ما في جعل ذلك استبعادا غير ملتفت إليه، و تقييده بما لم يحصل المباشرة بجميع ما وقع فيه الاشتباه من التدافع الواضح، ضرورة أنّ سقوط حكم هذه النجاسة في الواقع أو الظاهر يقتضي جواز المباشرة بجميع ما وقع فيه الاشتباه، كما أنّ منع مباشرة الجميع اعتراف بعدم سقوط حكم النجاسة و لزوم الاجتناب عن الجميع الّذي حكم به العقل و وافقه الشرع ليس من أحكام هذه النجاسة من حيث هي حتّى يرتفع الاستبعاد عن سقوطه بل هو من أحكام العلم بعدم مباشرة النجاسة</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ممّا ذكر مقايسة المقام على مسألة واجدي المنيّ في الثوب المشترك، فإنّ وضوح الفرق بين المقامين كما بين السماء و الأرض، فإنّ المكلّف في محلّ البحث عالم بتوجّه طلب الشارع إليه لعلمه بتحقّق سبب النجاسة بالقياس إليه نفسه، فينعقد معلومه بذلك تكليفا فعليّا في حقّه فيجب عليه امتثاله على وجه القطع به، بخلاف المقيس عليه الّذي لا علم فيه لأحد من المشتركين في الثوب بتوجّه الخطاب إليه، من </w:t>
      </w:r>
    </w:p>
    <w:p>
      <w:pPr>
        <w:pStyle w:val="BookText"/>
        <w:rPr/>
      </w:pPr>
      <w:r>
        <w:rPr>
          <w:rFonts w:ascii="Amiri" w:hAnsi="Amiri" w:eastAsia="Amiri" w:cs="Amiri"/>
          <w:color w:val="111111"/>
          <w:sz w:val="28"/>
          <w:sz w:val="28"/>
          <w:szCs w:val="28"/>
          <w:rtl w:val="true"/>
          <w:lang w:bidi="ar-SA"/>
        </w:rPr>
        <w:t>جهة عدم علمه بتحقّق السبب منه، بل لو فرض استمرار العذر لهما معا يقبح على الشارع الحكيم توجيه الخطاب إليهما بطلب الاغتسال عنهما معا أو عمّن تحقّق منه السبب بحسب الواقع، ضرورة عدم جواز أمر الآمر مع العلم بانتفاء شرطه؛ و هو علم المأمور بتحقّق جهة صدور الطلب المتوقّف على علمه بتحقّق السبب منه بعينه، و لا يجدي فيه علم الآمر بواقع الأمر، لأنّ العبرة في صحّة الأمر بعلم المأمور لا بعلم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الجميع الاستشهاد بما اعترف به الأصحاب من حكم الشبهة الغير المحصورة، فإنّ هذا الاعتراف منهم إنّما نشأ عن وجوه غير جارية في المقام الّذي هو من أفراد الشبهة المحصورة، و إلاّ فلو لا قيام تلك الوجوه ثمّة لمكان الحكم الّذي اعترفوا به على خلاف القاعدة، فالفرق بين المقامين واضح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احتجّ به في المنتهى</w:t>
      </w:r>
      <w:r>
        <w:rPr>
          <w:rStyle w:val="FootnoteAnchor"/>
          <w:rtl w:val="true"/>
        </w:rPr>
        <w:footnoteReference w:id="3261"/>
      </w:r>
      <w:r>
        <w:rPr>
          <w:rFonts w:ascii="IRNazanin" w:hAnsi="IRNazanin" w:eastAsia="IRNazanin"/>
          <w:color w:val="111111"/>
          <w:sz w:val="28"/>
          <w:sz w:val="28"/>
          <w:szCs w:val="28"/>
          <w:rtl w:val="true"/>
          <w:lang w:bidi="fa-IR"/>
        </w:rPr>
        <w:t xml:space="preserve">تبعا للخلاف </w:t>
      </w:r>
      <w:r>
        <w:rPr>
          <w:rFonts w:eastAsia="IRNazanin" w:cs="IRNazanin"/>
          <w:color w:val="111111"/>
          <w:sz w:val="28"/>
          <w:szCs w:val="28"/>
          <w:rtl w:val="true"/>
          <w:lang w:bidi="fa-IR"/>
        </w:rPr>
        <w:t>-</w:t>
      </w:r>
      <w:r>
        <w:rPr>
          <w:rStyle w:val="FootnoteAnchor"/>
          <w:rtl w:val="true"/>
        </w:rPr>
        <w:footnoteReference w:id="3262"/>
      </w:r>
      <w:r>
        <w:rPr>
          <w:rFonts w:ascii="Amiri" w:hAnsi="Amiri" w:eastAsia="Amiri" w:cs="Amiri"/>
          <w:color w:val="111111"/>
          <w:sz w:val="28"/>
          <w:sz w:val="28"/>
          <w:szCs w:val="28"/>
          <w:rtl w:val="true"/>
          <w:lang w:bidi="ar-SA"/>
        </w:rPr>
        <w:t xml:space="preserve">على ما في شرح الدروس </w:t>
      </w:r>
      <w:r>
        <w:rPr>
          <w:rFonts w:eastAsia="Amiri" w:cs="Amiri" w:ascii="Amiri" w:hAnsi="Amiri"/>
          <w:color w:val="111111"/>
          <w:sz w:val="28"/>
          <w:szCs w:val="28"/>
          <w:rtl w:val="true"/>
          <w:lang w:bidi="ar-SA"/>
        </w:rPr>
        <w:t>-</w:t>
      </w:r>
      <w:r>
        <w:rPr>
          <w:rStyle w:val="FootnoteAnchor"/>
          <w:rtl w:val="true"/>
        </w:rPr>
        <w:footnoteReference w:id="3263"/>
      </w:r>
      <w:r>
        <w:rPr>
          <w:rFonts w:ascii="Amiri" w:hAnsi="Amiri" w:eastAsia="Amiri" w:cs="Amiri"/>
          <w:color w:val="111111"/>
          <w:sz w:val="28"/>
          <w:sz w:val="28"/>
          <w:szCs w:val="28"/>
          <w:rtl w:val="true"/>
          <w:lang w:bidi="ar-SA"/>
        </w:rPr>
        <w:t>من أنّ الصلاة بالماء النجس حرام، فالإقدام على ما لا يؤمن معه أن يكون نجسا إقدام على ما لا يؤمن معه فعل الحرام،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ضعفه، فإنّ حرمة الصلاة بالماء النجس إن اريد بها الحرمة الذاتيّة فالمتّجه منعه، لعدم قيام دليل عليه من الشرع بالخصوص، و إن اريد بها الحرمة التشريعيّة فالمتّجه منع كلّيّة المقدّمة الثانية، لأنّه لا يأتي بالماء المذكور إلاّ لرجاء إصابة الماء الطاهر، فلا يعلم اندراجه في موضوع التشريع ليكون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المعتبر</w:t>
      </w:r>
      <w:r>
        <w:rPr>
          <w:rStyle w:val="FootnoteAnchor"/>
          <w:rtl w:val="true"/>
        </w:rPr>
        <w:footnoteReference w:id="3264"/>
      </w:r>
      <w:r>
        <w:rPr>
          <w:rFonts w:ascii="Amiri" w:hAnsi="Amiri" w:eastAsia="Amiri" w:cs="Amiri"/>
          <w:color w:val="111111"/>
          <w:sz w:val="28"/>
          <w:sz w:val="28"/>
          <w:szCs w:val="28"/>
          <w:rtl w:val="true"/>
          <w:lang w:bidi="ar-SA"/>
        </w:rPr>
        <w:t>من أنّ يقين الطهارة في كلّ منهما معارض بيقين النجاسة و لا رجحان، فيتحقّق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المعالم الإيراد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يقين الطهارة في كلّ واحد بانفراده إنّما يعارضه الشكّ في النجاسة لا اليقين</w:t>
      </w:r>
      <w:r>
        <w:rPr>
          <w:rFonts w:eastAsia="Amiri" w:cs="Amiri" w:ascii="Amiri" w:hAnsi="Amiri"/>
          <w:color w:val="111111"/>
          <w:sz w:val="28"/>
          <w:szCs w:val="28"/>
          <w:rtl w:val="true"/>
          <w:lang w:bidi="ar-SA"/>
        </w:rPr>
        <w:t>»</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استجوده شارح الدروس، و أضاف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تمّ المعارضة من دون رجحان فما الوجه في المصير إلى المنع، لم لا يصار إلى أصلي البراءة و الطهارة</w:t>
      </w:r>
      <w:r>
        <w:rPr>
          <w:rFonts w:eastAsia="Amiri" w:cs="Amiri" w:ascii="Amiri" w:hAnsi="Amiri"/>
          <w:color w:val="111111"/>
          <w:sz w:val="28"/>
          <w:szCs w:val="28"/>
          <w:rtl w:val="true"/>
          <w:lang w:bidi="ar-SA"/>
        </w:rPr>
        <w:t>»</w:t>
      </w:r>
      <w:r>
        <w:rPr>
          <w:rStyle w:val="FootnoteAnchor"/>
          <w:rtl w:val="true"/>
        </w:rPr>
        <w:footnoteReference w:id="3266"/>
      </w:r>
      <w:r>
        <w:rPr>
          <w:rFonts w:eastAsia="Times New Roman" w:cs="Times New Roman" w:ascii="Times New Roman" w:hAnsi="Times New Roman"/>
          <w:color w:val="111111"/>
          <w:sz w:val="28"/>
          <w:szCs w:val="28"/>
          <w:rtl w:val="true"/>
          <w:lang w:val="en-US" w:bidi="en-US"/>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بيقين الطهارة في الحجّة اليقين الفعلي بالطهارة المردّدة ظاهرا، </w:t>
      </w:r>
    </w:p>
    <w:p>
      <w:pPr>
        <w:pStyle w:val="BookText"/>
        <w:rPr/>
      </w:pPr>
      <w:r>
        <w:rPr>
          <w:rFonts w:ascii="Amiri" w:hAnsi="Amiri" w:eastAsia="Amiri" w:cs="Amiri"/>
          <w:color w:val="111111"/>
          <w:sz w:val="28"/>
          <w:sz w:val="28"/>
          <w:szCs w:val="28"/>
          <w:rtl w:val="true"/>
          <w:lang w:bidi="ar-SA"/>
        </w:rPr>
        <w:t>المتساوي نسبتها من جهة الاشتباه إليهما معا، و هذا و إن كان ممّا يقتضي جواز الاستعمال، غير أنّه يعارض اليقين الفعلي بالنجاسة المردّدة المتساوي نسبتها إلى كلّ واحد، المقتضي لمنع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مزيّة لأحد اليقينين لتوجب الأخذ به في حدّ ذاته، لعدم تعيّن مورده، فلا بدّ من مراجعة الخارج، و مقتضاه المنع عن الجميع، إمّا لحكم العقل بوجوب الإطاعة الّتي لا يحصل العلم بها إلاّ بذلك، أو لبناء العرف على تقديم أدلّة المنع على أدلّة الجواز و فهمه حكومة الاولى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مرجع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قرّرناه و حقّقناه، و عليه يضعّف ما ذكر في الإيراد عليه، و لا سيّما الوجه الثاني، فإنّ كلاّ من أصلي البراءة و الطهارة ممّا يصار إليه في غير موضع العلم بالخلاف، و كأنّ مبنى الوجه الأوّل على توهّم إرادة اليقين السابق من يقين الطهارة، فيقال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مقابل له في كلّ واحد منفردا إلاّ احتمال النجاسة، و هو لا يصلح معارضا لليقين بالطهارة السابق على طروّ الاشتباه، بل هو ممّا يحقّق الاستصحاب و محلّه، أو يوجب مراجعة أصل الطهارة الجاري في كلّ مشكوك في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من أنّه لا يجري في أكثر الصور المتقدّمة، و لا سيّما صورة تأخّر الشبهة عن اليقين بنجاستهما معا عند إصابة المزيل لأحدهما المشتبه، فينعكس فرض الاستصحاب حينئذ، مع أنّ اليقين بالنجاسة و لو كانت مردّدة المفروض وجوده في المقام صالح لنقض اليقين السابق بالطهارة، ضرورة أنّه يقين نقضناه بيقين مثله، مع أنّ مقتضى القاعدة المتقدّمة المأخوذة من حكم العقل عدم الفرق بين الصور المشار إليها، الّتي منها ما لو كان المشتبهان مسبوقين بالطهارة كما في مورد الرواية، أو بالنجاسة، أو غير معلوم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ما أشرنا إليه من توهّم جريان الاستصحاب أو أصل الطهارة قد يقال</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ضعيفا الفرق بين الصور بالحكم بجواز ارتكاب أحدهما في الاولى دون الأخيرتين، أو في الاولى و الأخيرة دون الثانية</w:t>
      </w:r>
      <w:r>
        <w:rPr>
          <w:rFonts w:eastAsia="Amiri" w:cs="Amiri" w:ascii="Amiri" w:hAnsi="Amiri"/>
          <w:color w:val="111111"/>
          <w:sz w:val="28"/>
          <w:szCs w:val="28"/>
          <w:rtl w:val="true"/>
          <w:lang w:bidi="ar-SA"/>
        </w:rPr>
        <w:t>»</w:t>
      </w:r>
      <w:r>
        <w:rPr>
          <w:rStyle w:val="FootnoteAnchor"/>
          <w:rtl w:val="true"/>
        </w:rPr>
        <w:footnoteReference w:id="3267"/>
      </w:r>
      <w:r>
        <w:rPr>
          <w:rFonts w:ascii="Amiri" w:hAnsi="Amiri" w:eastAsia="Amiri" w:cs="Amiri"/>
          <w:color w:val="111111"/>
          <w:sz w:val="28"/>
          <w:sz w:val="28"/>
          <w:szCs w:val="28"/>
          <w:rtl w:val="true"/>
          <w:lang w:bidi="ar-SA"/>
        </w:rPr>
        <w:t xml:space="preserve">، بل و مقتضى القاعدة جريان الحكم في الشيئين </w:t>
      </w:r>
    </w:p>
    <w:p>
      <w:pPr>
        <w:pStyle w:val="BookText"/>
        <w:rPr/>
      </w:pPr>
      <w:r>
        <w:rPr>
          <w:rFonts w:ascii="Amiri" w:hAnsi="Amiri" w:eastAsia="Amiri" w:cs="Amiri"/>
          <w:color w:val="111111"/>
          <w:sz w:val="28"/>
          <w:sz w:val="28"/>
          <w:szCs w:val="28"/>
          <w:rtl w:val="true"/>
          <w:lang w:bidi="ar-SA"/>
        </w:rPr>
        <w:t>المختلفين في الماهيّة المعلوم بإصابة النجاسة لأحدهما لا بعينه كما نبّهنا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المدارك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قواعد الأصحاب أنّه لو تعلّق الشكّ بوقوع النجاسة في الماء و خارجه لم ينجّس الماء بذلك، و لم يمنع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w:t>
      </w:r>
      <w:r>
        <w:rPr>
          <w:rStyle w:val="FootnoteAnchor"/>
          <w:rtl w:val="true"/>
        </w:rPr>
        <w:footnoteReference w:id="3268"/>
      </w:r>
      <w:r>
        <w:rPr>
          <w:rFonts w:ascii="Amiri" w:hAnsi="Amiri" w:eastAsia="Amiri" w:cs="Amiri"/>
          <w:color w:val="111111"/>
          <w:sz w:val="28"/>
          <w:sz w:val="28"/>
          <w:szCs w:val="28"/>
          <w:rtl w:val="true"/>
          <w:lang w:bidi="ar-SA"/>
        </w:rPr>
        <w:t>، آخذا له مؤيّدا لما تقدّم منه من إنكار لزوم الاجتناب عن الجميع فغير واضح الوجه، إذا كان كلّ من المشتبهين ممّا يحوج إلى استعماله المكلّف في مشروط بالطهارة، بحيث لو فرض علم تفصيلي له بمورد النجاسة لكان مخاطبا بالاجتناب عنه خطابا فعليّا كثوب بدنه، و ماء إناءه الّذي يريد استعماله أو شربه، و الأرض الّتي يريد التيمّم بها، أو ماء يريد شربه، و أرض يريد التيمّم بها</w:t>
      </w:r>
      <w:r>
        <w:rPr>
          <w:rStyle w:val="FootnoteAnchor"/>
          <w:rtl w:val="true"/>
        </w:rPr>
        <w:footnoteReference w:id="3269"/>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كلام الأصحاب و لا في أخبار الأئمّة الأطياب عليهم صلوات اللّه ربّ الأرباب ما يقضي بما ادّعاه تصريحا و لا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عليّ بن جعفر المتقدّمة في مواضع متكثّرة من الأبواب المتقدّمة ما ربّما يوهم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رعف فامتخط فصار الدم قطعا صغارا، فأصاب إناءه،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 يستبين في الماء فلا بأس، و إن كان شيئا بيّنا فلا تتوضّأ منه</w:t>
      </w:r>
      <w:r>
        <w:rPr>
          <w:rFonts w:eastAsia="Amiri" w:cs="Amiri" w:ascii="Amiri" w:hAnsi="Amiri"/>
          <w:color w:val="111111"/>
          <w:sz w:val="28"/>
          <w:szCs w:val="28"/>
          <w:rtl w:val="true"/>
          <w:lang w:bidi="ar-SA"/>
        </w:rPr>
        <w:t>»</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منّا ما يدفع ذلك، فإنّ الرواية صريحة في إصابة الإناء و لا مدخل له بصورة الاشتباه، و السؤال واقع عن صلاحية إصابة الإناء أمارة على إصابة الماء أيضا ليوجب الامتناع عنه في الوضوء، فالمورد ليس إلاّ من باب الشكّ الصرف في إصابة الماء، و هذا من مجاري أصالة الطهارة، و لذا أناط الإمام عليه السّلام الامتناع عنه باستبانة الدم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تنزيل كلامه إلى ما لا يستلزم توجّه التكليف الفعلي بالاجتناب على تقدير العلم التفصيلي بموقع النجاسة،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طرفي الشبهة على ما لا يقع موضع ابتلاء للمكلّف، بحيث لو فرض توجّه التكليف إليه لعدّ عبثا، لكنّه يخرج حينئذ عن كونه مؤيّدا لمطلوبه</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هاهنا صورتان،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كلّ من أطراف المشتبه من مواضع ابتلاء </w:t>
      </w:r>
      <w:bookmarkStart w:id="1033" w:name="pg16144_233758"/>
    </w:p>
    <w:p>
      <w:pPr>
        <w:pStyle w:val="BookText"/>
        <w:rPr/>
      </w:pPr>
      <w:bookmarkEnd w:id="1033"/>
      <w:r>
        <w:rPr>
          <w:rFonts w:ascii="Amiri" w:hAnsi="Amiri" w:eastAsia="Amiri" w:cs="Amiri"/>
          <w:color w:val="111111"/>
          <w:sz w:val="28"/>
          <w:sz w:val="28"/>
          <w:szCs w:val="28"/>
          <w:rtl w:val="true"/>
          <w:lang w:bidi="ar-SA"/>
        </w:rPr>
        <w:t>المكلّف، على وجه صحّ توجّه التكليف إليه فعلا على تقدير عدم الاشتباه، مع كون التكليف الفعلي مسبّبا عمّا حصل الاشتباه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بعض الأطراف من مواضع ابتلاء المكلّف، أو كان لكن كان الحكم بالاجتناب عن بعض معيّن ثابتا على كلا تقديري إصابة هذه النجاسة المردّدة و عدمها، كما لو أصاب قطرة بول أو دم و تردّد بين إصابته الماء أو الثوب، و إصابته الأرض النجسة أو العذرة الموجودة فيها أو البالوعة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محلّ الكلام و مورد حكم العقل هو الصورة الثانية، إذ مع الابتلاء تنجّز التكليف الفعلي و يقوم العلم الإجمالي بتحقّق سببه مقام العلم التفصيلي حسبما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فالارتكاب فيها لمحلّ الابتلاء من أطراف الشبهة جائز قطعا، و العلم الإجمالي بتحقّق النجاسة المردّدة بينه و بين غير محلّ الابتلاء لا يؤثّر في تنجّز التكليف أصلا، فأصالة الطهارة فيه سليمة عن المعارض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لو وقع النجاسة على ما يتردّد بين ثوبه و ثوب شخص آخر الّذي لا يمسّ له الابتلاء بذلك، و منه ما لو تردّدت النجاسة الواقعة بين وقوعها في إنائه الّذي يريد التطهّر به أو استعماله في أكل أو شرب أو في الماء الكثير أو الجاري الموجود عنده، فإنّ أمثال هذه الفروض من باب الشكّ الصرف في التكليف، بالقياس إلى ما لو علم بتحقّق السبب فيه تفصيلا لكان مكلّفا بالاجتناب عنه فعلا</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805148_1280447820"/>
      <w:bookmarkStart w:id="1035" w:name="_Toc405"/>
      <w:bookmarkEnd w:id="1034"/>
      <w:r>
        <w:rPr>
          <w:rtl w:val="true"/>
        </w:rPr>
        <w:t>ثمّ إنّ هاهنا فروعا ينبغي التعرّض لبيانها لما فيها من عموم النفع</w:t>
      </w:r>
      <w:r>
        <w:rPr>
          <w:rtl w:val="true"/>
        </w:rPr>
        <w:t>.</w:t>
      </w:r>
      <w:bookmarkEnd w:id="1035"/>
    </w:p>
    <w:p>
      <w:pPr>
        <w:pStyle w:val="Heading6"/>
        <w:numPr>
          <w:ilvl w:val="5"/>
          <w:numId w:val="1"/>
        </w:numPr>
        <w:rPr/>
      </w:pPr>
      <w:bookmarkStart w:id="1036" w:name="__RefHeading___Toc1805150_1280447820"/>
      <w:bookmarkStart w:id="1037" w:name="_Toc406"/>
      <w:bookmarkEnd w:id="1036"/>
      <w:r>
        <w:rPr>
          <w:rtl w:val="true"/>
        </w:rPr>
        <w:t>أحدها</w:t>
      </w:r>
      <w:r>
        <w:rPr>
          <w:rtl w:val="true"/>
        </w:rPr>
        <w:t xml:space="preserve">: </w:t>
      </w:r>
      <w:r>
        <w:rPr>
          <w:rtl w:val="true"/>
        </w:rPr>
        <w:t>إذا اتّفق ملاقاة طاهر للمشتبه، فهناك صور</w:t>
      </w:r>
      <w:r>
        <w:rPr>
          <w:rtl w:val="true"/>
        </w:rPr>
        <w:t>.</w:t>
      </w:r>
      <w:bookmarkEnd w:id="1037"/>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يتولّد معه العلم التفصيلي بالنجاسة، كما لو اتّفق ملاقاته لكلا طرفي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يتولّد معه العلم الإجمالي، كما لو اتّفق ملاقاة طاهر لأحد طرفي الشبهة و آخر لطرفها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يتولّد معه مجرّد الاحتمال</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الصورة الاولى لدخول المفروض في النجس المعلوم بالتفصيل، و لا في الصورة الثانية لدخول المفروضين في الشبهة المحصورة فيلحقهما حكمها، و أمّا </w:t>
      </w:r>
    </w:p>
    <w:p>
      <w:pPr>
        <w:pStyle w:val="BookText"/>
        <w:rPr/>
      </w:pPr>
      <w:r>
        <w:rPr>
          <w:rFonts w:ascii="Amiri" w:hAnsi="Amiri" w:eastAsia="Amiri" w:cs="Amiri"/>
          <w:color w:val="111111"/>
          <w:sz w:val="28"/>
          <w:sz w:val="28"/>
          <w:szCs w:val="28"/>
          <w:rtl w:val="true"/>
          <w:lang w:bidi="ar-SA"/>
        </w:rPr>
        <w:t>الصورة الثالثة ففيها إشكال نشأ من جهة خلاف بين الأصحاب،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يلحقه حكم المشتبه و لا يجب اجتنابه، صرّح به في المدارك</w:t>
      </w:r>
      <w:r>
        <w:rPr>
          <w:rStyle w:val="FootnoteAnchor"/>
          <w:rtl w:val="true"/>
        </w:rPr>
        <w:footnoteReference w:id="3271"/>
      </w:r>
      <w:r>
        <w:rPr>
          <w:rFonts w:ascii="Amiri" w:hAnsi="Amiri" w:eastAsia="Amiri" w:cs="Amiri"/>
          <w:color w:val="111111"/>
          <w:sz w:val="28"/>
          <w:sz w:val="28"/>
          <w:szCs w:val="28"/>
          <w:rtl w:val="true"/>
          <w:lang w:bidi="ar-SA"/>
        </w:rPr>
        <w:t>، و حكى القطع به عن المحقّق الشيخ عليّ في حاشية الشرائع</w:t>
      </w:r>
      <w:r>
        <w:rPr>
          <w:rStyle w:val="FootnoteAnchor"/>
          <w:rtl w:val="true"/>
        </w:rPr>
        <w:footnoteReference w:id="3272"/>
      </w:r>
      <w:r>
        <w:rPr>
          <w:rFonts w:ascii="Amiri" w:hAnsi="Amiri" w:eastAsia="Amiri" w:cs="Amiri"/>
          <w:color w:val="111111"/>
          <w:sz w:val="28"/>
          <w:sz w:val="28"/>
          <w:szCs w:val="28"/>
          <w:rtl w:val="true"/>
          <w:lang w:bidi="ar-SA"/>
        </w:rPr>
        <w:t>، و الميل إليه عن جدّه قدّس سرّه في روض الجنان</w:t>
      </w:r>
      <w:r>
        <w:rPr>
          <w:rStyle w:val="FootnoteAnchor"/>
          <w:rtl w:val="true"/>
        </w:rPr>
        <w:footnoteReference w:id="3273"/>
      </w:r>
      <w:r>
        <w:rPr>
          <w:rFonts w:ascii="Amiri" w:hAnsi="Amiri" w:eastAsia="Amiri" w:cs="Amiri"/>
          <w:color w:val="111111"/>
          <w:sz w:val="28"/>
          <w:sz w:val="28"/>
          <w:szCs w:val="28"/>
          <w:rtl w:val="true"/>
          <w:lang w:bidi="ar-SA"/>
        </w:rPr>
        <w:t>، لأنّ احتمال ملاقاة النجس لا يرفع الطهارة المتيقّنة، و قد روى زرارة في الصحيح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3274"/>
      </w:r>
      <w:r>
        <w:rPr>
          <w:rFonts w:ascii="Amiri" w:hAnsi="Amiri" w:eastAsia="Amiri" w:cs="Amiri"/>
          <w:color w:val="111111"/>
          <w:sz w:val="28"/>
          <w:sz w:val="28"/>
          <w:szCs w:val="28"/>
          <w:rtl w:val="true"/>
          <w:lang w:bidi="ar-SA"/>
        </w:rPr>
        <w:t>و لأنّه لم يعلم ملاقاته لنجس، و إنّما علم ملاقاته لما يجب الاجتناب عنه مقدّمة، فهو باق على أصالة الطهارة، و لا يجري فيه دليل وجوب الاجتناب عن النجاسة الواقعيّة بعد حكم الشارع بأنّه طاهر غير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يلحقه حكم المشتبه الّذي منه وجوب غسله، صرّح به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استعمل أحدهما و صلّى به، لم تصحّ صلاته و وجب غسل ما أصابه المشتبه بماء متيقّن الطهارة كالنجس</w:t>
      </w:r>
      <w:r>
        <w:rPr>
          <w:rFonts w:eastAsia="Amiri" w:cs="Amiri" w:ascii="Amiri" w:hAnsi="Amiri"/>
          <w:color w:val="111111"/>
          <w:sz w:val="28"/>
          <w:szCs w:val="28"/>
          <w:rtl w:val="true"/>
          <w:lang w:bidi="ar-SA"/>
        </w:rPr>
        <w:t>»</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عن الحنابلة وجها بعدم وجوب غسله، لأنّ المحلّ طاهر بيقين، فلا يزول بشكّ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فرق هنا بين يقين النجاسة و شكّها في المنع بخلاف غيره</w:t>
      </w:r>
      <w:r>
        <w:rPr>
          <w:rFonts w:eastAsia="Amiri" w:cs="Amiri" w:ascii="Amiri" w:hAnsi="Amiri"/>
          <w:color w:val="111111"/>
          <w:sz w:val="28"/>
          <w:szCs w:val="28"/>
          <w:rtl w:val="true"/>
          <w:lang w:bidi="ar-SA"/>
        </w:rPr>
        <w:t>»</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اليقين بالنجاسة موجب لليقين بنجاسة ما أصابه، و أمّا الشكّ فيها فلا يوجب اليقين بنجاسة ما أصابه، فيبقى على أصالة الطهارة، و عدم الفرق بين اليقين و الشكّ هنا شرعا إنّما هو في وجوب الاجتناب لا في تنجيس الملاقي</w:t>
      </w:r>
      <w:r>
        <w:rPr>
          <w:rFonts w:eastAsia="Amiri" w:cs="Amiri" w:ascii="Amiri" w:hAnsi="Amiri"/>
          <w:color w:val="111111"/>
          <w:sz w:val="28"/>
          <w:szCs w:val="28"/>
          <w:rtl w:val="true"/>
          <w:lang w:bidi="ar-SA"/>
        </w:rPr>
        <w:t>»</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الساري من حكم النجس الواقعي إلى كلّ من المشتبهين إنّما هو الحكم التكليفي أعني وجوب الاجتناب، لأنّ الاجتناب عن كلّ واحد مقدّمة علميّة للواجب، و أمّا الحكم الوضعي و هي نفس النجاسة فلا يعقل سرايتها إليهما، بل هي قائمة بما هو نجس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الحدائق موافقة العلاّمة،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مقتضى القاعدة المستفادة من استقراء الأخبار الواردة في أفراد الشبهة المحصورة أنّ </w:t>
      </w:r>
    </w:p>
    <w:p>
      <w:pPr>
        <w:pStyle w:val="BookText"/>
        <w:rPr/>
      </w:pPr>
      <w:r>
        <w:rPr>
          <w:rFonts w:ascii="Amiri" w:hAnsi="Amiri" w:eastAsia="Amiri" w:cs="Amiri"/>
          <w:color w:val="111111"/>
          <w:sz w:val="28"/>
          <w:sz w:val="28"/>
          <w:szCs w:val="28"/>
          <w:rtl w:val="true"/>
          <w:lang w:bidi="ar-SA"/>
        </w:rPr>
        <w:t>الشارع أعطى المشتبه بالنجس و الحرام حكمهما، أ لا ترى أنّ ملاقاة النجاسة بعض أجزاء الثوب مع الاشتباه بباقي أجزاءه موجب لغسله كملا</w:t>
      </w:r>
      <w:r>
        <w:rPr>
          <w:rFonts w:eastAsia="Amiri" w:cs="Amiri" w:ascii="Amiri" w:hAnsi="Amiri"/>
          <w:color w:val="111111"/>
          <w:sz w:val="28"/>
          <w:szCs w:val="28"/>
          <w:rtl w:val="true"/>
          <w:lang w:bidi="ar-SA"/>
        </w:rPr>
        <w:t>»</w:t>
      </w:r>
      <w:r>
        <w:rPr>
          <w:rStyle w:val="FootnoteAnchor"/>
          <w:rtl w:val="true"/>
        </w:rPr>
        <w:footnoteReference w:id="3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هذه الدعوى إن أريد بها جميع الأحكام، و عدم جدواه إن اريد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اعترض صاحب المعالم على ما ذكر في الاحتجاج على مذهب العلاّمة، من أنّ المفروض كون الاشتباه موجبا للإلحاق بالنجس في الأحكام، فملاقيه إمّا نجس أو مشتبه بالنجس، و كلاهما موجب للاجتناب،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فساده ظاهر، فإنّ إيجاب الاشتباه للإلحاق بالنجس إن كان في جميع الأحكام فهو عين المتنازع؛ و إن كان في الجملة فغير مجد، و كون مطلق الاشتباه موجبا للاجتناب في حيّز المنع، و إنّما الموجب لذلك على ما هو المفروض اشتباه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مقايسة ملاقي المشتبه كائنا ما كان على نفس المشتبه في شيء من أحكامه حتّى الحكم التكليفي المعبّر عنه هنا بوجوب الاجتناب، لأنّ أصالة الطهارة أصل قرّره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بيانه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 الطهارة في كلّ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في نجاسته، باعتبار الشكّ في عروض وصف النجاسة بتحقّق سببه و عدمه، و لا ريب أنّ المقام من مجاريه، السليمة عمّا يمنع جريانه، و معناه القاعدة المقتضية لإجراء جميع أحكام الطهارة و آثارها، و عدم الاعتناء باحتمال طروّ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يستند إلى دليل شرعي</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ذلك كونه في مجاريه علما شرعيّا بالطهارة في ترتيب أحكامها، كالدخول في الصلاة و غيرها من مشروط بالطهارة، متلبّسا بمورده باستعمال و غيره من أنواع الملاقاة، و تناوله أكلا أو شربا أو نحو ذلك من أنواع التصرّفات المنوط جوازها بالطهارة، فلا يعارضه أصل الشغل الجاري في الصلاة و نظائرها، و لا استصحاب الأمر المقتضيين للعلم بالبراءة المتوقّف على ترك مباشرة المورد، لأنّ العلم المأخوذ في مقتضاهما بملاحظة الأدلّة الشرعيّة القطعيّة، الّتي عمدتها السيرة و الإجماع الضروري و الأخبار المتفرّقة في الأبواب الفقهيّة البالغة فوق حدّ التواتر، معنى أعمّ من الشرعي </w:t>
      </w:r>
    </w:p>
    <w:p>
      <w:pPr>
        <w:pStyle w:val="BookText"/>
        <w:rPr/>
      </w:pPr>
      <w:r>
        <w:rPr>
          <w:rFonts w:ascii="Amiri" w:hAnsi="Amiri" w:eastAsia="Amiri" w:cs="Amiri"/>
          <w:color w:val="111111"/>
          <w:sz w:val="28"/>
          <w:sz w:val="28"/>
          <w:szCs w:val="28"/>
          <w:rtl w:val="true"/>
          <w:lang w:bidi="ar-SA"/>
        </w:rPr>
        <w:t>الّذي هو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نظيره في نفس المشتبه لعدم كونه من مجاريه المأخوذ فيها الشك في عروض الوصف، ضرورة أنّ أحد فردي المشتبه متيقّن طهارته و الفرد الآخر متيقّن نجاسته، و لا شكّ في شيء منهما، غاية الأمر حصول الاشتباه بين موردي الطهارة و النجاسة المتيقّنتين، و معه لا يعقل جريان الأصل المعلّق على الشكّ في عروض الوصف، و لا ينفع في ذلك فرض الكلام في أحدهما المعيّن الّذي هو مشكوك في طهارته و نجاسته، لأنّ هذا الشكّ شكّ في تعيين ما عرض له الوصف لا أنّه شكّ في عروض الوصف، و مثله لم يعلم كونه مشمولا لأدلّة الأصل إن لم ندّع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عموم الأدلّة، فهذا الأصل كما يمكن فرض جريانه في هذا المعيّن فكذلك يمكن جريانه في المعيّن الآخر، و إعماله فيه دون صاحبه ترجيح بلا مرجّح، و إعمالهما معا طرح لأدلّة النجس الواقعي المحرز لأحكامه جميعا فيما هو النجس الواقعي من الفردين، و اعتبار التخيير بينهما ممّا لم يقم عليه دليل من العقل و لا النقل، فيبقى حكم العقل بلزوم اجتناب الجميع مقدّمة للعلم بالامتثال سليما عمّا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استفادة التخيير من نفس أدلّة الأصل، كما هو في سائر موارد التخيير المعلّق على الاضطرار، و لذا كان التخيير الثابت فيها راجعا إلى حكم العقل الّذي هو هنا بعد حكمه بلزوم تحصيل المقدّمة العلميّة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جميعا يندفع ما توهّم في المقام من أنّ الموجب لسقوط أصالة الطهارة في المشتبه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معارضتها بأصالة طهارة المشتبه الآخر موجود بعينه في الثالث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فيسقط أصالة طهارته أيضا، فيجب الاجتناب عنه مقدّمة للواجب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المعارضة بين الأصلين بالنسبة إلى المقام إنّما تتأتّى فيما كان الأخذ بأحد الأصلين منافيا للعلم بحصول امتثال الأمر بالاجتناب عن النجس الواقعي، كما في الأصل الجاري في كلّ من المشتبهين، و لا ريب أنّ ما يجري في الملاقي بالكسر ليس بهذه المثابة، لعدم دخول مورده في أطراف العلم الإجمالي المحرز للتكليف الفعلي</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الخطاب بالاجتناب عن النجس الواقعي وجوب ترتيب جميع </w:t>
      </w:r>
      <w:bookmarkStart w:id="1038" w:name="pg16144_233762"/>
    </w:p>
    <w:p>
      <w:pPr>
        <w:pStyle w:val="BookText"/>
        <w:rPr/>
      </w:pPr>
      <w:bookmarkEnd w:id="1038"/>
      <w:r>
        <w:rPr>
          <w:rFonts w:ascii="Amiri" w:hAnsi="Amiri" w:eastAsia="Amiri" w:cs="Amiri"/>
          <w:color w:val="111111"/>
          <w:sz w:val="28"/>
          <w:sz w:val="28"/>
          <w:szCs w:val="28"/>
          <w:rtl w:val="true"/>
          <w:lang w:bidi="ar-SA"/>
        </w:rPr>
        <w:t>آثار النجس على المشتبه، الّتي منها الاجتناب عن ملاقيه، كما أنّ منها الامتناع عن تناوله أكلا و شربا، و لا يعلم امتثال هذا الخطاب إلاّ بالامتناع عن ملاقي المشتبه أيضا، فيكون ذلك أيضا مقدّمة علميّة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النجس الواقعي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في ترتّبه موضوع سوى نفس النجس المعلوم وجوده هنا فيما بين المشتبهين، كحرمة تناوله أكلا و شربا، و عدم إجزاء استعماله في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في ترتّبه موضوع أثبته الشارع، لا يترتّب ذلك الحكم إلاّ بعد كون ذلك الموضوع محرزا، كوجوب الاجتناب عن ملاقي النجس، فإنّه حكم تابع لموضوعه و هو الملاقاة، و هو في المقام غير محرز، لعدم تبيّن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النجس الواقعي، و مجرّد الاحتمال غير كاف في ذلك، فحينئذ لم يعلم كون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هنا من آثار النجس المشتبه، كما علم ذلك في الملاقي لكلا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 ينقدح أنّه لو فقد المشتبه الملاقي لم يكن المشتبه الآخر مع الملاقى من باب الشبهة المحصورة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اشتباه الملاقى بالمشتبه الملاقي أو صاحبه استقرّت الشبهة بين الجميع، لدخول الملاقى في دائرة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1805152_1280447820"/>
      <w:bookmarkStart w:id="1040" w:name="_Toc407"/>
      <w:bookmarkEnd w:id="1039"/>
      <w:r>
        <w:rPr>
          <w:rtl w:val="true"/>
        </w:rPr>
        <w:t>و ثانيها</w:t>
      </w:r>
      <w:r>
        <w:rPr>
          <w:rtl w:val="true"/>
        </w:rPr>
        <w:t xml:space="preserve">: </w:t>
      </w:r>
      <w:r>
        <w:rPr>
          <w:rtl w:val="true"/>
        </w:rPr>
        <w:t>لو انصبّ أحد الإنائين بعد ملاقاة النجاسة و قبل العلم بها،</w:t>
      </w:r>
      <w:bookmarkEnd w:id="1040"/>
    </w:p>
    <w:p>
      <w:pPr>
        <w:pStyle w:val="BookText"/>
        <w:rPr/>
      </w:pPr>
      <w:r>
        <w:rPr>
          <w:rFonts w:ascii="Amiri" w:hAnsi="Amiri" w:eastAsia="Amiri" w:cs="Amiri"/>
          <w:color w:val="111111"/>
          <w:sz w:val="28"/>
          <w:sz w:val="28"/>
          <w:szCs w:val="28"/>
          <w:rtl w:val="true"/>
          <w:lang w:bidi="ar-SA"/>
        </w:rPr>
        <w:t>فإذا علم بها حصل الاشتباه في محلّ الملاقاة هل هو الإناء المنصبّ أو الباقي؟ لم يجب الاجتناب عن الباقي لا أصالة و لا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تبيّن كون الملاقاة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تنجّز التكليف بذي المقدّمة، أمّا قبل الانصباب فلعدم العلم بتحقّق السبب، و أمّا بعده فلعدم العلم ببقاء الموضوع</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ما لو انصبّ أحد الإنائين بعد الاشتباه الطاري لمحلّ الملاقاة المعلومة، ضرورة أنّ ارتفاع موضوع الحكم من مسقطاته، و بقاؤه مع هذا الفرض غير معلوم، و معه لا يعلم ببقاء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إبقاء الموضوع بحكم الاستصحاب، لأنّ </w:t>
      </w:r>
      <w:bookmarkStart w:id="1041" w:name="pg16144_233763"/>
    </w:p>
    <w:p>
      <w:pPr>
        <w:pStyle w:val="BookText"/>
        <w:rPr/>
      </w:pPr>
      <w:bookmarkEnd w:id="1041"/>
      <w:r>
        <w:rPr>
          <w:rFonts w:ascii="Amiri" w:hAnsi="Amiri" w:eastAsia="Amiri" w:cs="Amiri"/>
          <w:color w:val="111111"/>
          <w:sz w:val="28"/>
          <w:sz w:val="28"/>
          <w:szCs w:val="28"/>
          <w:rtl w:val="true"/>
          <w:lang w:bidi="ar-SA"/>
        </w:rPr>
        <w:t xml:space="preserve">الانصباب قد حدث بيقين و الشكّ في المنصبّ، و لا يعقل تعيينه بالأصل، و لا يمكن أيضا استصحاب وجوب الاجتناب كما توهّم، إذ لو اريد به الوجوب الأصلي المعلّق على النجس الواقعي فبقاء موضوعه غير محرز، و لو اريد الوجوب المقدّمي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تابع لوجوب ذي المقدّمة و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قد ثبت من العقل الّذي هو موجود مع الفرض، فينبغي المراجعة إليه نفسه لا استصحاب حكمه، و لا نجده بعد المراجعة إلاّ ساكتا، كيف و حكمه كان مبنيّا على عدم اقتناعه باحتمال الامتثال في موضع تيقّن الاشتغال، و هو في الفرض غير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يجب الامتناع عن الآخر الباقي لبقاء حكم العقل الثابت قبل الانصباب، و لا معنى لارتفاعه بتعذّر الامتناع عن المنصبّ، شيء لا نعقله، فحينئذ لو اشتبه طاهر آخر بذلك المشتبه الباقي لا يوجب اندراجهما في عنوان الشبهة، فما في منتهى العلاّمة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أحدهما متيقّن الطهارة و الآخر مشكوك النجاسة، كما لو انقلب أحد المشتبهين ثمّ اشتبه الباقي بمتيقّن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اشتبه الباقي بمتيقّن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الاجتناب</w:t>
      </w:r>
      <w:r>
        <w:rPr>
          <w:rFonts w:eastAsia="Amiri" w:cs="Amiri" w:ascii="Amiri" w:hAnsi="Amiri"/>
          <w:color w:val="111111"/>
          <w:sz w:val="28"/>
          <w:szCs w:val="28"/>
          <w:rtl w:val="true"/>
          <w:lang w:bidi="ar-SA"/>
        </w:rPr>
        <w:t>»</w:t>
      </w:r>
      <w:r>
        <w:rPr>
          <w:rStyle w:val="FootnoteAnchor"/>
          <w:rtl w:val="true"/>
        </w:rPr>
        <w:footnoteReference w:id="3280"/>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اشتبه الباقي بمتيقّن النجاسة وجب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النظر إلى إثبات الحكم من جهة القاعدة، و أمّا بناء على الاقتصار على النصّ فيمكن استفادة الإلحاق منه في مورده بناء على عدم التعدّي عنه إلى غيره، نظرا إلى أنّه لو كان انصباب أحدهما وسيلة إلى رفع التكليف بالاجتناب المسوّغ لاستعمال الباقي في طهارة و غيرها لكان على المعصوم عليه السّلام الإرشاد إليه بالأمر باهراق أحد الإنائين دون الجميع، فالأحوط إذن الاجتناب عن الباقي و طاهر مشتبه به أيضا، و لا يترك هذا الاحتياط البتّة</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1805154_1280447820"/>
      <w:bookmarkStart w:id="1043" w:name="_Toc408"/>
      <w:bookmarkEnd w:id="1042"/>
      <w:r>
        <w:rPr>
          <w:rtl w:val="true"/>
        </w:rPr>
        <w:t>و ثالثها</w:t>
      </w:r>
      <w:r>
        <w:rPr>
          <w:rtl w:val="true"/>
        </w:rPr>
        <w:t xml:space="preserve">: </w:t>
      </w:r>
      <w:r>
        <w:rPr>
          <w:rtl w:val="true"/>
        </w:rPr>
        <w:t>إذا تمكّن المكلّف عن ماء آخر غير المشتبهين لصلاته حدثا أو خبثا تعيّن بلا إشكال و لا خلاف،</w:t>
      </w:r>
      <w:bookmarkEnd w:id="1043"/>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يسوغ معه العدول عن المائيّة إلى التيمّم، و إذا لم يتمكّن عن ماء آخر فإن لم يمكن له الصلاة بالطهارة المتيقّنة عن الحدث فالظاهر أنّه لا إشكال أيضا عندهم في تعيّن العدول إلى التيمّم، و إن أمكن له الصلاة بالطهارة المتيقّنة كما لو </w:t>
      </w:r>
    </w:p>
    <w:p>
      <w:pPr>
        <w:pStyle w:val="BookText"/>
        <w:rPr/>
      </w:pPr>
      <w:r>
        <w:rPr>
          <w:rFonts w:ascii="Amiri" w:hAnsi="Amiri" w:eastAsia="Amiri" w:cs="Amiri"/>
          <w:color w:val="111111"/>
          <w:sz w:val="28"/>
          <w:sz w:val="28"/>
          <w:szCs w:val="28"/>
          <w:rtl w:val="true"/>
          <w:lang w:bidi="ar-SA"/>
        </w:rPr>
        <w:t>تطهّر بأحدهما و صلّى، ثمّ تطهّر بالآخر و صلّى بعد ما غسل من أعضائه ما لاقاه الأوّل، فالمصرّح به في كلام جمع المنع عنه أيضا،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الحكم المذكور</w:t>
      </w:r>
      <w:r>
        <w:rPr>
          <w:rFonts w:eastAsia="Amiri" w:cs="Amiri" w:ascii="Amiri" w:hAnsi="Amiri"/>
          <w:color w:val="111111"/>
          <w:sz w:val="28"/>
          <w:szCs w:val="28"/>
          <w:rtl w:val="true"/>
          <w:lang w:bidi="ar-SA"/>
        </w:rPr>
        <w:t>»</w:t>
      </w:r>
      <w:r>
        <w:rPr>
          <w:rStyle w:val="FootnoteAnchor"/>
          <w:rtl w:val="true"/>
        </w:rPr>
        <w:footnoteReference w:id="3281"/>
      </w:r>
      <w:r>
        <w:rPr>
          <w:rFonts w:ascii="Amiri" w:hAnsi="Amiri" w:eastAsia="Amiri" w:cs="Amiri"/>
          <w:color w:val="111111"/>
          <w:sz w:val="28"/>
          <w:sz w:val="28"/>
          <w:szCs w:val="28"/>
          <w:rtl w:val="true"/>
          <w:lang w:bidi="ar-SA"/>
        </w:rPr>
        <w:t>، و المنقول عن المعتبر في تعليله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ماء محكوم بالمنع منه، فيجري استعماله مجرى النجس</w:t>
      </w:r>
      <w:r>
        <w:rPr>
          <w:rFonts w:eastAsia="Amiri" w:cs="Amiri" w:ascii="Amiri" w:hAnsi="Amiri"/>
          <w:color w:val="111111"/>
          <w:sz w:val="28"/>
          <w:szCs w:val="28"/>
          <w:rtl w:val="true"/>
          <w:lang w:bidi="ar-SA"/>
        </w:rPr>
        <w:t>»</w:t>
      </w:r>
      <w:r>
        <w:rPr>
          <w:rStyle w:val="FootnoteAnchor"/>
          <w:rtl w:val="true"/>
        </w:rPr>
        <w:footnoteReference w:id="3282"/>
      </w:r>
      <w:r>
        <w:rPr>
          <w:rFonts w:ascii="Amiri" w:hAnsi="Amiri" w:eastAsia="Amiri" w:cs="Amiri"/>
          <w:color w:val="111111"/>
          <w:sz w:val="28"/>
          <w:sz w:val="28"/>
          <w:szCs w:val="28"/>
          <w:rtl w:val="true"/>
          <w:lang w:bidi="ar-SA"/>
        </w:rPr>
        <w:t>، و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يصدق عليه بعد الطهارة الاولى أنّه متيقّن الحدث شاكّ في الطهارة، و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له الدخول في الصلاة نصّا و إجماعا، و الوضوء الثاني يجوز أن يكون بالنجس، فيكون قد صلّى بنجاسة</w:t>
      </w:r>
      <w:r>
        <w:rPr>
          <w:rFonts w:eastAsia="Amiri" w:cs="Amiri" w:ascii="Amiri" w:hAnsi="Amiri"/>
          <w:color w:val="111111"/>
          <w:sz w:val="28"/>
          <w:szCs w:val="28"/>
          <w:rtl w:val="true"/>
          <w:lang w:bidi="ar-SA"/>
        </w:rPr>
        <w:t>»</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هذين الماءين قد صارا محكوما بنجاستهما شرعا، و استعمال النجس في الطهارة ممّا لا يمكن التقرّب به، لأنّه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r>
        <w:rPr>
          <w:rStyle w:val="FootnoteAnchor"/>
          <w:rtl w:val="true"/>
        </w:rPr>
        <w:footnoteReference w:id="3284"/>
      </w:r>
      <w:r>
        <w:rPr>
          <w:rFonts w:ascii="Amiri" w:hAnsi="Amiri" w:eastAsia="Amiri" w:cs="Amiri"/>
          <w:color w:val="111111"/>
          <w:sz w:val="28"/>
          <w:sz w:val="28"/>
          <w:szCs w:val="28"/>
          <w:rtl w:val="true"/>
          <w:lang w:bidi="ar-SA"/>
        </w:rPr>
        <w:t>و لعلّه لمنع المقدّمة الاولى، حيث إنّ هذين الماءين إنّما حكم بالاجتناب عنهما لا بنجاستهما معا، و لا ملازمة بين وجوب الاجتناب عن شيء و نجاسته، و المانع عن قصد التقرّب إنّما هو النجاسة المتيقّنة، و هي مع الصلاة بكلّ واحد بعد استعماله منفردا ثمّ غسل ما لاقاه الأوّل غير حاصلة، و مقارنة رجاء إدراك الصلاة مع الطهارة الحدثيّة رافعة لعنوان البدعة، و احتمال فوات الطهارة الخبثيّة عند كلّ صلاة لا يعارض اليقين بوقوع إحداهما مع الطهارة لا محالة</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يترتّب الأثر على هذا الاحتمال فيما لم يتخلّل صلاة بين الوضوءين، بأن توضّأ بأحدهما ثمّ توضّأ بالآخر بعد ما غسل به العضو الملاقي للأوّل ثمّ صلّى، فإنّ الغسل و إن كان يمنع عن يقين وجود النجاسة في العضو حين الوضوء الثاني و الصلاة به، غير أنّه يوجب اليقين بطروّ النجاسة للعضو المردّد بين كونه بالوضوء الأوّل أو غيره لا محالة، مع عدم اليقين بزوالها بمجرّد ذلك الغسل لجواز كونه باعثا على طروّها، و لا ريب أنّ المقام حينئذ من مواضع الاستصحاب، و النجاسة المستصحبة كالنجاسة المتيقّنة في اقتضاء المنع، و ليس كذلك الحال في الفرض المتقدّم لاستلزامه وقوع إحدى الصلاتين بالطهارة المتيقّنة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قضيّة ما نبّهنا عليه من تقرير الاستصحاب تحقّق المنع في هذا الفرض أيضا عن الصلاة الثانية و لو بمعونة أصالة تأخّر الحادث، بملاحظة أنّ استعمال الماء الثاني في غسل العضو و الوضوء بعده مع استلزامه حصول اليقين بطروّ النجاسة للعضو لا محالة مردّد بين كونه مقتضيا لطروّها أو رافعا للطاري، فلا يمكن الحكم عليه بأحد العنوانين معيّنا، لكن أصالة تأخّر الحادث يقتضي مقارنة طروّها له، و لا يمكن الاستناد إلى أصل الطهارة بالقياس إلى العضو لانقطاعه باليقين المذكور، فالإقدام على الصلاة ثانيا حينئذ إلقاء للنجاسة المستصحبة و نقض لليقين بها بمجرّد الشكّ، فهذه الصلاة محكوم بفسادها جدّا، و إن لم نقل بحرمة فعلها من جهة تحقّق عنوان البدعة فيها، أو حرمة مخالفة الاستصحاب، أو حرمة الصلاة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طرد نظير هذا الكلام إلى الصلاة الاولى أيضا، بملاحظة أنّه حين الإقدام عليها شاكّ في شرط الصحّة من طهارة حدثيّة و خبثيّة معا، و معلوم أنّ الشكّ في الشرط يستلزم الشكّ في المشروط، و الشكّ في الصحّة كاف في الحكم بالفساد، إذ لا بدّ في الإقدام عليها على وجه الصحّة من كون شروط الصحّة محرزة و لا محرز لهذين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الطهارة الخبثيّة ممّا يحرز بالأصل فلا يتمّ ذلك في الطهارة الحدثيّة، بل الأصل بالنسبة إليها يقتضي الخلاف كما لا يخفى، فالمانع عن الإقدام على هذه الصلاة هو استصحاب الحدث، كما أنّ المانع عن الصلاة الثانية هو استصحاب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قيام هذين المانعين فكيف يكتفي بهاتين الصلاتين في إحراز الصحّة و امتثال الأمر بالصلاة، و لعلّه إلى ما قرّرناه ينظر الثاني من الوجوه المتقدّمة في سند المنع، فتبيّن أنّه أوجه من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الأقوى وجوب الجمع بين الوضوءين مع التيمّم على تقدير إمكان غسل العضو الملاقي لأوّل الماءين ثمّ الصلاة عقيب كلّ وضوء غير واضح الوجه، فإنّ الوضوءين لاقتران كلّ منهما بما يقتضي بطلان الصلاة معه يكون وجودهما بمنزلة عدمهما، فهما مع التيمّم كالحجر الموضوع جنب الإنسان</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المكلّف قبل الإقدام على إيجاد الوضوءين يعلم أنّ أحدهما يقع </w:t>
      </w:r>
    </w:p>
    <w:p>
      <w:pPr>
        <w:pStyle w:val="BookText"/>
        <w:rPr/>
      </w:pPr>
      <w:r>
        <w:rPr>
          <w:rFonts w:ascii="Amiri" w:hAnsi="Amiri" w:eastAsia="Amiri" w:cs="Amiri"/>
          <w:color w:val="111111"/>
          <w:sz w:val="28"/>
          <w:sz w:val="28"/>
          <w:szCs w:val="28"/>
          <w:rtl w:val="true"/>
          <w:lang w:bidi="ar-SA"/>
        </w:rPr>
        <w:t>بماء طاهر على محلّ طاهر، فيعلم أنّ إحدى الصلاتين تقع جامعة لشرطي الطهارة الحدثيّة و الخبثيّة معا، و إن كان لا يعلم به عند إيجاد كلّ بعينه، فهو من أوّل الأمر قاصد لإيجادهما بداعي إدراك المأمور به الواقعي و هو الصلاة الجامعة للشرطين، كما في الصلاة إلى الجهات الأربع عند اشتباه القبلة بشرط أن لا يقصد عند إيجاد كلّ كونه بعينه المأمور به الواقعي، و لا كونه بعينه مقدّمة علميّة، بل يأتي بكلّ على أنّه بعض من العدد المندرج فيه المأمور به الواقعي، فالاشتباه لا ينافي قصد التقرّب و النيّة الّتي هي الداعي في الحقيقة، و انضمام التيمّم حينئذ إلى الوضوءين إنّما هو للخروج عن شبهة الحرمة الذاتيّة في التطهّر بالماء النجس الموجبة لسقوط الأمر بالمائيّة، لعدم إمكانها بعد فرض وجوب الاجتناب عن الجميع مقدّمة علميّة للاجتناب الواجب، الثابت وجوبه بالقياس إلى ما هو نجس في الواقع، كما هو الحال بالقياس إلى مقام الاستعمال في الأكل و الشرب، فيكون الوجه في وجوب الجمع حينئذ هو الاحتياط الّذي هو واجب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بذلك الاحتياط رعاية لتحصيل الطهارة الحدثيّة على وجه اليقين ترك للاحتياط بالقياس إلى رعاية الطهارة الخبثيّة، لما عرفت من أنّ الغسل المتخلّل بين الوضوءين مورث لطروّ النجاسة اليقينيّة، و محرز لموضوع استصحاب تلك النجاسة المتيقّنة إلى أن يقارن الوضوء و الصلاة الثانيين للنجاسة المستصحبة في العضو، و معه لا يعقل كونهما بعضا من العدد المندرج فيه 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إذن الاكتفاء بصلاة واحدة مع الوضوء بإحدى الماءين مع انضمام التيمّم إليه، هذا كلّه على حسب القواعد مع قطع النظر عن النصّ، و لعلّه عليه يبتني كلام الأصحاب في الاستدلال على المنع من الاستعمال رأسا بالوجوه المتقدّمة و إلاّ فالنصّ المتقدّم ذكره في الإناءين صريح في المنع من الاستعمال مطلقا و الأمر بالتيمّم، فالأخذ بمقتضى النصّ يستدعي تعيّن التيمّم، و كون التكليف في الصلاة معه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ثبت في محلّ خاصّ و لا عموم في النصّ ليشمل ساير أفراد الشبهة الحاصلة في الماءين</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كلام بعض مشايخنا</w:t>
      </w:r>
      <w:r>
        <w:rPr>
          <w:rStyle w:val="FootnoteAnchor"/>
          <w:rtl w:val="true"/>
        </w:rPr>
        <w:footnoteReference w:id="3285"/>
      </w:r>
      <w:r>
        <w:rPr>
          <w:rFonts w:ascii="Amiri" w:hAnsi="Amiri" w:eastAsia="Amiri" w:cs="Amiri"/>
          <w:color w:val="111111"/>
          <w:sz w:val="28"/>
          <w:sz w:val="28"/>
          <w:szCs w:val="28"/>
          <w:rtl w:val="true"/>
          <w:lang w:bidi="ar-SA"/>
        </w:rPr>
        <w:t xml:space="preserve">من احتمال تنزيله على صورة عدم التمكّن من </w:t>
      </w:r>
      <w:bookmarkStart w:id="1044" w:name="pg16144_233767"/>
    </w:p>
    <w:p>
      <w:pPr>
        <w:pStyle w:val="BookText"/>
        <w:rPr/>
      </w:pPr>
      <w:bookmarkEnd w:id="1044"/>
      <w:r>
        <w:rPr>
          <w:rFonts w:ascii="Amiri" w:hAnsi="Amiri" w:eastAsia="Amiri" w:cs="Amiri"/>
          <w:color w:val="111111"/>
          <w:sz w:val="28"/>
          <w:sz w:val="28"/>
          <w:szCs w:val="28"/>
          <w:rtl w:val="true"/>
          <w:lang w:bidi="ar-SA"/>
        </w:rPr>
        <w:t>إزالة النجاسة المتيقّنة عن بدنه، فإنّ تكرار الصلاة مع كلّ وضوء و إن كان ممكنا، إلاّ أنّه قد لا يمكن إزالة النجاسة للصلاة الآتية و لسائر استعمالاته المتوقّفة على طهارة يده و وجهه، مع كون المقام من مواضع ترك الاستفصال المفيد للعموم في المقال، ليس على ما ينبغي، إذ لم يعلم بقاطع و لا موهن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بجميع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الاقتصار على التيمّم في مورد النصّ خاصّة، و الجمع بينه و بين استعمال أحد الماءين في غيره عملا بالاحتياط</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1805156_1280447820"/>
      <w:bookmarkStart w:id="1046" w:name="_Toc409"/>
      <w:bookmarkEnd w:id="1045"/>
      <w:r>
        <w:rPr>
          <w:rtl w:val="true"/>
        </w:rPr>
        <w:t>و رابعها</w:t>
      </w:r>
      <w:r>
        <w:rPr>
          <w:rtl w:val="true"/>
        </w:rPr>
        <w:t xml:space="preserve">: </w:t>
      </w:r>
      <w:r>
        <w:rPr>
          <w:rtl w:val="true"/>
        </w:rPr>
        <w:t>ما تقدّم من الكلام إنّما هو في استعمال أحد الماءين أو كليهما للطهارة عن الحدث،</w:t>
      </w:r>
      <w:bookmarkEnd w:id="1046"/>
    </w:p>
    <w:p>
      <w:pPr>
        <w:pStyle w:val="BookText"/>
        <w:rPr/>
      </w:pPr>
      <w:r>
        <w:rPr>
          <w:rFonts w:ascii="Amiri" w:hAnsi="Amiri" w:eastAsia="Amiri" w:cs="Amiri"/>
          <w:color w:val="111111"/>
          <w:sz w:val="28"/>
          <w:sz w:val="28"/>
          <w:szCs w:val="28"/>
          <w:rtl w:val="true"/>
          <w:lang w:bidi="ar-SA"/>
        </w:rPr>
        <w:t>و أمّا بالقياس إلى الطهارة عن الخبث ففي جوازه بأحدهما، أو بهما معا، أو عدم جوازه مطلقا وجوه، نسب أوسطهما إلى جماعة منهم العلاّمة الطباطبائي رحمه اللّه القائل في منظومته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تواردا على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يرتفع، و ليس هكذا الخبث</w:t>
      </w:r>
      <w:r>
        <w:rPr>
          <w:rFonts w:eastAsia="Amiri" w:cs="Amiri" w:ascii="Amiri" w:hAnsi="Amiri"/>
          <w:color w:val="111111"/>
          <w:sz w:val="28"/>
          <w:szCs w:val="28"/>
          <w:rtl w:val="true"/>
          <w:lang w:bidi="ar-SA"/>
        </w:rPr>
        <w:t>»</w:t>
      </w:r>
      <w:r>
        <w:rPr>
          <w:rStyle w:val="FootnoteAnchor"/>
          <w:rtl w:val="true"/>
        </w:rPr>
        <w:footnoteReference w:id="3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الأقوى عملا بالطهارة المتيقّنة المشكوك في استناد حصولها إلى الغسل بالماء الأوّل أو الغسل بالماء الثاني لكن بعد انضمام أصالة التأخّر، لأنّها أمر حادث يشكّ في بدو زمان حدوثه، فأصل العدم يقتضي حدوثه بالغسل الأوّل، و ليس في المقام أصل يقتضي النجاسة، إذ لو اريد بها النجاسة السابقة على الغسلين فالأصل بالنسبة إليهما منقطع بالقطع بأنّ أحد الغسلين قد أثّر طهارة لا محالة، و لو اريد بها ما يستند طروّها إلى ملاقاة النجس الواقعي من هذين الماءين المقطوع بتحقّقها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الملاقاة هنا غير معلوم التأثير، لأنّ المنجّس إنّما يفيد تنجيسا إذا ورد محلاّ فارغا عن النجاسة و من الجائز مصادفة الغسل بالماء النجس نجاسة المحلّ، بأن يكون هو أوّل الغسلين، و لا أثر له في إفادة التنجيس، و مصادفته طهارة المحلّ بأن يكون هو ثاني الغسلين، فيكون موجبا لنجاسة المحلّ ثانيا، و قضيّة ذلك كون النجاسة الثانية مشكوكا في حدوثها رأسا، فلا يعقل بالنسبة إليها أصل</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أنّ المتنجّس قابل للتنجيس ثانيا، فأقلّه معارضة الأصل المقتضي لتأخّر تلك النجاسة للأصل المتقدّم المقتضي لتأخّر الطهارة الحاصلة من الغسل بطاهر </w:t>
      </w:r>
    </w:p>
    <w:p>
      <w:pPr>
        <w:pStyle w:val="BookText"/>
        <w:rPr/>
      </w:pPr>
      <w:r>
        <w:rPr>
          <w:rFonts w:ascii="Amiri" w:hAnsi="Amiri" w:eastAsia="Amiri" w:cs="Amiri"/>
          <w:color w:val="111111"/>
          <w:sz w:val="28"/>
          <w:sz w:val="28"/>
          <w:szCs w:val="28"/>
          <w:rtl w:val="true"/>
          <w:lang w:bidi="ar-SA"/>
        </w:rPr>
        <w:t>الماءين، فيتساقطان، فيرجع إلى أصالة الطهارة في الأشياء، و لا معارض لها بعد تساقط الأصلين و انقطاع الأصل بالنسبة إلى النجاسة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فبجميع ما ذكر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الاحتمال الثالث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بعد تساقط الأصلين عموم ما دلّ على وجوب غسل الثوب من النجاسة المردّدة مثلا إذا فرضناها بولا، 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287"/>
      </w:r>
      <w:r>
        <w:rPr>
          <w:rFonts w:ascii="Amiri" w:hAnsi="Amiri" w:eastAsia="Amiri" w:cs="Amiri"/>
          <w:color w:val="111111"/>
          <w:sz w:val="28"/>
          <w:sz w:val="28"/>
          <w:szCs w:val="28"/>
          <w:rtl w:val="true"/>
          <w:lang w:bidi="ar-SA"/>
        </w:rPr>
        <w:t>على وجوب الغسل عقيب كلّ بول، و الأمر بالغسل و إن لم يعلم بقاؤه، إلاّ أنّ الاحتياط اللازم عند الشكّ في سقوط الأمر يقتضي وجوب الغسل، فإنّ وجوب الاحتياط يدفعه الأصل المشار إليه، و استحبابه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الاحتياط و استصحاب النجاسة السابقة لزوم الغسل بكلّ من الماءين و عدم الاقتصار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الاحتمال الأوّل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إطلاقات الغسل بالماء يقتضي ذلك، غاية الأمر أنّه خرج منها ما علم نجاسته و بها يدفع استصحاب نجاسة المحلّ، واضح الضعف، فإنّ المنساق من الإطلاقات كون الغسل حاصلا بالماء الطاهر، فالمفروض غير معلوم الاندراج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الشمول لكن دليل اشتراط الطهارة في الغاسل المسلّم عند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يفصح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منها ما علم نجاسته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قيدها بصورة الطهارة، و الشرط غير معلوم الحصول فيحصل به موضوع استصحاب النجاسة في المحلّ، و هو محرز لموضوع تلك الإطلاقات و هو النجاسة، ضرورة أنّ النجاسة الّتي يجب الغسل عنها أعمّ من النجاسة المستصحبة، و مع ذلك فكيف يندفع بها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يندفع بحصول ما علم كونه رافعا بحسب الشرع و هو غير معلوم الحصول كما عرفت</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انصبّ أحد الماءين ففي وجوب الغسل بالآخر عند انحصار الماء فيه و عدمه وجهان، من أنّ النجاسة المستصحبة كالنجاسة المتيقّنة في اقتضاء المنع و وجوب الغسل و نحو ذلك من سائر أحكام النجاسة، و الغسل المذكور لا يوجب ارتفاع شيء </w:t>
      </w:r>
    </w:p>
    <w:p>
      <w:pPr>
        <w:pStyle w:val="BookText"/>
        <w:rPr/>
      </w:pPr>
      <w:r>
        <w:rPr>
          <w:rFonts w:ascii="Amiri" w:hAnsi="Amiri" w:eastAsia="Amiri" w:cs="Amiri"/>
          <w:color w:val="111111"/>
          <w:sz w:val="28"/>
          <w:sz w:val="28"/>
          <w:szCs w:val="28"/>
          <w:rtl w:val="true"/>
          <w:lang w:bidi="ar-SA"/>
        </w:rPr>
        <w:t>من تلك الأحكام، بل غاية ما يوجبه إنّما هو نقل النجاسة المتيقّنة إلى النجاسة المستصحبة، فالأحكام بعد باقية، فلم يترتّب عليه فائدة، فلا وجه لإيجابه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النجاسة الغير المعلومة أهون في نظر الشارع من معلومتها، فلذا القي أحكام النجاسة الواقعيّة بمجرّد انتفاء العلم بها، و الأوّل اولى للأصل 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وجوب إراقة الماءين الواردة في النصّ المتقدّم في الإنائين، فعن الشيخين</w:t>
      </w:r>
      <w:r>
        <w:rPr>
          <w:rStyle w:val="FootnoteAnchor"/>
          <w:rtl w:val="true"/>
        </w:rPr>
        <w:footnoteReference w:id="3288"/>
      </w:r>
      <w:r>
        <w:rPr>
          <w:rFonts w:ascii="Amiri" w:hAnsi="Amiri" w:eastAsia="Amiri" w:cs="Amiri"/>
          <w:color w:val="111111"/>
          <w:sz w:val="28"/>
          <w:sz w:val="28"/>
          <w:szCs w:val="28"/>
          <w:rtl w:val="true"/>
          <w:lang w:bidi="ar-SA"/>
        </w:rPr>
        <w:t>و الصدوقين</w:t>
      </w:r>
      <w:r>
        <w:rPr>
          <w:rStyle w:val="FootnoteAnchor"/>
          <w:rtl w:val="true"/>
        </w:rPr>
        <w:footnoteReference w:id="3289"/>
      </w:r>
      <w:r>
        <w:rPr>
          <w:rFonts w:ascii="Amiri" w:hAnsi="Amiri" w:eastAsia="Amiri" w:cs="Amiri"/>
          <w:color w:val="111111"/>
          <w:sz w:val="28"/>
          <w:sz w:val="28"/>
          <w:szCs w:val="28"/>
          <w:rtl w:val="true"/>
          <w:lang w:bidi="ar-SA"/>
        </w:rPr>
        <w:t>الوجوب لظاهر الأمر الوارد في النصّ، و عن ابن إدريس</w:t>
      </w:r>
      <w:r>
        <w:rPr>
          <w:rStyle w:val="FootnoteAnchor"/>
          <w:rtl w:val="true"/>
        </w:rPr>
        <w:footnoteReference w:id="3290"/>
      </w:r>
      <w:r>
        <w:rPr>
          <w:rFonts w:ascii="Amiri" w:hAnsi="Amiri" w:eastAsia="Amiri" w:cs="Amiri"/>
          <w:color w:val="111111"/>
          <w:sz w:val="28"/>
          <w:sz w:val="28"/>
          <w:szCs w:val="28"/>
          <w:rtl w:val="true"/>
          <w:lang w:bidi="ar-SA"/>
        </w:rPr>
        <w:t>و من تأخّر عنه الثاني، و عليه العلاّمة في المختلف</w:t>
      </w:r>
      <w:r>
        <w:rPr>
          <w:rStyle w:val="FootnoteAnchor"/>
          <w:rtl w:val="true"/>
        </w:rPr>
        <w:footnoteReference w:id="3291"/>
      </w:r>
      <w:r>
        <w:rPr>
          <w:rFonts w:ascii="Amiri" w:hAnsi="Amiri" w:eastAsia="Amiri" w:cs="Amiri"/>
          <w:color w:val="111111"/>
          <w:sz w:val="28"/>
          <w:sz w:val="28"/>
          <w:szCs w:val="28"/>
          <w:rtl w:val="true"/>
          <w:lang w:bidi="ar-SA"/>
        </w:rPr>
        <w:t>و غيره، و عن بعض الأصحاب</w:t>
      </w:r>
      <w:r>
        <w:rPr>
          <w:rStyle w:val="FootnoteAnchor"/>
          <w:rtl w:val="true"/>
        </w:rPr>
        <w:footnoteReference w:id="3292"/>
      </w:r>
      <w:r>
        <w:rPr>
          <w:rFonts w:ascii="Amiri" w:hAnsi="Amiri" w:eastAsia="Amiri" w:cs="Amiri"/>
          <w:color w:val="111111"/>
          <w:sz w:val="28"/>
          <w:sz w:val="28"/>
          <w:szCs w:val="28"/>
          <w:rtl w:val="true"/>
          <w:lang w:bidi="ar-SA"/>
        </w:rPr>
        <w:t>أنّ علّة الأمر بالإراقة ليصحّ التيمّم، لأنّه مشروط بعدم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يعدّ ذلك قولا على حدة في مقابلة الأوّل، حملا له على وجوبها تعبّدا و ذلك على وجوبها مقدّمة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w:t>
      </w:r>
      <w:r>
        <w:rPr>
          <w:rStyle w:val="FootnoteAnchor"/>
          <w:rtl w:val="true"/>
        </w:rPr>
        <w:footnoteReference w:id="3293"/>
      </w:r>
      <w:r>
        <w:rPr>
          <w:rFonts w:ascii="IRNazanin" w:hAnsi="IRNazanin" w:eastAsia="IRNazanin"/>
          <w:color w:val="111111"/>
          <w:sz w:val="28"/>
          <w:sz w:val="28"/>
          <w:szCs w:val="28"/>
          <w:rtl w:val="true"/>
          <w:lang w:bidi="fa-IR"/>
        </w:rPr>
        <w:t>، و عن المعتبر</w:t>
      </w:r>
      <w:r>
        <w:rPr>
          <w:rStyle w:val="FootnoteAnchor"/>
          <w:rtl w:val="true"/>
        </w:rPr>
        <w:footnoteReference w:id="3294"/>
      </w:r>
      <w:r>
        <w:rPr>
          <w:rFonts w:ascii="Amiri" w:hAnsi="Amiri" w:eastAsia="Amiri" w:cs="Amiri"/>
          <w:color w:val="111111"/>
          <w:sz w:val="28"/>
          <w:sz w:val="28"/>
          <w:szCs w:val="28"/>
          <w:rtl w:val="true"/>
          <w:lang w:bidi="ar-SA"/>
        </w:rPr>
        <w:t xml:space="preserve">،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وجود الماء الممنوع من استعماله لا يمنع التيمّم كما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التيمّم عدم التمكّن من استعمال الماء لا مجرّد عدمه، و منع الشارع عن استعمال هذا الماء رافع لتمكّن الاستعمال، فالشرط حاصل، و معه لا حاجة إلى إراقة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مبنيّ على حرمة الاستعمال ذاتا حتّى في رفع الحدث، و هو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دفع هذا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مع وجود هذا الماء إمّا أن يكون سائغا أو لا، فعلى الأوّل لا مقتضي للإراقة، و على الثاني يتعيّن المائيّة بذلك الماء، و ذلك يكشف عن عدم المنع من استعماله في الطهارة، ضرورة امتناع التكليف بالمتناقضين كامتناع عدم ثبوت التكليف بشيء من البدلين</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ضعف ما ذكر في توجيه الأمر الوارد في النصّ، نعم إنّما يتّجه ذلك </w:t>
      </w:r>
      <w:bookmarkStart w:id="1047" w:name="pg16144_233770"/>
    </w:p>
    <w:p>
      <w:pPr>
        <w:pStyle w:val="BookText"/>
        <w:rPr/>
      </w:pPr>
      <w:bookmarkEnd w:id="1047"/>
      <w:r>
        <w:rPr>
          <w:rFonts w:ascii="Amiri" w:hAnsi="Amiri" w:eastAsia="Amiri" w:cs="Amiri"/>
          <w:color w:val="111111"/>
          <w:sz w:val="28"/>
          <w:sz w:val="28"/>
          <w:szCs w:val="28"/>
          <w:rtl w:val="true"/>
          <w:lang w:bidi="ar-SA"/>
        </w:rPr>
        <w:t>فيمن يشكّ في حصول شرط التيمّم و الحال هذه، فيلتزم بإراقة الماء إحرازا للشرط المشكوك فيه، و هو مستحيل على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إذن عدم وجوب الإراقة للأصل، و لا ينافيه الأمر الوارد لظهور كونه كناية عن النجاسة و المبالغة فيها، كما في كثير من الأخبار بالقياس إلى غير المقام، المتقدّمة في بحث انفعال القليل، و إطلاق مثل هذا اللفظ في موضوع إرادة المبالغة في عدم ترتّب الفائدة المطلوبة من الشيء شايع في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مكان الماءين عين النجس لم يجب إراقته بالضرورة</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805158_1280447820"/>
      <w:bookmarkStart w:id="1049" w:name="_Toc410"/>
      <w:bookmarkEnd w:id="1048"/>
      <w:r>
        <w:rPr>
          <w:rtl w:val="true"/>
        </w:rPr>
        <w:t>المقام الثاني</w:t>
      </w:r>
      <w:r>
        <w:rPr>
          <w:rtl w:val="true"/>
        </w:rPr>
        <w:t xml:space="preserve">: </w:t>
      </w:r>
      <w:r>
        <w:rPr>
          <w:rtl w:val="true"/>
        </w:rPr>
        <w:t>في الماء المشتبه بالمغصوب،</w:t>
      </w:r>
      <w:bookmarkEnd w:id="1049"/>
    </w:p>
    <w:p>
      <w:pPr>
        <w:pStyle w:val="BookText"/>
        <w:rPr/>
      </w:pPr>
      <w:r>
        <w:rPr>
          <w:rFonts w:ascii="Amiri" w:hAnsi="Amiri" w:eastAsia="Amiri" w:cs="Amiri"/>
          <w:color w:val="111111"/>
          <w:sz w:val="28"/>
          <w:sz w:val="28"/>
          <w:szCs w:val="28"/>
          <w:rtl w:val="true"/>
          <w:lang w:bidi="ar-SA"/>
        </w:rPr>
        <w:t>و الكلام فيه أيضا كسابقه في وجوب الاجتناب عن الجميع، و عدم جواز ارتكاب شيء كلاّ و لا بعضا، و الدليل عليه أيضا ما تقدّم على جهة التفصيل، و ما عن بعض أفاضل متأخّري المتأخرين من استشكاله في ذلك استنادا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3295"/>
      </w:r>
      <w:r>
        <w:rPr>
          <w:rFonts w:ascii="Amiri" w:hAnsi="Amiri" w:eastAsia="Amiri" w:cs="Amiri"/>
          <w:color w:val="111111"/>
          <w:sz w:val="28"/>
          <w:sz w:val="28"/>
          <w:szCs w:val="28"/>
          <w:rtl w:val="true"/>
          <w:lang w:bidi="ar-SA"/>
        </w:rPr>
        <w:t>،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عن علماء الاصول في تلك المسألة و نظائرها الّتي منها المسألة المتقدّمة المندرج جميعها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قد استقصينا الكلام في جرحها و تعديلها في المسألة الاصوليّة، فلو ارتكب كليهما أو أحدهما فعل حراما، لكن لو توضّأ أو اغتسل بهما ففي صحّته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لأنّ أحدهما ماء مباح، و لا شكّ أنّه قد وقع الطهارة، فيستلزم أن تكون صحيحة، و كون كلّ منهما حراما منهيّا عنه لا يوجب الفساد، بعد منع دلالة النهي على فساد العبادة، حكى التصريح به عن بعض محقّقي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صرّح به غير واحد من متأخّري أصحابنا، و قوّاه العلاّمة في المنتهى</w:t>
      </w:r>
      <w:r>
        <w:rPr>
          <w:rStyle w:val="FootnoteAnchor"/>
          <w:rtl w:val="true"/>
        </w:rPr>
        <w:footnoteReference w:id="3296"/>
      </w:r>
      <w:r>
        <w:rPr>
          <w:rFonts w:ascii="Amiri" w:hAnsi="Amiri" w:eastAsia="Amiri" w:cs="Amiri"/>
          <w:color w:val="111111"/>
          <w:sz w:val="28"/>
          <w:sz w:val="28"/>
          <w:szCs w:val="28"/>
          <w:rtl w:val="true"/>
          <w:lang w:bidi="ar-SA"/>
        </w:rPr>
        <w:t>تعلّقا بنهي العبادة المقتضي للفساد، و يقين الاشتغال المقتضي ليقين البراءة الغير الحاصل هنا، لعدم حصول الجزم بالتقرّب، بل التقرّب بما يحتمل كونه حراما احتمالا مساويا ربّما يعدّ قبيحا، بل هو الظاهر، فلا يقع الامتثال</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صورتي انحصار الماء فيهما فلا يصحّ، و عدمه فيصحّ، لأنّ </w:t>
      </w:r>
      <w:bookmarkStart w:id="1050" w:name="pg16144_233771"/>
    </w:p>
    <w:p>
      <w:pPr>
        <w:pStyle w:val="BookText"/>
        <w:rPr/>
      </w:pPr>
      <w:bookmarkEnd w:id="1050"/>
      <w:r>
        <w:rPr>
          <w:rFonts w:ascii="Amiri" w:hAnsi="Amiri" w:eastAsia="Amiri" w:cs="Amiri"/>
          <w:color w:val="111111"/>
          <w:sz w:val="28"/>
          <w:sz w:val="28"/>
          <w:szCs w:val="28"/>
          <w:rtl w:val="true"/>
          <w:lang w:bidi="ar-SA"/>
        </w:rPr>
        <w:t>الانحصار يوجب ارتفاع الأمر بالمائيّة و عدم تعلّقه رأسا، لامتناع الأمر باستعمال ما نهي عن استعماله، بخلاف صورة عدم الانحصار فإنّ الأمر بالمائيّة متوجّه جزما، و مباح الماء موجود بين المشتبهين، فالمكلّف قبل اشتغاله باستعمال هذا و ذاك قاصد باستعمالهما لإدراك الطهارة بالمباح الموجود فرضا، و بذلك يتحقّق قصد التقرّب و إن لم يستتبع حصوله بفعله المنهيّ عنه و لو مقدّمة، فإنّ شرط الصحّة قصد التقرّب لا حصوله، بل الشرط في الحقيقة قصد الامتثال الموجب للتقرّب، فالتعبير عنه به تعبير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حينئذ أنّه مع تفطّنه بأنّه يفعل المحرّم جازم بعدم حصول التقرّب، و معه يستحيل منه القصد،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استحالة قصد التقرّب لا تستلزم استحالة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إمكان حصول قصد الامتثال، بل عدم إمكان قصد التقرّب لعدم إمكان قصد الامتثال، ضرورة أنّ الامتثال بمعنى موافقة الأمر فرع الأمر، و إيجاد الطهارة بهذين الماءين بعد فرض كونه محرّما فكيف يعقل كونه موردا للأمر، و المفروض أنّه ليس إلاّ أمرا واحدا، و الأمر الواحد لا يصلح موردا للأمر و النهي، و كونه موردا لأحدهما دون الآخر خلاف الفرض أو مثبت للمطلوب من انتفاء الأمر، فلا جرم يتقيّد المأمور به بغير هذين الماءين و إن كان بينه و بين استعمالهما المنهيّ عنه عموم من وجه، لضابطة ما تقرّر في الاصول من امتناع اجتماع الأمر و النهي و إن كان أحدهما مقدّميّا الموجب للتصرّف في الأمر، و مجرّد كون أحد الماءين مباحا ذاتيّا مع فرض الحرمة العرضيّة المانعة عن تعلق الأمر غير مجد كما لا يخفى، فالأقوى إذن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استعملهما أو استعمل أحدهما في رفع الخبث كان مجزيا، لا لحصول الامتثال، بل لسقوط الأمر بحصول الغرض في الخارج</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805160_1280447820"/>
      <w:bookmarkStart w:id="1052" w:name="_Toc411"/>
      <w:bookmarkEnd w:id="1051"/>
      <w:r>
        <w:rPr>
          <w:rtl w:val="true"/>
        </w:rPr>
        <w:t>و المقام الثالث</w:t>
      </w:r>
      <w:r>
        <w:rPr>
          <w:rtl w:val="true"/>
        </w:rPr>
        <w:t xml:space="preserve">: </w:t>
      </w:r>
      <w:r>
        <w:rPr>
          <w:rtl w:val="true"/>
        </w:rPr>
        <w:t>في الماء المشتبه بالمضاف،</w:t>
      </w:r>
      <w:bookmarkEnd w:id="1052"/>
    </w:p>
    <w:p>
      <w:pPr>
        <w:pStyle w:val="BookText"/>
        <w:rPr/>
      </w:pPr>
      <w:r>
        <w:rPr>
          <w:rFonts w:ascii="Amiri" w:hAnsi="Amiri" w:eastAsia="Amiri" w:cs="Amiri"/>
          <w:color w:val="111111"/>
          <w:sz w:val="28"/>
          <w:sz w:val="28"/>
          <w:szCs w:val="28"/>
          <w:rtl w:val="true"/>
          <w:lang w:bidi="ar-SA"/>
        </w:rPr>
        <w:t>المصرّح به في كلام الأصحاب وجوب التطهير بكلّ منهما، و هو كذلك لوجود الماء جزما و التمكّن قطعا، فيثبت الأمر بالمائيّة لوجود المقتضي و فقد المانع، و لا يحصل يقين الامتثال إلاّ بالجمع، فيجب تحقيقا لمقتضى يقين الاشتغال</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بدّ من الجزم كما في النيّة، و لا جزم هنا عند شيء من الطهارتين، قد عرفت ما فيها من أنّ الجزم هنا حاصل قبل التشاغل، فإنّه جازم بأنّ </w:t>
      </w:r>
    </w:p>
    <w:p>
      <w:pPr>
        <w:pStyle w:val="BookText"/>
        <w:rPr/>
      </w:pPr>
      <w:r>
        <w:rPr>
          <w:rFonts w:ascii="Amiri" w:hAnsi="Amiri" w:eastAsia="Amiri" w:cs="Amiri"/>
          <w:color w:val="111111"/>
          <w:sz w:val="28"/>
          <w:sz w:val="28"/>
          <w:szCs w:val="28"/>
          <w:rtl w:val="true"/>
          <w:lang w:bidi="ar-SA"/>
        </w:rPr>
        <w:t>أحد المشتبهين ماء و هو باستعمالهما معا يدرك استعمال الماء المأمور به، فينوي من حينه امتثال الأمر و أداء المأمور به، فيأتي بهذا و ذاك بداعي هذه النيّة، مع مقارنتها من حينها لنيّة كون الجمع بينهما مقدّمة للعلم، من غير أن ينوي في كلّ بخصوصه عنوان المقدّميّة، و لا عنوان كونه مأمورا به على جهة الاستقلال، غاية الأمر أنّه ينوي عند إيجاد كلّ إيجاد الوضوء أو الغسل بشرائطهما و آدابهما المقرّرة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اشتراط مثل هذا الجزم في النيّة، و لو سلّم فهو في صورة تيسّر الجزم أو الظنّ، و أمّا مع عدم التيسّر فلا، فإن اريد به منع اعتبار الجزم في الخصوصيّتين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الجزم الإجمالي في تيسّر نيّة التقرّب فهو راجع إلى ما ذكرناه، و إن اريد به منع اعتبار الجزم رأسا فهو واضح الضعف، كيف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إنكار اعتبار نيّة التقرّب في صحة العبادة، ضرورة أنّها غير ممكن الحصول مع عدم الجزم و لا الظنّ المعتبر بوجود المأمور به مع المأتيّ به لا تفصيلا و 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المطلوبيّة و لو مرجوحا يكفي في تأتّي قصد التقرّب، فإنّما يسلّم إذا جامع هذا الاحتمال للجزم الإجمالى بوجود المأمور به الواقعي مع المأتيّ به، بأن يكون الاحتمال بالقياس إلى الخصوصيّة و الجزم في الأمر المردّد بينها و بين خصوصيّة اخرى، كما في اشتباه القبلة و نحوها، و لا يوجب ذلك الترديد في النيّة، لأنّه إنّما يلزم إذا كان التردّد بين أن يفعل و أن لا يفعل، لا إذا تردّد المأمور به اليقيني بين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الحكم عند عدم التمكّن عن ماء آخر غير مشتبه واضح، و أمّا مع التمكّن عنه فالمحكيّ عن ثاني الشهيدين في شرحه للإرشاد</w:t>
      </w:r>
      <w:r>
        <w:rPr>
          <w:rStyle w:val="FootnoteAnchor"/>
          <w:rtl w:val="true"/>
        </w:rPr>
        <w:footnoteReference w:id="3297"/>
      </w:r>
      <w:r>
        <w:rPr>
          <w:rFonts w:ascii="Amiri" w:hAnsi="Amiri" w:eastAsia="Amiri" w:cs="Amiri"/>
          <w:color w:val="111111"/>
          <w:sz w:val="28"/>
          <w:sz w:val="28"/>
          <w:szCs w:val="28"/>
          <w:rtl w:val="true"/>
          <w:lang w:bidi="ar-SA"/>
        </w:rPr>
        <w:t>عدم الصحّة، للقدرة على الجزم التامّ في النيّة فلا تصحّ بدونه، و مرجعه إلى عدم الاكتفاء بالامتثال الإجمالي مع التمكّن عن الامتثال التفصيلي، و لا يخلو عن قوّة كما تقدّم الإشارة إليه في مباحث النزح</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مسألة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انقلب أحد المشتبهين بحيث تعذّر استعماله، فالمنقول في المدارك عن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قطعوا على وجوب الوضوء بالباقي مع التيمّم، مقدّما للأوّل على الثاني</w:t>
      </w:r>
      <w:r>
        <w:rPr>
          <w:rFonts w:eastAsia="Amiri" w:cs="Amiri" w:ascii="Amiri" w:hAnsi="Amiri"/>
          <w:color w:val="111111"/>
          <w:sz w:val="28"/>
          <w:szCs w:val="28"/>
          <w:rtl w:val="true"/>
          <w:lang w:bidi="ar-SA"/>
        </w:rPr>
        <w:t>»</w:t>
      </w:r>
      <w:r>
        <w:rPr>
          <w:rStyle w:val="FootnoteAnchor"/>
          <w:rtl w:val="true"/>
        </w:rPr>
        <w:footnoteReference w:id="32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نقل القطع عن الأصحاب كما ترى لا تقصر عن نقل إجماعهم على المسألة، غير أنّه على كلّ تقدير يشكل التوفيق بينه و بين المحكيّ عن جدّه في روض الجنان</w:t>
      </w:r>
      <w:r>
        <w:rPr>
          <w:rStyle w:val="FootnoteAnchor"/>
          <w:rtl w:val="true"/>
        </w:rPr>
        <w:footnoteReference w:id="3299"/>
      </w:r>
      <w:r>
        <w:rPr>
          <w:rFonts w:ascii="Amiri" w:hAnsi="Amiri" w:eastAsia="Amiri" w:cs="Amiri"/>
          <w:color w:val="111111"/>
          <w:sz w:val="28"/>
          <w:sz w:val="28"/>
          <w:szCs w:val="28"/>
          <w:rtl w:val="true"/>
          <w:lang w:bidi="ar-SA"/>
        </w:rPr>
        <w:t>من الاستناد لأصل الحكم إلى القواعد العمليّة من أصل الشغل و الاستصحاب، القاضي بعدم كونه بالخصوص مأخوذا من المعصوم، و نظير هذه القواعد ممّا لا سبيل له إلى إعطاء القطع إلاّ أن يفرض بالقياس إلى الحكم الفعلي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فالعبارة المنقولة عن روض الجنان ما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انقلاب أحدهما قبل الطهارة وجب الطهارة بالآخر ثمّ التيمّم، لما تقدّم من أنّ الجمع مقدّمة الواجب المطلق، و لأنّ الحكم بوجوب الاستعمال تابع لوجود المطلق، و قد كان وجوده مقطوعا به فيستصحب إلى أن يثبت العدم، و يحتمل ضعيفا عدم الوجوب فيتيمّم خاصّة، لأنّ التكليف بالطهارة مع تحقّق وجود المطلق و هو منتف، و لأصالة البراءة من وجوب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ذكرناه، فإنّ الاستصحاب كاف في الحكم بوجود المطلق، و أصالة البراءة منتفية بوجوب تحصيل مقدّمة الواجب المطلق و هي لا تتمّ إلاّ بفعلهما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الدليل يقتضي عدم وجوب التيمّم، فإنّ استصحاب 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معه وجوب التيمّم، إذ هو مع الاشتباه لا مع تحقّق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المدّعى إنّما هو استصحاب وجوب الطهارة بناء على أصالة عدم فقد المطلق، و ذلك لا يرفع أصل الاشتباه، لأنّ الاستصحاب لا يفيد ما في نفس الأمر، فالجمع بين الطهارتين يحصّل اليقين</w:t>
      </w:r>
      <w:r>
        <w:rPr>
          <w:rFonts w:eastAsia="Amiri" w:cs="Amiri" w:ascii="Amiri" w:hAnsi="Amiri"/>
          <w:color w:val="111111"/>
          <w:sz w:val="28"/>
          <w:szCs w:val="28"/>
          <w:rtl w:val="true"/>
          <w:lang w:bidi="ar-SA"/>
        </w:rPr>
        <w:t>»</w:t>
      </w:r>
      <w:r>
        <w:rPr>
          <w:rStyle w:val="FootnoteAnchor"/>
          <w:rtl w:val="true"/>
        </w:rPr>
        <w:footnoteReference w:id="33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 مراده بالواجب المطلق الّذي يجعل الجمع مقدّمة له يقين البراءة الّذي يستدعيه يقين الشغل بالصلاة مع الطهارة المردّدة بين المائيّة و الترابيّة، الواجب بحكم العقل، المتوقّف على الجمع بين الطهارتين، و عليه فهذا هو الوجه الّذي لا محيص عنه، فيكون القول بوجوب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القطع به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 المصير إليه</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التمسّك باستصحاب وجود المطلق ففي غاية الوهن، ضرورة أنّه لا يجدي إلاّ مع الحكم من جهته بكون هذا الموجود هو الماء المطلق، و هو محال بعد ملاحظة أنّ </w:t>
      </w:r>
    </w:p>
    <w:p>
      <w:pPr>
        <w:pStyle w:val="BookText"/>
        <w:rPr/>
      </w:pPr>
      <w:r>
        <w:rPr>
          <w:rFonts w:ascii="Amiri" w:hAnsi="Amiri" w:eastAsia="Amiri" w:cs="Amiri"/>
          <w:color w:val="111111"/>
          <w:sz w:val="28"/>
          <w:sz w:val="28"/>
          <w:szCs w:val="28"/>
          <w:rtl w:val="true"/>
          <w:lang w:bidi="ar-SA"/>
        </w:rPr>
        <w:t xml:space="preserve">استصحاب وجود المضاف أيضا يقتضي الحكم عليه بكونه مضافا، و مع الغضّ عن ذلك فوجود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استعماله مانع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الترابيّة</w:t>
      </w:r>
      <w:r>
        <w:rPr>
          <w:rFonts w:eastAsia="Amiri" w:cs="Amiri" w:ascii="Amiri" w:hAnsi="Amiri"/>
          <w:color w:val="111111"/>
          <w:sz w:val="28"/>
          <w:szCs w:val="28"/>
          <w:rtl w:val="true"/>
          <w:lang w:bidi="ar-SA"/>
        </w:rPr>
        <w:t>]</w:t>
      </w:r>
      <w:r>
        <w:rPr>
          <w:rStyle w:val="FootnoteAnchor"/>
          <w:rtl w:val="true"/>
        </w:rPr>
        <w:footnoteReference w:id="3301"/>
      </w:r>
      <w:r>
        <w:rPr>
          <w:rFonts w:ascii="Amiri" w:hAnsi="Amiri" w:eastAsia="Amiri" w:cs="Amiri"/>
          <w:color w:val="111111"/>
          <w:sz w:val="28"/>
          <w:sz w:val="28"/>
          <w:szCs w:val="28"/>
          <w:rtl w:val="true"/>
          <w:lang w:bidi="ar-SA"/>
        </w:rPr>
        <w:t>و رافع للتكليف بها، و معه فلا مقتضي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المدّعى هنا استصحاب وجوب الطهارة بناء على أصالة عدم فقد المطلق، و ذلك لا يرفع أصل الاشتباه، لأنّ الاستصحاب لا يفيد ما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نافع في دفع الإشكال، بعد ملاحظة أنّ وجوب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ثبت بنحو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التكليف بالترابيّة، و لا يعتبر في وجود المطلق كونه معلوما بالعلم الحقيقي، بعد ملاحظة كون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 و استكماله 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شرعيّا قائما مقام العلم الحقيقي، و لا يعتبر فيه إفادة نفس الأمر و إلاّ انسدّ باب التعويل عليه، و خرج عن كونه أصلا تعبّديّا غير ناظر إلى ما في 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الماء الّذي يجب استعماله في الطهارة إن كان هو ما علم كونه ماء مطلقا فالمتّجه الاجتزاء بالتيمّم و عدم وجوب الوضوء به كما هو الظاهر،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كونه مضافا اكتفي بالوضوء، فالجمع بين الطهارتين غير واضح</w:t>
      </w:r>
      <w:r>
        <w:rPr>
          <w:rFonts w:eastAsia="Amiri" w:cs="Amiri" w:ascii="Amiri" w:hAnsi="Amiri"/>
          <w:color w:val="111111"/>
          <w:sz w:val="28"/>
          <w:szCs w:val="28"/>
          <w:rtl w:val="true"/>
          <w:lang w:bidi="ar-SA"/>
        </w:rPr>
        <w:t>»</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استعماله في الطهارة ليس هذا بعينه و لا ذاك بخصوصه، بل ما هو ماء مطلق بحسب الواقع و نفس الأمر، لكنّ الواقع لكونه ممّا لا مرآة له إلاّ العلم، و لا طريق إلى إدراكه إلاّ من جهة الاعتقاد بالمعنى الشامل للشرعي، فلا بدّ في حكم العقل من إحرازه بطريق علمي و لو شرعا، و حيثما فقد الطريق بكلا قسميه مع عدم قيام ما يرفع الخطاب بالواقع سوى الاشتباه الغير الصالح للرفع إلاّ مع فرض كون المنصبّ المتعذّر استعماله هو المطلق، اتّجه الاحتياط في حكم العقل مقدّمة ليقين الشغل بالطهارة أو بالصلاة معها، حسبما تقدّم بيانه بما لا مزيد عليه</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فيما تقدّم في كلام الأصحاب من اعتبار تقديم المائيّة على الترابيّة فإنّه غير واضح الوجه، كما حكى التنبّه عليه عن المفصّل المتقدّم ذكره، حيث </w:t>
      </w:r>
    </w:p>
    <w:p>
      <w:pPr>
        <w:pStyle w:val="BookText"/>
        <w:rPr/>
      </w:pPr>
      <w:r>
        <w:rPr>
          <w:rFonts w:ascii="Amiri" w:hAnsi="Amiri" w:eastAsia="Amiri" w:cs="Amiri"/>
          <w:color w:val="111111"/>
          <w:sz w:val="28"/>
          <w:sz w:val="28"/>
          <w:szCs w:val="28"/>
          <w:rtl w:val="true"/>
          <w:lang w:bidi="ar-SA"/>
        </w:rPr>
        <w:t>أنّه بعد العبارة المتقدّمة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فوجوب التيمّم إنّما هو لاحتمال كون المنقلب هو المطلق، فلا يكون الوضوء بالآخر مجزيا، و هذا لا يتفاوت الحال فيه بين تقديم التيمّم و تأخيره كما هو واضح</w:t>
      </w:r>
      <w:r>
        <w:rPr>
          <w:rFonts w:eastAsia="Amiri" w:cs="Amiri" w:ascii="Amiri" w:hAnsi="Amiri"/>
          <w:color w:val="111111"/>
          <w:sz w:val="28"/>
          <w:szCs w:val="28"/>
          <w:rtl w:val="true"/>
          <w:lang w:bidi="ar-SA"/>
        </w:rPr>
        <w:t>»</w:t>
      </w:r>
      <w:r>
        <w:rPr>
          <w:rStyle w:val="FootnoteAnchor"/>
          <w:rtl w:val="true"/>
        </w:rPr>
        <w:footnoteReference w:id="33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الاعتذار عنه بأنّ التيمّم بدل اضطراري للمائيّة، و رتبته في الحكم الشرعي متأخّرة عنها، فينبغي أن يتأخّر عنها أيضا في الوضع العملي، غير أنّه لا يفيد لزوم الاعتبار، فالإشكال من هذه الجهة على حاله، و إن كان مقتضى الاحتياط الّذي عليه مبنى الجمع هو ذلك خروجا عن شبهة مخالفة الواقع</w:t>
      </w:r>
      <w:r>
        <w:rPr>
          <w:rFonts w:eastAsia="Amiri" w:cs="Amiri" w:ascii="Amiri" w:hAnsi="Amiri"/>
          <w:color w:val="111111"/>
          <w:sz w:val="28"/>
          <w:szCs w:val="28"/>
          <w:rtl w:val="true"/>
          <w:lang w:bidi="ar-SA"/>
        </w:rPr>
        <w:t>.</w:t>
      </w:r>
      <w:bookmarkStart w:id="1053" w:name="pg16144_233776"/>
    </w:p>
    <w:p>
      <w:pPr>
        <w:pStyle w:val="Heading3"/>
        <w:numPr>
          <w:ilvl w:val="2"/>
          <w:numId w:val="1"/>
        </w:numPr>
        <w:rPr/>
      </w:pPr>
      <w:bookmarkStart w:id="1054" w:name="__RefHeading___Toc1805162_1280447820"/>
      <w:bookmarkStart w:id="1055" w:name="_Toc412"/>
      <w:bookmarkEnd w:id="1053"/>
      <w:bookmarkEnd w:id="1054"/>
      <w:r>
        <w:rPr>
          <w:rtl w:val="true"/>
        </w:rPr>
        <w:t xml:space="preserve">ينبوع </w:t>
      </w:r>
      <w:r>
        <w:rPr>
          <w:rtl w:val="true"/>
        </w:rPr>
        <w:t>[</w:t>
      </w:r>
      <w:r>
        <w:rPr>
          <w:rtl w:val="true"/>
        </w:rPr>
        <w:t>في الأسآر</w:t>
      </w:r>
      <w:r>
        <w:rPr>
          <w:rtl w:val="true"/>
        </w:rPr>
        <w:t>]</w:t>
      </w:r>
      <w:bookmarkEnd w:id="1055"/>
    </w:p>
    <w:p>
      <w:pPr>
        <w:pStyle w:val="Heading4"/>
        <w:numPr>
          <w:ilvl w:val="3"/>
          <w:numId w:val="1"/>
        </w:numPr>
        <w:rPr/>
      </w:pPr>
      <w:bookmarkStart w:id="1056" w:name="__RefHeading___Toc1805164_1280447820"/>
      <w:bookmarkStart w:id="1057" w:name="_Toc413"/>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و ممّا خصّه الأصحاب بالعنوان بحث الأسآر، المتّخذة لديهم قسما للمطلق بجميع أقسامه، و المضاف بجميع فروضه الّتي يلحقها البحث هنا طهارة و نجاسة و حرمة و كراهة، و نحن أيضا أفردناها بالذكر تأسّيا لهم و تبعا لممشاهم، و إلاّ فيشكل الحال كلّ الإشكال بأنّ منظور هذا الباب إن كان بيان حكم الماء من حيث أنّه ينفعل أو لا ينفعل بملاقاة ما يباشره من حيوان نجس العين أو طاهرها، فقد تبيّن ذلك في المباحث المتقدّمة المتكفّلة لبيان ما ينفعل من الماء و ما لا ينفعل قليلا أو كثيرا، و لبيان ما كان يتعلّق بالمضاف من الانفعال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بيان حكم ذي السؤر من أنواع الحيوانات من طهارة عينيّة أو نجاسة عينيّة موجبة لانفعال السؤر مع قلّته أو إضافته، فهو ممّا يتبيّن في مباحث النجاسات و لا ربط له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بيان ما يتعرّض لتحقيقه في ضمن بعض مباحث هذا الباب من كون زوال عين النجاسة عن الحيوان أو غيبته بعد مباشرتها مطهّرا له، فهو شيء ينبغي إيراده في مباحث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بيان الأحكام التكليفيّة الراجعة إليه من حرمة استعماله أو كراهته أو إباحته أكلا أو شربا أو تطهيرا، فالأنسب إيراده في باب الأطعمة و الأشربة</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استعماله في مقام التطهير لم يتبيّن حكمه من الحرمة و الكراهة في الأبواب الاخر، فهو المقصود بالبيان هنا، و إن بيّن معه أحكام اخر من الطهارة و النجاسة و غيرها تبعا، لمراعاة شدّة مناسبة إيراده في أبواب المياه، على حدّ ما روعي ذلك في مباحث الماء المستعمل في الحدث كبيرا أو صغيرا و إن كان له محلّ مناسب أيضا في </w:t>
      </w:r>
    </w:p>
    <w:p>
      <w:pPr>
        <w:pStyle w:val="BookText"/>
        <w:rPr/>
      </w:pPr>
      <w:r>
        <w:rPr>
          <w:rFonts w:ascii="Amiri" w:hAnsi="Amiri" w:eastAsia="Amiri" w:cs="Amiri"/>
          <w:color w:val="111111"/>
          <w:sz w:val="28"/>
          <w:sz w:val="28"/>
          <w:szCs w:val="28"/>
          <w:rtl w:val="true"/>
          <w:lang w:bidi="ar-SA"/>
        </w:rPr>
        <w:t>أبواب الطهارات، غير أنّ ذلك أنسب لكون موضوع القضيّة الّذي هو العمدة من أجزائها هو الماء، و هو المأخوذ عنوانا في جملة من الأخبار حسبما يأتي ذكرها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اختلفت كلمة أئمّة اللغة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اللغة اختلافا دائرا بين أقوال، مرجعها إلى ما تكفّلها العبارة المنقولة عن كاشف اللثام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كلّ شيء، أو ما يبقيه المتناول من الطعام و الشراب، أو من الماء خاصّة</w:t>
      </w:r>
      <w:r>
        <w:rPr>
          <w:rFonts w:eastAsia="Amiri" w:cs="Amiri" w:ascii="Amiri" w:hAnsi="Amiri"/>
          <w:color w:val="111111"/>
          <w:sz w:val="28"/>
          <w:szCs w:val="28"/>
          <w:rtl w:val="true"/>
          <w:lang w:bidi="ar-SA"/>
        </w:rPr>
        <w:t>»</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في الرياض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يقال لما يبقى في النهر أو البئر أو الحياض الكبار إذا شرب منها</w:t>
      </w:r>
      <w:r>
        <w:rPr>
          <w:rFonts w:eastAsia="Amiri" w:cs="Amiri" w:ascii="Amiri" w:hAnsi="Amiri"/>
          <w:color w:val="111111"/>
          <w:sz w:val="28"/>
          <w:szCs w:val="28"/>
          <w:rtl w:val="true"/>
          <w:lang w:bidi="ar-SA"/>
        </w:rPr>
        <w:t>»</w:t>
      </w:r>
      <w:r>
        <w:rPr>
          <w:rStyle w:val="FootnoteAnchor"/>
          <w:rtl w:val="true"/>
        </w:rPr>
        <w:footnoteReference w:id="3305"/>
      </w:r>
      <w:r>
        <w:rPr>
          <w:rFonts w:ascii="Amiri" w:hAnsi="Amiri" w:eastAsia="Amiri" w:cs="Amiri"/>
          <w:color w:val="111111"/>
          <w:sz w:val="28"/>
          <w:sz w:val="28"/>
          <w:szCs w:val="28"/>
          <w:rtl w:val="true"/>
          <w:lang w:bidi="ar-SA"/>
        </w:rPr>
        <w:t xml:space="preserve">، و كأنّه غفلة عمّا ورد في بعض الروايات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يشرب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3306"/>
      </w:r>
      <w:r>
        <w:rPr>
          <w:rFonts w:ascii="Amiri" w:hAnsi="Amiri" w:eastAsia="Amiri" w:cs="Amiri"/>
          <w:color w:val="111111"/>
          <w:sz w:val="28"/>
          <w:sz w:val="28"/>
          <w:szCs w:val="28"/>
          <w:rtl w:val="true"/>
          <w:lang w:bidi="ar-SA"/>
        </w:rPr>
        <w:t>، أو مبنيّ على جعله من باب الاستعمال الأعمّ، أو على جعل الاستثناء من باب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فأوّل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نقل التصريح به عن القاموس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البقيّة، و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ما في المجمع عن الأزهري مع دعوى الاتّفاق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أهل اللغة أنّ سائر الشيء باقية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نقف تحصيلا و لا نقلا على صريح من كلامهم، نعم عن المغرب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الماء الّتي يبقيها الشارب في الإناء أو في الحوض، ثمّ استعير لبقيّة الطعام</w:t>
      </w:r>
      <w:r>
        <w:rPr>
          <w:rFonts w:eastAsia="Amiri" w:cs="Amiri" w:ascii="Amiri" w:hAnsi="Amiri"/>
          <w:color w:val="111111"/>
          <w:sz w:val="28"/>
          <w:szCs w:val="28"/>
          <w:rtl w:val="true"/>
          <w:lang w:bidi="ar-SA"/>
        </w:rPr>
        <w:t>»</w:t>
      </w:r>
      <w:r>
        <w:rPr>
          <w:rStyle w:val="FootnoteAnchor"/>
          <w:rtl w:val="true"/>
        </w:rPr>
        <w:footnoteReference w:id="3307"/>
      </w:r>
      <w:r>
        <w:rPr>
          <w:rFonts w:ascii="Amiri" w:hAnsi="Amiri" w:eastAsia="Amiri" w:cs="Amiri"/>
          <w:color w:val="111111"/>
          <w:sz w:val="28"/>
          <w:sz w:val="28"/>
          <w:szCs w:val="28"/>
          <w:rtl w:val="true"/>
          <w:lang w:bidi="ar-SA"/>
        </w:rPr>
        <w:t>و لكنّه لا يلائم الوجه المذكور إلاّ بحمله على إرادة ما يعمّ المعنى الحقيقي و المجازي على ما هو مقتضى العبارة المذكورة، أو على إرادة ما يعمّ المعنى اللغوي الثابت بالوضع الأوّلي و العرفي الثابت بالوضع الثانوي، بناء على حمل الاستعارة في العبارة المذكورة على ما استتبع النقل العرفي</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المعالم أنّه نقله عن الجوهري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البقيّة بعد الشرب</w:t>
      </w:r>
      <w:r>
        <w:rPr>
          <w:rFonts w:eastAsia="Amiri" w:cs="Amiri" w:ascii="Amiri" w:hAnsi="Amiri"/>
          <w:color w:val="111111"/>
          <w:sz w:val="28"/>
          <w:szCs w:val="28"/>
          <w:rtl w:val="true"/>
          <w:lang w:bidi="ar-SA"/>
        </w:rPr>
        <w:t>»</w:t>
      </w:r>
      <w:r>
        <w:rPr>
          <w:rStyle w:val="FootnoteAnchor"/>
          <w:rtl w:val="true"/>
        </w:rPr>
        <w:footnoteReference w:id="3308"/>
      </w:r>
      <w:r>
        <w:rPr>
          <w:rFonts w:ascii="Amiri" w:hAnsi="Amiri" w:eastAsia="Amiri" w:cs="Amiri"/>
          <w:color w:val="111111"/>
          <w:sz w:val="28"/>
          <w:sz w:val="28"/>
          <w:szCs w:val="28"/>
          <w:rtl w:val="true"/>
          <w:lang w:bidi="ar-SA"/>
        </w:rPr>
        <w:t>غير أنّ في شرح الدروس</w:t>
      </w:r>
      <w:r>
        <w:rPr>
          <w:rStyle w:val="FootnoteAnchor"/>
          <w:rtl w:val="true"/>
        </w:rPr>
        <w:footnoteReference w:id="3309"/>
      </w:r>
      <w:r>
        <w:rPr>
          <w:rFonts w:ascii="Amiri" w:hAnsi="Amiri" w:eastAsia="Amiri" w:cs="Amiri"/>
          <w:color w:val="111111"/>
          <w:sz w:val="28"/>
          <w:sz w:val="28"/>
          <w:szCs w:val="28"/>
          <w:rtl w:val="true"/>
          <w:lang w:bidi="ar-SA"/>
        </w:rPr>
        <w:t xml:space="preserve">ما يقضي بإنكار وجدانه في الصحاح، فلعلّه لم يجده بهذه </w:t>
      </w:r>
    </w:p>
    <w:p>
      <w:pPr>
        <w:pStyle w:val="BookText"/>
        <w:rPr/>
      </w:pPr>
      <w:r>
        <w:rPr>
          <w:rFonts w:ascii="Amiri" w:hAnsi="Amiri" w:eastAsia="Amiri" w:cs="Amiri"/>
          <w:color w:val="111111"/>
          <w:sz w:val="28"/>
          <w:sz w:val="28"/>
          <w:szCs w:val="28"/>
          <w:rtl w:val="true"/>
          <w:lang w:bidi="ar-SA"/>
        </w:rPr>
        <w:t>العبارة كما تنبّه عليه في الحدائق</w:t>
      </w:r>
      <w:r>
        <w:rPr>
          <w:rStyle w:val="FootnoteAnchor"/>
          <w:rtl w:val="true"/>
        </w:rPr>
        <w:footnoteReference w:id="3310"/>
      </w:r>
      <w:r>
        <w:rPr>
          <w:rFonts w:ascii="Amiri" w:hAnsi="Amiri" w:eastAsia="Amiri" w:cs="Amiri"/>
          <w:color w:val="111111"/>
          <w:sz w:val="28"/>
          <w:sz w:val="28"/>
          <w:szCs w:val="28"/>
          <w:rtl w:val="true"/>
          <w:lang w:bidi="ar-SA"/>
        </w:rPr>
        <w:t>، و إلاّ فهو منقول عنه بعبارة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فأسأر، أي أبقى شيئا من الشراب في قعر الإناء</w:t>
      </w:r>
      <w:r>
        <w:rPr>
          <w:rFonts w:eastAsia="Amiri" w:cs="Amiri" w:ascii="Amiri" w:hAnsi="Amiri"/>
          <w:color w:val="111111"/>
          <w:sz w:val="28"/>
          <w:szCs w:val="28"/>
          <w:rtl w:val="true"/>
          <w:lang w:bidi="ar-SA"/>
        </w:rPr>
        <w:t>»</w:t>
      </w:r>
      <w:r>
        <w:rPr>
          <w:rStyle w:val="FootnoteAnchor"/>
          <w:rtl w:val="true"/>
        </w:rPr>
        <w:footnoteReference w:id="3311"/>
      </w:r>
      <w:r>
        <w:rPr>
          <w:rFonts w:ascii="Amiri" w:hAnsi="Amiri" w:eastAsia="Amiri" w:cs="Amiri"/>
          <w:color w:val="111111"/>
          <w:sz w:val="28"/>
          <w:sz w:val="28"/>
          <w:szCs w:val="28"/>
          <w:rtl w:val="true"/>
          <w:lang w:bidi="ar-SA"/>
        </w:rPr>
        <w:t>و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بقيّة المشروب</w:t>
      </w:r>
      <w:r>
        <w:rPr>
          <w:rFonts w:eastAsia="Amiri" w:cs="Amiri" w:ascii="Amiri" w:hAnsi="Amiri"/>
          <w:color w:val="111111"/>
          <w:sz w:val="28"/>
          <w:szCs w:val="28"/>
          <w:rtl w:val="true"/>
          <w:lang w:bidi="ar-SA"/>
        </w:rPr>
        <w:t>»</w:t>
      </w:r>
      <w:r>
        <w:rPr>
          <w:rStyle w:val="FootnoteAnchor"/>
          <w:rtl w:val="true"/>
        </w:rPr>
        <w:footnoteReference w:id="3312"/>
      </w: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السؤر هو ما يبقى بعد الشرب</w:t>
      </w:r>
      <w:r>
        <w:rPr>
          <w:rFonts w:eastAsia="Amiri" w:cs="Amiri" w:ascii="Amiri" w:hAnsi="Amiri"/>
          <w:color w:val="111111"/>
          <w:sz w:val="28"/>
          <w:szCs w:val="28"/>
          <w:rtl w:val="true"/>
          <w:lang w:bidi="ar-SA"/>
        </w:rPr>
        <w:t>»</w:t>
      </w:r>
      <w:r>
        <w:rPr>
          <w:rStyle w:val="FootnoteAnchor"/>
          <w:rtl w:val="true"/>
        </w:rPr>
        <w:footnoteReference w:id="3313"/>
      </w:r>
      <w:r>
        <w:rPr>
          <w:rFonts w:ascii="Amiri" w:hAnsi="Amiri" w:eastAsia="Amiri" w:cs="Amiri"/>
          <w:color w:val="111111"/>
          <w:sz w:val="28"/>
          <w:sz w:val="28"/>
          <w:szCs w:val="28"/>
          <w:rtl w:val="true"/>
          <w:lang w:bidi="ar-SA"/>
        </w:rPr>
        <w:t>و هو كما ترى لا يوافق ما قدّمنا نقله عنه عن الأزهري، و ليس في النسخة الحاضرة عندنا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w:t>
      </w:r>
      <w:r>
        <w:rPr>
          <w:rStyle w:val="FootnoteAnchor"/>
          <w:rtl w:val="true"/>
        </w:rPr>
        <w:footnoteReference w:id="3314"/>
      </w:r>
      <w:r>
        <w:rPr>
          <w:rFonts w:ascii="Amiri" w:hAnsi="Amiri" w:eastAsia="Amiri" w:cs="Amiri"/>
          <w:color w:val="111111"/>
          <w:sz w:val="28"/>
          <w:sz w:val="28"/>
          <w:szCs w:val="28"/>
          <w:rtl w:val="true"/>
          <w:lang w:bidi="ar-SA"/>
        </w:rPr>
        <w:t>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مهموز، و معناه الباقي، لأنّه اسم فاعل من السؤر، و هو ما يبقى بعد الشراب، و هذا ممّا يغلط فيه الناس فيضعونه موضع الجميع</w:t>
      </w:r>
      <w:r>
        <w:rPr>
          <w:rFonts w:eastAsia="Amiri" w:cs="Amiri" w:ascii="Amiri" w:hAnsi="Amiri"/>
          <w:color w:val="111111"/>
          <w:sz w:val="28"/>
          <w:szCs w:val="28"/>
          <w:rtl w:val="true"/>
          <w:lang w:bidi="ar-SA"/>
        </w:rPr>
        <w:t>»</w:t>
      </w:r>
      <w:r>
        <w:rPr>
          <w:rStyle w:val="FootnoteAnchor"/>
          <w:rtl w:val="true"/>
        </w:rPr>
        <w:footnoteReference w:id="3315"/>
      </w:r>
      <w:r>
        <w:rPr>
          <w:rFonts w:ascii="Amiri" w:hAnsi="Amiri" w:eastAsia="Amiri" w:cs="Amiri"/>
          <w:color w:val="111111"/>
          <w:sz w:val="28"/>
          <w:sz w:val="28"/>
          <w:szCs w:val="28"/>
          <w:rtl w:val="true"/>
          <w:lang w:bidi="ar-SA"/>
        </w:rPr>
        <w:t>فإنّ ذلك يمكن أن يرجع إلى القول المذكور المنسوب إلى المجمع نقله عن الأزهري، بناء على كون الذيل بيانا للصدر، و يحتمل رجوعه إلى أحد القولين الأوّلين بناء على كون الخصوصيّة المأخوذة في الذيل واردة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يوجد في كلام بعض أهل اللغة ما يبائن جميع الأقوال المذكورة كالفيّومي في المصباح المنير،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السؤر من الفأرة و غيرها كالريق من الإنسان</w:t>
      </w:r>
      <w:r>
        <w:rPr>
          <w:rFonts w:eastAsia="Amiri" w:cs="Amiri" w:ascii="Amiri" w:hAnsi="Amiri"/>
          <w:color w:val="111111"/>
          <w:sz w:val="28"/>
          <w:szCs w:val="28"/>
          <w:rtl w:val="true"/>
          <w:lang w:bidi="ar-SA"/>
        </w:rPr>
        <w:t>»</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يتعرّض لذكره كثير من الأصحاب، إمّا لتبيّن ضعفه عندهم، أو لعدم ارتباطه بمقام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معنى آخر و أنّه في الأصل لذلك، أو أنّ تسمية بقيّة المشروب سؤرا لما يمازجه من الريق بسبب الشرب، و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القول الأوّل عدم الفرق في البقيّة بين كونها من مأكول أو مشروب، مطلق أو مضاف، قليل أو كثير، في آنية أو غيرها، أو من غيرهما من جامد أو مائع، كما أنّ مقتضى القول الثاني اختصاصها بالمشروب مع عدم الفرق فيه بين المطلق و المضاف، و القليل و الكثير في الإناء أو غيره</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الثالث 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الصحاح</w:t>
      </w:r>
      <w:r>
        <w:rPr>
          <w:rStyle w:val="FootnoteAnchor"/>
          <w:rtl w:val="true"/>
        </w:rPr>
        <w:footnoteReference w:id="3317"/>
      </w:r>
      <w:r>
        <w:rPr>
          <w:rFonts w:ascii="IRNazanin" w:hAnsi="IRNazanin" w:eastAsia="IRNazanin"/>
          <w:color w:val="111111"/>
          <w:sz w:val="28"/>
          <w:sz w:val="28"/>
          <w:szCs w:val="28"/>
          <w:rtl w:val="true"/>
          <w:lang w:bidi="fa-IR"/>
        </w:rPr>
        <w:t xml:space="preserve">و المعتبر </w:t>
      </w:r>
      <w:r>
        <w:rPr>
          <w:rFonts w:eastAsia="IRNazanin" w:cs="IRNazanin"/>
          <w:color w:val="111111"/>
          <w:sz w:val="28"/>
          <w:szCs w:val="28"/>
          <w:rtl w:val="true"/>
          <w:lang w:bidi="fa-IR"/>
        </w:rPr>
        <w:t>-</w:t>
      </w:r>
      <w:r>
        <w:rPr>
          <w:rStyle w:val="FootnoteAnchor"/>
          <w:rtl w:val="true"/>
        </w:rPr>
        <w:footnoteReference w:id="3318"/>
      </w:r>
      <w:r>
        <w:rPr>
          <w:rFonts w:ascii="Amiri" w:hAnsi="Amiri" w:eastAsia="Amiri" w:cs="Amiri"/>
          <w:color w:val="111111"/>
          <w:sz w:val="28"/>
          <w:sz w:val="28"/>
          <w:szCs w:val="28"/>
          <w:rtl w:val="true"/>
          <w:lang w:bidi="ar-SA"/>
        </w:rPr>
        <w:t xml:space="preserve">عدم الفرق فيه </w:t>
      </w:r>
    </w:p>
    <w:p>
      <w:pPr>
        <w:pStyle w:val="BookText"/>
        <w:rPr/>
      </w:pPr>
      <w:r>
        <w:rPr>
          <w:rFonts w:ascii="Amiri" w:hAnsi="Amiri" w:eastAsia="Amiri" w:cs="Amiri"/>
          <w:color w:val="111111"/>
          <w:sz w:val="28"/>
          <w:sz w:val="28"/>
          <w:szCs w:val="28"/>
          <w:rtl w:val="true"/>
          <w:lang w:bidi="ar-SA"/>
        </w:rPr>
        <w:t>بين كون المشروب من ماء أو مضاف، فيخالفه نقل الكاشف</w:t>
      </w:r>
      <w:r>
        <w:rPr>
          <w:rStyle w:val="FootnoteAnchor"/>
          <w:rtl w:val="true"/>
        </w:rPr>
        <w:footnoteReference w:id="3319"/>
      </w:r>
      <w:r>
        <w:rPr>
          <w:rFonts w:ascii="Amiri" w:hAnsi="Amiri" w:eastAsia="Amiri" w:cs="Amiri"/>
          <w:color w:val="111111"/>
          <w:sz w:val="28"/>
          <w:sz w:val="28"/>
          <w:szCs w:val="28"/>
          <w:rtl w:val="true"/>
          <w:lang w:bidi="ar-SA"/>
        </w:rPr>
        <w:t xml:space="preserve">حينئذ من هذه الجهة، و كأنّه مبنيّ على توهّم انصراف الشرب إلى ما يستلزم الماء، كما أنّ اعتبار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سمعته عن الرياض </w:t>
      </w:r>
      <w:r>
        <w:rPr>
          <w:rFonts w:eastAsia="Amiri" w:cs="Amiri" w:ascii="Amiri" w:hAnsi="Amiri"/>
          <w:color w:val="111111"/>
          <w:sz w:val="28"/>
          <w:szCs w:val="28"/>
          <w:rtl w:val="true"/>
          <w:lang w:bidi="ar-SA"/>
        </w:rPr>
        <w:t>-</w:t>
      </w:r>
      <w:r>
        <w:rPr>
          <w:rStyle w:val="FootnoteAnchor"/>
          <w:rtl w:val="true"/>
        </w:rPr>
        <w:footnoteReference w:id="3320"/>
      </w:r>
      <w:r>
        <w:rPr>
          <w:rFonts w:ascii="Amiri" w:hAnsi="Amiri" w:eastAsia="Amiri" w:cs="Amiri"/>
          <w:color w:val="111111"/>
          <w:sz w:val="28"/>
          <w:sz w:val="28"/>
          <w:szCs w:val="28"/>
          <w:rtl w:val="true"/>
          <w:lang w:bidi="ar-SA"/>
        </w:rPr>
        <w:t>لعلّه لأجل توهّم الانصراف، و إلاّ فقد عرفت عن الأزهري تصريحا بالتعميم بالقياس إلى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يتبادر إلى الذهن بملاحظة الاستعمالات كون الباقي أقلّ من الذاهب و إن كان كثيرا في نفسه، غير أنّه أيضا عند التحقيق تبادر بدوي لا عبرة به، لعدم إباء الاستعمالات إطلاقه على الأكثر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يعلم أنّ ما تقدّم من تفريع الرياض المتضمّن لنفي قول السؤر على ما يبقى في النهر أو البئر أو الحياض الكبار إذا شرب منها،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اشتراط القلّة في المعنى المبحوث عنه هنا الوارد في كلام الأصحاب الموجود في أخبار الباب كما حكي التصريح به عن جماعة، ليس ببعيد تعويلا على ظهور الفتاوي و الأخبار في القلّة، غير أنّ تفسيرها حينئذ بما دون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جواهر بعض مشايخنا </w:t>
      </w:r>
      <w:r>
        <w:rPr>
          <w:rFonts w:eastAsia="Amiri" w:cs="Amiri" w:ascii="Amiri" w:hAnsi="Amiri"/>
          <w:color w:val="111111"/>
          <w:sz w:val="28"/>
          <w:szCs w:val="28"/>
          <w:rtl w:val="true"/>
          <w:lang w:bidi="ar-SA"/>
        </w:rPr>
        <w:t>-</w:t>
      </w:r>
      <w:r>
        <w:rPr>
          <w:rStyle w:val="FootnoteAnchor"/>
          <w:rtl w:val="true"/>
        </w:rPr>
        <w:footnoteReference w:id="3321"/>
      </w:r>
      <w:r>
        <w:rPr>
          <w:rFonts w:ascii="Amiri" w:hAnsi="Amiri" w:eastAsia="Amiri" w:cs="Amiri"/>
          <w:color w:val="111111"/>
          <w:sz w:val="28"/>
          <w:sz w:val="28"/>
          <w:szCs w:val="28"/>
          <w:rtl w:val="true"/>
          <w:lang w:bidi="ar-SA"/>
        </w:rPr>
        <w:t>لعلّه غير مستقيم، و كأنّه توهّم عن كون بعض الأحكام الجارية على السؤر ما لا يجري إلاّ إذا كان الماء قليلا بهذا المعنى، كالنجاسة إذا كان ذو السؤر من نجس العين، و إلاّ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الأصحاب مع روايات الباب لا يتناول في غير حكم النجاسة إلاّ ما كانت القلّة فاحشة، فلا يشمل البحث لكثير من أفراد ما دون الكرّ</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وقع النزاع عندهم في اختصاص البحث بالماء أو عمومه لمطلق المائع، فعن جملة التصريح بالأوّل، و عن ابن إدريس</w:t>
      </w:r>
      <w:r>
        <w:rPr>
          <w:rStyle w:val="FootnoteAnchor"/>
          <w:rtl w:val="true"/>
        </w:rPr>
        <w:footnoteReference w:id="3322"/>
      </w:r>
      <w:r>
        <w:rPr>
          <w:rFonts w:ascii="Amiri" w:hAnsi="Amiri" w:eastAsia="Amiri" w:cs="Amiri"/>
          <w:color w:val="111111"/>
          <w:sz w:val="28"/>
          <w:sz w:val="28"/>
          <w:szCs w:val="28"/>
          <w:rtl w:val="true"/>
          <w:lang w:bidi="ar-SA"/>
        </w:rPr>
        <w:t xml:space="preserve">التصريح بالثاني، فلعلّ وجه الأوّل ورود الروايات المشتملة على السؤر و ما يرادفه في خصوص الماء كما يظهر بأدنى تأمّل، و وجه الثاني عدم الفرق في بعض أحكامه كالطهارة و النجاسة بين سائر المائعات، بل ربّما يستفاد من بعض الروايات ما يعمّ المائع مطلقا بل الجامد أيضا، كما في المرويّ عن الصادق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نهى عن أكل سؤر الفأر</w:t>
      </w:r>
      <w:r>
        <w:rPr>
          <w:rFonts w:eastAsia="Amiri" w:cs="Amiri" w:ascii="Amiri" w:hAnsi="Amiri"/>
          <w:color w:val="111111"/>
          <w:sz w:val="28"/>
          <w:szCs w:val="28"/>
          <w:rtl w:val="true"/>
          <w:lang w:bidi="ar-SA"/>
        </w:rPr>
        <w:t>»</w:t>
      </w:r>
      <w:r>
        <w:rPr>
          <w:rStyle w:val="FootnoteAnchor"/>
          <w:rtl w:val="true"/>
        </w:rPr>
        <w:footnoteReference w:id="3323"/>
      </w:r>
      <w:r>
        <w:rPr>
          <w:rFonts w:ascii="Amiri" w:hAnsi="Amiri" w:eastAsia="Amiri" w:cs="Amiri"/>
          <w:color w:val="111111"/>
          <w:sz w:val="28"/>
          <w:sz w:val="28"/>
          <w:szCs w:val="28"/>
          <w:rtl w:val="true"/>
          <w:lang w:bidi="ar-SA"/>
        </w:rPr>
        <w:t xml:space="preserve">، و صحيح زرارة عنه أيضا أنّ في كتاب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الهرّ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بسؤره، و إنّي لأستحيي من </w:t>
      </w:r>
    </w:p>
    <w:p>
      <w:pPr>
        <w:pStyle w:val="BookText"/>
        <w:rPr/>
      </w:pPr>
      <w:r>
        <w:rPr>
          <w:rFonts w:ascii="Amiri" w:hAnsi="Amiri" w:eastAsia="Amiri" w:cs="Amiri"/>
          <w:color w:val="111111"/>
          <w:sz w:val="28"/>
          <w:sz w:val="28"/>
          <w:szCs w:val="28"/>
          <w:rtl w:val="true"/>
          <w:lang w:bidi="ar-SA"/>
        </w:rPr>
        <w:t>اللّه أن أدع طعاما لأنّ الهرّ أكل منه</w:t>
      </w:r>
      <w:r>
        <w:rPr>
          <w:rFonts w:eastAsia="Amiri" w:cs="Amiri" w:ascii="Amiri" w:hAnsi="Amiri"/>
          <w:color w:val="111111"/>
          <w:sz w:val="28"/>
          <w:szCs w:val="28"/>
          <w:rtl w:val="true"/>
          <w:lang w:bidi="ar-SA"/>
        </w:rPr>
        <w:t>»</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تستفاد منها عموم الحكم بالقياس إلى كلّ مأكول و مشروب، كذلك يستفاد منها خصوصه بالقياس إلى كون المباشرة حاصلة بالفم، و كأنّه من هنا نشأ مخالفة صاحب المدارك للشهيد و غيره فيما سيجيء من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المستفاد من خبر العيص عن القاسم</w:t>
      </w:r>
      <w:r>
        <w:rPr>
          <w:rStyle w:val="FootnoteAnchor"/>
          <w:rtl w:val="true"/>
        </w:rPr>
        <w:footnoteReference w:id="3325"/>
      </w:r>
      <w:r>
        <w:rPr>
          <w:rFonts w:ascii="Amiri" w:hAnsi="Amiri" w:eastAsia="Amiri" w:cs="Amiri"/>
          <w:color w:val="111111"/>
          <w:sz w:val="28"/>
          <w:sz w:val="28"/>
          <w:szCs w:val="28"/>
          <w:rtl w:val="true"/>
          <w:lang w:bidi="ar-SA"/>
        </w:rPr>
        <w:t>عن سؤر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 و توضّأ من سؤر الجنب إذا كانت مأمونة، و تغسل يدها قبل أن تدخلها الإناء، و قد كان رسول اللّه صلّى اللّه عليه و آله هو و عائشة يغتسلان في إناء واحد</w:t>
      </w:r>
      <w:r>
        <w:rPr>
          <w:rFonts w:eastAsia="Amiri" w:cs="Amiri" w:ascii="Amiri" w:hAnsi="Amiri"/>
          <w:color w:val="111111"/>
          <w:sz w:val="28"/>
          <w:szCs w:val="28"/>
          <w:rtl w:val="true"/>
          <w:lang w:bidi="ar-SA"/>
        </w:rPr>
        <w:t>»</w:t>
      </w:r>
      <w:r>
        <w:rPr>
          <w:rStyle w:val="FootnoteAnchor"/>
          <w:rtl w:val="true"/>
        </w:rPr>
        <w:footnoteReference w:id="3326"/>
      </w:r>
      <w:r>
        <w:rPr>
          <w:rFonts w:ascii="Amiri" w:hAnsi="Amiri" w:eastAsia="Amiri" w:cs="Amiri"/>
          <w:color w:val="111111"/>
          <w:sz w:val="28"/>
          <w:sz w:val="28"/>
          <w:szCs w:val="28"/>
          <w:rtl w:val="true"/>
          <w:lang w:bidi="ar-SA"/>
        </w:rPr>
        <w:t>عموم الحكم لمطلق المباشرة كما فهمه جماعة، و هو الّذي حكى التصريح به عن السرائر</w:t>
      </w:r>
      <w:r>
        <w:rPr>
          <w:rStyle w:val="FootnoteAnchor"/>
          <w:rtl w:val="true"/>
        </w:rPr>
        <w:footnoteReference w:id="3327"/>
      </w:r>
      <w:r>
        <w:rPr>
          <w:rFonts w:ascii="Amiri" w:hAnsi="Amiri" w:eastAsia="Amiri" w:cs="Amiri"/>
          <w:color w:val="111111"/>
          <w:sz w:val="28"/>
          <w:sz w:val="28"/>
          <w:szCs w:val="28"/>
          <w:rtl w:val="true"/>
          <w:lang w:bidi="ar-SA"/>
        </w:rPr>
        <w:t>و الذكرى</w:t>
      </w:r>
      <w:r>
        <w:rPr>
          <w:rStyle w:val="FootnoteAnchor"/>
          <w:rtl w:val="true"/>
        </w:rPr>
        <w:footnoteReference w:id="3328"/>
      </w:r>
      <w:r>
        <w:rPr>
          <w:rFonts w:ascii="Amiri" w:hAnsi="Amiri" w:eastAsia="Amiri" w:cs="Amiri"/>
          <w:color w:val="111111"/>
          <w:sz w:val="28"/>
          <w:sz w:val="28"/>
          <w:szCs w:val="28"/>
          <w:rtl w:val="true"/>
          <w:lang w:bidi="ar-SA"/>
        </w:rPr>
        <w:t>، و المهذّب للقاضي</w:t>
      </w:r>
      <w:r>
        <w:rPr>
          <w:rStyle w:val="FootnoteAnchor"/>
          <w:rtl w:val="true"/>
        </w:rPr>
        <w:footnoteReference w:id="3329"/>
      </w:r>
      <w:r>
        <w:rPr>
          <w:rFonts w:ascii="IRNazanin" w:hAnsi="IRNazanin" w:eastAsia="IRNazanin"/>
          <w:color w:val="111111"/>
          <w:sz w:val="28"/>
          <w:sz w:val="28"/>
          <w:szCs w:val="28"/>
          <w:rtl w:val="true"/>
          <w:lang w:bidi="fa-IR"/>
        </w:rPr>
        <w:t>، و الروض</w:t>
      </w:r>
      <w:r>
        <w:rPr>
          <w:rStyle w:val="FootnoteAnchor"/>
          <w:rtl w:val="true"/>
        </w:rPr>
        <w:footnoteReference w:id="3330"/>
      </w:r>
      <w:r>
        <w:rPr>
          <w:rFonts w:ascii="Amiri" w:hAnsi="Amiri" w:eastAsia="Amiri" w:cs="Amiri"/>
          <w:color w:val="111111"/>
          <w:sz w:val="28"/>
          <w:sz w:val="28"/>
          <w:szCs w:val="28"/>
          <w:rtl w:val="true"/>
          <w:lang w:bidi="ar-SA"/>
        </w:rPr>
        <w:t>، و المسالك</w:t>
      </w:r>
      <w:r>
        <w:rPr>
          <w:rStyle w:val="FootnoteAnchor"/>
          <w:rtl w:val="true"/>
        </w:rPr>
        <w:footnoteReference w:id="3331"/>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أسآر الكفّار هو ما فضل في الأواني ممّا شربوا منه، أو توضّئوا به، أو مسّوه بأيديهم و أجسادهم</w:t>
      </w:r>
      <w:r>
        <w:rPr>
          <w:rFonts w:eastAsia="Amiri" w:cs="Amiri" w:ascii="Amiri" w:hAnsi="Amiri"/>
          <w:color w:val="111111"/>
          <w:sz w:val="28"/>
          <w:szCs w:val="28"/>
          <w:rtl w:val="true"/>
          <w:lang w:bidi="ar-SA"/>
        </w:rPr>
        <w:t>»</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ما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السؤر عبارة عمّا شرب منه الحيوان أو باشره بجسمه من المياه و سائر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لا فرق في المباشر بين الآدمي و غيره من سائر أنواع الحيوان،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فلاحظ المنتهى حيث إنّه بعد العنوان أخذ بتقسيم السؤر باعتبار انقسام ذيه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و غير آدميّ، فالآدميّ إن كان مسلما أو بحكمه فسؤره طاهر، عدا الناصب و الغلاة، فإنّ سؤرهم نجس</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الآدميّ مأكول اللحم و غيره، فالأوّل سؤره طاهر، فإن كان لحمه مكروها كان سؤره كذلك، كالفرس و الحمار و البغل، و غير المأكول إمّا أن يكون نجس العين </w:t>
      </w:r>
    </w:p>
    <w:p>
      <w:pPr>
        <w:pStyle w:val="BookText"/>
        <w:rPr/>
      </w:pPr>
      <w:r>
        <w:rPr>
          <w:rFonts w:ascii="Amiri" w:hAnsi="Amiri" w:eastAsia="Amiri" w:cs="Amiri"/>
          <w:color w:val="111111"/>
          <w:sz w:val="28"/>
          <w:sz w:val="28"/>
          <w:szCs w:val="28"/>
          <w:rtl w:val="true"/>
          <w:lang w:bidi="ar-SA"/>
        </w:rPr>
        <w:t>كالكلب و الخنزير أو لا، و الأوّل سؤره نجس، و الثاني سؤره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القول المشهور لأصحابنا</w:t>
      </w:r>
      <w:r>
        <w:rPr>
          <w:rFonts w:eastAsia="Amiri" w:cs="Amiri" w:ascii="Amiri" w:hAnsi="Amiri"/>
          <w:color w:val="111111"/>
          <w:sz w:val="28"/>
          <w:szCs w:val="28"/>
          <w:rtl w:val="true"/>
          <w:lang w:bidi="ar-SA"/>
        </w:rPr>
        <w:t>»</w:t>
      </w:r>
      <w:r>
        <w:rPr>
          <w:rStyle w:val="FootnoteAnchor"/>
          <w:rtl w:val="true"/>
        </w:rPr>
        <w:footnoteReference w:id="33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الشهيد رحمه اللّه</w:t>
      </w:r>
      <w:r>
        <w:rPr>
          <w:rStyle w:val="FootnoteAnchor"/>
          <w:rtl w:val="true"/>
        </w:rPr>
        <w:footnoteReference w:id="3334"/>
      </w:r>
      <w:r>
        <w:rPr>
          <w:rFonts w:ascii="Amiri" w:hAnsi="Amiri" w:eastAsia="Amiri" w:cs="Amiri"/>
          <w:color w:val="111111"/>
          <w:sz w:val="28"/>
          <w:sz w:val="28"/>
          <w:szCs w:val="28"/>
          <w:rtl w:val="true"/>
          <w:lang w:bidi="ar-SA"/>
        </w:rPr>
        <w:t>و غيره</w:t>
      </w:r>
      <w:r>
        <w:rPr>
          <w:rStyle w:val="FootnoteAnchor"/>
          <w:rtl w:val="true"/>
        </w:rPr>
        <w:footnoteReference w:id="3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أخذوا بمجامع الفتاوى و الجهات المستفادة من الأخبار و كلام العلماء الأخيار، فقالوا في تعريفه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ماء قليل باشره جسم حيوان</w:t>
      </w:r>
      <w:r>
        <w:rPr>
          <w:rFonts w:eastAsia="Amiri" w:cs="Amiri" w:ascii="Amiri" w:hAnsi="Amiri"/>
          <w:color w:val="111111"/>
          <w:sz w:val="28"/>
          <w:szCs w:val="28"/>
          <w:rtl w:val="true"/>
          <w:lang w:bidi="ar-SA"/>
        </w:rPr>
        <w:t>»</w:t>
      </w:r>
      <w:r>
        <w:rPr>
          <w:rStyle w:val="FootnoteAnchor"/>
          <w:rtl w:val="true"/>
        </w:rPr>
        <w:footnoteReference w:id="3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يبقى المناقشة فيه من حيث كون جنسه الماء، و قد عرفت أنّ المستفاد من الأخبار و غيرها ما يعمّ غير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منه ما تقدّم نقله عن بعضهم، و في معناه ما نقله في المجمع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باشره جسم حيوان</w:t>
      </w:r>
      <w:r>
        <w:rPr>
          <w:rFonts w:eastAsia="Amiri" w:cs="Amiri" w:ascii="Amiri" w:hAnsi="Amiri"/>
          <w:color w:val="111111"/>
          <w:sz w:val="28"/>
          <w:szCs w:val="28"/>
          <w:rtl w:val="true"/>
          <w:lang w:bidi="ar-SA"/>
        </w:rPr>
        <w:t>»</w:t>
      </w:r>
      <w:r>
        <w:rPr>
          <w:rStyle w:val="FootnoteAnchor"/>
          <w:rtl w:val="true"/>
        </w:rPr>
        <w:footnoteReference w:id="3337"/>
      </w:r>
      <w:r>
        <w:rPr>
          <w:rFonts w:ascii="Amiri" w:hAnsi="Amiri" w:eastAsia="Amiri" w:cs="Amiri"/>
          <w:color w:val="111111"/>
          <w:sz w:val="28"/>
          <w:sz w:val="28"/>
          <w:szCs w:val="28"/>
          <w:rtl w:val="true"/>
          <w:lang w:bidi="ar-SA"/>
        </w:rPr>
        <w:t>بناء على أنّ المراد بالتعريف هنا ما هو كذلك بحسب الاصطلاح، فما في المدارك</w:t>
      </w:r>
      <w:r>
        <w:rPr>
          <w:rStyle w:val="FootnoteAnchor"/>
          <w:rtl w:val="true"/>
        </w:rPr>
        <w:footnoteReference w:id="3338"/>
      </w:r>
      <w:r>
        <w:rPr>
          <w:rFonts w:ascii="Amiri" w:hAnsi="Amiri" w:eastAsia="Amiri" w:cs="Amiri"/>
          <w:color w:val="111111"/>
          <w:sz w:val="28"/>
          <w:sz w:val="28"/>
          <w:szCs w:val="28"/>
          <w:rtl w:val="true"/>
          <w:lang w:bidi="ar-SA"/>
        </w:rPr>
        <w:t>من الاعتراض على ما سمعت عن الشهيد و غيره بأنّه غير جيّد، بعد ما ذكر أنّ الأظهر في تعريفه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ماء قليل لاقاه فم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في محلّه، لما عرفت من أنّ المستفاد من بعض الروايات ما يعمّ مباشرة الفم و غيره، هذا مع وضوح فساد ما ذكره في تعليله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نصّ عليه أهل اللغة، و دلّ عليه العرف العامّ بل الخاصّ أيضا، كما يظهر لمن تتبّع الأخبار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كلاّ من الأخبار و كلام الأصحاب شاهد بخلاف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الّذي جعل لأجله السؤر قسيما للمطلق مع كونه قسما منه بحسب الحقيقة وقوع الخلاف في نجاسة بعضه من طاهر العين و كراهة بعض آخر، و ليس في كلام القائلين بذلك دلالة على اعتبار مطلق المباشرة، بل كلامهم و دليلهم كالصريح في أنّ مرادهم بالسؤر المعنى الّذي ذكرناه خاصّة</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كلامهم في خلاف ما ذكره، مع أنّ منشأ جعله قسيما </w:t>
      </w:r>
      <w:bookmarkStart w:id="1058" w:name="pg16144_233782"/>
    </w:p>
    <w:p>
      <w:pPr>
        <w:pStyle w:val="BookText"/>
        <w:rPr/>
      </w:pPr>
      <w:bookmarkEnd w:id="1058"/>
      <w:r>
        <w:rPr>
          <w:rFonts w:ascii="Amiri" w:hAnsi="Amiri" w:eastAsia="Amiri" w:cs="Amiri"/>
          <w:color w:val="111111"/>
          <w:sz w:val="28"/>
          <w:sz w:val="28"/>
          <w:szCs w:val="28"/>
          <w:rtl w:val="true"/>
          <w:lang w:bidi="ar-SA"/>
        </w:rPr>
        <w:t>للمطلق إن كان وقوع الخلاف في الطهارة و النجاسة فالأنسب له جعل البحث في مطلق المباشرة، لأنّ ملاقاة الحيوان إذا قضت بنجاسة ملاقيه فلا يعقل اختصاصه بعضو منه دون عضو، إن اريد بالنجاسة الصفة المقتضية لأحكامها دون نفس الأحكام المقرّرة لها، لجواز كون ذلك تعبّدا من الشارع، مختصّا ببعض الفروض، حسبما استفيد من دليل التعبّد إن كان، و ستعرف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يحكى التعريف المتقدّم عن الشهيد و 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w:t>
      </w:r>
      <w:r>
        <w:rPr>
          <w:rStyle w:val="FootnoteAnchor"/>
          <w:rtl w:val="true"/>
        </w:rPr>
        <w:footnoteReference w:id="3339"/>
      </w:r>
      <w:r>
        <w:rPr>
          <w:rFonts w:ascii="Amiri" w:hAnsi="Amiri" w:eastAsia="Amiri" w:cs="Amiri"/>
          <w:color w:val="111111"/>
          <w:sz w:val="28"/>
          <w:sz w:val="28"/>
          <w:szCs w:val="28"/>
          <w:rtl w:val="true"/>
          <w:lang w:bidi="ar-SA"/>
        </w:rPr>
        <w:t>على وجه تضمّن اعتبار طهارة الحيوان،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ماء قليل باشره جسم حيوان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يوافق شيئا ممّا تقدّم، و على فرض ورود الاشتراط في كلام بعضهم،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تقدّم ممّا يقضي بكون العنوان ملحوظا على الوجه الأعمّ كما في عبارة المنتهى</w:t>
      </w:r>
      <w:r>
        <w:rPr>
          <w:rStyle w:val="FootnoteAnchor"/>
          <w:rtl w:val="true"/>
        </w:rPr>
        <w:footnoteReference w:id="3340"/>
      </w:r>
      <w:r>
        <w:rPr>
          <w:rFonts w:ascii="Amiri" w:hAnsi="Amiri" w:eastAsia="Amiri" w:cs="Amiri"/>
          <w:color w:val="111111"/>
          <w:sz w:val="28"/>
          <w:sz w:val="28"/>
          <w:szCs w:val="28"/>
          <w:rtl w:val="true"/>
          <w:lang w:bidi="ar-SA"/>
        </w:rPr>
        <w:t>، مضافا إلى ما في أكثر كتبهم من التعرّض لسؤر الكلب و الخنزير و غيرهما ممّا يحكم عليه بنجاسة العين، كبعض فرق الإسلام من الخوارج و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المعنى المذكور على ما في كلام غير واحد من تقييده بالاصطلاح، أو التنبيه على كونه مرادا من اللفظ في خصوص المقام، اصطلاح من المصنّفين مأخوذ من الأخبار المتفرّقة، و فتاوى الفرقة المتفقّهة من باب الأخذ بالقدر الجامع، حسبما أشرنا إليه، و قد يحتمل كونه معنى شرعيّا تعويلا على تعريف جمع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ماء قليل باشره جسم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لإمكان أن يراد به ما عند المتشرّعة، أو ما عند حفظة الشريعة، كيف و لم يثبت في كلام الشارع أصل الاستعمال على الوجه الأعمّ و لا أخبار الأئمّة عليهم السّلام، و لو فرض وجوده أيضا فهو ليس إلاّ استعمالا غير صالح للاستناد إليه في إثبات الوضع الشرعي، على ما هو مقرّر في محلّه</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805166_1280447820"/>
      <w:bookmarkStart w:id="1060" w:name="_Toc414"/>
      <w:bookmarkEnd w:id="1059"/>
      <w:r>
        <w:rPr>
          <w:rtl w:val="true"/>
        </w:rPr>
        <w:t>ثمّ تمام البحث في أحكام هذا المعنى العامّ يقع في طيّ مسائل</w:t>
      </w:r>
      <w:r>
        <w:rPr>
          <w:rtl w:val="true"/>
        </w:rPr>
        <w:t>:</w:t>
      </w:r>
      <w:bookmarkEnd w:id="1060"/>
    </w:p>
    <w:p>
      <w:pPr>
        <w:pStyle w:val="Heading5"/>
        <w:numPr>
          <w:ilvl w:val="4"/>
          <w:numId w:val="1"/>
        </w:numPr>
        <w:rPr/>
      </w:pPr>
      <w:bookmarkStart w:id="1061" w:name="__RefHeading___Toc1805168_1280447820"/>
      <w:bookmarkStart w:id="1062" w:name="_Toc415"/>
      <w:bookmarkEnd w:id="1061"/>
      <w:r>
        <w:rPr>
          <w:rtl w:val="true"/>
        </w:rPr>
        <w:t>المسألة الاولى</w:t>
      </w:r>
      <w:r>
        <w:rPr>
          <w:rtl w:val="true"/>
        </w:rPr>
        <w:t xml:space="preserve">: </w:t>
      </w:r>
      <w:r>
        <w:rPr>
          <w:rtl w:val="true"/>
        </w:rPr>
        <w:t>لا خلاف عند أصحابنا في نجاسة سؤر ما حكم بنجاسته شرعا</w:t>
      </w:r>
      <w:bookmarkEnd w:id="1062"/>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آدميّا كان كالكافر و الخوارج و هم أهل النهروان و من دان بمقالتهم، و الغلاة و هم </w:t>
      </w:r>
      <w:bookmarkStart w:id="1063" w:name="pg16144_233783"/>
    </w:p>
    <w:p>
      <w:pPr>
        <w:pStyle w:val="BookText"/>
        <w:rPr/>
      </w:pPr>
      <w:bookmarkEnd w:id="1063"/>
      <w:r>
        <w:rPr>
          <w:rFonts w:ascii="Amiri" w:hAnsi="Amiri" w:eastAsia="Amiri" w:cs="Amiri"/>
          <w:color w:val="111111"/>
          <w:sz w:val="28"/>
          <w:sz w:val="28"/>
          <w:szCs w:val="28"/>
          <w:rtl w:val="true"/>
          <w:lang w:bidi="ar-SA"/>
        </w:rPr>
        <w:t>القائلون بإلهيّة عليّ عليه السّلام أو أحد من الأئمّة، و النواصب و هم المبغضون لأهل البيت عليهم السّلام كما في المدارك</w:t>
      </w:r>
      <w:r>
        <w:rPr>
          <w:rStyle w:val="FootnoteAnchor"/>
          <w:rtl w:val="true"/>
        </w:rPr>
        <w:footnoteReference w:id="3341"/>
      </w:r>
      <w:r>
        <w:rPr>
          <w:rFonts w:ascii="Amiri" w:hAnsi="Amiri" w:eastAsia="Amiri" w:cs="Amiri"/>
          <w:color w:val="111111"/>
          <w:sz w:val="28"/>
          <w:sz w:val="28"/>
          <w:szCs w:val="28"/>
          <w:rtl w:val="true"/>
          <w:lang w:bidi="ar-SA"/>
        </w:rPr>
        <w:t>، أو المعلنون لعداوتهم عليهم السّلام كما في حاشية الشرائع للشيخ عليّ، أو غير آدميّ كالكلب و الخنزير، بل إجماعاتهم المنقولة على ذلك مستفيضة، و مصنّفاتهم من نفي الخلاف و الإشكال مشحونة، و لو وجد خلاف في سؤر بعض ما حكم بنجاسته في الجملة من أفراد موضوع تلك القاعدة فهو راجع إلى الصغرى، و هي نجاسة ذي السؤر أو طهارته من آدميّ كاليهود و النصارى و المجسّمة و المجبّرة و ولد الزنا و كلّ مخالف للحقّ، أو غير آدميّ كالمسوخ من القرد و الذئب و الثعلب و الأرنب، فإنّ المنقول عن المفيد</w:t>
      </w:r>
      <w:r>
        <w:rPr>
          <w:rStyle w:val="FootnoteAnchor"/>
          <w:rtl w:val="true"/>
        </w:rPr>
        <w:footnoteReference w:id="3342"/>
      </w:r>
      <w:r>
        <w:rPr>
          <w:rFonts w:ascii="Amiri" w:hAnsi="Amiri" w:eastAsia="Amiri" w:cs="Amiri"/>
          <w:color w:val="111111"/>
          <w:sz w:val="28"/>
          <w:sz w:val="28"/>
          <w:szCs w:val="28"/>
          <w:rtl w:val="true"/>
          <w:lang w:bidi="ar-SA"/>
        </w:rPr>
        <w:t>في أحد قوليه طهارة اليهود و النصارى، و هو مذهب ابن الجنيد</w:t>
      </w:r>
      <w:r>
        <w:rPr>
          <w:rStyle w:val="FootnoteAnchor"/>
          <w:rtl w:val="true"/>
        </w:rPr>
        <w:footnoteReference w:id="3343"/>
      </w:r>
      <w:r>
        <w:rPr>
          <w:rFonts w:ascii="Amiri" w:hAnsi="Amiri" w:eastAsia="Amiri" w:cs="Amiri"/>
          <w:color w:val="111111"/>
          <w:sz w:val="28"/>
          <w:sz w:val="28"/>
          <w:szCs w:val="28"/>
          <w:rtl w:val="true"/>
          <w:lang w:bidi="ar-SA"/>
        </w:rPr>
        <w:t>في مطلق أهل الكتاب، و الباقون على النجاسة، و عن الشيخ في المبسوط</w:t>
      </w:r>
      <w:r>
        <w:rPr>
          <w:rStyle w:val="FootnoteAnchor"/>
          <w:rtl w:val="true"/>
        </w:rPr>
        <w:footnoteReference w:id="3344"/>
      </w:r>
      <w:r>
        <w:rPr>
          <w:rFonts w:ascii="Amiri" w:hAnsi="Amiri" w:eastAsia="Amiri" w:cs="Amiri"/>
          <w:color w:val="111111"/>
          <w:sz w:val="28"/>
          <w:sz w:val="28"/>
          <w:szCs w:val="28"/>
          <w:rtl w:val="true"/>
          <w:lang w:bidi="ar-SA"/>
        </w:rPr>
        <w:t>نجاسة المجسّمة و المجبّرة، و وافقه جماعة</w:t>
      </w:r>
      <w:r>
        <w:rPr>
          <w:rStyle w:val="FootnoteAnchor"/>
          <w:rtl w:val="true"/>
        </w:rPr>
        <w:footnoteReference w:id="3345"/>
      </w:r>
      <w:r>
        <w:rPr>
          <w:rFonts w:ascii="Amiri" w:hAnsi="Amiri" w:eastAsia="Amiri" w:cs="Amiri"/>
          <w:color w:val="111111"/>
          <w:sz w:val="28"/>
          <w:sz w:val="28"/>
          <w:szCs w:val="28"/>
          <w:rtl w:val="true"/>
          <w:lang w:bidi="ar-SA"/>
        </w:rPr>
        <w:t>على نجاسة المجسّمة، و عن المرتضى</w:t>
      </w:r>
      <w:r>
        <w:rPr>
          <w:rStyle w:val="FootnoteAnchor"/>
          <w:rtl w:val="true"/>
        </w:rPr>
        <w:footnoteReference w:id="3346"/>
      </w:r>
      <w:r>
        <w:rPr>
          <w:rFonts w:ascii="Amiri" w:hAnsi="Amiri" w:eastAsia="Amiri" w:cs="Amiri"/>
          <w:color w:val="111111"/>
          <w:sz w:val="28"/>
          <w:sz w:val="28"/>
          <w:szCs w:val="28"/>
          <w:rtl w:val="true"/>
          <w:lang w:bidi="ar-SA"/>
        </w:rPr>
        <w:t>و ابن إدريس</w:t>
      </w:r>
      <w:r>
        <w:rPr>
          <w:rStyle w:val="FootnoteAnchor"/>
          <w:rtl w:val="true"/>
        </w:rPr>
        <w:footnoteReference w:id="3347"/>
      </w:r>
      <w:r>
        <w:rPr>
          <w:rFonts w:ascii="Amiri" w:hAnsi="Amiri" w:eastAsia="Amiri" w:cs="Amiri"/>
          <w:color w:val="111111"/>
          <w:sz w:val="28"/>
          <w:sz w:val="28"/>
          <w:szCs w:val="28"/>
          <w:rtl w:val="true"/>
          <w:lang w:bidi="ar-SA"/>
        </w:rPr>
        <w:t>القول بكفر ولد الزنا، و عن جماعة كفر المخالفين، بل هو المشهور بين المتقدّمين كما في الحدائق</w:t>
      </w:r>
      <w:r>
        <w:rPr>
          <w:rStyle w:val="FootnoteAnchor"/>
          <w:rtl w:val="true"/>
        </w:rPr>
        <w:footnoteReference w:id="3348"/>
      </w:r>
      <w:r>
        <w:rPr>
          <w:rFonts w:ascii="Amiri" w:hAnsi="Amiri" w:eastAsia="Amiri" w:cs="Amiri"/>
          <w:color w:val="111111"/>
          <w:sz w:val="28"/>
          <w:sz w:val="28"/>
          <w:szCs w:val="28"/>
          <w:rtl w:val="true"/>
          <w:lang w:bidi="ar-SA"/>
        </w:rPr>
        <w:t>، و عن الشيخ</w:t>
      </w:r>
      <w:r>
        <w:rPr>
          <w:rStyle w:val="FootnoteAnchor"/>
          <w:rtl w:val="true"/>
        </w:rPr>
        <w:footnoteReference w:id="3349"/>
      </w:r>
      <w:r>
        <w:rPr>
          <w:rFonts w:ascii="Amiri" w:hAnsi="Amiri" w:eastAsia="Amiri" w:cs="Amiri"/>
          <w:color w:val="111111"/>
          <w:sz w:val="28"/>
          <w:sz w:val="28"/>
          <w:szCs w:val="28"/>
          <w:rtl w:val="true"/>
          <w:lang w:bidi="ar-SA"/>
        </w:rPr>
        <w:t>نجاسة المسوخ، و الكلام في جميع هذه الأقسام موكول إلى محلّه فيأتي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805170_1280447820"/>
      <w:bookmarkStart w:id="1065" w:name="_Toc416"/>
      <w:bookmarkEnd w:id="1064"/>
      <w:r>
        <w:rPr>
          <w:rtl w:val="true"/>
        </w:rPr>
        <w:t>المسألة الثانية</w:t>
      </w:r>
      <w:r>
        <w:rPr>
          <w:rtl w:val="true"/>
        </w:rPr>
        <w:t xml:space="preserve">: </w:t>
      </w:r>
      <w:r>
        <w:rPr>
          <w:rtl w:val="true"/>
        </w:rPr>
        <w:t>المشهور المدّعى عليه الإجماع أنّ كلّما حكم عليه بالطهارة شرعا من الحيوانات فسؤره طاهر،</w:t>
      </w:r>
      <w:bookmarkEnd w:id="1065"/>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عكس القاعدة المتقدّمة، و عزى ذلك إلى عامّة من تأخّر، بل عن الغنية</w:t>
      </w:r>
      <w:r>
        <w:rPr>
          <w:rStyle w:val="FootnoteAnchor"/>
          <w:rtl w:val="true"/>
        </w:rPr>
        <w:footnoteReference w:id="3350"/>
      </w:r>
      <w:r>
        <w:rPr>
          <w:rFonts w:ascii="IRNazanin" w:hAnsi="IRNazanin" w:eastAsia="IRNazanin"/>
          <w:color w:val="111111"/>
          <w:sz w:val="28"/>
          <w:sz w:val="28"/>
          <w:szCs w:val="28"/>
          <w:rtl w:val="true"/>
          <w:lang w:bidi="fa-IR"/>
        </w:rPr>
        <w:t>و الخلاف</w:t>
      </w:r>
      <w:r>
        <w:rPr>
          <w:rStyle w:val="FootnoteAnchor"/>
          <w:rtl w:val="true"/>
        </w:rPr>
        <w:footnoteReference w:id="3351"/>
      </w:r>
      <w:r>
        <w:rPr>
          <w:rFonts w:ascii="Amiri" w:hAnsi="Amiri" w:eastAsia="Amiri" w:cs="Amiri"/>
          <w:color w:val="111111"/>
          <w:sz w:val="28"/>
          <w:sz w:val="28"/>
          <w:szCs w:val="28"/>
          <w:rtl w:val="true"/>
          <w:lang w:bidi="ar-SA"/>
        </w:rPr>
        <w:t xml:space="preserve">الإجماع عليه، و هو صريح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محكيّة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الأطعمة و الأشربة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حرم شرعا فجملته إنّ الحيوان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 نجس، فالنجس الكلب و الخنزير، و ما عداهما كلّه طاهر في حال حياته، بدلالة إجماع أصحابنا، المنعقد على أنّهم أجازوا شرب سؤرها في حال الوضوء منه، و لم يجوّزوا في الكلب و الخنزير</w:t>
      </w:r>
      <w:r>
        <w:rPr>
          <w:rFonts w:eastAsia="Amiri" w:cs="Amiri" w:ascii="Amiri" w:hAnsi="Amiri"/>
          <w:color w:val="111111"/>
          <w:sz w:val="28"/>
          <w:szCs w:val="28"/>
          <w:rtl w:val="true"/>
          <w:lang w:bidi="ar-SA"/>
        </w:rPr>
        <w:t>»</w:t>
      </w:r>
      <w:r>
        <w:rPr>
          <w:rStyle w:val="FootnoteAnchor"/>
          <w:rtl w:val="true"/>
        </w:rPr>
        <w:footnoteReference w:id="3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 العلاّمة في جملة من كتبه</w:t>
      </w:r>
      <w:r>
        <w:rPr>
          <w:rStyle w:val="FootnoteAnchor"/>
          <w:rtl w:val="true"/>
        </w:rPr>
        <w:footnoteReference w:id="3353"/>
      </w:r>
      <w:r>
        <w:rPr>
          <w:rFonts w:ascii="Amiri" w:hAnsi="Amiri" w:eastAsia="Amiri" w:cs="Amiri"/>
          <w:color w:val="111111"/>
          <w:sz w:val="28"/>
          <w:sz w:val="28"/>
          <w:szCs w:val="28"/>
          <w:rtl w:val="true"/>
          <w:lang w:bidi="ar-SA"/>
        </w:rPr>
        <w:t>، و عزاه في الحدائق</w:t>
      </w:r>
      <w:r>
        <w:rPr>
          <w:rStyle w:val="FootnoteAnchor"/>
          <w:rtl w:val="true"/>
        </w:rPr>
        <w:footnoteReference w:id="3354"/>
      </w:r>
      <w:r>
        <w:rPr>
          <w:rFonts w:ascii="Amiri" w:hAnsi="Amiri" w:eastAsia="Amiri" w:cs="Amiri"/>
          <w:color w:val="111111"/>
          <w:sz w:val="28"/>
          <w:sz w:val="28"/>
          <w:szCs w:val="28"/>
          <w:rtl w:val="true"/>
          <w:lang w:bidi="ar-SA"/>
        </w:rPr>
        <w:t>إلى جمهور المتأخّرين، بل لا يوجد خلاف في المسألة إلاّ ما عن نهاية العلاّمة</w:t>
      </w:r>
      <w:r>
        <w:rPr>
          <w:rStyle w:val="FootnoteAnchor"/>
          <w:rtl w:val="true"/>
        </w:rPr>
        <w:footnoteReference w:id="3355"/>
      </w:r>
      <w:r>
        <w:rPr>
          <w:rFonts w:ascii="Amiri" w:hAnsi="Amiri" w:eastAsia="Amiri" w:cs="Amiri"/>
          <w:color w:val="111111"/>
          <w:sz w:val="28"/>
          <w:sz w:val="28"/>
          <w:szCs w:val="28"/>
          <w:rtl w:val="true"/>
          <w:lang w:bidi="ar-SA"/>
        </w:rPr>
        <w:t>من استثناء سؤر آكل الجيف من الطير، و ما عن المرتضى</w:t>
      </w:r>
      <w:r>
        <w:rPr>
          <w:rStyle w:val="FootnoteAnchor"/>
          <w:rtl w:val="true"/>
        </w:rPr>
        <w:footnoteReference w:id="3356"/>
      </w:r>
      <w:r>
        <w:rPr>
          <w:rFonts w:ascii="Amiri" w:hAnsi="Amiri" w:eastAsia="Amiri" w:cs="Amiri"/>
          <w:color w:val="111111"/>
          <w:sz w:val="28"/>
          <w:sz w:val="28"/>
          <w:szCs w:val="28"/>
          <w:rtl w:val="true"/>
          <w:lang w:bidi="ar-SA"/>
        </w:rPr>
        <w:t>و ابن الجنيد</w:t>
      </w:r>
      <w:r>
        <w:rPr>
          <w:rStyle w:val="FootnoteAnchor"/>
          <w:rtl w:val="true"/>
        </w:rPr>
        <w:footnoteReference w:id="3357"/>
      </w:r>
      <w:r>
        <w:rPr>
          <w:rFonts w:ascii="Amiri" w:hAnsi="Amiri" w:eastAsia="Amiri" w:cs="Amiri"/>
          <w:color w:val="111111"/>
          <w:sz w:val="28"/>
          <w:sz w:val="28"/>
          <w:szCs w:val="28"/>
          <w:rtl w:val="true"/>
          <w:lang w:bidi="ar-SA"/>
        </w:rPr>
        <w:t>من استثناء الجلاّل، و ما عن الشيخ في التهذيبين من المنع من الوضوء و الشرب من سؤر غير مأكول اللحم عدا السنّور و الطير كما في التهذيب</w:t>
      </w:r>
      <w:r>
        <w:rPr>
          <w:rStyle w:val="FootnoteAnchor"/>
          <w:rtl w:val="true"/>
        </w:rPr>
        <w:footnoteReference w:id="3358"/>
      </w:r>
      <w:r>
        <w:rPr>
          <w:rFonts w:ascii="Amiri" w:hAnsi="Amiri" w:eastAsia="Amiri" w:cs="Amiri"/>
          <w:color w:val="111111"/>
          <w:sz w:val="28"/>
          <w:sz w:val="28"/>
          <w:szCs w:val="28"/>
          <w:rtl w:val="true"/>
          <w:lang w:bidi="ar-SA"/>
        </w:rPr>
        <w:t>، أو غير الفأرة و الطيور من البازي و الصقر و العقاب و غيرها كما في الاستبصار</w:t>
      </w:r>
      <w:r>
        <w:rPr>
          <w:rStyle w:val="FootnoteAnchor"/>
          <w:rtl w:val="true"/>
        </w:rPr>
        <w:footnoteReference w:id="3359"/>
      </w:r>
      <w:r>
        <w:rPr>
          <w:rFonts w:ascii="Amiri" w:hAnsi="Amiri" w:eastAsia="Amiri" w:cs="Amiri"/>
          <w:color w:val="111111"/>
          <w:sz w:val="28"/>
          <w:sz w:val="28"/>
          <w:szCs w:val="28"/>
          <w:rtl w:val="true"/>
          <w:lang w:bidi="ar-SA"/>
        </w:rPr>
        <w:t>، معلّلا له فيه بمشقّة الاحتراز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في المبسوط</w:t>
      </w:r>
      <w:r>
        <w:rPr>
          <w:rStyle w:val="FootnoteAnchor"/>
          <w:rtl w:val="true"/>
        </w:rPr>
        <w:footnoteReference w:id="3360"/>
      </w:r>
      <w:r>
        <w:rPr>
          <w:rFonts w:ascii="Amiri" w:hAnsi="Amiri" w:eastAsia="Amiri" w:cs="Amiri"/>
          <w:color w:val="111111"/>
          <w:sz w:val="28"/>
          <w:sz w:val="28"/>
          <w:szCs w:val="28"/>
          <w:rtl w:val="true"/>
          <w:lang w:bidi="ar-SA"/>
        </w:rPr>
        <w:t>المنع من سؤر ما لا يؤكل لحمه من الحيوان الغير الآدميّ و الطيور إلاّ ما لا يمكن التحرّز عنه، كالهرّة و الفأرة، و ربّما نقل ذلك عن المهذّب</w:t>
      </w:r>
      <w:r>
        <w:rPr>
          <w:rStyle w:val="FootnoteAnchor"/>
          <w:rtl w:val="true"/>
        </w:rPr>
        <w:footnoteReference w:id="336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أنّه حكم بنجاسة سؤر ما أمكن التحرّز عنه ممّا لا يؤكل لحمه من حيوان الحضر غير الطيور، قائلا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بأسآر الفأر و الحيّات و جميع حشرات الأرض</w:t>
      </w:r>
      <w:r>
        <w:rPr>
          <w:rFonts w:eastAsia="Amiri" w:cs="Amiri" w:ascii="Amiri" w:hAnsi="Amiri"/>
          <w:color w:val="111111"/>
          <w:sz w:val="28"/>
          <w:szCs w:val="28"/>
          <w:rtl w:val="true"/>
          <w:lang w:bidi="ar-SA"/>
        </w:rPr>
        <w:t>»</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 هذا القول من السقوط لضعفه، و مخالفته الاصول المحكمة المجمع عليها، و القواعد المتقنة السليمة عمّا يصلح لمعارضتها، و خصوصا ما تقدّم من الإجماع الّذي ادّعاه في الأطعمة و الأشربة الحاصر للنجاسة المانعة عن الاستعمال في سؤر الكلب و الخنزير، و لعلّه هنا وقع منه خطأ فالتفت إليه في الباب المذكور فعدل عنه مدّعيا على خلافه الإجماع، كيف لا و نجاسة السؤر تتبع نجاسة ذيه، و لا يظنّ أنّه قائل بنجاسة ما عدا الكلب و الخنزير من أنواع الحيوانات و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غير ما وقع الخلاف في نجاسته ممّا تقدّم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الطريقة المستمرّة بين المسلمين المعلومة </w:t>
      </w:r>
    </w:p>
    <w:p>
      <w:pPr>
        <w:pStyle w:val="BookText"/>
        <w:rPr/>
      </w:pPr>
      <w:r>
        <w:rPr>
          <w:rFonts w:ascii="Amiri" w:hAnsi="Amiri" w:eastAsia="Amiri" w:cs="Amiri"/>
          <w:color w:val="111111"/>
          <w:sz w:val="28"/>
          <w:sz w:val="28"/>
          <w:szCs w:val="28"/>
          <w:rtl w:val="true"/>
          <w:lang w:bidi="ar-SA"/>
        </w:rPr>
        <w:t>من صاحب الشريعة، و لو ادّعاه هو أو غيره لم يكن له عليه دلالة من كتاب 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مرسلة وشّاء عمّن ذكره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سؤر كلّ شيء لا يؤكل لحمه</w:t>
      </w:r>
      <w:r>
        <w:rPr>
          <w:rFonts w:eastAsia="Amiri" w:cs="Amiri" w:ascii="Amiri" w:hAnsi="Amiri"/>
          <w:color w:val="111111"/>
          <w:sz w:val="28"/>
          <w:szCs w:val="28"/>
          <w:rtl w:val="true"/>
          <w:lang w:bidi="ar-SA"/>
        </w:rPr>
        <w:t>»</w:t>
      </w:r>
      <w:r>
        <w:rPr>
          <w:rStyle w:val="FootnoteAnchor"/>
          <w:rtl w:val="true"/>
        </w:rPr>
        <w:footnoteReference w:id="3363"/>
      </w:r>
      <w:r>
        <w:rPr>
          <w:rFonts w:ascii="Amiri" w:hAnsi="Amiri" w:eastAsia="Amiri" w:cs="Amiri"/>
          <w:color w:val="111111"/>
          <w:sz w:val="28"/>
          <w:sz w:val="28"/>
          <w:szCs w:val="28"/>
          <w:rtl w:val="true"/>
          <w:lang w:bidi="ar-SA"/>
        </w:rPr>
        <w:t xml:space="preserve">ما يوهم ذلك،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الضعف بالإرسال، و عدم فهم الأصحاب منها إلاّ الكراهة المصطلحة الّتي هي في الجملة مسلّمة، و توجّه القدح إلى متنها من حيث إنّ الكراهة المأخوذة فيها لفظ الراوي دون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الآحاد الّتي لا عمل بها عنده، مع معارضتها بأقوى منها سندا و أظهر دلالة و أصحّ متنا و هي صحيحة البقباق</w:t>
      </w:r>
      <w:r>
        <w:rPr>
          <w:rStyle w:val="FootnoteAnchor"/>
          <w:rtl w:val="true"/>
        </w:rPr>
        <w:footnoteReference w:id="3364"/>
      </w:r>
      <w:r>
        <w:rPr>
          <w:rFonts w:ascii="Amiri" w:hAnsi="Amiri" w:eastAsia="Amiri" w:cs="Amiri"/>
          <w:color w:val="111111"/>
          <w:sz w:val="28"/>
          <w:sz w:val="28"/>
          <w:szCs w:val="28"/>
          <w:rtl w:val="true"/>
          <w:lang w:bidi="ar-SA"/>
        </w:rPr>
        <w:t>، المعتضدة بالشهرة العظيمة القريبة من الإجماع، مضافا إلى دعواه حسبما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تتوضّأ بفضله، إلى آخره</w:t>
      </w:r>
      <w:r>
        <w:rPr>
          <w:rFonts w:eastAsia="Amiri" w:cs="Amiri" w:ascii="Amiri" w:hAnsi="Amiri"/>
          <w:color w:val="111111"/>
          <w:sz w:val="28"/>
          <w:szCs w:val="28"/>
          <w:rtl w:val="true"/>
          <w:lang w:bidi="ar-SA"/>
        </w:rPr>
        <w:t>»</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حسنة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عذافر أبا عبد اللّه عليه السّلام و أنا عنده عن سؤر السنّور و الشاة و البقرة، و البعير و الحمار و الفرس، و البغل و السباع، يشرب منه أو يتوضّأ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اشرب منه 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هو 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أنّه نجس، لا و اللّه أنّه نجس</w:t>
      </w:r>
      <w:r>
        <w:rPr>
          <w:rFonts w:eastAsia="Amiri" w:cs="Amiri" w:ascii="Amiri" w:hAnsi="Amiri"/>
          <w:color w:val="111111"/>
          <w:sz w:val="28"/>
          <w:szCs w:val="28"/>
          <w:rtl w:val="true"/>
          <w:lang w:bidi="ar-SA"/>
        </w:rPr>
        <w:t>»</w:t>
      </w:r>
      <w:r>
        <w:rPr>
          <w:rStyle w:val="FootnoteAnchor"/>
          <w:rtl w:val="true"/>
        </w:rPr>
        <w:footnoteReference w:id="3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عليّ بن جعفر عن أخيه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العظاية</w:t>
      </w:r>
      <w:r>
        <w:rPr>
          <w:rStyle w:val="FootnoteAnchor"/>
          <w:rtl w:val="true"/>
        </w:rPr>
        <w:footnoteReference w:id="3367"/>
      </w:r>
      <w:r>
        <w:rPr>
          <w:rFonts w:ascii="Amiri" w:hAnsi="Amiri" w:eastAsia="Amiri" w:cs="Amiri"/>
          <w:color w:val="111111"/>
          <w:sz w:val="28"/>
          <w:sz w:val="28"/>
          <w:szCs w:val="28"/>
          <w:rtl w:val="true"/>
          <w:lang w:bidi="ar-SA"/>
        </w:rPr>
        <w:t>و الحيّة، و الوزغ، يقع في الماء فلا يموت، أ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368"/>
      </w:r>
      <w:r>
        <w:rPr>
          <w:rFonts w:eastAsia="Times New Roman" w:cs="Times New Roman" w:ascii="Times New Roman" w:hAnsi="Times New Roman"/>
          <w:color w:val="111111"/>
          <w:sz w:val="28"/>
          <w:szCs w:val="28"/>
          <w:rtl w:val="true"/>
          <w:lang w:val="en-US" w:bidi="en-US"/>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لو صلحت مستندة لهذا الحكم المخالف للأصول فهي دالّة عليه على جهة العموم فما وجه تخصيصه بما خصّ به، و لو فرضنا، أنّه قال بنجاسة السؤر مع الاعتراف بطهارة ذيه فهو أشدّ ضعفا، بل هو عند التحقيق ممّا لا يكاد يعقل، سيّما مع ملاحظة </w:t>
      </w:r>
    </w:p>
    <w:p>
      <w:pPr>
        <w:pStyle w:val="BookText"/>
        <w:rPr/>
      </w:pPr>
      <w:r>
        <w:rPr>
          <w:rFonts w:ascii="Amiri" w:hAnsi="Amiri" w:eastAsia="Amiri" w:cs="Amiri"/>
          <w:color w:val="111111"/>
          <w:sz w:val="28"/>
          <w:sz w:val="28"/>
          <w:szCs w:val="28"/>
          <w:rtl w:val="true"/>
          <w:lang w:bidi="ar-SA"/>
        </w:rPr>
        <w:t>استصحاب الطهارة و أصلها المستفاد من عمومات الآيات و الروايات مع فقد ما يوجب الخروج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بالنجاسة ما هو من أحكامها الّتي منها منع الشرب و الوضوء لا نفس الصفة المقتضية لتلك الأحكام،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عرضيّة لا بدّ لها من منشأ و ليس إلاّ نجاسة ذي السؤر و قد فرض خلافه،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الأصلان المذكوران السليمان عمّا يصلح للمعارضة، و المرسلة المتقدّم إليها الإشارة قد تبيّن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ذلك كاغتسال الجنب في البئر المحكوم عليه كونه سببا للنزح و لا سبب له إلاّ النجاسة و إن فرض خلوّ بدنه عنها، مردود من جهات شتّى، من منع الحكم في المقيس عليه، لابتناء أحكام البئر على الندب و الاستحباب بناء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الحتم فهو ليس إلاّ تعبّدا صرفا كما عليه جماعة، فلا فرق فيه بين وقوع النجس أو الطاهر، لكون الحكم حينئذ منوطا بمجرّد التعبّد لا لعروض صفة النجاسة لماء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 بدن الجنب مع فرض طهارته موجبا لنجاسة الماء فهي نجاسة حكميّة لا حقيقيّة، و مع ذلك لا يلزم من ثبوتها ثمّة ثبوتها هنا إلاّ قياسا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 تبيّن ضعف ما عرفته عن الشيخ في كتبه</w:t>
      </w:r>
      <w:r>
        <w:rPr>
          <w:rStyle w:val="FootnoteAnchor"/>
          <w:rtl w:val="true"/>
        </w:rPr>
        <w:footnoteReference w:id="3369"/>
      </w:r>
      <w:r>
        <w:rPr>
          <w:rFonts w:ascii="IRNazanin" w:hAnsi="IRNazanin" w:eastAsia="IRNazanin"/>
          <w:color w:val="111111"/>
          <w:sz w:val="28"/>
          <w:sz w:val="28"/>
          <w:szCs w:val="28"/>
          <w:rtl w:val="true"/>
          <w:lang w:bidi="fa-IR"/>
        </w:rPr>
        <w:t>، و عن المهذّب</w:t>
      </w:r>
      <w:r>
        <w:rPr>
          <w:rStyle w:val="FootnoteAnchor"/>
          <w:rtl w:val="true"/>
        </w:rPr>
        <w:footnoteReference w:id="3370"/>
      </w:r>
      <w:r>
        <w:rPr>
          <w:rFonts w:ascii="Amiri" w:hAnsi="Amiri" w:eastAsia="Amiri" w:cs="Amiri"/>
          <w:color w:val="111111"/>
          <w:sz w:val="28"/>
          <w:sz w:val="28"/>
          <w:szCs w:val="28"/>
          <w:rtl w:val="true"/>
          <w:lang w:bidi="ar-SA"/>
        </w:rPr>
        <w:t>أيضا، سواء أراد بالمنع ما هو كذلك تعبّدا، أو ملزومه من النجاسة كما هو الأظهر، بملاحظة ما في كلامه في الاستبصار</w:t>
      </w:r>
      <w:r>
        <w:rPr>
          <w:rStyle w:val="FootnoteAnchor"/>
          <w:rtl w:val="true"/>
        </w:rPr>
        <w:footnoteReference w:id="3371"/>
      </w:r>
      <w:r>
        <w:rPr>
          <w:rFonts w:ascii="Amiri" w:hAnsi="Amiri" w:eastAsia="Amiri" w:cs="Amiri"/>
          <w:color w:val="111111"/>
          <w:sz w:val="28"/>
          <w:sz w:val="28"/>
          <w:szCs w:val="28"/>
          <w:rtl w:val="true"/>
          <w:lang w:bidi="ar-SA"/>
        </w:rPr>
        <w:t>من جعله الجواز فيما استثناه من باب العفو، لأجل كون التحرّز عن ذلك ممّا يشقّ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ضعف مستنده الّذي هو موثّقة عمّار الساباطي</w:t>
      </w:r>
      <w:r>
        <w:rPr>
          <w:rStyle w:val="FootnoteAnchor"/>
          <w:rtl w:val="true"/>
        </w:rPr>
        <w:footnoteReference w:id="337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ماء يشرب منه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اكل لحمه يتوضّأ من سؤره و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ماء يشرب منه باز، أو صقر، أو عقاب؟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شيئا فلا تتوضّأ منه و لا تشرب</w:t>
      </w:r>
      <w:r>
        <w:rPr>
          <w:rFonts w:eastAsia="Amiri" w:cs="Amiri" w:ascii="Amiri" w:hAnsi="Amiri"/>
          <w:color w:val="111111"/>
          <w:sz w:val="28"/>
          <w:szCs w:val="28"/>
          <w:rtl w:val="true"/>
          <w:lang w:bidi="ar-SA"/>
        </w:rPr>
        <w:t>»</w:t>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يؤكل لحمه يتوضّأ بسؤره و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ما لا يؤكل لحمه لا يجوز التوضّؤ به و الشرب منه، لأنّه إذا اشترط في استباحة سؤره أن يؤكل لحمه دلّ على أنّ ما عداه بخلافه، و يجري هذا المجرى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يدلّ على أنّ المعلوفة ليس فيها زكاة</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خبر عامّ في جواز استعمال سؤر كلّ ما يؤكل لحمه من سائر الحيوان، و أنّ ما لا يؤكل لحمه لا يجوز استعمال سؤره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يتضمّن هذا الخبر من جواز سؤر طيور لا يؤكل لحمها مثل البازي و الصقر إذا عرا منقارهما من الدم مخصوص من بين ما لا يؤكل لحمه في جواز استعمال سؤره، و كذلك ما رواه إسحاق بن عمّار عن أبي عبد اللّه عليه السّلام أنّ أبا جعفر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بسؤر الفأرة إذا شربت من الإناء أن تشرب منه و تتوضّأ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نخصّه من بين ما لا يؤكل لحمه من حيث لا يمكن التحرّز من الفأرة و يشقّ ذلك على الإنسان، فعفي لأجل ذلك عن سؤره</w:t>
      </w:r>
      <w:r>
        <w:rPr>
          <w:rFonts w:eastAsia="Amiri" w:cs="Amiri" w:ascii="Amiri" w:hAnsi="Amiri"/>
          <w:color w:val="111111"/>
          <w:sz w:val="28"/>
          <w:szCs w:val="28"/>
          <w:rtl w:val="true"/>
          <w:lang w:bidi="ar-SA"/>
        </w:rPr>
        <w:t>»</w:t>
      </w:r>
      <w:r>
        <w:rPr>
          <w:rStyle w:val="FootnoteAnchor"/>
          <w:rtl w:val="true"/>
        </w:rPr>
        <w:footnoteReference w:id="33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ثبوت مفهوم الوصف، و من المقرّر في محلّه المنع من ذلك، و لو سلّم ثبوته في أصل المسألة فقد يمنع ثبوته هنا بالخصوص، كما يرشد إليه فرض السؤال ثانيا عمّا شرب منه باز أو صقر أو عقاب، فإنّه كاشف عن عدم انفهام الانتفاء عن المسكوت عنه و إلاّ لم يحتج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أنّه فهم الانتفاء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سبيل القضيّة الجزئيّة لا القضيّة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في ثبوت الدلالة على تمام المدّعى، إذ الجزئيّة صادقة في ضمن بعض ما لا يؤكل لحمه من الكلب و الخنزير و غيره من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لا يتمّ إلاّ بإثبات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اعتبار المفهوم هنا، 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كونه معتبرا على سبيل الكلّيّة، على معنى ثبوت الحكم المفهومي لجميع أفراد ما لا يؤكل لحمه</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سؤال الراوي عقيب استماع المنطوق مع جواب الإمام عليه السّلام في مورد السؤال الّذي هو بعض أفراد المسكوت عنه على طبق المنطوق يكشفان عن عدم </w:t>
      </w:r>
      <w:bookmarkStart w:id="1066" w:name="pg16144_233788"/>
    </w:p>
    <w:p>
      <w:pPr>
        <w:pStyle w:val="BookText"/>
        <w:rPr/>
      </w:pPr>
      <w:bookmarkEnd w:id="1066"/>
      <w:r>
        <w:rPr>
          <w:rFonts w:ascii="Amiri" w:hAnsi="Amiri" w:eastAsia="Amiri" w:cs="Amiri"/>
          <w:color w:val="111111"/>
          <w:sz w:val="28"/>
          <w:sz w:val="28"/>
          <w:szCs w:val="28"/>
          <w:rtl w:val="true"/>
          <w:lang w:bidi="ar-SA"/>
        </w:rPr>
        <w:t>اعتبار المفهوم هنا رأسا، أو عن كونه معتبرا هنا على سبيل الجزئيّة الصادقة في بعض أفراد المسكوت عنه كالكلب و الخنزير، و أيّا ما كان فالاستدلال ساقط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أيضا فدلالة المفهوم لا تقاوم دلالة المنطوق، و قد تقدّم من المناطيق ما يقضي بخلاف ذلك المفهوم، كما أنّ السند الموثّق لا يقاوم السند الصحيح، و لا سيّما إذا اعتضد الصحيح بما تقدّم ذكره من الشهرة العظيمة الّتي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فالعمل على الصحيح وفاقا للمعظم، لكون مفاده هو الصحيح، مع ما فيه من العمل على الاصول و القواعد</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805172_1280447820"/>
      <w:bookmarkStart w:id="1068" w:name="_Toc417"/>
      <w:bookmarkEnd w:id="1067"/>
      <w:r>
        <w:rPr>
          <w:rtl w:val="true"/>
        </w:rPr>
        <w:t>المسألة الثالثة</w:t>
      </w:r>
      <w:r>
        <w:rPr>
          <w:rtl w:val="true"/>
        </w:rPr>
        <w:t xml:space="preserve">: </w:t>
      </w:r>
      <w:r>
        <w:rPr>
          <w:rtl w:val="true"/>
        </w:rPr>
        <w:t>لا فرق فيما حقّقناه من طهارة سؤر الحيوان الطاهر العين لطهارة ذيه بين كون الحيوان مأكول اللحم أو غيره،</w:t>
      </w:r>
      <w:bookmarkEnd w:id="1068"/>
    </w:p>
    <w:p>
      <w:pPr>
        <w:pStyle w:val="BookText"/>
        <w:rPr/>
      </w:pPr>
      <w:r>
        <w:rPr>
          <w:rFonts w:ascii="Amiri" w:hAnsi="Amiri" w:eastAsia="Amiri" w:cs="Amiri"/>
          <w:color w:val="111111"/>
          <w:sz w:val="28"/>
          <w:sz w:val="28"/>
          <w:szCs w:val="28"/>
          <w:rtl w:val="true"/>
          <w:lang w:bidi="ar-SA"/>
        </w:rPr>
        <w:t>و لا بين كونه آكل الجيف أو غيره، سواء اريد من أكل الجيف ما من شأنه ذلك كما في صريح المدارك</w:t>
      </w:r>
      <w:r>
        <w:rPr>
          <w:rStyle w:val="FootnoteAnchor"/>
          <w:rtl w:val="true"/>
        </w:rPr>
        <w:footnoteReference w:id="3376"/>
      </w:r>
      <w:r>
        <w:rPr>
          <w:rFonts w:ascii="Amiri" w:hAnsi="Amiri" w:eastAsia="Amiri" w:cs="Amiri"/>
          <w:color w:val="111111"/>
          <w:sz w:val="28"/>
          <w:sz w:val="28"/>
          <w:szCs w:val="28"/>
          <w:rtl w:val="true"/>
          <w:lang w:bidi="ar-SA"/>
        </w:rPr>
        <w:t>، أو ما برز منه الأكل في الخارج كما نقل التصريح به في الحدائق</w:t>
      </w:r>
      <w:r>
        <w:rPr>
          <w:rStyle w:val="FootnoteAnchor"/>
          <w:rtl w:val="true"/>
        </w:rPr>
        <w:footnoteReference w:id="3377"/>
      </w:r>
      <w:r>
        <w:rPr>
          <w:rFonts w:ascii="IRNazanin" w:hAnsi="IRNazanin" w:eastAsia="IRNazanin"/>
          <w:color w:val="111111"/>
          <w:sz w:val="28"/>
          <w:sz w:val="28"/>
          <w:szCs w:val="28"/>
          <w:rtl w:val="true"/>
          <w:lang w:bidi="fa-IR"/>
        </w:rPr>
        <w:t>عن المنتهى</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الاصول و القواعد المتقدّم إليهما الإشارة، الموثّقة المتقدّمة في عبارة الاستبصار السائلة عن ماء يشرب منه باز أو صقر أو عقاب، المصرّحة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كلّ شيء من الطير يتوضّأ ممّا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مضافة إلى الصحيحة و الحسنة المتقدّمتين</w:t>
      </w:r>
      <w:r>
        <w:rPr>
          <w:rStyle w:val="FootnoteAnchor"/>
          <w:rtl w:val="true"/>
        </w:rPr>
        <w:footnoteReference w:id="3379"/>
      </w:r>
      <w:r>
        <w:rPr>
          <w:rFonts w:ascii="Amiri" w:hAnsi="Amiri" w:eastAsia="Amiri" w:cs="Amiri"/>
          <w:color w:val="111111"/>
          <w:sz w:val="28"/>
          <w:sz w:val="28"/>
          <w:szCs w:val="28"/>
          <w:rtl w:val="true"/>
          <w:lang w:bidi="ar-SA"/>
        </w:rPr>
        <w:t xml:space="preserve">المبيحتين لسؤر السباع، الّتي لا تكاد تنفكّ عن أكل الجيف في الغالب، و إطلاق هذه الأحاديث كما ترى يشمل كلتا صورتي بروز المبدأ في الخارج و عدمه، و من هنا يمكن أن يؤخذ الأخبار الواردة في طهارة سؤر 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فضله الّتي يأتي إليها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هذا المطلب، بل المستفاد منها دلالة اخرى عليه من حيث تضمّنها إعطاء قاعدة كلّيّة في السباع كما سيظهر وجهه</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عرفته عن النهاية</w:t>
      </w:r>
      <w:r>
        <w:rPr>
          <w:rStyle w:val="FootnoteAnchor"/>
          <w:rtl w:val="true"/>
        </w:rPr>
        <w:footnoteReference w:id="3380"/>
      </w:r>
      <w:r>
        <w:rPr>
          <w:rFonts w:ascii="Amiri" w:hAnsi="Amiri" w:eastAsia="Amiri" w:cs="Amiri"/>
          <w:color w:val="111111"/>
          <w:sz w:val="28"/>
          <w:sz w:val="28"/>
          <w:szCs w:val="28"/>
          <w:rtl w:val="true"/>
          <w:lang w:bidi="ar-SA"/>
        </w:rPr>
        <w:t>من استثناء سؤر آكل الجيف إمّا لمنعه عنه كما في بعض العبائر الناقلة، أو لحكمه عليه بالنجاسة كما في الحدائق</w:t>
      </w:r>
      <w:r>
        <w:rPr>
          <w:rStyle w:val="FootnoteAnchor"/>
          <w:rtl w:val="true"/>
        </w:rPr>
        <w:footnoteReference w:id="3381"/>
      </w:r>
      <w:r>
        <w:rPr>
          <w:rFonts w:ascii="Amiri" w:hAnsi="Amiri" w:eastAsia="Amiri" w:cs="Amiri"/>
          <w:color w:val="111111"/>
          <w:sz w:val="28"/>
          <w:sz w:val="28"/>
          <w:szCs w:val="28"/>
          <w:rtl w:val="true"/>
          <w:lang w:bidi="ar-SA"/>
        </w:rPr>
        <w:t xml:space="preserve">، و مثله ما عن كشف اللثام </w:t>
      </w:r>
      <w:bookmarkStart w:id="1069" w:name="pg16144_233789"/>
    </w:p>
    <w:p>
      <w:pPr>
        <w:pStyle w:val="BookText"/>
        <w:rPr/>
      </w:pPr>
      <w:bookmarkEnd w:id="1069"/>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 القاضي</w:t>
      </w:r>
      <w:r>
        <w:rPr>
          <w:rStyle w:val="FootnoteAnchor"/>
          <w:rtl w:val="true"/>
        </w:rPr>
        <w:footnoteReference w:id="3382"/>
      </w:r>
      <w:r>
        <w:rPr>
          <w:rFonts w:ascii="Amiri" w:hAnsi="Amiri" w:eastAsia="Amiri" w:cs="Amiri"/>
          <w:color w:val="111111"/>
          <w:sz w:val="28"/>
          <w:sz w:val="28"/>
          <w:szCs w:val="28"/>
          <w:rtl w:val="true"/>
          <w:lang w:bidi="ar-SA"/>
        </w:rPr>
        <w:t>يعطي نجاسة السؤرين</w:t>
      </w:r>
      <w:r>
        <w:rPr>
          <w:rFonts w:eastAsia="Amiri" w:cs="Amiri" w:ascii="Amiri" w:hAnsi="Amiri"/>
          <w:color w:val="111111"/>
          <w:sz w:val="28"/>
          <w:szCs w:val="28"/>
          <w:rtl w:val="true"/>
          <w:lang w:bidi="ar-SA"/>
        </w:rPr>
        <w:t>»</w:t>
      </w:r>
      <w:r>
        <w:rPr>
          <w:rStyle w:val="FootnoteAnchor"/>
          <w:rtl w:val="true"/>
        </w:rPr>
        <w:footnoteReference w:id="3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السؤر مع سؤر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يصغى إليه، لمخالفته الاصول المعتبرة و الأخبار المصرّحة من جهات عديدة، كيف و لا مستند لشيء من المنع و لا الحكم بالنجاسة إلاّ ما نقل من الاستدلال عليه بالمفهوم المتقدّم في موثّقة عمّار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يتوضّأ من سؤره و يشرب منه</w:t>
      </w:r>
      <w:r>
        <w:rPr>
          <w:rFonts w:eastAsia="Amiri" w:cs="Amiri" w:ascii="Amiri" w:hAnsi="Amiri"/>
          <w:color w:val="111111"/>
          <w:sz w:val="28"/>
          <w:szCs w:val="28"/>
          <w:rtl w:val="true"/>
          <w:lang w:bidi="ar-SA"/>
        </w:rPr>
        <w:t>»</w:t>
      </w:r>
      <w:r>
        <w:rPr>
          <w:rStyle w:val="FootnoteAnchor"/>
          <w:rtl w:val="true"/>
        </w:rPr>
        <w:footnoteReference w:id="3384"/>
      </w:r>
      <w:r>
        <w:rPr>
          <w:rFonts w:ascii="Amiri" w:hAnsi="Amiri" w:eastAsia="Amiri" w:cs="Amiri"/>
          <w:color w:val="111111"/>
          <w:sz w:val="28"/>
          <w:sz w:val="28"/>
          <w:szCs w:val="28"/>
          <w:rtl w:val="true"/>
          <w:lang w:bidi="ar-SA"/>
        </w:rPr>
        <w:t>و قد تبيّن ما فيه من وجوه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شموله لجميع أفراد المقام، لأنّ آكل الجيف قد يكون مأكول اللحم فلا يجري فيه المفهوم، ضرورة امتناع وقوع شيء واحد موردا للمنطوق و المفهوم معا، و لعلّه مبنيّ على حمل آكل الجيف على ثاني المعنيين المتقدّم إليهما الإشارة، و إلاّ فعلى أوّلهما كان في غير محلّه، إذ لم يعهد إلى الآن من أفراد ما يؤكل لحمه ما من شأنه أكل الجيف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يجاب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معلّق على عدم مأكوليّة اللحم و لا مدخل لأكل الجيف فيه، فممّا لا يرجع إلى محصّل، إذ لو اريد به منع جريان الحكم فيما يؤكل لحمه إذا أكل الجيف بالعرض فمرجعه إلى الجواب السابق، و لو اريد به منع جريانه في غير مأكول اللحم إذا أكل الجيف فغير مفيد، لأنّ الحيثيّتين مجتمعتان، بل الحيثيّة الاولى لا تكاد تنفكّ عن الثانية، فالمنع ثابت على أيّ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عن الحدائق</w:t>
      </w:r>
      <w:r>
        <w:rPr>
          <w:rStyle w:val="FootnoteAnchor"/>
          <w:rtl w:val="true"/>
        </w:rPr>
        <w:footnoteReference w:id="3385"/>
      </w:r>
      <w:r>
        <w:rPr>
          <w:rFonts w:ascii="Amiri" w:hAnsi="Amiri" w:eastAsia="Amiri" w:cs="Amiri"/>
          <w:color w:val="111111"/>
          <w:sz w:val="28"/>
          <w:sz w:val="28"/>
          <w:szCs w:val="28"/>
          <w:rtl w:val="true"/>
          <w:lang w:bidi="ar-SA"/>
        </w:rPr>
        <w:t>و تبعه غيره حيث جمع بين الجوابين، إلاّ أن يرجع الثاني إلى منع انطباق الدليل على موضوع البحث و إن كان قد يجامع مورده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805174_1280447820"/>
      <w:bookmarkStart w:id="1071" w:name="_Toc418"/>
      <w:bookmarkEnd w:id="1070"/>
      <w:r>
        <w:rPr>
          <w:rtl w:val="true"/>
        </w:rPr>
        <w:t>المسألة الرابعة</w:t>
      </w:r>
      <w:r>
        <w:rPr>
          <w:rtl w:val="true"/>
        </w:rPr>
        <w:t xml:space="preserve">: </w:t>
      </w:r>
      <w:r>
        <w:rPr>
          <w:rtl w:val="true"/>
        </w:rPr>
        <w:t>بالنظر في بعض ما تقدّم يعلم الحكم في سؤر الجلاّل أيضا،</w:t>
      </w:r>
      <w:bookmarkEnd w:id="1071"/>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ما في كلام غير واحد المتغذّي بعذرة الإنسان محضا إلى أن ينبت عليه لحمه و يشتدّ عظمه، و زاد في المدارك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يسمّى في العرف جلاّلا قبل أن يستبرأ بما يزيل الجلل</w:t>
      </w:r>
      <w:r>
        <w:rPr>
          <w:rFonts w:eastAsia="Amiri" w:cs="Amiri" w:ascii="Amiri" w:hAnsi="Amiri"/>
          <w:color w:val="111111"/>
          <w:sz w:val="28"/>
          <w:szCs w:val="28"/>
          <w:rtl w:val="true"/>
          <w:lang w:bidi="ar-SA"/>
        </w:rPr>
        <w:t>»</w:t>
      </w:r>
      <w:r>
        <w:rPr>
          <w:rStyle w:val="FootnoteAnchor"/>
          <w:rtl w:val="true"/>
        </w:rPr>
        <w:footnoteReference w:id="3386"/>
      </w:r>
      <w:r>
        <w:rPr>
          <w:rFonts w:ascii="Amiri" w:hAnsi="Amiri" w:eastAsia="Amiri" w:cs="Amiri"/>
          <w:color w:val="111111"/>
          <w:sz w:val="28"/>
          <w:sz w:val="28"/>
          <w:szCs w:val="28"/>
          <w:rtl w:val="true"/>
          <w:lang w:bidi="ar-SA"/>
        </w:rPr>
        <w:t>و الظاهر أنّ الأخير قيد يرجع إلى الحكم لا أنّه من قيود الموضوع، و فيه التصريح بدعوى الشهرة على طهارة هذا السؤر</w:t>
      </w:r>
      <w:r>
        <w:rPr>
          <w:rStyle w:val="FootnoteAnchor"/>
          <w:rtl w:val="true"/>
        </w:rPr>
        <w:footnoteReference w:id="3387"/>
      </w:r>
      <w:r>
        <w:rPr>
          <w:rFonts w:ascii="Amiri" w:hAnsi="Amiri" w:eastAsia="Amiri" w:cs="Amiri"/>
          <w:color w:val="111111"/>
          <w:sz w:val="28"/>
          <w:sz w:val="28"/>
          <w:szCs w:val="28"/>
          <w:rtl w:val="true"/>
          <w:lang w:bidi="ar-SA"/>
        </w:rPr>
        <w:t xml:space="preserve">، و لا فرق في ذلك بين كون </w:t>
      </w:r>
    </w:p>
    <w:p>
      <w:pPr>
        <w:pStyle w:val="BookText"/>
        <w:rPr/>
      </w:pPr>
      <w:r>
        <w:rPr>
          <w:rFonts w:ascii="Amiri" w:hAnsi="Amiri" w:eastAsia="Amiri" w:cs="Amiri"/>
          <w:color w:val="111111"/>
          <w:sz w:val="28"/>
          <w:sz w:val="28"/>
          <w:szCs w:val="28"/>
          <w:rtl w:val="true"/>
          <w:lang w:bidi="ar-SA"/>
        </w:rPr>
        <w:t>الحيوان مأكول اللحم فصار جلاّلا أو غير مأكول اللحم من الطيور أو غيرها، و القول بالمنع عن هذا السؤر مع طهارة ذيه كما عرفته عن المرتضى</w:t>
      </w:r>
      <w:r>
        <w:rPr>
          <w:rStyle w:val="FootnoteAnchor"/>
          <w:rtl w:val="true"/>
        </w:rPr>
        <w:footnoteReference w:id="3388"/>
      </w:r>
      <w:r>
        <w:rPr>
          <w:rFonts w:ascii="Amiri" w:hAnsi="Amiri" w:eastAsia="Amiri" w:cs="Amiri"/>
          <w:color w:val="111111"/>
          <w:sz w:val="28"/>
          <w:sz w:val="28"/>
          <w:szCs w:val="28"/>
          <w:rtl w:val="true"/>
          <w:lang w:bidi="ar-SA"/>
        </w:rPr>
        <w:t>كالقول بنجاسته كما عرفت نقله عن القاضي</w:t>
      </w:r>
      <w:r>
        <w:rPr>
          <w:rStyle w:val="FootnoteAnchor"/>
          <w:rtl w:val="true"/>
        </w:rPr>
        <w:footnoteReference w:id="3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 كاشف اللثام </w:t>
      </w:r>
      <w:r>
        <w:rPr>
          <w:rFonts w:eastAsia="Amiri" w:cs="Amiri" w:ascii="Amiri" w:hAnsi="Amiri"/>
          <w:color w:val="111111"/>
          <w:sz w:val="28"/>
          <w:szCs w:val="28"/>
          <w:rtl w:val="true"/>
          <w:lang w:bidi="ar-SA"/>
        </w:rPr>
        <w:t>-</w:t>
      </w:r>
      <w:r>
        <w:rPr>
          <w:rStyle w:val="FootnoteAnchor"/>
          <w:rtl w:val="true"/>
        </w:rPr>
        <w:footnoteReference w:id="3390"/>
      </w:r>
      <w:r>
        <w:rPr>
          <w:rFonts w:ascii="Amiri" w:hAnsi="Amiri" w:eastAsia="Amiri" w:cs="Amiri"/>
          <w:color w:val="111111"/>
          <w:sz w:val="28"/>
          <w:sz w:val="28"/>
          <w:szCs w:val="28"/>
          <w:rtl w:val="true"/>
          <w:lang w:bidi="ar-SA"/>
        </w:rPr>
        <w:t>كالمحكيّ عن الإصباح</w:t>
      </w:r>
      <w:r>
        <w:rPr>
          <w:rStyle w:val="FootnoteAnchor"/>
          <w:rtl w:val="true"/>
        </w:rPr>
        <w:footnoteReference w:id="3391"/>
      </w:r>
      <w:r>
        <w:rPr>
          <w:rFonts w:ascii="Amiri" w:hAnsi="Amiri" w:eastAsia="Amiri" w:cs="Amiri"/>
          <w:color w:val="111111"/>
          <w:sz w:val="28"/>
          <w:sz w:val="28"/>
          <w:szCs w:val="28"/>
          <w:rtl w:val="true"/>
          <w:lang w:bidi="ar-SA"/>
        </w:rPr>
        <w:t>من نجاسة سؤر جلاّل الطيور، ممّا لا يعرف له وجه، كما اعترف به غير واحد و حكي أيضا عن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نقل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رطوبة أفواهها تنشأ من غذاء نجس فيجب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الاستدلال عليه أيضا بما دلّ من الأخبار على نجاسة عرق الجلاّلة، كخبر هشام بن سالم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لحوم الجلاّلات، فإن أصابك من عرقها فاغسل</w:t>
      </w:r>
      <w:r>
        <w:rPr>
          <w:rFonts w:eastAsia="Amiri" w:cs="Amiri" w:ascii="Amiri" w:hAnsi="Amiri"/>
          <w:color w:val="111111"/>
          <w:sz w:val="28"/>
          <w:szCs w:val="28"/>
          <w:rtl w:val="true"/>
          <w:lang w:bidi="ar-SA"/>
        </w:rPr>
        <w:t>»</w:t>
      </w:r>
      <w:r>
        <w:rPr>
          <w:rStyle w:val="FootnoteAnchor"/>
          <w:rtl w:val="true"/>
        </w:rPr>
        <w:footnoteReference w:id="3392"/>
      </w:r>
      <w:r>
        <w:rPr>
          <w:rFonts w:ascii="Amiri" w:hAnsi="Amiri" w:eastAsia="Amiri" w:cs="Amiri"/>
          <w:color w:val="111111"/>
          <w:sz w:val="28"/>
          <w:sz w:val="28"/>
          <w:szCs w:val="28"/>
          <w:rtl w:val="true"/>
          <w:lang w:bidi="ar-SA"/>
        </w:rPr>
        <w:t>بناء على ما في حاشية الوسائل من مصنّفه</w:t>
      </w:r>
      <w:r>
        <w:rPr>
          <w:rStyle w:val="FootnoteAnchor"/>
          <w:rtl w:val="true"/>
        </w:rPr>
        <w:footnoteReference w:id="3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أنّهم أجمعوا على تساوي حكم العرق و السؤر هنا، بل في جميع الأفراد، و الفرق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بملاحظة ما ذكر في الخبر من المنع عن أكل لحوم الجلاّلات أمكن الاستدلال عليه أيضا بأخبار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 من طريقة الشيخ في غير مأكول اللحم</w:t>
      </w:r>
      <w:r>
        <w:rPr>
          <w:rStyle w:val="FootnoteAnchor"/>
          <w:rtl w:val="true"/>
        </w:rPr>
        <w:footnoteReference w:id="3394"/>
      </w:r>
      <w:r>
        <w:rPr>
          <w:rFonts w:ascii="Amiri" w:hAnsi="Amiri" w:eastAsia="Amiri" w:cs="Amiri"/>
          <w:color w:val="111111"/>
          <w:sz w:val="28"/>
          <w:sz w:val="28"/>
          <w:szCs w:val="28"/>
          <w:rtl w:val="true"/>
          <w:lang w:bidi="ar-SA"/>
        </w:rPr>
        <w:t>، بناء على أنّ المراد في مورد المفهوم المذكور ما يعمّ المنع العرضي</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جميع هذه الوجوه ما لا يخفى من الضعف و الاعتساف المخرج عن الإنصاف، فإنّ الاستحالة المغيّرة للعنوان رافعة لحكم النجاسة كما في غير المقام، مع ما فيه من </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غير واحد </w:t>
      </w:r>
      <w:r>
        <w:rPr>
          <w:rFonts w:eastAsia="Amiri" w:cs="Amiri" w:ascii="Amiri" w:hAnsi="Amiri"/>
          <w:color w:val="111111"/>
          <w:sz w:val="28"/>
          <w:szCs w:val="28"/>
          <w:rtl w:val="true"/>
          <w:lang w:bidi="ar-SA"/>
        </w:rPr>
        <w:t>-</w:t>
      </w:r>
      <w:r>
        <w:rPr>
          <w:rStyle w:val="FootnoteAnchor"/>
          <w:rtl w:val="true"/>
        </w:rPr>
        <w:footnoteReference w:id="3395"/>
      </w:r>
      <w:r>
        <w:rPr>
          <w:rFonts w:ascii="Amiri" w:hAnsi="Amiri" w:eastAsia="Amiri" w:cs="Amiri"/>
          <w:color w:val="111111"/>
          <w:sz w:val="28"/>
          <w:sz w:val="28"/>
          <w:szCs w:val="28"/>
          <w:rtl w:val="true"/>
          <w:lang w:bidi="ar-SA"/>
        </w:rPr>
        <w:t>بما لو تغذّى بغير العذرة من النجاسات العينيّة من دم و نحوه، و بما لو تغذّى بالمتنجّس من العذرة، و بما لو تغذّى بها و بغيرها من النجاسات أو غيرها على جهة الانضمام، و بآكل الجيف محضا، و ببصاق شارب الخمر إذا لم يتغيّر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إحداث القول الثالث عن مستند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الاصول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بباطل ما لم يثبت الإجماع على نفيه و بطلانه، و هو غير ثابت بل الثابت خلافه، كيف و قد عرفت نقل الشهرة هنا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المنع الذاتي، فلا يصرف إلى المنع العرضي إلاّ بدليل و ليس، و بالجملة الاصول الموجودة في المقام ممّا لا سبيل إلى رفع اليد عنها، و هذا هو مستند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يستدلّ عليه أيضا بعموم الروايات الحاكمة بطهارة سؤر الطيور و السنّور و الدوابّ و السباع،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تتوضّأ منه و لا تشرب</w:t>
      </w:r>
      <w:r>
        <w:rPr>
          <w:rFonts w:eastAsia="Amiri" w:cs="Amiri" w:ascii="Amiri" w:hAnsi="Amiri"/>
          <w:color w:val="111111"/>
          <w:sz w:val="28"/>
          <w:szCs w:val="28"/>
          <w:rtl w:val="true"/>
          <w:lang w:bidi="ar-SA"/>
        </w:rPr>
        <w:t>»</w:t>
      </w:r>
      <w:r>
        <w:rPr>
          <w:rStyle w:val="FootnoteAnchor"/>
          <w:rtl w:val="true"/>
        </w:rPr>
        <w:footnoteReference w:id="3396"/>
      </w:r>
      <w:r>
        <w:rPr>
          <w:rFonts w:ascii="Amiri" w:hAnsi="Amiri" w:eastAsia="Amiri" w:cs="Amiri"/>
          <w:color w:val="111111"/>
          <w:sz w:val="28"/>
          <w:sz w:val="28"/>
          <w:szCs w:val="28"/>
          <w:rtl w:val="true"/>
          <w:lang w:bidi="ar-SA"/>
        </w:rPr>
        <w:t>المشتملة على العموم اللغوي الّذي قيل فيه إنّه يتناول الأفراد النادرة أيضا، فلا يقدح لو قيل بكون الجلاّل من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البقباق</w:t>
      </w:r>
      <w:r>
        <w:rPr>
          <w:rStyle w:val="FootnoteAnchor"/>
          <w:rtl w:val="true"/>
        </w:rPr>
        <w:footnoteReference w:id="3397"/>
      </w:r>
      <w:r>
        <w:rPr>
          <w:rFonts w:ascii="Amiri" w:hAnsi="Amiri" w:eastAsia="Amiri" w:cs="Amiri"/>
          <w:color w:val="111111"/>
          <w:sz w:val="28"/>
          <w:sz w:val="28"/>
          <w:szCs w:val="28"/>
          <w:rtl w:val="true"/>
          <w:lang w:bidi="ar-SA"/>
        </w:rPr>
        <w:t>و حسنة معاوية بن شريح</w:t>
      </w:r>
      <w:r>
        <w:rPr>
          <w:rStyle w:val="FootnoteAnchor"/>
          <w:rtl w:val="true"/>
        </w:rPr>
        <w:footnoteReference w:id="3398"/>
      </w:r>
      <w:r>
        <w:rPr>
          <w:rFonts w:ascii="IRNazanin" w:hAnsi="IRNazanin" w:eastAsia="IRNazanin"/>
          <w:color w:val="111111"/>
          <w:sz w:val="28"/>
          <w:sz w:val="28"/>
          <w:szCs w:val="28"/>
          <w:rtl w:val="true"/>
          <w:lang w:bidi="fa-IR"/>
        </w:rPr>
        <w:t>المتقدّمتان</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ظنّي أنّ هذا في غير محلّه نظرا إلى أنّ النجاسة المبحوث عنها في تلك المسألة ما يكون عرضيّا ناشئا عن أمر عرضيّ للحيوان المأكول لحمه و غيره، و لعلّ الروايات المذكورة أو أكثرها مسوقة لبيان الطهارة الذاتيّة المنافية للنجاسة الذاتيّة، فلا تنافي النجاسة العرضيّة الناشئة عن الجلل، و العموم اللغوي في الموثّقة لا يجدي إلاّ في تعميم الحكم الأوّل بالقياس إلى جميع أنواع الطيور، فيبقى الحكم الثاني مسكوتا عنه، و لا يمكن إثباته بتوهّم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الأحوال، بعد ملاحظة عدم كونه مسوقا لبيان ما </w:t>
      </w:r>
      <w:bookmarkStart w:id="1072" w:name="pg16144_233792"/>
    </w:p>
    <w:p>
      <w:pPr>
        <w:pStyle w:val="BookText"/>
        <w:rPr/>
      </w:pPr>
      <w:bookmarkEnd w:id="1072"/>
      <w:r>
        <w:rPr>
          <w:rFonts w:ascii="Amiri" w:hAnsi="Amiri" w:eastAsia="Amiri" w:cs="Amiri"/>
          <w:color w:val="111111"/>
          <w:sz w:val="28"/>
          <w:sz w:val="28"/>
          <w:szCs w:val="28"/>
          <w:rtl w:val="true"/>
          <w:lang w:bidi="ar-SA"/>
        </w:rPr>
        <w:t>عدا الطهارة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يستكشف الانسياق لبيان الطهارة على الوجه الأعمّ عن الاستثناء الوارد في الموثّقة لصورة وجود الدم في المنقار، نظرا إلى أنّه إثبات للنجاسة الفعليّة الغير المنافية للطهارة الذاتيّة، فيكون المراد من المستثنى منه إثبات الطهارة الفعليّة الّتي هي أمر زائد على الطهارة الذاتيّة، فحينئذ يبقى المناقشة في الاستدلال بعمومات اخر ممّا ورد في السنّور و الدوابّ و السباع كالصحيحة و الحسنة المتقدّمتين، و غيرهما ممّا سيأتي ذكرها في بحث الهرّة، فإنّ الظاهر المنساق منها كونها لبيان الطهارة الذاتيّة، و ستسمع زيادة بيان في ذلك، فلا ينبغي أخذها مستندة لنفي النجاسة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فرق واضح بين النجاسة الّتي هي من مقتضيات ذات الحيوان و طبعه و النجاسة الطارئة له لعارض، و الكلام في المسائل السابقة نفيا و إثباتا كان راجعا إلى النجاسة المستندة إلى الذات، و في هذه المسألة راجع إلى النجاسة المستندة إلى ما هو خارج عن الذات، فما انتهض دليلا على نفي النجاسة في المقام الأوّل على جهة الاختصاص لا ينبغي أخذه دليلا على نفيها في المقام الثاني، و إن كان ما انتهض دليلا على نفيها في المقام الثاني صالحا لأن يؤخذ دليلا عليه في المقام الأوّل، و الظاهر أنّ الأخبار المشتملة على استثناء صورة وجود النجاسة من قبيل القسم الثاني، بخلاف الأخبار المتضمّنة لنفي البأس عن سؤر الهرّة و الدوابّ و السباع، فإنّها لا تنطبق إلاّ على المقام الأوّل فتكون من قبيل القسم الأوّل</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805176_1280447820"/>
      <w:bookmarkStart w:id="1074" w:name="_Toc419"/>
      <w:bookmarkEnd w:id="1073"/>
      <w:r>
        <w:rPr>
          <w:rtl w:val="true"/>
        </w:rPr>
        <w:t>المسألة الخامسة</w:t>
      </w:r>
      <w:r>
        <w:rPr>
          <w:rtl w:val="true"/>
        </w:rPr>
        <w:t xml:space="preserve">: </w:t>
      </w:r>
      <w:r>
        <w:rPr>
          <w:rtl w:val="true"/>
        </w:rPr>
        <w:t>و الظاهر أنّه لا خلاف عندهم في كراهة سؤر الجلاّل و آكل الجيف،</w:t>
      </w:r>
      <w:bookmarkEnd w:id="1074"/>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نسب القول بالكراهة في كلام غير واحد</w:t>
      </w:r>
      <w:r>
        <w:rPr>
          <w:rStyle w:val="FootnoteAnchor"/>
          <w:rtl w:val="true"/>
        </w:rPr>
        <w:footnoteReference w:id="3399"/>
      </w:r>
      <w:r>
        <w:rPr>
          <w:rFonts w:ascii="Amiri" w:hAnsi="Amiri" w:eastAsia="Amiri" w:cs="Amiri"/>
          <w:color w:val="111111"/>
          <w:sz w:val="28"/>
          <w:sz w:val="28"/>
          <w:szCs w:val="28"/>
          <w:rtl w:val="true"/>
          <w:lang w:bidi="ar-SA"/>
        </w:rPr>
        <w:t>إلى جمهور أصحابنا في كلّ حيوان غير مأكول اللحم عدا السنّور، و لعلّه لا ضير فيه لرواية الوشّاء المتقدّمة</w:t>
      </w:r>
      <w:r>
        <w:rPr>
          <w:rStyle w:val="FootnoteAnchor"/>
          <w:rtl w:val="true"/>
        </w:rPr>
        <w:footnoteReference w:id="3400"/>
      </w:r>
      <w:r>
        <w:rPr>
          <w:rFonts w:ascii="Amiri" w:hAnsi="Amiri" w:eastAsia="Amiri" w:cs="Amiri"/>
          <w:color w:val="111111"/>
          <w:sz w:val="28"/>
          <w:sz w:val="28"/>
          <w:szCs w:val="28"/>
          <w:rtl w:val="true"/>
          <w:lang w:bidi="ar-SA"/>
        </w:rPr>
        <w:t xml:space="preserve">تسامحا في أدلّة السنن، و يمكن الاستناد في ذلك أيضا إلى مستند الكراهة في الأنعام الثلاثة من الخيل و البغال و الحمير من جهة الأولويّة كما لا يخفى؛ و قد شاع في كلامهم التعليل لذلك أيضا بالخروج عن شبهة المنع و التحريم، و ليس على ما ينبغي عند التأمّل، </w:t>
      </w:r>
      <w:bookmarkStart w:id="1075" w:name="pg16144_233793"/>
    </w:p>
    <w:p>
      <w:pPr>
        <w:pStyle w:val="BookText"/>
        <w:rPr/>
      </w:pPr>
      <w:bookmarkEnd w:id="1075"/>
      <w:r>
        <w:rPr>
          <w:rFonts w:ascii="Amiri" w:hAnsi="Amiri" w:eastAsia="Amiri" w:cs="Amiri"/>
          <w:color w:val="111111"/>
          <w:sz w:val="28"/>
          <w:sz w:val="28"/>
          <w:szCs w:val="28"/>
          <w:rtl w:val="true"/>
          <w:lang w:bidi="ar-SA"/>
        </w:rPr>
        <w:t>إذ الخروج عن الشبهة يقتضي المصير إلى ما يلازم الترك و ليس إلاّ الاحتياط، و الكراهة ليست منه و إلاّ كانت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الاكتفاء في قاعدة التسامح بمجرّد 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صدرت عن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حكم المسألة من حيث الكراهة غاية الوضوح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السنّور فمقتضى فتوى غير واحد من الأصحاب مع ملاحظة ما ورد فيها من الأخبار الكثيرة النافية للبأس عن سؤره، الحاكمة عليه بكونه من أهل البيت، الآمرة باستعمال سؤره شربا و وضوءا و غيره مع أنواع التأكيدات انتفاء الكراهة عن سؤره، بل قد يستظهر من الأخبار فضل ذلك السؤر، ففي الصحيح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الهرّة أنّها من أهل البيت و يتوضّأ من سؤرها</w:t>
      </w:r>
      <w:r>
        <w:rPr>
          <w:rFonts w:eastAsia="Amiri" w:cs="Amiri" w:ascii="Amiri" w:hAnsi="Amiri"/>
          <w:color w:val="111111"/>
          <w:sz w:val="28"/>
          <w:szCs w:val="28"/>
          <w:rtl w:val="true"/>
          <w:lang w:bidi="ar-SA"/>
        </w:rPr>
        <w:t>»</w:t>
      </w:r>
      <w:r>
        <w:rPr>
          <w:rStyle w:val="FootnoteAnchor"/>
          <w:rtl w:val="true"/>
        </w:rPr>
        <w:footnoteReference w:id="3401"/>
      </w:r>
      <w:r>
        <w:rPr>
          <w:rFonts w:ascii="Amiri" w:hAnsi="Amiri" w:eastAsia="Amiri" w:cs="Amiri"/>
          <w:color w:val="111111"/>
          <w:sz w:val="28"/>
          <w:sz w:val="28"/>
          <w:szCs w:val="28"/>
          <w:rtl w:val="true"/>
          <w:lang w:bidi="ar-SA"/>
        </w:rPr>
        <w:t xml:space="preserve">و في آخر عن أبي جعفر عليه السّلام قال في كتاب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الهرّ سبع، و لا بأس بسؤره، و إنّي لأستحيي من اللّه أن أدع طعاما لأنّ الهرّ أكل منه</w:t>
      </w:r>
      <w:r>
        <w:rPr>
          <w:rFonts w:eastAsia="Amiri" w:cs="Amiri" w:ascii="Amiri" w:hAnsi="Amiri"/>
          <w:color w:val="111111"/>
          <w:sz w:val="28"/>
          <w:szCs w:val="28"/>
          <w:rtl w:val="true"/>
          <w:lang w:bidi="ar-SA"/>
        </w:rPr>
        <w:t>»</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يشرب من الماء؟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تتوضّأ من فضلها، إنّما هي من السبع</w:t>
      </w:r>
      <w:r>
        <w:rPr>
          <w:rFonts w:eastAsia="Amiri" w:cs="Amiri" w:ascii="Amiri" w:hAnsi="Amiri"/>
          <w:color w:val="111111"/>
          <w:sz w:val="28"/>
          <w:szCs w:val="28"/>
          <w:rtl w:val="true"/>
          <w:lang w:bidi="ar-SA"/>
        </w:rPr>
        <w:t>»</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الصباح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فضل السنّور أن تتوضّأ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هي سبع</w:t>
      </w:r>
      <w:r>
        <w:rPr>
          <w:rFonts w:eastAsia="Amiri" w:cs="Amiri" w:ascii="Amiri" w:hAnsi="Amiri"/>
          <w:color w:val="111111"/>
          <w:sz w:val="28"/>
          <w:szCs w:val="28"/>
          <w:rtl w:val="true"/>
          <w:lang w:bidi="ar-SA"/>
        </w:rPr>
        <w:t>»</w:t>
      </w:r>
      <w:r>
        <w:rPr>
          <w:rStyle w:val="FootnoteAnchor"/>
          <w:rtl w:val="true"/>
        </w:rPr>
        <w:footnoteReference w:id="3404"/>
      </w:r>
      <w:r>
        <w:rPr>
          <w:rFonts w:ascii="Amiri" w:hAnsi="Amiri" w:eastAsia="Amiri" w:cs="Amiri"/>
          <w:color w:val="111111"/>
          <w:sz w:val="28"/>
          <w:sz w:val="28"/>
          <w:szCs w:val="28"/>
          <w:rtl w:val="true"/>
          <w:lang w:bidi="ar-SA"/>
        </w:rPr>
        <w:t>و يستفاد منها مع سابقتيها ما أشرنا إليها من القاعدة الكلّيّة في السباع، و في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أمتنع من طعام طعم منه لسنّور، و لا من شراب شرب منه</w:t>
      </w:r>
      <w:r>
        <w:rPr>
          <w:rFonts w:eastAsia="Amiri" w:cs="Amiri" w:ascii="Amiri" w:hAnsi="Amiri"/>
          <w:color w:val="111111"/>
          <w:sz w:val="28"/>
          <w:szCs w:val="28"/>
          <w:rtl w:val="true"/>
          <w:lang w:bidi="ar-SA"/>
        </w:rPr>
        <w:t>»</w:t>
      </w:r>
      <w:r>
        <w:rPr>
          <w:rStyle w:val="FootnoteAnchor"/>
          <w:rtl w:val="true"/>
        </w:rPr>
        <w:footnoteReference w:id="3405"/>
      </w:r>
      <w:r>
        <w:rPr>
          <w:rFonts w:ascii="Amiri" w:hAnsi="Amiri" w:eastAsia="Amiri" w:cs="Amiri"/>
          <w:color w:val="111111"/>
          <w:sz w:val="28"/>
          <w:sz w:val="28"/>
          <w:szCs w:val="28"/>
          <w:rtl w:val="true"/>
          <w:lang w:bidi="ar-SA"/>
        </w:rPr>
        <w:t xml:space="preserve">و في رواية سماعة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أهل البيت</w:t>
      </w:r>
      <w:r>
        <w:rPr>
          <w:rFonts w:eastAsia="Amiri" w:cs="Amiri" w:ascii="Amiri" w:hAnsi="Amiri"/>
          <w:color w:val="111111"/>
          <w:sz w:val="28"/>
          <w:szCs w:val="28"/>
          <w:rtl w:val="true"/>
          <w:lang w:bidi="ar-SA"/>
        </w:rPr>
        <w:t>»</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6" w:name="__RefHeading___Toc1805178_1280447820"/>
      <w:bookmarkStart w:id="1077" w:name="_Toc420"/>
      <w:bookmarkEnd w:id="1076"/>
      <w:r>
        <w:rPr>
          <w:rtl w:val="true"/>
        </w:rPr>
        <w:t>المسألة السادسة</w:t>
      </w:r>
      <w:r>
        <w:rPr>
          <w:rtl w:val="true"/>
        </w:rPr>
        <w:t xml:space="preserve">: </w:t>
      </w:r>
      <w:r>
        <w:rPr>
          <w:rtl w:val="true"/>
        </w:rPr>
        <w:t>في كلام غير واحد كالمحقّق و العلاّمة و الشهيد تقييد كراهة سؤر الجلاّل آكل الجيف المتضمّنة لطهارته بصورة خلوّ موضع الملاقاة عن عين النجاسة</w:t>
      </w:r>
      <w:r>
        <w:rPr>
          <w:rtl w:val="true"/>
        </w:rPr>
        <w:t>.</w:t>
      </w:r>
      <w:bookmarkEnd w:id="1077"/>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سؤر الجلاّل، و كذا ما أكل الجيف إذا خلا موضع الملاقاة من عين النجاسة</w:t>
      </w:r>
      <w:r>
        <w:rPr>
          <w:rFonts w:eastAsia="Amiri" w:cs="Amiri" w:ascii="Amiri" w:hAnsi="Amiri"/>
          <w:color w:val="111111"/>
          <w:sz w:val="28"/>
          <w:szCs w:val="28"/>
          <w:rtl w:val="true"/>
          <w:lang w:bidi="ar-SA"/>
        </w:rPr>
        <w:t>»</w:t>
      </w:r>
      <w:r>
        <w:rPr>
          <w:rStyle w:val="FootnoteAnchor"/>
          <w:rtl w:val="true"/>
        </w:rPr>
        <w:footnoteReference w:id="3407"/>
      </w:r>
      <w:r>
        <w:rPr>
          <w:rFonts w:ascii="Amiri" w:hAnsi="Amiri" w:eastAsia="Amiri" w:cs="Amiri"/>
          <w:color w:val="111111"/>
          <w:sz w:val="28"/>
          <w:sz w:val="28"/>
          <w:szCs w:val="28"/>
          <w:rtl w:val="true"/>
          <w:lang w:bidi="ar-SA"/>
        </w:rPr>
        <w:t>و في معناه عبارة النافع</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سؤر ما أكل الجيف من الطير إذا خلا موضع الملاقاة من عين النجاسة، و هو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سؤر الهرّة و إن أكلت الميتة ثمّ شربت، قلّ الماء أو كثر، غابت عن العين أو لم تغب</w:t>
      </w:r>
      <w:r>
        <w:rPr>
          <w:rFonts w:eastAsia="Amiri" w:cs="Amiri" w:ascii="Amiri" w:hAnsi="Amiri"/>
          <w:color w:val="111111"/>
          <w:sz w:val="28"/>
          <w:szCs w:val="28"/>
          <w:rtl w:val="true"/>
          <w:lang w:bidi="ar-SA"/>
        </w:rPr>
        <w:t>»</w:t>
      </w:r>
      <w:r>
        <w:rPr>
          <w:rStyle w:val="FootnoteAnchor"/>
          <w:rtl w:val="true"/>
        </w:rPr>
        <w:footnoteReference w:id="3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سؤر الجلاّل و آكل الجيف مع الخلوّ عن النجاسة</w:t>
      </w:r>
      <w:r>
        <w:rPr>
          <w:rFonts w:eastAsia="Amiri" w:cs="Amiri" w:ascii="Amiri" w:hAnsi="Amiri"/>
          <w:color w:val="111111"/>
          <w:sz w:val="28"/>
          <w:szCs w:val="28"/>
          <w:rtl w:val="true"/>
          <w:lang w:bidi="ar-SA"/>
        </w:rPr>
        <w:t>»</w:t>
      </w:r>
      <w:r>
        <w:rPr>
          <w:rStyle w:val="FootnoteAnchor"/>
          <w:rtl w:val="true"/>
        </w:rPr>
        <w:footnoteReference w:id="3410"/>
      </w:r>
      <w:r>
        <w:rPr>
          <w:rFonts w:ascii="Amiri" w:hAnsi="Amiri" w:eastAsia="Amiri" w:cs="Amiri"/>
          <w:color w:val="111111"/>
          <w:sz w:val="28"/>
          <w:sz w:val="28"/>
          <w:szCs w:val="28"/>
          <w:rtl w:val="true"/>
          <w:lang w:bidi="ar-SA"/>
        </w:rPr>
        <w:t>و عن العلاّمة في التذكرة</w:t>
      </w:r>
      <w:r>
        <w:rPr>
          <w:rStyle w:val="FootnoteAnchor"/>
          <w:rtl w:val="true"/>
        </w:rPr>
        <w:footnoteReference w:id="3411"/>
      </w:r>
      <w:r>
        <w:rPr>
          <w:rFonts w:ascii="Amiri" w:hAnsi="Amiri" w:eastAsia="Amiri" w:cs="Amiri"/>
          <w:color w:val="111111"/>
          <w:sz w:val="28"/>
          <w:sz w:val="28"/>
          <w:szCs w:val="28"/>
          <w:rtl w:val="true"/>
          <w:lang w:bidi="ar-SA"/>
        </w:rPr>
        <w:t>و المحقّق في المعتبر</w:t>
      </w:r>
      <w:r>
        <w:rPr>
          <w:rStyle w:val="FootnoteAnchor"/>
          <w:rtl w:val="true"/>
        </w:rPr>
        <w:footnoteReference w:id="3412"/>
      </w:r>
      <w:r>
        <w:rPr>
          <w:rFonts w:ascii="Amiri" w:hAnsi="Amiri" w:eastAsia="Amiri" w:cs="Amiri"/>
          <w:color w:val="111111"/>
          <w:sz w:val="28"/>
          <w:sz w:val="28"/>
          <w:szCs w:val="28"/>
          <w:rtl w:val="true"/>
          <w:lang w:bidi="ar-SA"/>
        </w:rPr>
        <w:t>نظير ما ذكره في الهرّة، و فهم جماعة كصاحبي المدارك و الحدائق و غيرهما من تلك العبارة أنّ المراد بها طهارة الهرّة بمجرّد زوال العين،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به في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 شيء ينبغي التنبيه له، و هو أنّ مقتضى الأخبار المتضمّنة لنفي البأس عن سؤر الهرّة و غيرها من السباع طهارتها بمجرّد زوال العين، لأنّها لا تكاد تنفكّ عن النجاسات خصوصا الهرّة، فإنّ العلم بمباشرتها للنجاسة متحقّق في أكثر الأوقات، و لو لا ذلك للزم صرف اللفظ الظاهر إلى الفرد النادر، بل تأخير البيان عن وقت الحاجة، و أنّه ممتنع عقلا، و بذلك صرّح المصنّف في المعتبر</w:t>
      </w:r>
      <w:r>
        <w:rPr>
          <w:rStyle w:val="FootnoteAnchor"/>
          <w:rtl w:val="true"/>
        </w:rPr>
        <w:footnoteReference w:id="3414"/>
      </w:r>
      <w:r>
        <w:rPr>
          <w:rFonts w:ascii="Amiri" w:hAnsi="Amiri" w:eastAsia="Amiri" w:cs="Amiri"/>
          <w:color w:val="111111"/>
          <w:sz w:val="28"/>
          <w:sz w:val="28"/>
          <w:szCs w:val="28"/>
          <w:rtl w:val="true"/>
          <w:lang w:bidi="ar-SA"/>
        </w:rPr>
        <w:t>و العلاّمة في التذكرة</w:t>
      </w:r>
      <w:r>
        <w:rPr>
          <w:rStyle w:val="FootnoteAnchor"/>
          <w:rtl w:val="true"/>
        </w:rPr>
        <w:footnoteReference w:id="3415"/>
      </w:r>
      <w:r>
        <w:rPr>
          <w:rFonts w:ascii="IRNazanin" w:hAnsi="IRNazanin" w:eastAsia="IRNazanin"/>
          <w:color w:val="111111"/>
          <w:sz w:val="28"/>
          <w:sz w:val="28"/>
          <w:szCs w:val="28"/>
          <w:rtl w:val="true"/>
          <w:lang w:bidi="fa-IR"/>
        </w:rPr>
        <w:t>و المنتهى</w:t>
      </w:r>
      <w:r>
        <w:rPr>
          <w:rStyle w:val="FootnoteAnchor"/>
          <w:rtl w:val="true"/>
        </w:rPr>
        <w:footnoteReference w:id="3416"/>
      </w:r>
      <w:r>
        <w:rPr>
          <w:rFonts w:ascii="Amiri" w:hAnsi="Amiri" w:eastAsia="Amiri" w:cs="Amiri"/>
          <w:color w:val="111111"/>
          <w:sz w:val="28"/>
          <w:sz w:val="28"/>
          <w:szCs w:val="28"/>
          <w:rtl w:val="true"/>
          <w:lang w:bidi="ar-SA"/>
        </w:rPr>
        <w:t>، 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الهرّة لو أكلت ميتة ثمّ شربت من الماء القليل لم ينجّس بذلك، سواء غابت أو لم تغب</w:t>
      </w:r>
      <w:r>
        <w:rPr>
          <w:rFonts w:eastAsia="Amiri" w:cs="Amiri" w:ascii="Amiri" w:hAnsi="Amiri"/>
          <w:color w:val="111111"/>
          <w:sz w:val="28"/>
          <w:szCs w:val="28"/>
          <w:rtl w:val="true"/>
          <w:lang w:bidi="ar-SA"/>
        </w:rPr>
        <w:t>»</w:t>
      </w:r>
      <w:r>
        <w:rPr>
          <w:rStyle w:val="FootnoteAnchor"/>
          <w:rtl w:val="true"/>
        </w:rPr>
        <w:footnoteReference w:id="34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الاستدلال على الطهارة بمجرّد زوال العين موافق لما ذكره العلاّمة في المنتهى، فإنّه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 السيّد المرتضى في العبارة المتقدّمة قال</w:t>
      </w:r>
      <w:r>
        <w:rPr>
          <w:rFonts w:eastAsia="Amiri" w:cs="Amiri" w:ascii="Amiri" w:hAnsi="Amiri"/>
          <w:color w:val="111111"/>
          <w:sz w:val="28"/>
          <w:szCs w:val="28"/>
          <w:rtl w:val="true"/>
          <w:lang w:bidi="ar-SA"/>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من الأحاديث العامّة في استعمال سؤر الطيور و السباع، و هي لا تنفكّ عن تناول ذلك عادة، فلو كان ذلك مانعا لوجب التنصيص عليه، و إلاّ لزم صرف الطهارة</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إلى نادر لا دلالة للفظ السائل</w:t>
      </w:r>
      <w:r>
        <w:rPr>
          <w:rStyle w:val="FootnoteAnchor"/>
          <w:rtl w:val="true"/>
        </w:rPr>
        <w:footnoteReference w:id="3419"/>
      </w:r>
      <w:r>
        <w:rPr>
          <w:rFonts w:ascii="Amiri" w:hAnsi="Amiri" w:eastAsia="Amiri" w:cs="Amiri"/>
          <w:color w:val="111111"/>
          <w:sz w:val="28"/>
          <w:sz w:val="28"/>
          <w:szCs w:val="28"/>
          <w:rtl w:val="true"/>
          <w:lang w:bidi="ar-SA"/>
        </w:rPr>
        <w:t>عليه، و ذلك بعيد و محال من حيث إنّه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الهرّة و غيرها من السباع إنّما هو مباشرة النجاسات من الجيف و غيرها، و ما لم يباشرها منها أصلا ليس إلاّ فردا نادرا، و النصوص قد تضمّنت نفي البأس عن أسئارها فتكون دالّة على طهارتها، فإمّا أن يراد بها بيان الحكم للفرد النادر و هو الّذي لم يباشر النجاسات أصلا، أو للأفراد الغالبة الّتي لا تنفكّ عن مباشرة النجاسات، و لا سبيل إلى الأوّل لانصراف اللفظ المجرّد إلى الغالب، فلو كان المراد به بيان الحكم للفرد النادر لوجب التنصيص عليه بنصب قرينة توجب انفهامه لئلاّ يلزم تأخير البيان عن وقت الحاجة، من حيث إنّ السائل لا دلالة للفظه على إرادة ذلك الفرد بل هو ظاهر في إرادة الغالب، و من الواجب انطباق الواجب عليه حذرا عن المحذور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الإشكال في وجه تقييدهم الطهارة بصورة زوال عين النجاسة عن موضع الملاقاة، نظرا إلى إطلاق النصوص بالقياس إلى تلك الصورة أيضا، و كأنّه نشأ عن غلبة اخرى في مورد الغلبة الاولى، إذ كما أنّ الغالب في الهرّة و غيرها من السباع مباشرة النجاسات، فكذلك الغالب فيما يباشرها وروده على الماء بعد زوال عين النجاسة عن موضع ملاقاة الماء، إذ لا ملازمة بين غلبة مباشرة النجاسة و غلبة ملاقاة الماء مع النجاسة، بل الغالب عند الملاقاة عدم وجود النجاسة، فيكون 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ملاقاة الماء مع وجود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النصوص المنصرفة إلى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اندراج تلك الصورة في قاعدة انفعال القليل بملاقاة النجاسة، فاشتراط الخلوّ عن عين النجاسة عمل بتلك القاعدة حيث لا معارض لها حينئذ لا أنّه مستفاد من النصوص</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القول بأنّ ذلك جمع بين تلك النصوص و أدلّة القاعدة المذكورة، من حيث </w:t>
      </w:r>
    </w:p>
    <w:p>
      <w:pPr>
        <w:pStyle w:val="BookText"/>
        <w:rPr/>
      </w:pPr>
      <w:r>
        <w:rPr>
          <w:rFonts w:ascii="Amiri" w:hAnsi="Amiri" w:eastAsia="Amiri" w:cs="Amiri"/>
          <w:color w:val="111111"/>
          <w:sz w:val="28"/>
          <w:sz w:val="28"/>
          <w:szCs w:val="28"/>
          <w:rtl w:val="true"/>
          <w:lang w:bidi="ar-SA"/>
        </w:rPr>
        <w:t>إنّ بين كلّ مع الآخر عموم من وجه كما يظهر بالتأمّل، لكن في كلّ من الوجهين شيء يظهر للمتأمّل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فللعلاّمة قول آخر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نجس فم الهرّة بسبب كأكل الفأرة و شبهه، ثمّ وقعت في ماء قليل، و نحن نتيقّن نجاسة فمها، فالأقوى النجاسة، لأنّه ماء قليل لاقى نجاسة، و الاحتراز يعسر عن مطلق الولوغ، لا عن الولوغ بعد تيقّن النجاسة، و لو غابت من العين و احتمل ولوغها في كثير أو جار لم ينجّس، لأنّ الإناء معلوم الطهارة، فلا يحكم بنجاسته بالشكّ</w:t>
      </w:r>
      <w:r>
        <w:rPr>
          <w:rFonts w:eastAsia="Amiri" w:cs="Amiri" w:ascii="Amiri" w:hAnsi="Amiri"/>
          <w:color w:val="111111"/>
          <w:sz w:val="28"/>
          <w:szCs w:val="28"/>
          <w:rtl w:val="true"/>
          <w:lang w:bidi="ar-SA"/>
        </w:rPr>
        <w:t>»</w:t>
      </w:r>
      <w:r>
        <w:rPr>
          <w:rStyle w:val="FootnoteAnchor"/>
          <w:rtl w:val="true"/>
        </w:rPr>
        <w:footnoteReference w:id="3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نتيجة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الطهارة بالغيبة مع احتمال الولوغ في الكثير أو الجاري لا بمجرّد زوال عين النجاسة، و في المدارك بعد ما نقل هذا القول عن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مشكل، و قد قطع جمع من المتأخّرين بطهارة الحيوان غير الآدمي بمجرّد زوال العين، و هو حسن، للأصل و عدم ثبوت التعبّد بغسل النجاسة عنه</w:t>
      </w:r>
      <w:r>
        <w:rPr>
          <w:rFonts w:eastAsia="Amiri" w:cs="Amiri" w:ascii="Amiri" w:hAnsi="Amiri"/>
          <w:color w:val="111111"/>
          <w:sz w:val="28"/>
          <w:szCs w:val="28"/>
          <w:rtl w:val="true"/>
          <w:lang w:bidi="ar-SA"/>
        </w:rPr>
        <w:t>»</w:t>
      </w:r>
      <w:r>
        <w:rPr>
          <w:rStyle w:val="FootnoteAnchor"/>
          <w:rtl w:val="true"/>
        </w:rPr>
        <w:footnoteReference w:id="3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أشار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ألحق جملة من المتأخّرين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غير آدمي</w:t>
      </w:r>
      <w:r>
        <w:rPr>
          <w:rFonts w:eastAsia="Amiri" w:cs="Amiri" w:ascii="Amiri" w:hAnsi="Amiri"/>
          <w:color w:val="111111"/>
          <w:sz w:val="28"/>
          <w:szCs w:val="28"/>
          <w:rtl w:val="true"/>
          <w:lang w:bidi="ar-SA"/>
        </w:rPr>
        <w:t>»</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3424"/>
      </w:r>
      <w:r>
        <w:rPr>
          <w:rFonts w:ascii="Amiri" w:hAnsi="Amiri" w:eastAsia="Amiri" w:cs="Amiri"/>
          <w:color w:val="111111"/>
          <w:sz w:val="28"/>
          <w:sz w:val="28"/>
          <w:szCs w:val="28"/>
          <w:rtl w:val="true"/>
          <w:lang w:bidi="ar-SA"/>
        </w:rPr>
        <w:t>أيضا قول بالنجاسة و أصالة البقاء عليها نقله من دون تعيين قائله، ثمّ نقل القول بالطهارة بالغيبة عن نهاية العلاّمة، و التأمّل في العبارة المتقدّمة للنهاية يعطي أنّه لا يريد الحكم بطهارة الهرّة بسبب الغيبة و لو مع الاحتمال المتقدّم، بل مراده الحكم بطهارة الماء الملاقي لها عملا بالأصل فيه الّذي لا يرتفع بالشكّ، و ذلك لا ينافي بقاء الهرّة أيضا على وصف النجاسة و لو بحكم الأصل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مبنى كلامه على عدم تحكيم استصحاب النجاسة على استصحاب طهارة الملاقي، و هو خلاف طريقة الأصحاب الّتي قضت بها أخبار الاستصحاب، و على أيّ حال كان فقد تبيّن أنّ في الحيوانات المباشرة للنجاسات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طهارتها بمجرّد زوال عين النجاسة</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 عملا بأصالة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بالغيبة مع الاحتمال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تمكّن أخذ الطهارة بالغيبة المطلقة أيضا قولا في المسألة و إن لم يكن نقله أحد، و يمكن اعتبار الغيبة توصّلا إلى إبداء الاحتمال المحرز لموضوع الاستصحاب في الماء لا للتوصّل إلى طهارة الحيوان كما هو ظاهر عبارة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لقولهم بالطهارة لمجرّد الزوال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زوال العين موجبا لارتفاع أثرها الحاصل في جسم الحيوان الغير الآدمي، بناء على أنّه كجسم الآدمي تقبل النجاسة، و هي الأثر الحاصل فيه بعروض العين له، فعليه يكون الزوال من جملة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لبروز الطهارة الأصليّة الّتي كانت للحيوان قبل عروض العين له، بناء على أنّه ليس كجسم الآدمي في قبول النجاسة، بل هو قبل عروض العين و حاله باق على وصف الطهارة، غاية الأمر أنّ العين ما دامت موجودة مانعة عن ترتيب أحكام الطهارة على المحلّ، فإذا زالت بقيت الطهارة الموجودة في المحلّ حال وجودها بلا مانع عن ترتيب أحكامها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على أوّل المعنيين رافعة لطهارة المحلّ، و على ثانيهما مانعة عن ترتّب أحكامها عليه، و هذا هو الّذي مال إليه بعض مشايخنا</w:t>
      </w:r>
      <w:r>
        <w:rPr>
          <w:rStyle w:val="FootnoteAnchor"/>
          <w:rtl w:val="true"/>
        </w:rPr>
        <w:footnoteReference w:id="3425"/>
      </w:r>
      <w:r>
        <w:rPr>
          <w:rFonts w:ascii="Amiri" w:hAnsi="Amiri" w:eastAsia="Amiri" w:cs="Amiri"/>
          <w:color w:val="111111"/>
          <w:sz w:val="28"/>
          <w:sz w:val="28"/>
          <w:szCs w:val="28"/>
          <w:rtl w:val="true"/>
          <w:lang w:bidi="ar-SA"/>
        </w:rPr>
        <w:t>، بل في كلامه ما يقضي برجوع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الحيوانات تطهر بزوال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يحكم بتنجيس هذه النجاسات، لأبدان الحيوانات، بل تكون من قبيل البواطن، فلا تنفعل بملاقاة النجاسات، بل إن كانت عين النجاسة موجودة كان الحكم مستند إليها،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إلى ما ذكرنا أشار السيّد مهدي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زوال العين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كذا بواطن الإنسان</w:t>
      </w:r>
      <w:r>
        <w:rPr>
          <w:rFonts w:eastAsia="Amiri" w:cs="Amiri" w:ascii="Amiri" w:hAnsi="Amiri"/>
          <w:color w:val="111111"/>
          <w:sz w:val="28"/>
          <w:szCs w:val="28"/>
          <w:rtl w:val="true"/>
          <w:lang w:bidi="ar-SA"/>
        </w:rPr>
        <w:t>»</w:t>
      </w:r>
      <w:r>
        <w:rPr>
          <w:rStyle w:val="FootnoteAnchor"/>
          <w:rtl w:val="true"/>
        </w:rPr>
        <w:footnoteReference w:id="3426"/>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كون أجسام سائر الحيوانات كسائر المتنجّسات في افتقارها إلى مطهّر خارجي و مزيل شرعي و عدمه خلافا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أنّه لا خلاف بين الأصحاب في أنّ جسم الحيوانات لا يعامل معها معاملة غيرها من كفاية العلم بنجاستها في زمان في وجوب الاجتناب عنها إلى أن يعلم طهارتها بمطهّر غيرها، ليس على ما ينبغي، إلاّ أن يرجع إلى إنكار وجود القول بالنجاسة المطلقة، الّذي مرجعه إلى القول باعتبار مطهّر خارجي حسبما نقله في الحدائق</w:t>
      </w:r>
      <w:r>
        <w:rPr>
          <w:rStyle w:val="FootnoteAnchor"/>
          <w:rtl w:val="true"/>
        </w:rPr>
        <w:footnoteReference w:id="3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فهاهنا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جسم الحيوان قبل العلم بمباشرة النجس، و هذا ممّا لا إشكال لأحد في الحكم عليه بالطهارة عملا 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بعد حصول مطهّر شرعي له، بوروده على الكثير أو الجاري بعد مباشرة النجاسة، و هذا أيضا ممّا لا إشكال لأحد في الحكم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حال وجود النجاسة العينيّة، و هذا أيضا ممّا لا إشكال لأحد في عدم ترتيب أحكام الطهارة عليه، إمّا لوجود الرافع أو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بعد زوال عين النجاسة قبل العلم بحصول المطهّر الخارجي، فهذا هو محلّ الخلاف في أنّه هل يكفي مجرّد ذلك في الحكم عليه بالطهارة، أو يتوقّف على الغيبة، مع احتمال حصول المزيل الشرعي بوروده على كرّ أو جار، أو لا يكفي شيء من ذلك، بل يتوقّف الحكم بالطهارة على حصول المزيل؟</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وفاقا للأكثر هو الأوّل، لكن لا على معنى كون الزوال مطهّرا، بل على معنى كونه من باب ارتفاع المانع، فالطهارة الموجودة بعده هي الطهارة الأصليّة الّتي صادفها المانع في زمان فارتفع ذلك المانع بفرض زوال العين، من غير فرق في ذلك بين الهرّة و غيرها من سائر أنواع الحيوانات، أكلت لحمها أو لا، لكن لا للأخبار النافية للبأس عن سؤرها كما عرفت الاستناد إليها في الجملة عن العلاّمة و صاحب المدارك</w:t>
      </w:r>
      <w:r>
        <w:rPr>
          <w:rStyle w:val="FootnoteAnchor"/>
          <w:rtl w:val="true"/>
        </w:rPr>
        <w:footnoteReference w:id="3428"/>
      </w:r>
      <w:r>
        <w:rPr>
          <w:rFonts w:ascii="Amiri" w:hAnsi="Amiri" w:eastAsia="Amiri" w:cs="Amiri"/>
          <w:color w:val="111111"/>
          <w:sz w:val="28"/>
          <w:sz w:val="28"/>
          <w:szCs w:val="28"/>
          <w:rtl w:val="true"/>
          <w:lang w:bidi="ar-SA"/>
        </w:rPr>
        <w:t xml:space="preserve">، فإنّ جملة من تلك الأخبار قد عرفت سابقا أنّه لا تعلّق لها بمقام البحث، كأخبار الهرّة و الصحيحة مع الحسنة المتقدّمتين فيها و في الدوابّ و السباع، لما عرفت </w:t>
      </w:r>
    </w:p>
    <w:p>
      <w:pPr>
        <w:pStyle w:val="BookText"/>
        <w:rPr/>
      </w:pPr>
      <w:r>
        <w:rPr>
          <w:rFonts w:ascii="Amiri" w:hAnsi="Amiri" w:eastAsia="Amiri" w:cs="Amiri"/>
          <w:color w:val="111111"/>
          <w:sz w:val="28"/>
          <w:sz w:val="28"/>
          <w:szCs w:val="28"/>
          <w:rtl w:val="true"/>
          <w:lang w:bidi="ar-SA"/>
        </w:rPr>
        <w:t>من عدم تعرّض فيها إلاّ لبيان الطهارة الذاتيّة، و لا سيّما الصحيحة و الحسنة، لما فيهما من تعليل المنع عن سؤر الكلب بنجاسته الّتي هي بالقياس إليه ذاتيّة، فيكون الرخصة في سؤر ما عداه من الأنواع المذكورة فيهما لطهارتها الذاتيّة، فلا ينافيها المنع لنجاسة عرضيّة، فلا تعرّض في تلك الأخبار لبيان الطهارة الفعليّة فضلا عن تعرّضها لبيان كيفيّة تلك الطهارة و بيان حال الحيوان بعد زوال عين النجاسة العرضيّة، فالتمسّك بها في هذه المقامات ليس إلاّ من الخرافات الناشئة عن سوء الفهم و قلّة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جملة اخرى من أخبار الباب كما في موثّقة عمّار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ماء يشرب منه باز، أو صقر، أو عقاب،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شيئا في منقاره فلا تتوضّأ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ماء شربت منه الدجاجة،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لا تشرب و لا تتوضّأ منه، و إن لم تعلم أنّ في منقارها قذرا توضّأ و اشرب</w:t>
      </w:r>
      <w:r>
        <w:rPr>
          <w:rFonts w:eastAsia="Amiri" w:cs="Amiri" w:ascii="Amiri" w:hAnsi="Amiri"/>
          <w:color w:val="111111"/>
          <w:sz w:val="28"/>
          <w:szCs w:val="28"/>
          <w:rtl w:val="true"/>
          <w:lang w:bidi="ar-SA"/>
        </w:rPr>
        <w:t>»</w:t>
      </w:r>
      <w:r>
        <w:rPr>
          <w:rStyle w:val="FootnoteAnchor"/>
          <w:rtl w:val="true"/>
        </w:rPr>
        <w:footnoteReference w:id="3429"/>
      </w:r>
      <w:r>
        <w:rPr>
          <w:rFonts w:ascii="Amiri" w:hAnsi="Amiri" w:eastAsia="Amiri" w:cs="Amiri"/>
          <w:color w:val="111111"/>
          <w:sz w:val="28"/>
          <w:sz w:val="28"/>
          <w:szCs w:val="28"/>
          <w:rtl w:val="true"/>
          <w:lang w:bidi="ar-SA"/>
        </w:rPr>
        <w:t xml:space="preserve">و إن كانت متعرّضة لبيان الطهارة الفعليّة بقرينة الاستثناء القاضي بالنجاسة الفعليّة، غير أنّه لا يستفاد منها أيضا ما يتعلّق بالمقام من كفاية زوال عين النجاسة في الحكم على الحيوان بالطهارة و عدمها، لما في المستثنى من الإجمال، حيث لا يعلم أنّه حالة وجود عين النجاسة بخصوصها حتّى يفارق سائر أنواع الحيوان من الإنسان من جهته، أو هي مع ما بعدها إلى أن يعلم بحصول المزيل الشرعي، حتّى يشارك الحيوان الإنسان في أنّه لا يحكم عليه بالطهارة إلاّ إذا لم يعلم بطروّ عين النجاسة، أو علم معه بحصول المزيل، فيكون النظر في تلك الأخبار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الواردة في طهارة ثياب المشركين و أوانيهم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الطهارة</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الواردة في أسآر ما يعلم بطهارته من الحيوانات كالحمام و الدجاجة و غيرها لم يستثن فيها إلاّ صورة وجود النجاسة على جسم الحيوان، و المناسب على تقدير إناطة الحكم بأصالة الطهارة استثناء صورة العلم بتنجيس نفس الجسم، بإطلاقه ليس على ما ينبغي، لما عرفت من أنّ مقتضى الاحتمال الثاني الجاري في تلك الأخبار مساويا للاحتمال الأوّل هو إناطة الحكم في هذه الحيوانات أيضا بأصالة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فقضيّة الإجمال الناشئ عن تساوي الاحتمالين سقوط الاستدلال بتلك الأخبار أيضا على حكم المسألة، بل المستند في الحقيقة في عموم المسألة ممّا اخذ عنوانا في الأخبار و ما لم يؤخذ هو الأصل، فإنّ فتوى الفقهاء بطهارة الحيوان بمجرّد زوال العين مع ملاحظة ما تقدّم من المعنيين في شرح هذه العبارة و مصير بعضهم إلى ثانيهما يوجب الشكّ في عروض صفة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الأثر الحاصل من عين النجس الجسم الحيوان، الملازم لزوال طهارته الأصليّة الموجودة فيه قبل وجود العين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و من البيّن أنّ الأصل عدم عروض ذلك الأثر، كما أنّ الأصل بقاء الطهارة الأصليّة، و لا ينافيه عدم ترتّب آثار الطهارة على الجسم ما دامت العين موجودة عليه، لجواز استناد ذلك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فقد المقتضي، و لا ريب أنّ مجرّد الاحتمال كاف في جريان الأصل و صحّة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قد انقطع بعموم قاعدة تنجيس النجاسات العينيّة لما يلاقيها من الأجسام و غيرها، المستفادة من عمومات النجاسات، ضرورة أنّ القاعدة إذا استفيدت من الدليل دليل بالقياس إلى مورد الأصل رافع لموضوعه، فلا أصل حينئذ، بل الأصل بعد زوال عين النجاسة عن جسم الحيوان يقتضي الحكم عليه بالنجاسة إلى أن يعلم المزيل، و معه كيف يحكم بالطهارة لمجرّد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نمنع ثبوت هذه القاعدة على جهة العموم حتّى بالقياس إلى جسم الحيوان غير الإنسان، فإنّها ليست لفظا عامّا، و لا ثابتة بلفظ عامّ شامل لمثل المقام، بل هي أمر معنوي مستفاد عن الإجماع و الأخبار الجزئيّة الواردة في أبواب النجاسات الآمرة بغسل ما يلاقيها من أنواع المتنجّسات</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ملاحظة 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علم من سيرة قاطبة المسلمين من عدم التزامهم بغسل الحيوانات عند ملاقاتها للنجاسات، بل ملاحظة ما يرد من الحكم بالسفه على من التزم ذلك، يوجب الشكّ في انعقاد هذه القاعدة على جهة العموم، بل التتبّع في النصوص و آثار الأئمّة عليهم السّلام في تفاصيل أحكام النجاسات يعطي عدم انعقاد القاعدة إلاّ في الإنسان، و ما يتعلّق به من الأواني و الثياب، حيث لا يوجد فيها ما يأمر بغسل الحيوانات أيضا مع عموم البلوى بأكثرها، كالآمرة منها بغسل الإنسان و أوانيه و ثيابه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كأنّه إلى ذلك ينظر ما تقدّم عن المدارك</w:t>
      </w:r>
      <w:r>
        <w:rPr>
          <w:rStyle w:val="FootnoteAnchor"/>
          <w:rtl w:val="true"/>
        </w:rPr>
        <w:footnoteReference w:id="3430"/>
      </w:r>
      <w:r>
        <w:rPr>
          <w:rFonts w:ascii="Amiri" w:hAnsi="Amiri" w:eastAsia="Amiri" w:cs="Amiri"/>
          <w:color w:val="111111"/>
          <w:sz w:val="28"/>
          <w:sz w:val="28"/>
          <w:szCs w:val="28"/>
          <w:rtl w:val="true"/>
          <w:lang w:bidi="ar-SA"/>
        </w:rPr>
        <w:t xml:space="preserve">من الاستناد إلى عدم ثبوت التعبّد بغسل النجاسة عنه، لما استحسنه من طهارة الحيوان غير الآدمي بمجرّد زوال العين، كما أنّ الأصل الّذي اعتمد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رجوعه إلى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يوافقه في منع ثبوت التعبّد بالغسل ما نقل عن المعالم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فرضنا عدم دلالة الأخبار على العموم، فلا ريب أنّ الحكم بتوقّف الطهارة في مثلها على التطهير المعهود شرعا منفيّ قطعا، و الواسطة بين ذلك و بين زوال العين يتوقّف على الدليل، و لا دليل</w:t>
      </w:r>
      <w:r>
        <w:rPr>
          <w:rFonts w:eastAsia="Amiri" w:cs="Amiri" w:ascii="Amiri" w:hAnsi="Amiri"/>
          <w:color w:val="111111"/>
          <w:sz w:val="28"/>
          <w:szCs w:val="28"/>
          <w:rtl w:val="true"/>
          <w:lang w:bidi="ar-SA"/>
        </w:rPr>
        <w:t>»</w:t>
      </w:r>
      <w:r>
        <w:rPr>
          <w:rStyle w:val="FootnoteAnchor"/>
          <w:rtl w:val="true"/>
        </w:rPr>
        <w:footnoteReference w:id="3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مراده بالعموم في فرض عدم دلالة الأخبار عليه عموم الحكم بالطهارة لمجرّد زوال العين في سائر الحيوانات، و ما نفاه من الدليل على وجود الواسطة مرجعه إلى إنكار ثبوت القاعدة المشار إليها على جهة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النظر في أخبار النجاسات يقضي بثبوت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تنجّس كلّ ما تلاقيه، و مثلها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متنجّس لا يطهّر إلاّ بالغسل بالماء، بل يكفي في الثانية الاستصحاب، و لو لا هما لثبت الإشكال في كثير من المقامات، ليس على ما ينبغي، فإنّ ثبوت القاعدة الاولى على الإطلاق في حيّز المنع، و معه دعوى عدم ثبوت التعبّد بالغسل و عدم ثبوت الواسطة بين طهارة الحيوانات و بين زوال عين النجاسات عنها متّجهة، كما أنّ التمسّك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مانع عنه من معارض اجتهادي أو فقاهي، فلا يكون الحكم بالطهارة لمجرّد الزوال بالمعنى المتقدّم واردا على خلاف أصل و لا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بذلك ما 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هذا الحكم مخالف لإحدى قواعد اقتضتها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تنجيس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يلاقيها حتّى أجسام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زوال نجاسة المتنجّس و لو كان جسم حيوان بمجرّد زوال عين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المتنجّس و لو كان جسم حيوان لما يلاقيه من المياه و غيرها</w:t>
      </w:r>
      <w:r>
        <w:rPr>
          <w:rFonts w:eastAsia="Amiri" w:cs="Amiri" w:ascii="Amiri" w:hAnsi="Amiri"/>
          <w:color w:val="111111"/>
          <w:sz w:val="28"/>
          <w:szCs w:val="28"/>
          <w:rtl w:val="true"/>
          <w:lang w:bidi="ar-SA"/>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إذا ثبتت في محلّ فهي مستصحبة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نجاسة الشيء حاكم على استصحاب طهارة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الأولى إخراج المقام من القاعدة الثانية</w:t>
      </w:r>
      <w:r>
        <w:rPr>
          <w:rStyle w:val="FootnoteAnchor"/>
          <w:rtl w:val="true"/>
        </w:rPr>
        <w:footnoteReference w:id="3432"/>
      </w:r>
      <w:r>
        <w:rPr>
          <w:rFonts w:ascii="Amiri" w:hAnsi="Amiri" w:eastAsia="Amiri" w:cs="Amiri"/>
          <w:color w:val="111111"/>
          <w:sz w:val="28"/>
          <w:sz w:val="28"/>
          <w:szCs w:val="28"/>
          <w:rtl w:val="true"/>
          <w:lang w:bidi="ar-SA"/>
        </w:rPr>
        <w:t>لأصالة بقاء الأوّلين على عمومهما، و لا يرد ذلك في الثالثة لأنّ مستندها راجع إلى الاستصحاب، فيصلح أخبار الباب للورود عليه بجعل زوال العين من جملة المطهّرات، فلا يلزم من ذلك طرح الاستصحاب كما لا يخفى</w:t>
      </w:r>
      <w:r>
        <w:rPr>
          <w:rFonts w:eastAsia="Amiri" w:cs="Amiri" w:ascii="Amiri" w:hAnsi="Amiri"/>
          <w:color w:val="111111"/>
          <w:sz w:val="28"/>
          <w:szCs w:val="28"/>
          <w:rtl w:val="true"/>
          <w:lang w:bidi="ar-SA"/>
        </w:rPr>
        <w:t>»</w:t>
      </w:r>
      <w:r>
        <w:rPr>
          <w:rStyle w:val="FootnoteAnchor"/>
          <w:rtl w:val="true"/>
        </w:rPr>
        <w:footnoteReference w:id="3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القاعدة الاولى إذا لم تكن متناولة للمقام فالقواعد الاخر كلّها مسلّمة في مجاريها و المقام ليست منها، فلا مخالفة فيه لشيء منها، و أخبار الباب لو صلحت دليلا على المقام لم تكن مخرجة عن شيء من تلك القواعد، و لا مخصّصة لقاعدة انفعال القليل بملاقاة كلّ من النجس 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الوجه في استثناء صورة وجود عين النجاسة، فإنّه في الحقيقة عمل على عموم قاعدة الانفعال، لاستناد الانفعال حينئذ إلى عين النجاسة، فإذا زالت العين خرج المقام من جهة الأصل المذكور عن كونه من موارد تلك القاعدة، إذ لا نجس حينئذ بحكم الفرض و لا متنجّس بحكم الأصل، ثمّ إنّ في بعض فقرات الكلام المذكور أيضا نظرا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بجميع ما ذكر انقدح أنّ الزوال في محلّ الكلام الموجب لطهارة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الجفاف، فيما إذا كانت النجاسة من قبيل الماء و إن أفادت خشونة أو ثخنا لما كانت عليه، فإنّ مرجع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ارتفاع المانع، و هذا يتحقّق مع الجفاف في المائع الخالي عن العين الّتي يبقى بعد الجفاف، كما في الدم و المنيّ، إلاّ أن لا يصدق الزوال عرفا مع ما فرض حدوثه من الخشونة أو الثخونة</w:t>
      </w:r>
      <w:r>
        <w:rPr>
          <w:rFonts w:eastAsia="Amiri" w:cs="Amiri" w:ascii="Amiri" w:hAnsi="Amiri"/>
          <w:color w:val="111111"/>
          <w:sz w:val="28"/>
          <w:szCs w:val="28"/>
          <w:rtl w:val="true"/>
          <w:lang w:bidi="ar-SA"/>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الشهيد في الذكرى من الاعتراض على الشيخ و المحقّق فيما حكى عنهما في مسألة ما لو طارت الذبابة عن النجاسة إلى الثوب أو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عند الشيخ </w:t>
      </w:r>
      <w:bookmarkStart w:id="1078" w:name="pg16144_233803"/>
    </w:p>
    <w:p>
      <w:pPr>
        <w:pStyle w:val="BookText"/>
        <w:rPr/>
      </w:pPr>
      <w:bookmarkEnd w:id="1078"/>
      <w:r>
        <w:rPr>
          <w:rFonts w:ascii="Amiri" w:hAnsi="Amiri" w:eastAsia="Amiri" w:cs="Amiri"/>
          <w:color w:val="111111"/>
          <w:sz w:val="28"/>
          <w:sz w:val="28"/>
          <w:szCs w:val="28"/>
          <w:rtl w:val="true"/>
          <w:lang w:bidi="ar-SA"/>
        </w:rPr>
        <w:t>عفو، و اختاره نجم الدين المحقّق في الفتاوي، لعسر الاحتراز، و لعدم الجزم ببقائها، لجفافها بالهواء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يتمّ في الثوب دون الماء</w:t>
      </w:r>
      <w:r>
        <w:rPr>
          <w:rFonts w:eastAsia="Amiri" w:cs="Amiri" w:ascii="Amiri" w:hAnsi="Amiri"/>
          <w:color w:val="111111"/>
          <w:sz w:val="28"/>
          <w:szCs w:val="28"/>
          <w:rtl w:val="true"/>
          <w:lang w:bidi="ar-SA"/>
        </w:rPr>
        <w:t>»</w:t>
      </w:r>
      <w:r>
        <w:rPr>
          <w:rStyle w:val="FootnoteAnchor"/>
          <w:rtl w:val="true"/>
        </w:rPr>
        <w:footnoteReference w:id="3434"/>
      </w:r>
      <w:r>
        <w:rPr>
          <w:rFonts w:ascii="Amiri" w:hAnsi="Amiri" w:eastAsia="Amiri" w:cs="Amiri"/>
          <w:color w:val="111111"/>
          <w:sz w:val="28"/>
          <w:sz w:val="28"/>
          <w:szCs w:val="28"/>
          <w:rtl w:val="true"/>
          <w:lang w:bidi="ar-SA"/>
        </w:rPr>
        <w:t>، لم يصادف محلّه ما لم يرجع الفرض إلى ما بقى عينه بعد الجفاف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ما ذكر تبيّن الحال في بواطن الإنسان المحكوم عليها بالطهارة بزوال العين، فإنّ الّذي ينبغي أن يراد منه هنا أيضا إنّما هو عدم انفعال الباطن بما لاقته من النجاسة، بل العين ما دامت موجودة فأحكام النجاسة مستندة لها، و إلاّ بقيت الطهارة الأوّليّة بلا مقارنة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ينبغي أن ينزّل ما يقتضيه ظاهر كلماتهم من عدّ زوال العين من المطهّرات في البواطن و الحيوان غير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الغيبة فلا أثر لها في الحيوان غير الإنسان، و أمّا هو فكونها بالنسبة إليه من المطهّرات مطلقا أو بشروط آخر مقرّرة عندهم، فيأتي تحقيق البحث عنه في بحث المطهّرات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ملازمة بين كون زوال العين من المطهّرات و كون الغيبة منها و لو من جهة استلزامها الزوال، لأنّ النسبة بينهما عموم من وجه، فقد يزول العين بدون الغيبة، و قد يغيب مع عدم زوال العين إلى أن حصل معه مباشرة الماء و نحوه ممّا ينفعل، فحينئذ لو غاب بعد مباشرة النجاسة فباشر الماء قبل العلم بزوال العين، فإن كان ذلك مع العلم بعدمه فالمتّجه انفعال ذلك، و إن كان مع الشكّ في تحقّق الزوال و عدمه فالأوجه أيضا الحكم عليه بالانفعال، تحكيما لاستصحاب بقاء العين على استصحاب الطهارة الماء</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805180_1280447820"/>
      <w:bookmarkStart w:id="1080" w:name="_Toc421"/>
      <w:bookmarkEnd w:id="1079"/>
      <w:r>
        <w:rPr>
          <w:rtl w:val="true"/>
        </w:rPr>
        <w:t>المسألة السابعة</w:t>
      </w:r>
      <w:r>
        <w:rPr>
          <w:rtl w:val="true"/>
        </w:rPr>
        <w:t xml:space="preserve">: </w:t>
      </w:r>
      <w:r>
        <w:rPr>
          <w:rtl w:val="true"/>
        </w:rPr>
        <w:t xml:space="preserve">المشهور محصّلا و محكيّا </w:t>
      </w:r>
      <w:r>
        <w:rPr>
          <w:rtl w:val="true"/>
        </w:rPr>
        <w:t xml:space="preserve">- </w:t>
      </w:r>
      <w:r>
        <w:rPr>
          <w:rtl w:val="true"/>
        </w:rPr>
        <w:t xml:space="preserve">كما صرّح به غير واحد </w:t>
      </w:r>
      <w:r>
        <w:rPr>
          <w:rtl w:val="true"/>
        </w:rPr>
        <w:t xml:space="preserve">- </w:t>
      </w:r>
      <w:r>
        <w:rPr>
          <w:rtl w:val="true"/>
        </w:rPr>
        <w:t>كراهة سؤر البغال و الحمير،</w:t>
      </w:r>
      <w:bookmarkEnd w:id="1080"/>
    </w:p>
    <w:p>
      <w:pPr>
        <w:pStyle w:val="BookText"/>
        <w:rPr/>
      </w:pPr>
      <w:r>
        <w:rPr>
          <w:rFonts w:ascii="Amiri" w:hAnsi="Amiri" w:eastAsia="Amiri" w:cs="Amiri"/>
          <w:color w:val="111111"/>
          <w:sz w:val="28"/>
          <w:sz w:val="28"/>
          <w:szCs w:val="28"/>
          <w:rtl w:val="true"/>
          <w:lang w:bidi="ar-SA"/>
        </w:rPr>
        <w:t>كما في الشرائع</w:t>
      </w:r>
      <w:r>
        <w:rPr>
          <w:rStyle w:val="FootnoteAnchor"/>
          <w:rtl w:val="true"/>
        </w:rPr>
        <w:footnoteReference w:id="3435"/>
      </w:r>
      <w:r>
        <w:rPr>
          <w:rFonts w:ascii="Amiri" w:hAnsi="Amiri" w:eastAsia="Amiri" w:cs="Amiri"/>
          <w:color w:val="111111"/>
          <w:sz w:val="28"/>
          <w:sz w:val="28"/>
          <w:szCs w:val="28"/>
          <w:rtl w:val="true"/>
          <w:lang w:bidi="ar-SA"/>
        </w:rPr>
        <w:t>و اللمعة</w:t>
      </w:r>
      <w:r>
        <w:rPr>
          <w:rStyle w:val="FootnoteAnchor"/>
          <w:rtl w:val="true"/>
        </w:rPr>
        <w:footnoteReference w:id="3436"/>
      </w:r>
      <w:r>
        <w:rPr>
          <w:rFonts w:ascii="Amiri" w:hAnsi="Amiri" w:eastAsia="Amiri" w:cs="Amiri"/>
          <w:color w:val="111111"/>
          <w:sz w:val="28"/>
          <w:sz w:val="28"/>
          <w:szCs w:val="28"/>
          <w:rtl w:val="true"/>
          <w:lang w:bidi="ar-SA"/>
        </w:rPr>
        <w:t>و عن التحرير</w:t>
      </w:r>
      <w:r>
        <w:rPr>
          <w:rStyle w:val="FootnoteAnchor"/>
          <w:rtl w:val="true"/>
        </w:rPr>
        <w:footnoteReference w:id="3437"/>
      </w:r>
      <w:r>
        <w:rPr>
          <w:rFonts w:ascii="IRNazanin" w:hAnsi="IRNazanin" w:eastAsia="IRNazanin"/>
          <w:color w:val="111111"/>
          <w:sz w:val="28"/>
          <w:sz w:val="28"/>
          <w:szCs w:val="28"/>
          <w:rtl w:val="true"/>
          <w:lang w:bidi="fa-IR"/>
        </w:rPr>
        <w:t>و الإرشاد</w:t>
      </w:r>
      <w:r>
        <w:rPr>
          <w:rStyle w:val="FootnoteAnchor"/>
          <w:rtl w:val="true"/>
        </w:rPr>
        <w:footnoteReference w:id="3438"/>
      </w:r>
      <w:r>
        <w:rPr>
          <w:rFonts w:ascii="Amiri" w:hAnsi="Amiri" w:eastAsia="Amiri" w:cs="Amiri"/>
          <w:color w:val="111111"/>
          <w:sz w:val="28"/>
          <w:sz w:val="28"/>
          <w:szCs w:val="28"/>
          <w:rtl w:val="true"/>
          <w:lang w:bidi="ar-SA"/>
        </w:rPr>
        <w:t>و الذكرى</w:t>
      </w:r>
      <w:r>
        <w:rPr>
          <w:rStyle w:val="FootnoteAnchor"/>
          <w:rtl w:val="true"/>
        </w:rPr>
        <w:footnoteReference w:id="3439"/>
      </w:r>
      <w:r>
        <w:rPr>
          <w:rFonts w:eastAsia="Times New Roman" w:cs="Times New Roman" w:ascii="Times New Roman" w:hAnsi="Times New Roman"/>
          <w:color w:val="111111"/>
          <w:sz w:val="28"/>
          <w:szCs w:val="28"/>
          <w:rtl w:val="true"/>
          <w:lang w:val="en-US" w:bidi="en-US"/>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البغال و الحمير و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الأحكام</w:t>
      </w:r>
      <w:r>
        <w:rPr>
          <w:rStyle w:val="FootnoteAnchor"/>
          <w:rtl w:val="true"/>
        </w:rPr>
        <w:footnoteReference w:id="3440"/>
      </w:r>
      <w:r>
        <w:rPr>
          <w:rFonts w:ascii="IRNazanin" w:hAnsi="IRNazanin" w:eastAsia="IRNazanin"/>
          <w:color w:val="111111"/>
          <w:sz w:val="28"/>
          <w:sz w:val="28"/>
          <w:szCs w:val="28"/>
          <w:rtl w:val="true"/>
          <w:lang w:bidi="fa-IR"/>
        </w:rPr>
        <w:t xml:space="preserve">و عن المنتهى </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3441"/>
      </w:r>
      <w:r>
        <w:rPr>
          <w:rFonts w:ascii="Amiri" w:hAnsi="Amiri" w:eastAsia="Amiri" w:cs="Amiri"/>
          <w:color w:val="111111"/>
          <w:sz w:val="28"/>
          <w:sz w:val="28"/>
          <w:szCs w:val="28"/>
          <w:rtl w:val="true"/>
          <w:lang w:bidi="ar-SA"/>
        </w:rPr>
        <w:t xml:space="preserve">لكن مع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البغال و الحمير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المقاصد</w:t>
      </w:r>
      <w:r>
        <w:rPr>
          <w:rStyle w:val="FootnoteAnchor"/>
          <w:rtl w:val="true"/>
        </w:rPr>
        <w:footnoteReference w:id="3442"/>
      </w:r>
      <w:r>
        <w:rPr>
          <w:rFonts w:ascii="Amiri" w:hAnsi="Amiri" w:eastAsia="Amiri" w:cs="Amiri"/>
          <w:color w:val="111111"/>
          <w:sz w:val="28"/>
          <w:sz w:val="28"/>
          <w:szCs w:val="28"/>
          <w:rtl w:val="true"/>
          <w:lang w:bidi="ar-SA"/>
        </w:rPr>
        <w:t xml:space="preserve">مصرّحا بعدم كراهة سؤر الوحشيّة، بل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الحمير، و إن أطلقها جماعة كما صرّح به في المدارك</w:t>
      </w:r>
      <w:r>
        <w:rPr>
          <w:rStyle w:val="FootnoteAnchor"/>
          <w:rtl w:val="true"/>
        </w:rPr>
        <w:footnoteReference w:id="3443"/>
      </w:r>
      <w:r>
        <w:rPr>
          <w:rFonts w:ascii="Amiri" w:hAnsi="Amiri" w:eastAsia="Amiri" w:cs="Amiri"/>
          <w:color w:val="111111"/>
          <w:sz w:val="28"/>
          <w:sz w:val="28"/>
          <w:szCs w:val="28"/>
          <w:rtl w:val="true"/>
          <w:lang w:bidi="ar-SA"/>
        </w:rPr>
        <w:t>و نقل التصريح به عن الميسي</w:t>
      </w:r>
      <w:r>
        <w:rPr>
          <w:rStyle w:val="FootnoteAnchor"/>
          <w:rtl w:val="true"/>
        </w:rPr>
        <w:footnoteReference w:id="3444"/>
      </w:r>
      <w:r>
        <w:rPr>
          <w:rFonts w:ascii="Amiri" w:hAnsi="Amiri" w:eastAsia="Amiri" w:cs="Amiri"/>
          <w:color w:val="111111"/>
          <w:sz w:val="28"/>
          <w:sz w:val="28"/>
          <w:szCs w:val="28"/>
          <w:rtl w:val="true"/>
          <w:lang w:bidi="ar-SA"/>
        </w:rPr>
        <w:t>كما عرفته عن الكركي،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الوحشيّة لا كراهة في سؤرها</w:t>
      </w:r>
      <w:r>
        <w:rPr>
          <w:rFonts w:eastAsia="Amiri" w:cs="Amiri" w:ascii="Amiri" w:hAnsi="Amiri"/>
          <w:color w:val="111111"/>
          <w:sz w:val="28"/>
          <w:szCs w:val="28"/>
          <w:rtl w:val="true"/>
          <w:lang w:bidi="ar-SA"/>
        </w:rPr>
        <w:t>»</w:t>
      </w:r>
      <w:r>
        <w:rPr>
          <w:rStyle w:val="FootnoteAnchor"/>
          <w:rtl w:val="true"/>
        </w:rPr>
        <w:footnoteReference w:id="3445"/>
      </w:r>
      <w:r>
        <w:rPr>
          <w:rFonts w:ascii="Amiri" w:hAnsi="Amiri" w:eastAsia="Amiri" w:cs="Amiri"/>
          <w:color w:val="111111"/>
          <w:sz w:val="28"/>
          <w:sz w:val="28"/>
          <w:szCs w:val="28"/>
          <w:rtl w:val="true"/>
          <w:lang w:bidi="ar-SA"/>
        </w:rPr>
        <w:t>كما عرفته عن المقاصد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يعمّم الحكم بالقياس إلى كلّ ما يكره لحمه كما يقتضيه صريح الدروس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 يتبع الحيوان طهارة و نجاسة و كراهة</w:t>
      </w:r>
      <w:r>
        <w:rPr>
          <w:rFonts w:eastAsia="Amiri" w:cs="Amiri" w:ascii="Amiri" w:hAnsi="Amiri"/>
          <w:color w:val="111111"/>
          <w:sz w:val="28"/>
          <w:szCs w:val="28"/>
          <w:rtl w:val="true"/>
          <w:lang w:bidi="ar-SA"/>
        </w:rPr>
        <w:t>»</w:t>
      </w:r>
      <w:r>
        <w:rPr>
          <w:rStyle w:val="FootnoteAnchor"/>
          <w:rtl w:val="true"/>
        </w:rPr>
        <w:footnoteReference w:id="3446"/>
      </w:r>
      <w:r>
        <w:rPr>
          <w:rFonts w:ascii="Amiri" w:hAnsi="Amiri" w:eastAsia="Amiri" w:cs="Amiri"/>
          <w:color w:val="111111"/>
          <w:sz w:val="28"/>
          <w:sz w:val="28"/>
          <w:szCs w:val="28"/>
          <w:rtl w:val="true"/>
          <w:lang w:bidi="ar-SA"/>
        </w:rPr>
        <w:t>و ظاهر تعليلهم في البغال و الحمير كما عن الذكرى</w:t>
      </w:r>
      <w:r>
        <w:rPr>
          <w:rStyle w:val="FootnoteAnchor"/>
          <w:rtl w:val="true"/>
        </w:rPr>
        <w:footnoteReference w:id="3447"/>
      </w:r>
      <w:r>
        <w:rPr>
          <w:rFonts w:ascii="IRNazanin" w:hAnsi="IRNazanin" w:eastAsia="IRNazanin"/>
          <w:color w:val="111111"/>
          <w:sz w:val="28"/>
          <w:sz w:val="28"/>
          <w:szCs w:val="28"/>
          <w:rtl w:val="true"/>
          <w:lang w:bidi="fa-IR"/>
        </w:rPr>
        <w:t>، و جامع المقاصد</w:t>
      </w:r>
      <w:r>
        <w:rPr>
          <w:rStyle w:val="FootnoteAnchor"/>
          <w:rtl w:val="true"/>
        </w:rPr>
        <w:footnoteReference w:id="3448"/>
      </w:r>
      <w:r>
        <w:rPr>
          <w:rFonts w:ascii="Amiri" w:hAnsi="Amiri" w:eastAsia="Amiri" w:cs="Amiri"/>
          <w:color w:val="111111"/>
          <w:sz w:val="28"/>
          <w:sz w:val="28"/>
          <w:szCs w:val="28"/>
          <w:rtl w:val="true"/>
          <w:lang w:bidi="ar-SA"/>
        </w:rPr>
        <w:t>، و الروضة</w:t>
      </w:r>
      <w:r>
        <w:rPr>
          <w:rStyle w:val="FootnoteAnchor"/>
          <w:rtl w:val="true"/>
        </w:rPr>
        <w:footnoteReference w:id="3449"/>
      </w:r>
      <w:r>
        <w:rPr>
          <w:rFonts w:ascii="Amiri" w:hAnsi="Amiri" w:eastAsia="Amiri" w:cs="Amiri"/>
          <w:color w:val="111111"/>
          <w:sz w:val="28"/>
          <w:sz w:val="28"/>
          <w:szCs w:val="28"/>
          <w:rtl w:val="true"/>
          <w:lang w:bidi="ar-SA"/>
        </w:rPr>
        <w:t>،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 لا يخلو عن فضلات الفم، و هي تابعة للّحم، و هو مكروه فكانت مكروهة، فكان السؤر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التعليل كما ترى يستدعي كون الملازمة بين كراهة اللحم و كراهة السؤر من الامور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بيان مستند الحكم، و لو لا الكراهة من الامور الّتي يتسامح فيها و في دليلها أمكن المناقشة فيها هنا، حيث لم يذكر لها مستند إلاّ ما ذكر في التعليل الّذي قد يمنع فيه الكبرى، و هي دعوى التبعيّة في الكراهة، لوجوب كونها عن دليل شرعي، و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جماعة بمفهوم مضمرة سماعة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يروي إلاّ عن الإمام عليه السّلام</w:t>
      </w:r>
      <w:r>
        <w:rPr>
          <w:rFonts w:eastAsia="Amiri" w:cs="Amiri" w:ascii="Amiri" w:hAnsi="Amiri"/>
          <w:color w:val="111111"/>
          <w:sz w:val="28"/>
          <w:szCs w:val="28"/>
          <w:rtl w:val="true"/>
          <w:lang w:bidi="ar-SA"/>
        </w:rPr>
        <w:t>»</w:t>
      </w:r>
      <w:r>
        <w:rPr>
          <w:rStyle w:val="FootnoteAnchor"/>
          <w:rtl w:val="true"/>
        </w:rPr>
        <w:footnoteReference w:id="3450"/>
      </w:r>
      <w:r>
        <w:rPr>
          <w:rFonts w:ascii="Amiri" w:hAnsi="Amiri" w:eastAsia="Amiri" w:cs="Amiri"/>
          <w:color w:val="111111"/>
          <w:sz w:val="28"/>
          <w:sz w:val="28"/>
          <w:szCs w:val="28"/>
          <w:rtl w:val="true"/>
          <w:lang w:bidi="ar-SA"/>
        </w:rPr>
        <w:t>فلا يضرّ إضماره، كما لا يقدح جهالة السند بأبي داود لمكان التسامح في دليل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يشرب سؤر شيء من الدوابّ أو يتوضّأ؟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الإبل و البقر و الغنم فلا بأس</w:t>
      </w:r>
      <w:r>
        <w:rPr>
          <w:rFonts w:eastAsia="Amiri" w:cs="Amiri" w:ascii="Amiri" w:hAnsi="Amiri"/>
          <w:color w:val="111111"/>
          <w:sz w:val="28"/>
          <w:szCs w:val="28"/>
          <w:rtl w:val="true"/>
          <w:lang w:bidi="ar-SA"/>
        </w:rPr>
        <w:t>»</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إثبات المفهوم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باب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لورودها في مقام البيان </w:t>
      </w:r>
    </w:p>
    <w:p>
      <w:pPr>
        <w:pStyle w:val="BookText"/>
        <w:rPr/>
      </w:pPr>
      <w:r>
        <w:rPr>
          <w:rFonts w:ascii="Amiri" w:hAnsi="Amiri" w:eastAsia="Amiri" w:cs="Amiri"/>
          <w:color w:val="111111"/>
          <w:sz w:val="28"/>
          <w:sz w:val="28"/>
          <w:szCs w:val="28"/>
          <w:rtl w:val="true"/>
          <w:lang w:bidi="ar-SA"/>
        </w:rPr>
        <w:t>و التفصيل، و حمل البأس الثابت بالمفهوم هنا على الكراهة، مع أنّه أعمّ من الحرمة كما اعترف به جماعة، جمعا بينها و بين الأخبار النافية للبأس الّتي يأتي إليها الإشارة، نظرا إلى أنّ نفي البأس يراد به الرخصة الغير المنافية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أيضا بالمرسلة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سؤر كلّما لا يؤكل لحمه</w:t>
      </w:r>
      <w:r>
        <w:rPr>
          <w:rFonts w:eastAsia="Amiri" w:cs="Amiri" w:ascii="Amiri" w:hAnsi="Amiri"/>
          <w:color w:val="111111"/>
          <w:sz w:val="28"/>
          <w:szCs w:val="28"/>
          <w:rtl w:val="true"/>
          <w:lang w:bidi="ar-SA"/>
        </w:rPr>
        <w:t>»</w:t>
      </w:r>
      <w:r>
        <w:rPr>
          <w:rStyle w:val="FootnoteAnchor"/>
          <w:rtl w:val="true"/>
        </w:rPr>
        <w:footnoteReference w:id="3452"/>
      </w:r>
      <w:r>
        <w:rPr>
          <w:rFonts w:ascii="Amiri" w:hAnsi="Amiri" w:eastAsia="Amiri" w:cs="Amiri"/>
          <w:color w:val="111111"/>
          <w:sz w:val="28"/>
          <w:sz w:val="28"/>
          <w:szCs w:val="28"/>
          <w:rtl w:val="true"/>
          <w:lang w:bidi="ar-SA"/>
        </w:rPr>
        <w:t xml:space="preserve">بناء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الأعمّ ممّا لا يعتاد أكله و ما لم يخلق لأجل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بخبر ابن مسكان عن الصادق عليه السّلام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بما ولغ فيه الكلب و السنّور، أو شرب منه جمل أو دابّة أو غير ذلك، أ يتوضّأ منه أو يغتسل؟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إلاّ أن تجد غيره فتنزّه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3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قائل هنا بالفصل بين الوضوء و غيره، و لعلّه مبنيّ على أنّ خروج بعض مدلول الخبر عنه لدليل لا يقدح في العمل عليه للبعض الآخر من مدلوله، و إلاّ فلا إشكال في المنع عن سؤر الكلب، كما لا كلام في عدم كراهة سؤر السنّور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يعارض الجميع بصحيحة أبي العبّاس البقباق المتقدّمة</w:t>
      </w:r>
      <w:r>
        <w:rPr>
          <w:rStyle w:val="FootnoteAnchor"/>
          <w:rtl w:val="true"/>
        </w:rPr>
        <w:footnoteReference w:id="3454"/>
      </w:r>
      <w:r>
        <w:rPr>
          <w:rFonts w:ascii="Amiri" w:hAnsi="Amiri" w:eastAsia="Amiri" w:cs="Amiri"/>
          <w:color w:val="111111"/>
          <w:sz w:val="28"/>
          <w:sz w:val="28"/>
          <w:szCs w:val="28"/>
          <w:rtl w:val="true"/>
          <w:lang w:bidi="ar-SA"/>
        </w:rPr>
        <w:t>النافية للبأس عن سؤر البقر و الإبل و الحمار و الخيل و البغال و الوحش و السباع، و رواية معاوية بن شريح</w:t>
      </w:r>
      <w:r>
        <w:rPr>
          <w:rStyle w:val="FootnoteAnchor"/>
          <w:rtl w:val="true"/>
        </w:rPr>
        <w:footnoteReference w:id="3455"/>
      </w:r>
      <w:r>
        <w:rPr>
          <w:rFonts w:ascii="Amiri" w:hAnsi="Amiri" w:eastAsia="Amiri" w:cs="Amiri"/>
          <w:color w:val="111111"/>
          <w:sz w:val="28"/>
          <w:sz w:val="28"/>
          <w:szCs w:val="28"/>
          <w:rtl w:val="true"/>
          <w:lang w:bidi="ar-SA"/>
        </w:rPr>
        <w:t>المرخّصة بكلمة الإيجاب في سؤر السنّور و الشاة و البقرة و البعير و الفرس و البغل و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ظهور شيء من ذلك في المعارضة لما تقدّم، لورود نفي البأس و الإيجاب فيهما في مقابل سؤر الكلب، فيراد بهما مجرّد نفي المنع، و 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يحسن المعارضة بصحيحة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سؤر الدوابّ و الغنم و البقر، أ يتوضّأ منه و يشرب؟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تتوضّأ ممّا يشرب </w:t>
      </w:r>
    </w:p>
    <w:p>
      <w:pPr>
        <w:pStyle w:val="BookText"/>
        <w:rPr/>
      </w:pPr>
      <w:r>
        <w:rPr>
          <w:rFonts w:ascii="Amiri" w:hAnsi="Amiri" w:eastAsia="Amiri" w:cs="Amiri"/>
          <w:color w:val="111111"/>
          <w:sz w:val="28"/>
          <w:sz w:val="28"/>
          <w:szCs w:val="28"/>
          <w:rtl w:val="true"/>
          <w:lang w:bidi="ar-SA"/>
        </w:rPr>
        <w:t>منه ما يؤكل لحمه</w:t>
      </w:r>
      <w:r>
        <w:rPr>
          <w:rStyle w:val="FootnoteAnchor"/>
          <w:rtl w:val="true"/>
        </w:rPr>
        <w:footnoteReference w:id="3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عمّار المتضمّنة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يؤكل لحمه يتوضّأ من سؤره و يشرب</w:t>
      </w:r>
      <w:r>
        <w:rPr>
          <w:rFonts w:eastAsia="Amiri" w:cs="Amiri" w:ascii="Amiri" w:hAnsi="Amiri"/>
          <w:color w:val="111111"/>
          <w:sz w:val="28"/>
          <w:szCs w:val="28"/>
          <w:rtl w:val="true"/>
          <w:lang w:bidi="ar-SA"/>
        </w:rPr>
        <w:t>»</w:t>
      </w:r>
      <w:r>
        <w:rPr>
          <w:rStyle w:val="FootnoteAnchor"/>
          <w:rtl w:val="true"/>
        </w:rPr>
        <w:footnoteReference w:id="3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لأجل هذه الأخبار صار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الكراهة، بل هو صريح الحدائق حيث أنّه بعد ما ذكر هذه الأخبار عقيب ما ذكره من مستند القول بالكراهة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تقديم العمل بهذه الأخبار، لاستفاضتها و صراحتها، و صحّة أكثرها، و ضعف ما عارضتها سندا و دلالة</w:t>
      </w:r>
      <w:r>
        <w:rPr>
          <w:rFonts w:eastAsia="Amiri" w:cs="Amiri" w:ascii="Amiri" w:hAnsi="Amiri"/>
          <w:color w:val="111111"/>
          <w:sz w:val="28"/>
          <w:szCs w:val="28"/>
          <w:rtl w:val="true"/>
          <w:lang w:bidi="ar-SA"/>
        </w:rPr>
        <w:t>»</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ملاحظة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جميع أفراد البأس منها الكراهة، لمكان كونها نكرة في سياق النفي، لا أنّها تفيد نفي العذاب خاصّة، و لعلّه إلى ذلك ينظر ما ادّعاه الحدائق من قوّة هذه الأخبار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صلاحية ذلك لمعارضة ما تقدّم بعد مراعاة قاعدة المسامحة ثمّة، و دعوى ظهور نفي البأس فيما ذكر غير مسموعة، بل الإنصاف بملاحظة الانسباق العرفي أنّها في نظائر المقام ظاهرة في رفع توهّم النجاسة أو الحرمة، فلا يراد منها ما ينافي الكراهة،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إرادة الإذن الغير المنافية لها، و الأمر بالتوضّؤ و الشرب في الخبر الأخير لا يراد منه في نظائر المقام إلاّ الإرشاد إلى انتفاء النجاسة أو غيرها من جهات المنع، مع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سابقه فيما يكون أكل لحمه بعد الجواز الشرعي الغير المنافي للكراهة معتادا و متعارفا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البقر بمفهومه يشمل الجاموس أيضا الّذي يكون لحمه مكروها، فينبغي أن يراد بنفي البأس عن سؤره الوارد في الصحيحة ما لا ينافي الكراهة، فتأمّل، فإنّ ذلك لعلّه مبنيّ على الملازمة المدّعاة بين كراهة لحم الحيوان و كراهة سؤره، و قد سمعت المناقشة فيه</w:t>
      </w:r>
      <w:r>
        <w:rPr>
          <w:rFonts w:eastAsia="Amiri" w:cs="Amiri" w:ascii="Amiri" w:hAnsi="Amiri"/>
          <w:color w:val="111111"/>
          <w:sz w:val="28"/>
          <w:szCs w:val="28"/>
          <w:rtl w:val="true"/>
          <w:lang w:bidi="ar-SA"/>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الغضّ عن جميع ذلك فلعلّ الشهرة الموجودة في المقام بكلا قسميها كافية في إثبات هذا الحكم لقاعدة التسامح، على أنّه لا مخالف في المسألة ظاهرا عدا ما عرفت </w:t>
      </w:r>
      <w:bookmarkStart w:id="1081" w:name="pg16144_233807"/>
    </w:p>
    <w:p>
      <w:pPr>
        <w:pStyle w:val="BookText"/>
        <w:rPr/>
      </w:pPr>
      <w:bookmarkEnd w:id="1081"/>
      <w:r>
        <w:rPr>
          <w:rFonts w:ascii="Amiri" w:hAnsi="Amiri" w:eastAsia="Amiri" w:cs="Amiri"/>
          <w:color w:val="111111"/>
          <w:sz w:val="28"/>
          <w:sz w:val="28"/>
          <w:szCs w:val="28"/>
          <w:rtl w:val="true"/>
          <w:lang w:bidi="ar-SA"/>
        </w:rPr>
        <w:t>نقله عن بعض المتأخّرين، و لعلّ المراد به صاحب الحدائق الّذي سمعت كلامه، المتضمّن لترجيح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ذلك أيضا من المفيد من قدماء أصحابنا لقوله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بأس بالوضوء من فضلة الخيل، و البغال، و الحمير، و الإبل، و البقر، و الغنم، و ما شرب منه سائر الطير إلاّ ما أكل الجيف، فإنّه يكره الوضوء بفضلة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استثناءه يقضي بأن يكون مراده بالبأس المنفيّ ما يعمّ الكراهة، لكون الحكم الثابت في المستثنى هو الكراهة، كما صرّح به في العبارة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تمنع مخالفة المفيد تعويلا على هذه العبارة،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الكراهة في أخبار الأئمّة المعصومين و كلام علمائنا المتقدّمين كان كثير الاستعمال في الحرمة، بل ربّما يدّعي ظهورها فيها، و كونها بما يقابل الحرمة اصطلاح محدث من الفقهاء، فلا ينزّل عليه إطلاقات الأخبار و العلماء الأخيار، فهذه هو الحكم الثابت في المستثنى، لجواز أن يكون المفيد ممّن يمنع عن سؤر أكل الجيف أو ينجّسه كما تقدّم القول به فيما بين الأصحاب، فيكون الحكم المأخوذ في المستثنى المفاد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الحرمة، فلا ينافي الكراهة و لو في بعض ما ذكر من الامور المفصّلة</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805182_1280447820"/>
      <w:bookmarkStart w:id="1083" w:name="_Toc422"/>
      <w:bookmarkEnd w:id="1082"/>
      <w:r>
        <w:rPr>
          <w:rtl w:val="true"/>
        </w:rPr>
        <w:t>المسألة الثامنة</w:t>
      </w:r>
      <w:r>
        <w:rPr>
          <w:rtl w:val="true"/>
        </w:rPr>
        <w:t xml:space="preserve">: </w:t>
      </w:r>
      <w:r>
        <w:rPr>
          <w:rtl w:val="true"/>
        </w:rPr>
        <w:t xml:space="preserve">المعروف من المذهب </w:t>
      </w:r>
      <w:r>
        <w:rPr>
          <w:rtl w:val="true"/>
        </w:rPr>
        <w:t xml:space="preserve">- </w:t>
      </w:r>
      <w:r>
        <w:rPr>
          <w:rtl w:val="true"/>
        </w:rPr>
        <w:t xml:space="preserve">كما حكي </w:t>
      </w:r>
      <w:r>
        <w:rPr>
          <w:rtl w:val="true"/>
        </w:rPr>
        <w:t xml:space="preserve">- </w:t>
      </w:r>
      <w:r>
        <w:rPr>
          <w:rtl w:val="true"/>
        </w:rPr>
        <w:t>كراهة سؤر الفأرة،</w:t>
      </w:r>
      <w:bookmarkEnd w:id="1083"/>
    </w:p>
    <w:p>
      <w:pPr>
        <w:pStyle w:val="BookText"/>
        <w:rPr/>
      </w:pPr>
      <w:r>
        <w:rPr>
          <w:rFonts w:ascii="Amiri" w:hAnsi="Amiri" w:eastAsia="Amiri" w:cs="Amiri"/>
          <w:color w:val="111111"/>
          <w:sz w:val="28"/>
          <w:sz w:val="28"/>
          <w:szCs w:val="28"/>
          <w:rtl w:val="true"/>
          <w:lang w:bidi="ar-SA"/>
        </w:rPr>
        <w:t>و هو مقتضى ما تقدّم من عموم الكراهة فيما لا يؤكل لحمه، فهي تتضمّن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المنع عن هذا السؤر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الإذن فيه على جهة الكراهة دون الندب و الإباحة</w:t>
      </w:r>
      <w:r>
        <w:rPr>
          <w:rFonts w:eastAsia="Amiri" w:cs="Amiri" w:ascii="Amiri" w:hAnsi="Amiri"/>
          <w:color w:val="111111"/>
          <w:sz w:val="28"/>
          <w:szCs w:val="28"/>
          <w:rtl w:val="true"/>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ذكرها في المسائل السابقة من الروايات العامّة أو المطلقة الشاملة لمثل المقام جزما، بل الشهرة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النافية للبأس عنه و الآمرة باستعماله، كالصحيح عن عليّ بن جعفر عن أخيه موسى بن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الفأرة وقعت في جبّ دهن، و اخرجت قبل أن تموت، أ يبيعه من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يدهّن منه</w:t>
      </w:r>
      <w:r>
        <w:rPr>
          <w:rFonts w:eastAsia="Amiri" w:cs="Amiri" w:ascii="Amiri" w:hAnsi="Amiri"/>
          <w:color w:val="111111"/>
          <w:sz w:val="28"/>
          <w:szCs w:val="28"/>
          <w:rtl w:val="true"/>
          <w:lang w:bidi="ar-SA"/>
        </w:rPr>
        <w:t>»</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إسحاق بن عمّار عن أبي عبد اللّه عليه السّلام أنّ أبا جعفر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بسؤر الفأرة إذا شربت من الإناء، أن تشرب منه و تتوضّأ منه</w:t>
      </w:r>
      <w:r>
        <w:rPr>
          <w:rFonts w:eastAsia="Amiri" w:cs="Amiri" w:ascii="Amiri" w:hAnsi="Amiri"/>
          <w:color w:val="111111"/>
          <w:sz w:val="28"/>
          <w:szCs w:val="28"/>
          <w:rtl w:val="true"/>
          <w:lang w:bidi="ar-SA"/>
        </w:rPr>
        <w:t>»</w:t>
      </w:r>
      <w:r>
        <w:rPr>
          <w:rStyle w:val="FootnoteAnchor"/>
          <w:rtl w:val="true"/>
        </w:rPr>
        <w:footnoteReference w:id="3462"/>
      </w:r>
      <w:r>
        <w:rPr>
          <w:rFonts w:ascii="Amiri" w:hAnsi="Amiri" w:eastAsia="Amiri" w:cs="Amiri"/>
          <w:color w:val="111111"/>
          <w:sz w:val="28"/>
          <w:sz w:val="28"/>
          <w:szCs w:val="28"/>
          <w:rtl w:val="true"/>
          <w:lang w:bidi="ar-SA"/>
        </w:rPr>
        <w:t xml:space="preserve">و المرويّ عن الحميري في قرب الاسناد عن جعفر بن محمّد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بسؤر الفأر أن يشرب منه و يتوضّأ</w:t>
      </w:r>
      <w:r>
        <w:rPr>
          <w:rFonts w:eastAsia="Amiri" w:cs="Amiri" w:ascii="Amiri" w:hAnsi="Amiri"/>
          <w:color w:val="111111"/>
          <w:sz w:val="28"/>
          <w:szCs w:val="28"/>
          <w:rtl w:val="true"/>
          <w:lang w:bidi="ar-SA"/>
        </w:rPr>
        <w:t>»</w:t>
      </w:r>
      <w:r>
        <w:rPr>
          <w:rStyle w:val="FootnoteAnchor"/>
          <w:rtl w:val="true"/>
        </w:rPr>
        <w:footnoteReference w:id="3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هارون بن حمزة الغنوي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العقرب، و أشباه ذلك، يقع في الماء فيخرج حيّا، هل يشرب من ذلك الماء و يتوضّأ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يسكب منه ثلاث مرّات، و قليله و كثيره بمنزلة واحدة، ثمّ تشرب منه و يتوضّأ منه، 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السمن أو الزيت، ثمّ تخرج منه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بجميع ذلك يندفع ما عن الشيخ في النهاية في باب أحكام النجاسات</w:t>
      </w:r>
      <w:r>
        <w:rPr>
          <w:rStyle w:val="FootnoteAnchor"/>
          <w:rtl w:val="true"/>
        </w:rPr>
        <w:footnoteReference w:id="3465"/>
      </w:r>
      <w:r>
        <w:rPr>
          <w:rFonts w:ascii="Amiri" w:hAnsi="Amiri" w:eastAsia="Amiri" w:cs="Amiri"/>
          <w:color w:val="111111"/>
          <w:sz w:val="28"/>
          <w:sz w:val="28"/>
          <w:szCs w:val="28"/>
          <w:rtl w:val="true"/>
          <w:lang w:bidi="ar-SA"/>
        </w:rPr>
        <w:t>و كذلك المبسوط في باب تطهير الثياب</w:t>
      </w:r>
      <w:r>
        <w:rPr>
          <w:rStyle w:val="FootnoteAnchor"/>
          <w:rtl w:val="true"/>
        </w:rPr>
        <w:footnoteReference w:id="3466"/>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 الإنسان كلب، أو خنزير، أو ثعلب، أو أرنب، أو فأرة، أو وزغة، و كان رطبا وجب غسل الموضع الّذي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المقنعة</w:t>
      </w:r>
      <w:r>
        <w:rPr>
          <w:rStyle w:val="FootnoteAnchor"/>
          <w:rtl w:val="true"/>
        </w:rPr>
        <w:footnoteReference w:id="3467"/>
      </w:r>
      <w:r>
        <w:rPr>
          <w:rFonts w:ascii="Amiri" w:hAnsi="Amiri" w:eastAsia="Amiri" w:cs="Amiri"/>
          <w:color w:val="111111"/>
          <w:sz w:val="28"/>
          <w:sz w:val="28"/>
          <w:szCs w:val="28"/>
          <w:rtl w:val="true"/>
          <w:lang w:bidi="ar-SA"/>
        </w:rPr>
        <w:t>، بل الفقيه</w:t>
      </w:r>
      <w:r>
        <w:rPr>
          <w:rStyle w:val="FootnoteAnchor"/>
          <w:rtl w:val="true"/>
        </w:rPr>
        <w:footnoteReference w:id="3468"/>
      </w:r>
      <w:r>
        <w:rPr>
          <w:rFonts w:ascii="Amiri" w:hAnsi="Amiri" w:eastAsia="Amiri" w:cs="Amiri"/>
          <w:color w:val="111111"/>
          <w:sz w:val="28"/>
          <w:sz w:val="28"/>
          <w:szCs w:val="28"/>
          <w:rtl w:val="true"/>
          <w:lang w:bidi="ar-SA"/>
        </w:rPr>
        <w:t xml:space="preserve">أيضا، فإنّ ذلك إمّا لنجاستها فالأخبار العامّة و الخاصّة قائمة بخلافها، أو تعبّد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نحن فيه، مع أنّ كلماته الاخر في غير المقام نافية للنجاسة لما حكي عنه في باب المياه من النهاية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الفأرة و الحيّة في الإناء و شربتا منها، ثمّ خرجتا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 و الأفضل ترك استعمالها</w:t>
      </w:r>
      <w:r>
        <w:rPr>
          <w:rFonts w:eastAsia="Amiri" w:cs="Amiri" w:ascii="Amiri" w:hAnsi="Amiri"/>
          <w:color w:val="111111"/>
          <w:sz w:val="28"/>
          <w:szCs w:val="28"/>
          <w:rtl w:val="true"/>
          <w:lang w:bidi="ar-SA"/>
        </w:rPr>
        <w:t>»</w:t>
      </w:r>
      <w:r>
        <w:rPr>
          <w:rStyle w:val="FootnoteAnchor"/>
          <w:rtl w:val="true"/>
        </w:rPr>
        <w:footnoteReference w:id="3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في المبسوط</w:t>
      </w:r>
      <w:r>
        <w:rPr>
          <w:rStyle w:val="FootnoteAnchor"/>
          <w:rtl w:val="true"/>
        </w:rPr>
        <w:footnoteReference w:id="3470"/>
      </w:r>
      <w:r>
        <w:rPr>
          <w:rFonts w:ascii="Amiri" w:hAnsi="Amiri" w:eastAsia="Amiri" w:cs="Amiri"/>
          <w:color w:val="111111"/>
          <w:sz w:val="28"/>
          <w:sz w:val="28"/>
          <w:szCs w:val="28"/>
          <w:rtl w:val="true"/>
          <w:lang w:bidi="ar-SA"/>
        </w:rPr>
        <w:t>في مقام البحث أنّه لا بأس فيما لا يمكن التحرّز منه من حيوان الحضر مثل الهرّة و الفأرة و الحيّة</w:t>
      </w:r>
      <w:r>
        <w:rPr>
          <w:rFonts w:eastAsia="Amiri" w:cs="Amiri" w:ascii="Amiri" w:hAnsi="Amiri"/>
          <w:color w:val="111111"/>
          <w:sz w:val="28"/>
          <w:szCs w:val="28"/>
          <w:rtl w:val="true"/>
          <w:lang w:bidi="ar-SA"/>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عموم القاعدة فيما لا يؤكل لحمه عدا ما </w:t>
      </w:r>
      <w:bookmarkStart w:id="1084" w:name="pg16144_233809"/>
    </w:p>
    <w:p>
      <w:pPr>
        <w:pStyle w:val="BookText"/>
        <w:rPr/>
      </w:pPr>
      <w:bookmarkEnd w:id="1084"/>
      <w:r>
        <w:rPr>
          <w:rFonts w:ascii="Amiri" w:hAnsi="Amiri" w:eastAsia="Amiri" w:cs="Amiri"/>
          <w:color w:val="111111"/>
          <w:sz w:val="28"/>
          <w:sz w:val="28"/>
          <w:szCs w:val="28"/>
          <w:rtl w:val="true"/>
          <w:lang w:bidi="ar-SA"/>
        </w:rPr>
        <w:t>استثنى و هو السنّور، و عموم 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يكره سؤر كلّما لا يؤكل لحمه</w:t>
      </w:r>
      <w:r>
        <w:rPr>
          <w:rFonts w:eastAsia="Amiri" w:cs="Amiri" w:ascii="Amiri" w:hAnsi="Amiri"/>
          <w:color w:val="111111"/>
          <w:sz w:val="28"/>
          <w:szCs w:val="28"/>
          <w:rtl w:val="true"/>
          <w:lang w:bidi="ar-SA"/>
        </w:rPr>
        <w:t>» -</w:t>
      </w:r>
      <w:r>
        <w:rPr>
          <w:rStyle w:val="FootnoteAnchor"/>
          <w:rtl w:val="true"/>
        </w:rPr>
        <w:footnoteReference w:id="3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عن أكل سؤر الفأرة</w:t>
      </w:r>
      <w:r>
        <w:rPr>
          <w:rFonts w:eastAsia="Amiri" w:cs="Amiri" w:ascii="Amiri" w:hAnsi="Amiri"/>
          <w:color w:val="111111"/>
          <w:sz w:val="28"/>
          <w:szCs w:val="28"/>
          <w:rtl w:val="true"/>
          <w:lang w:bidi="ar-SA"/>
        </w:rPr>
        <w:t>»</w:t>
      </w:r>
      <w:r>
        <w:rPr>
          <w:rStyle w:val="FootnoteAnchor"/>
          <w:rtl w:val="true"/>
        </w:rPr>
        <w:footnoteReference w:id="3472"/>
      </w:r>
      <w:r>
        <w:rPr>
          <w:rFonts w:ascii="Amiri" w:hAnsi="Amiri" w:eastAsia="Amiri" w:cs="Amiri"/>
          <w:color w:val="111111"/>
          <w:sz w:val="28"/>
          <w:sz w:val="28"/>
          <w:szCs w:val="28"/>
          <w:rtl w:val="true"/>
          <w:lang w:bidi="ar-SA"/>
        </w:rPr>
        <w:t>، فإنّ حمل النهي هنا مع ظهوره في التحريم على التنزيه طريق جمع بين الأخبار المستفيضة المتقدّمة و بينه، و كذا الكلام بينها و بين صحيحة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و الكلب إذا أكلا من الخبز، أو شمّاه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 ما شمّاه، و يؤكل ما بقي</w:t>
      </w:r>
      <w:r>
        <w:rPr>
          <w:rFonts w:eastAsia="Amiri" w:cs="Amiri" w:ascii="Amiri" w:hAnsi="Amiri"/>
          <w:color w:val="111111"/>
          <w:sz w:val="28"/>
          <w:szCs w:val="28"/>
          <w:rtl w:val="true"/>
          <w:lang w:bidi="ar-SA"/>
        </w:rPr>
        <w:t>»</w:t>
      </w:r>
      <w:r>
        <w:rPr>
          <w:rStyle w:val="FootnoteAnchor"/>
          <w:rtl w:val="true"/>
        </w:rPr>
        <w:footnoteReference w:id="3473"/>
      </w:r>
      <w:r>
        <w:rPr>
          <w:rFonts w:ascii="Amiri" w:hAnsi="Amiri" w:eastAsia="Amiri" w:cs="Amiri"/>
          <w:color w:val="111111"/>
          <w:sz w:val="28"/>
          <w:sz w:val="28"/>
          <w:szCs w:val="28"/>
          <w:rtl w:val="true"/>
          <w:lang w:bidi="ar-SA"/>
        </w:rPr>
        <w:t>و صحيحة الاخرى عن الفأرة الرطبة قد وقعت في الماء فتمشي على الثياب، أ يصلّي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رأيت من أثرها</w:t>
      </w:r>
      <w:r>
        <w:rPr>
          <w:rFonts w:eastAsia="Amiri" w:cs="Amiri" w:ascii="Amiri" w:hAnsi="Amiri"/>
          <w:color w:val="111111"/>
          <w:sz w:val="28"/>
          <w:szCs w:val="28"/>
          <w:rtl w:val="true"/>
          <w:lang w:bidi="ar-SA"/>
        </w:rPr>
        <w:t>»</w:t>
      </w:r>
      <w:r>
        <w:rPr>
          <w:rStyle w:val="FootnoteAnchor"/>
          <w:rtl w:val="true"/>
        </w:rPr>
        <w:footnoteReference w:id="3474"/>
      </w:r>
      <w:r>
        <w:rPr>
          <w:rFonts w:ascii="Amiri" w:hAnsi="Amiri" w:eastAsia="Amiri" w:cs="Amiri"/>
          <w:color w:val="111111"/>
          <w:sz w:val="28"/>
          <w:sz w:val="28"/>
          <w:szCs w:val="28"/>
          <w:rtl w:val="true"/>
          <w:lang w:bidi="ar-SA"/>
        </w:rPr>
        <w:t>بناء على ما نزّل الأمر فيهما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المعتبر و المنتهى</w:t>
      </w:r>
      <w:r>
        <w:rPr>
          <w:rStyle w:val="FootnoteAnchor"/>
          <w:rtl w:val="true"/>
        </w:rPr>
        <w:footnoteReference w:id="3475"/>
      </w:r>
      <w:r>
        <w:rPr>
          <w:rFonts w:ascii="Amiri" w:hAnsi="Amiri" w:eastAsia="Amiri" w:cs="Amiri"/>
          <w:color w:val="111111"/>
          <w:sz w:val="28"/>
          <w:sz w:val="28"/>
          <w:szCs w:val="28"/>
          <w:rtl w:val="true"/>
          <w:lang w:bidi="ar-SA"/>
        </w:rPr>
        <w:t>من أنّه يظهر منهما نفي الكراهة، مع ما قيل</w:t>
      </w:r>
      <w:r>
        <w:rPr>
          <w:rFonts w:eastAsia="Amiri" w:cs="Amiri" w:ascii="Amiri" w:hAnsi="Amiri"/>
          <w:color w:val="111111"/>
          <w:sz w:val="28"/>
          <w:szCs w:val="28"/>
          <w:rtl w:val="true"/>
          <w:lang w:bidi="ar-SA"/>
        </w:rPr>
        <w:t>:</w:t>
      </w:r>
      <w:r>
        <w:rPr>
          <w:rStyle w:val="FootnoteAnchor"/>
          <w:rtl w:val="true"/>
        </w:rPr>
        <w:footnoteReference w:id="3476"/>
      </w:r>
      <w:r>
        <w:rPr>
          <w:rFonts w:ascii="Amiri" w:hAnsi="Amiri" w:eastAsia="Amiri" w:cs="Amiri"/>
          <w:color w:val="111111"/>
          <w:sz w:val="28"/>
          <w:sz w:val="28"/>
          <w:szCs w:val="28"/>
          <w:rtl w:val="true"/>
          <w:lang w:bidi="ar-SA"/>
        </w:rPr>
        <w:t>من أنّ ظاهر كلامهما نفي الرجحان لا نفي المرجوحيّة، ممّا لا يلتفت إليه، و مع الغضّ عن جميع ما ذكر فشهرة الكراهة كافية في المصير إليها</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805184_1280447820"/>
      <w:bookmarkStart w:id="1086" w:name="_Toc423"/>
      <w:bookmarkEnd w:id="1085"/>
      <w:r>
        <w:rPr>
          <w:rtl w:val="true"/>
        </w:rPr>
        <w:t>المسألة التاسعة</w:t>
      </w:r>
      <w:r>
        <w:rPr>
          <w:rtl w:val="true"/>
        </w:rPr>
        <w:t xml:space="preserve">: </w:t>
      </w:r>
      <w:r>
        <w:rPr>
          <w:rtl w:val="true"/>
        </w:rPr>
        <w:t>عن المعتبر أنّه حكي عن الشيخ أنّه قال</w:t>
      </w:r>
      <w:r>
        <w:rPr>
          <w:rtl w:val="true"/>
        </w:rPr>
        <w:t>: «</w:t>
      </w:r>
      <w:r>
        <w:rPr>
          <w:rtl w:val="true"/>
        </w:rPr>
        <w:t>يكره سؤر الدجاج على كلّ حال</w:t>
      </w:r>
      <w:r>
        <w:rPr>
          <w:rtl w:val="true"/>
        </w:rPr>
        <w:t>»</w:t>
      </w:r>
      <w:bookmarkEnd w:id="1086"/>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المعتبر أنّه حكي عن الشيخ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سؤر الدجاج على كلّ حال</w:t>
      </w:r>
      <w:r>
        <w:rPr>
          <w:rFonts w:eastAsia="Amiri" w:cs="Amiri" w:ascii="Amiri" w:hAnsi="Amiri"/>
          <w:color w:val="111111"/>
          <w:sz w:val="28"/>
          <w:szCs w:val="28"/>
          <w:rtl w:val="true"/>
          <w:lang w:bidi="ar-SA"/>
        </w:rPr>
        <w:t>»</w:t>
      </w:r>
      <w:r>
        <w:rPr>
          <w:rStyle w:val="FootnoteAnchor"/>
          <w:rtl w:val="true"/>
        </w:rPr>
        <w:footnoteReference w:id="3477"/>
      </w:r>
    </w:p>
    <w:p>
      <w:pPr>
        <w:pStyle w:val="BookText"/>
        <w:rPr/>
      </w:pPr>
      <w:r>
        <w:rPr>
          <w:rFonts w:ascii="Amiri" w:hAnsi="Amiri" w:eastAsia="Amiri" w:cs="Amiri"/>
          <w:color w:val="111111"/>
          <w:sz w:val="28"/>
          <w:sz w:val="28"/>
          <w:szCs w:val="28"/>
          <w:rtl w:val="true"/>
          <w:lang w:bidi="ar-SA"/>
        </w:rPr>
        <w:t>ثمّ قال بعد الحكاية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حسن إن قصد المهملة،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عن الاغتذاء بالنجاسة</w:t>
      </w:r>
      <w:r>
        <w:rPr>
          <w:rFonts w:eastAsia="Amiri" w:cs="Amiri" w:ascii="Amiri" w:hAnsi="Amiri"/>
          <w:color w:val="111111"/>
          <w:sz w:val="28"/>
          <w:szCs w:val="28"/>
          <w:rtl w:val="true"/>
          <w:lang w:bidi="ar-SA"/>
        </w:rPr>
        <w:t>»</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المعالم</w:t>
      </w:r>
      <w:r>
        <w:rPr>
          <w:rStyle w:val="FootnoteAnchor"/>
          <w:rtl w:val="true"/>
        </w:rPr>
        <w:footnoteReference w:id="3479"/>
      </w:r>
      <w:r>
        <w:rPr>
          <w:rFonts w:ascii="Amiri" w:hAnsi="Amiri" w:eastAsia="Amiri" w:cs="Amiri"/>
          <w:color w:val="111111"/>
          <w:sz w:val="28"/>
          <w:sz w:val="28"/>
          <w:szCs w:val="28"/>
          <w:rtl w:val="true"/>
          <w:lang w:bidi="ar-SA"/>
        </w:rPr>
        <w:t>أيضا أنّه استحسن ما استحسنه المحقّق</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و غيره</w:t>
      </w:r>
      <w:r>
        <w:rPr>
          <w:rStyle w:val="FootnoteAnchor"/>
          <w:rtl w:val="true"/>
        </w:rPr>
        <w:footnoteReference w:id="3480"/>
      </w:r>
      <w:r>
        <w:rPr>
          <w:rFonts w:ascii="Amiri" w:hAnsi="Amiri" w:eastAsia="Amiri" w:cs="Amiri"/>
          <w:color w:val="111111"/>
          <w:sz w:val="28"/>
          <w:sz w:val="28"/>
          <w:szCs w:val="28"/>
          <w:rtl w:val="true"/>
          <w:lang w:bidi="ar-SA"/>
        </w:rPr>
        <w:t xml:space="preserve">إطلاق القول بكراهة هذا السؤر تعليلا بعدم انفكاك منقارها </w:t>
      </w:r>
      <w:bookmarkStart w:id="1087" w:name="pg16144_233810"/>
    </w:p>
    <w:p>
      <w:pPr>
        <w:pStyle w:val="BookText"/>
        <w:rPr/>
      </w:pPr>
      <w:bookmarkEnd w:id="1087"/>
      <w:r>
        <w:rPr>
          <w:rFonts w:ascii="Amiri" w:hAnsi="Amiri" w:eastAsia="Amiri" w:cs="Amiri"/>
          <w:color w:val="111111"/>
          <w:sz w:val="28"/>
          <w:sz w:val="28"/>
          <w:szCs w:val="28"/>
          <w:rtl w:val="true"/>
          <w:lang w:bidi="ar-SA"/>
        </w:rPr>
        <w:t xml:space="preserve">عن النجاسة غالبا، و نحن قد هدمنا في المسائل السابقة بنيان هذا الكلام، و حقّقنا أنّ مجرّد الاغتذاء بالنجاسات لا يقتضي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الملاقاة حال وجود النجاسة في المنقار و نحوه، فيمتنع الاستعمال حينئذ لا أنّه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القول لضعف مستنده ممّا لا ينبغي المصير إليه، كيف و النصوص الواردة عن أمناء الشرع عموما و خصوصا قاضية بخلافه، أ لا تنظر إلى ما تقدّم من العمومات النافية للبأس عن سؤر ما يؤكل لحمه، و خصوص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الحمامة و الدجاجة لا بأس به، و الطير</w:t>
      </w:r>
      <w:r>
        <w:rPr>
          <w:rFonts w:eastAsia="Amiri" w:cs="Amiri" w:ascii="Amiri" w:hAnsi="Amiri"/>
          <w:color w:val="111111"/>
          <w:sz w:val="28"/>
          <w:szCs w:val="28"/>
          <w:rtl w:val="true"/>
          <w:lang w:bidi="ar-SA"/>
        </w:rPr>
        <w:t>»</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عمّار المتقدّمة أنّه سئل عن ماء شربت منه الدجاجة؟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يتوضّأ منه و لم يشرب، و إن لم تعلم أنّ في منقارها قذرا توضّأ منه و اشرب</w:t>
      </w:r>
      <w:r>
        <w:rPr>
          <w:rFonts w:eastAsia="Amiri" w:cs="Amiri" w:ascii="Amiri" w:hAnsi="Amiri"/>
          <w:color w:val="111111"/>
          <w:sz w:val="28"/>
          <w:szCs w:val="28"/>
          <w:rtl w:val="true"/>
          <w:lang w:bidi="ar-SA"/>
        </w:rPr>
        <w:t>»</w:t>
      </w:r>
      <w:r>
        <w:rPr>
          <w:rStyle w:val="FootnoteAnchor"/>
          <w:rtl w:val="true"/>
        </w:rPr>
        <w:footnoteReference w:id="3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التهذيب أنّه ذكر ذلك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يؤكل لحمه فليتوضّأ منه</w:t>
      </w:r>
      <w:r>
        <w:rPr>
          <w:rFonts w:eastAsia="Amiri" w:cs="Amiri" w:ascii="Amiri" w:hAnsi="Amiri"/>
          <w:color w:val="111111"/>
          <w:sz w:val="28"/>
          <w:szCs w:val="28"/>
          <w:rtl w:val="true"/>
          <w:lang w:bidi="ar-SA"/>
        </w:rPr>
        <w:t>»</w:t>
      </w:r>
      <w:r>
        <w:rPr>
          <w:rStyle w:val="FootnoteAnchor"/>
          <w:rtl w:val="true"/>
        </w:rPr>
        <w:footnoteReference w:id="3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بضابطة ما ذكرنا سابقا من أنّ نفي البأس في نظائر المقام لا يفيد إلاّ نفي الحرج من نجاسة أو حرمة، كما أنّ الأمر بالشرب و التوضّؤ لا يفيد إلاّ الإرشاد إلى انتفاء الماهيّة المقتضية للمنع من نجاسة و نحوها، لا يمكن التعويل في نفي الكراهة على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يستند إلى الأصل، مع ضميمة ضعف مستند القول بالكراهة إن كان هو الاعتبار المتقدّم، فتأمّل جدّا</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805186_1280447820"/>
      <w:bookmarkStart w:id="1089" w:name="_Toc424"/>
      <w:bookmarkEnd w:id="1088"/>
      <w:r>
        <w:rPr>
          <w:rtl w:val="true"/>
        </w:rPr>
        <w:t>المسألة العاشرة</w:t>
      </w:r>
      <w:r>
        <w:rPr>
          <w:rtl w:val="true"/>
        </w:rPr>
        <w:t xml:space="preserve">: </w:t>
      </w:r>
      <w:r>
        <w:rPr>
          <w:rtl w:val="true"/>
        </w:rPr>
        <w:t>نصّ المحقّق في الشرائع و الشهيد في الدروس بكراهية سؤر الحيّة،</w:t>
      </w:r>
      <w:bookmarkEnd w:id="1089"/>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المحقّق في الشرائع</w:t>
      </w:r>
      <w:r>
        <w:rPr>
          <w:rStyle w:val="FootnoteAnchor"/>
          <w:rtl w:val="true"/>
        </w:rPr>
        <w:footnoteReference w:id="3484"/>
      </w:r>
      <w:r>
        <w:rPr>
          <w:rFonts w:ascii="Amiri" w:hAnsi="Amiri" w:eastAsia="Amiri" w:cs="Amiri"/>
          <w:color w:val="111111"/>
          <w:sz w:val="28"/>
          <w:sz w:val="28"/>
          <w:szCs w:val="28"/>
          <w:rtl w:val="true"/>
          <w:lang w:bidi="ar-SA"/>
        </w:rPr>
        <w:t>و الشهيد في الدروس</w:t>
      </w:r>
      <w:r>
        <w:rPr>
          <w:rStyle w:val="FootnoteAnchor"/>
          <w:rtl w:val="true"/>
        </w:rPr>
        <w:footnoteReference w:id="3485"/>
      </w:r>
      <w:r>
        <w:rPr>
          <w:rFonts w:ascii="Amiri" w:hAnsi="Amiri" w:eastAsia="Amiri" w:cs="Amiri"/>
          <w:color w:val="111111"/>
          <w:sz w:val="28"/>
          <w:sz w:val="28"/>
          <w:szCs w:val="28"/>
          <w:rtl w:val="true"/>
          <w:lang w:bidi="ar-SA"/>
        </w:rPr>
        <w:t>بكراهية سؤر الحيّة،</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التحرير</w:t>
      </w:r>
      <w:r>
        <w:rPr>
          <w:rStyle w:val="FootnoteAnchor"/>
          <w:rtl w:val="true"/>
        </w:rPr>
        <w:footnoteReference w:id="3486"/>
      </w:r>
      <w:r>
        <w:rPr>
          <w:rFonts w:ascii="IRNazanin" w:hAnsi="IRNazanin" w:eastAsia="IRNazanin"/>
          <w:color w:val="111111"/>
          <w:sz w:val="28"/>
          <w:sz w:val="28"/>
          <w:szCs w:val="28"/>
          <w:rtl w:val="true"/>
          <w:lang w:bidi="fa-IR"/>
        </w:rPr>
        <w:t>، و القواعد</w:t>
      </w:r>
      <w:r>
        <w:rPr>
          <w:rStyle w:val="FootnoteAnchor"/>
          <w:rtl w:val="true"/>
        </w:rPr>
        <w:footnoteReference w:id="3487"/>
      </w:r>
      <w:r>
        <w:rPr>
          <w:rFonts w:ascii="IRNazanin" w:hAnsi="IRNazanin" w:eastAsia="IRNazanin"/>
          <w:color w:val="111111"/>
          <w:sz w:val="28"/>
          <w:sz w:val="28"/>
          <w:szCs w:val="28"/>
          <w:rtl w:val="true"/>
          <w:lang w:bidi="fa-IR"/>
        </w:rPr>
        <w:t>، و الإرشاد</w:t>
      </w:r>
      <w:r>
        <w:rPr>
          <w:rStyle w:val="FootnoteAnchor"/>
          <w:rtl w:val="true"/>
        </w:rPr>
        <w:footnoteReference w:id="3488"/>
      </w:r>
      <w:r>
        <w:rPr>
          <w:rFonts w:ascii="Amiri" w:hAnsi="Amiri" w:eastAsia="Amiri" w:cs="Amiri"/>
          <w:color w:val="111111"/>
          <w:sz w:val="28"/>
          <w:sz w:val="28"/>
          <w:szCs w:val="28"/>
          <w:rtl w:val="true"/>
          <w:lang w:bidi="ar-SA"/>
        </w:rPr>
        <w:t>، و ظاهر الذكرى</w:t>
      </w:r>
      <w:r>
        <w:rPr>
          <w:rStyle w:val="FootnoteAnchor"/>
          <w:rtl w:val="true"/>
        </w:rPr>
        <w:footnoteReference w:id="3489"/>
      </w:r>
      <w:r>
        <w:rPr>
          <w:rFonts w:ascii="Amiri" w:hAnsi="Amiri" w:eastAsia="Amiri" w:cs="Amiri"/>
          <w:color w:val="111111"/>
          <w:sz w:val="28"/>
          <w:sz w:val="28"/>
          <w:szCs w:val="28"/>
          <w:rtl w:val="true"/>
          <w:lang w:bidi="ar-SA"/>
        </w:rPr>
        <w:t>، و عن البيان</w:t>
      </w:r>
      <w:r>
        <w:rPr>
          <w:rStyle w:val="FootnoteAnchor"/>
          <w:rtl w:val="true"/>
        </w:rPr>
        <w:footnoteReference w:id="349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الروض</w:t>
      </w:r>
      <w:r>
        <w:rPr>
          <w:rStyle w:val="FootnoteAnchor"/>
          <w:rtl w:val="true"/>
        </w:rPr>
        <w:footnoteReference w:id="3491"/>
      </w:r>
      <w:r>
        <w:rPr>
          <w:rFonts w:ascii="Amiri" w:hAnsi="Amiri" w:eastAsia="Amiri" w:cs="Amiri"/>
          <w:color w:val="111111"/>
          <w:sz w:val="28"/>
          <w:sz w:val="28"/>
          <w:szCs w:val="28"/>
          <w:rtl w:val="true"/>
          <w:lang w:bidi="ar-SA"/>
        </w:rPr>
        <w:t>أيضا،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بكراهة سؤر الحيّة للشيخ في النهاية و أتباعه</w:t>
      </w:r>
      <w:r>
        <w:rPr>
          <w:rFonts w:eastAsia="Amiri" w:cs="Amiri" w:ascii="Amiri" w:hAnsi="Amiri"/>
          <w:color w:val="111111"/>
          <w:sz w:val="28"/>
          <w:szCs w:val="28"/>
          <w:rtl w:val="true"/>
          <w:lang w:bidi="ar-SA"/>
        </w:rPr>
        <w:t>»</w:t>
      </w:r>
      <w:r>
        <w:rPr>
          <w:rStyle w:val="FootnoteAnchor"/>
          <w:rtl w:val="true"/>
        </w:rPr>
        <w:footnoteReference w:id="3492"/>
      </w:r>
      <w:r>
        <w:rPr>
          <w:rFonts w:ascii="Amiri" w:hAnsi="Amiri" w:eastAsia="Amiri" w:cs="Amiri"/>
          <w:color w:val="111111"/>
          <w:sz w:val="28"/>
          <w:sz w:val="28"/>
          <w:szCs w:val="28"/>
          <w:rtl w:val="true"/>
          <w:lang w:bidi="ar-SA"/>
        </w:rPr>
        <w:t>، لكنّ المنقول من عبارته في النهاية لعلّه ليس صريحا في إرادة الكراهة بالمعنى المصطلح عليه،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الفأرة و الحيّة في الآنية، أو شربتا منها، ثمّ خرجتا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 و الأفضل ترك استعماله على كلّ حال</w:t>
      </w:r>
      <w:r>
        <w:rPr>
          <w:rFonts w:eastAsia="Amiri" w:cs="Amiri" w:ascii="Amiri" w:hAnsi="Amiri"/>
          <w:color w:val="111111"/>
          <w:sz w:val="28"/>
          <w:szCs w:val="28"/>
          <w:rtl w:val="true"/>
          <w:lang w:bidi="ar-SA"/>
        </w:rPr>
        <w:t>»</w:t>
      </w:r>
      <w:r>
        <w:rPr>
          <w:rStyle w:val="FootnoteAnchor"/>
          <w:rtl w:val="true"/>
        </w:rPr>
        <w:footnoteReference w:id="3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التعبير بأفضليّة الاجتناب يقتضي إرادة المرجوحيّة بالإضافة إلى الغير، لا المرجوحيّة الذاتيّة على حدّ ما يراد من الكراهة حيثما تضاف إلى العبارات على بعض الوجوه المذكورة فيها، و لك أن تأخذ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 بناء على بعض الوجوه المتقدّمة من ظهوره لكونه نكرة في سياق النفي في نفي جميع أفراد البأس الّتي منها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ظاهر المعتبر</w:t>
      </w:r>
      <w:r>
        <w:rPr>
          <w:rStyle w:val="FootnoteAnchor"/>
          <w:rtl w:val="true"/>
        </w:rPr>
        <w:footnoteReference w:id="3494"/>
      </w:r>
      <w:r>
        <w:rPr>
          <w:rFonts w:ascii="IRNazanin" w:hAnsi="IRNazanin" w:eastAsia="IRNazanin"/>
          <w:color w:val="111111"/>
          <w:sz w:val="28"/>
          <w:sz w:val="28"/>
          <w:szCs w:val="28"/>
          <w:rtl w:val="true"/>
          <w:lang w:bidi="fa-IR"/>
        </w:rPr>
        <w:t>و المنتهى</w:t>
      </w:r>
      <w:r>
        <w:rPr>
          <w:rStyle w:val="FootnoteAnchor"/>
          <w:rtl w:val="true"/>
        </w:rPr>
        <w:footnoteReference w:id="3495"/>
      </w:r>
      <w:r>
        <w:rPr>
          <w:rFonts w:ascii="Amiri" w:hAnsi="Amiri" w:eastAsia="Amiri" w:cs="Amiri"/>
          <w:color w:val="111111"/>
          <w:sz w:val="28"/>
          <w:sz w:val="28"/>
          <w:szCs w:val="28"/>
          <w:rtl w:val="true"/>
          <w:lang w:bidi="ar-SA"/>
        </w:rPr>
        <w:t>إنكار الكراهة هنا، بل هو صريح المدارك</w:t>
      </w:r>
      <w:r>
        <w:rPr>
          <w:rStyle w:val="FootnoteAnchor"/>
          <w:rtl w:val="true"/>
        </w:rPr>
        <w:footnoteReference w:id="349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انتفاء الكراهة كما اختاره في المعتبر، لصحيحة عليّ ابن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الغطاية، و الحيّة، و الوزغ تقع في الماء فلا تموت؟ أ يتوضّأ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بملاحظة ما مرّ مرارا تقدر على دفع هذا الاستدلال</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العمدة في المقام ملاحظة ما يكون مستندا للقول بالكراهة الّذي صار إليه من الأساطين من عرفتهم، فإنّه مشهور جدّا، حتّى أنّه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 نقل خلاف في الحيّة</w:t>
      </w:r>
      <w:r>
        <w:rPr>
          <w:rFonts w:eastAsia="Amiri" w:cs="Amiri" w:ascii="Amiri" w:hAnsi="Amiri"/>
          <w:color w:val="111111"/>
          <w:sz w:val="28"/>
          <w:szCs w:val="28"/>
          <w:rtl w:val="true"/>
          <w:lang w:bidi="ar-SA"/>
        </w:rPr>
        <w:t>»</w:t>
      </w:r>
      <w:r>
        <w:rPr>
          <w:rStyle w:val="FootnoteAnchor"/>
          <w:rtl w:val="true"/>
        </w:rPr>
        <w:footnoteReference w:id="3498"/>
      </w:r>
      <w:r>
        <w:rPr>
          <w:rFonts w:ascii="Amiri" w:hAnsi="Amiri" w:eastAsia="Amiri" w:cs="Amiri"/>
          <w:color w:val="111111"/>
          <w:sz w:val="28"/>
          <w:sz w:val="28"/>
          <w:szCs w:val="28"/>
          <w:rtl w:val="true"/>
          <w:lang w:bidi="ar-SA"/>
        </w:rPr>
        <w:t>فلك أن تعتمد على ما تقدّم من عموم مرسلة وشّاء</w:t>
      </w:r>
      <w:r>
        <w:rPr>
          <w:rStyle w:val="FootnoteAnchor"/>
          <w:rtl w:val="true"/>
        </w:rPr>
        <w:footnoteReference w:id="3499"/>
      </w:r>
      <w:r>
        <w:rPr>
          <w:rFonts w:ascii="Amiri" w:hAnsi="Amiri" w:eastAsia="Amiri" w:cs="Amiri"/>
          <w:color w:val="111111"/>
          <w:sz w:val="28"/>
          <w:sz w:val="28"/>
          <w:szCs w:val="28"/>
          <w:rtl w:val="true"/>
          <w:lang w:bidi="ar-SA"/>
        </w:rPr>
        <w:t>، بناء على أنّ الحكم ممّا يتسامح فيه، و على 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حيّة دخلت حبّا فيه ماء، و خرجت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ماء غيره فليهرقه</w:t>
      </w:r>
      <w:r>
        <w:rPr>
          <w:rFonts w:eastAsia="Amiri" w:cs="Amiri" w:ascii="Amiri" w:hAnsi="Amiri"/>
          <w:color w:val="111111"/>
          <w:sz w:val="28"/>
          <w:szCs w:val="28"/>
          <w:rtl w:val="true"/>
          <w:lang w:bidi="ar-SA"/>
        </w:rPr>
        <w:t>»</w:t>
      </w:r>
      <w:r>
        <w:rPr>
          <w:rStyle w:val="FootnoteAnchor"/>
          <w:rtl w:val="true"/>
        </w:rPr>
        <w:footnoteReference w:id="3500"/>
      </w:r>
      <w:r>
        <w:rPr>
          <w:rFonts w:ascii="Amiri" w:hAnsi="Amiri" w:eastAsia="Amiri" w:cs="Amiri"/>
          <w:color w:val="111111"/>
          <w:sz w:val="28"/>
          <w:sz w:val="28"/>
          <w:szCs w:val="28"/>
          <w:rtl w:val="true"/>
          <w:lang w:bidi="ar-SA"/>
        </w:rPr>
        <w:t xml:space="preserve">بناء على حمل الأمر بالإهراق على إرادة الندب، لعدم قائل فيه بالوجوب، أو على كونه مبالغة </w:t>
      </w:r>
      <w:bookmarkStart w:id="1090" w:name="pg16144_233812"/>
    </w:p>
    <w:p>
      <w:pPr>
        <w:pStyle w:val="BookText"/>
        <w:rPr/>
      </w:pPr>
      <w:bookmarkEnd w:id="1090"/>
      <w:r>
        <w:rPr>
          <w:rFonts w:ascii="Amiri" w:hAnsi="Amiri" w:eastAsia="Amiri" w:cs="Amiri"/>
          <w:color w:val="111111"/>
          <w:sz w:val="28"/>
          <w:sz w:val="28"/>
          <w:szCs w:val="28"/>
          <w:rtl w:val="true"/>
          <w:lang w:bidi="ar-SA"/>
        </w:rPr>
        <w:t>الكراهة، و إلاّ فلا فائدة في الإهراق نفسه، لجواز الانتفاع بهذا الماء في غير جهة الشرب و التطهير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المنع تحريما، و إنّما علّق على وجدان ماء غيره لأنّه لا تكليف مع الانحصار، كما هو لازم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مبالغة في الكراهة، إذ لا كراهة مع الانحصار، لأنّ احتمال التحريم إن كان لمجرّد التعبّد ينفيه الاتّفاق على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احتمال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في كلام من منع من سؤر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مانع عن سؤر ما لا يؤكل لحمه إلاّ الشيخ</w:t>
      </w:r>
      <w:r>
        <w:rPr>
          <w:rStyle w:val="FootnoteAnchor"/>
          <w:rtl w:val="true"/>
        </w:rPr>
        <w:footnoteReference w:id="3501"/>
      </w:r>
      <w:r>
        <w:rPr>
          <w:rFonts w:ascii="Amiri" w:hAnsi="Amiri" w:eastAsia="Amiri" w:cs="Amiri"/>
          <w:color w:val="111111"/>
          <w:sz w:val="28"/>
          <w:sz w:val="28"/>
          <w:szCs w:val="28"/>
          <w:rtl w:val="true"/>
          <w:lang w:bidi="ar-SA"/>
        </w:rPr>
        <w:t>، و قد صرّح هنا بنفي البأس، و الحلّي في السرائر</w:t>
      </w:r>
      <w:r>
        <w:rPr>
          <w:rStyle w:val="FootnoteAnchor"/>
          <w:rtl w:val="true"/>
        </w:rPr>
        <w:footnoteReference w:id="3502"/>
      </w:r>
      <w:r>
        <w:rPr>
          <w:rFonts w:ascii="Amiri" w:hAnsi="Amiri" w:eastAsia="Amiri" w:cs="Amiri"/>
          <w:color w:val="111111"/>
          <w:sz w:val="28"/>
          <w:sz w:val="28"/>
          <w:szCs w:val="28"/>
          <w:rtl w:val="true"/>
          <w:lang w:bidi="ar-SA"/>
        </w:rPr>
        <w:t>، و قد عرفت سابقا أنّه أدرج المقام فيما لا يمكن التحرّز عنه، و إن كان لأمر يرجع إلى الطبّ، و هو تأثير السمّية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التأثير إن كان محقّقا لا محالة فهو يقضي بالمنع مطلقا،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يمكن أن يؤخذ الرواية دليلا على انتفاء النجاسة عن هذا السؤر كما تنبّه عليه بعضهم، و إن كان محتملا فهو لا يقتضي إلاّ رجحان الاجتناب احتياطا، و لعلّه لأجل ذلك عبّر الشيخ عن الكراهة بأفضليّة الاجتناب، كما فهم المعالم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النهاية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يتوجّه عليه المطالبة بدليل ما ذكره من أفضليّة ترك الاستعمال، و لعلّه نظر في الفأرة إلى ما سيأتي في باب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بعض الأخبار على رجحان الغسل ممّا لاقته برطوبة، و في الحيّة إلى ما يخشى من تأثير سمّها في الماء، فإنّ ذلك و نحوه كاف في أفضليّة العدول عن هذا الماء إلى غيره</w:t>
      </w:r>
      <w:r>
        <w:rPr>
          <w:rFonts w:eastAsia="Amiri" w:cs="Amiri" w:ascii="Amiri" w:hAnsi="Amiri"/>
          <w:color w:val="111111"/>
          <w:sz w:val="28"/>
          <w:szCs w:val="28"/>
          <w:rtl w:val="true"/>
          <w:lang w:bidi="ar-SA"/>
        </w:rPr>
        <w:t>»</w:t>
      </w:r>
      <w:r>
        <w:rPr>
          <w:rStyle w:val="FootnoteAnchor"/>
          <w:rtl w:val="true"/>
        </w:rPr>
        <w:footnoteReference w:id="35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الكراهة هنا ممّا لا إشكال فيه و لو من جهة الاعتماد على مجرّد الشهرة و ذهاب أساطين الفرقة</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805188_1280447820"/>
      <w:bookmarkStart w:id="1092" w:name="_Toc425"/>
      <w:bookmarkEnd w:id="1091"/>
      <w:r>
        <w:rPr>
          <w:rtl w:val="true"/>
        </w:rPr>
        <w:t>المسألة الحادية عشرة</w:t>
      </w:r>
      <w:r>
        <w:rPr>
          <w:rtl w:val="true"/>
        </w:rPr>
        <w:t xml:space="preserve">: </w:t>
      </w:r>
      <w:r>
        <w:rPr>
          <w:rtl w:val="true"/>
        </w:rPr>
        <w:t>اختلفت كلمتهم في الوزغة،</w:t>
      </w:r>
      <w:bookmarkEnd w:id="1092"/>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فالمنسوب إلى ابن إدريس</w:t>
      </w:r>
      <w:r>
        <w:rPr>
          <w:rStyle w:val="FootnoteAnchor"/>
          <w:rtl w:val="true"/>
        </w:rPr>
        <w:footnoteReference w:id="3504"/>
      </w:r>
      <w:r>
        <w:rPr>
          <w:rFonts w:ascii="Amiri" w:hAnsi="Amiri" w:eastAsia="Amiri" w:cs="Amiri"/>
          <w:color w:val="111111"/>
          <w:sz w:val="28"/>
          <w:sz w:val="28"/>
          <w:szCs w:val="28"/>
          <w:rtl w:val="true"/>
          <w:lang w:bidi="ar-SA"/>
        </w:rPr>
        <w:t>و الفاضلين</w:t>
      </w:r>
      <w:r>
        <w:rPr>
          <w:rStyle w:val="FootnoteAnchor"/>
          <w:rtl w:val="true"/>
        </w:rPr>
        <w:footnoteReference w:id="3505"/>
      </w:r>
      <w:r>
        <w:rPr>
          <w:rFonts w:ascii="Amiri" w:hAnsi="Amiri" w:eastAsia="Amiri" w:cs="Amiri"/>
          <w:color w:val="111111"/>
          <w:sz w:val="28"/>
          <w:sz w:val="28"/>
          <w:szCs w:val="28"/>
          <w:rtl w:val="true"/>
          <w:lang w:bidi="ar-SA"/>
        </w:rPr>
        <w:t>و والد العلاّمة</w:t>
      </w:r>
      <w:r>
        <w:rPr>
          <w:rStyle w:val="FootnoteAnchor"/>
          <w:rtl w:val="true"/>
        </w:rPr>
        <w:footnoteReference w:id="3506"/>
      </w:r>
      <w:r>
        <w:rPr>
          <w:rFonts w:ascii="Amiri" w:hAnsi="Amiri" w:eastAsia="Amiri" w:cs="Amiri"/>
          <w:color w:val="111111"/>
          <w:sz w:val="28"/>
          <w:sz w:val="28"/>
          <w:szCs w:val="28"/>
          <w:rtl w:val="true"/>
          <w:lang w:bidi="ar-SA"/>
        </w:rPr>
        <w:t xml:space="preserve">و جمهور المتأخّرين طهارة سؤرها، و عن </w:t>
      </w:r>
    </w:p>
    <w:p>
      <w:pPr>
        <w:pStyle w:val="BookText"/>
        <w:rPr/>
      </w:pPr>
      <w:r>
        <w:rPr>
          <w:rFonts w:ascii="Amiri" w:hAnsi="Amiri" w:eastAsia="Amiri" w:cs="Amiri"/>
          <w:color w:val="111111"/>
          <w:sz w:val="28"/>
          <w:sz w:val="28"/>
          <w:szCs w:val="28"/>
          <w:rtl w:val="true"/>
          <w:lang w:bidi="ar-SA"/>
        </w:rPr>
        <w:t>المحقّق</w:t>
      </w:r>
      <w:r>
        <w:rPr>
          <w:rStyle w:val="FootnoteAnchor"/>
          <w:rtl w:val="true"/>
        </w:rPr>
        <w:footnoteReference w:id="3507"/>
      </w:r>
      <w:r>
        <w:rPr>
          <w:rFonts w:ascii="Amiri" w:hAnsi="Amiri" w:eastAsia="Amiri" w:cs="Amiri"/>
          <w:color w:val="111111"/>
          <w:sz w:val="28"/>
          <w:sz w:val="28"/>
          <w:szCs w:val="28"/>
          <w:rtl w:val="true"/>
          <w:lang w:bidi="ar-SA"/>
        </w:rPr>
        <w:t>أنّه الظاهر من كلام المرتضى في بعض كتبه، و هو صريح الدروس</w:t>
      </w:r>
      <w:r>
        <w:rPr>
          <w:rStyle w:val="FootnoteAnchor"/>
          <w:rtl w:val="true"/>
        </w:rPr>
        <w:footnoteReference w:id="3508"/>
      </w:r>
      <w:r>
        <w:rPr>
          <w:rFonts w:ascii="Amiri" w:hAnsi="Amiri" w:eastAsia="Amiri" w:cs="Amiri"/>
          <w:color w:val="111111"/>
          <w:sz w:val="28"/>
          <w:sz w:val="28"/>
          <w:szCs w:val="28"/>
          <w:rtl w:val="true"/>
          <w:lang w:bidi="ar-SA"/>
        </w:rPr>
        <w:t>، و مختار المدارك على ظاهر كلامه، 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بين الأصحاب</w:t>
      </w:r>
      <w:r>
        <w:rPr>
          <w:rFonts w:eastAsia="Amiri" w:cs="Amiri" w:ascii="Amiri" w:hAnsi="Amiri"/>
          <w:color w:val="111111"/>
          <w:sz w:val="28"/>
          <w:szCs w:val="28"/>
          <w:rtl w:val="true"/>
          <w:lang w:bidi="ar-SA"/>
        </w:rPr>
        <w:t>»</w:t>
      </w:r>
      <w:r>
        <w:rPr>
          <w:rStyle w:val="FootnoteAnchor"/>
          <w:rtl w:val="true"/>
        </w:rPr>
        <w:footnoteReference w:id="3509"/>
      </w:r>
      <w:r>
        <w:rPr>
          <w:rFonts w:ascii="Amiri" w:hAnsi="Amiri" w:eastAsia="Amiri" w:cs="Amiri"/>
          <w:color w:val="111111"/>
          <w:sz w:val="28"/>
          <w:sz w:val="28"/>
          <w:szCs w:val="28"/>
          <w:rtl w:val="true"/>
          <w:lang w:bidi="ar-SA"/>
        </w:rPr>
        <w:t>، و عليه الشرائع أيضا، لكن عبّر فيه بالموت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ما مات فيه الوزغ و العقرب</w:t>
      </w:r>
      <w:r>
        <w:rPr>
          <w:rFonts w:eastAsia="Amiri" w:cs="Amiri" w:ascii="Amiri" w:hAnsi="Amiri"/>
          <w:color w:val="111111"/>
          <w:sz w:val="28"/>
          <w:szCs w:val="28"/>
          <w:rtl w:val="true"/>
          <w:lang w:bidi="ar-SA"/>
        </w:rPr>
        <w:t>»</w:t>
      </w:r>
      <w:r>
        <w:rPr>
          <w:rStyle w:val="FootnoteAnchor"/>
          <w:rtl w:val="true"/>
        </w:rPr>
        <w:footnoteReference w:id="3510"/>
      </w:r>
      <w:r>
        <w:rPr>
          <w:rFonts w:ascii="Amiri" w:hAnsi="Amiri" w:eastAsia="Amiri" w:cs="Amiri"/>
          <w:color w:val="111111"/>
          <w:sz w:val="28"/>
          <w:sz w:val="28"/>
          <w:szCs w:val="28"/>
          <w:rtl w:val="true"/>
          <w:lang w:bidi="ar-SA"/>
        </w:rPr>
        <w:t>و لعلّ الحكم يتعدّى إلى ما عدا صورة الموت من باب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يستقيم إذا كان منظور العبارة نفي النجاسة خاصّة ردّا على من توهّمها، و أمّا إذا اريد بها إفادة الكراهة مع ذلك فلا يحصل تمام المقصود، إذ لا ملازمة بين الكراهة بالموت فيه و الكراهة بالوقوع فيه، فضلا عن الفحوى، بل الفحوى إنّما تحصل لو عبّر بالوقوع أو مطلق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المذكورة لا تخلو عن قصور، و كأنّه في هذا التعبير أخذ بمفهوم الدليل المقام على كراهة هذا السؤر الثابت في المقام من حيث الفحوى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الكراهة هنا من حيث الطبّ لا لنجاسة الماء</w:t>
      </w:r>
      <w:r>
        <w:rPr>
          <w:rFonts w:eastAsia="Amiri" w:cs="Amiri" w:ascii="Amiri" w:hAnsi="Amiri"/>
          <w:color w:val="111111"/>
          <w:sz w:val="28"/>
          <w:szCs w:val="28"/>
          <w:rtl w:val="true"/>
          <w:lang w:bidi="ar-SA"/>
        </w:rPr>
        <w:t>»</w:t>
      </w:r>
      <w:r>
        <w:rPr>
          <w:rStyle w:val="FootnoteAnchor"/>
          <w:rtl w:val="true"/>
        </w:rPr>
        <w:footnoteReference w:id="3511"/>
      </w:r>
      <w:r>
        <w:rPr>
          <w:rFonts w:ascii="Amiri" w:hAnsi="Amiri" w:eastAsia="Amiri" w:cs="Amiri"/>
          <w:color w:val="111111"/>
          <w:sz w:val="28"/>
          <w:sz w:val="28"/>
          <w:szCs w:val="28"/>
          <w:rtl w:val="true"/>
          <w:lang w:bidi="ar-SA"/>
        </w:rPr>
        <w:t>و استحسنه المدارك</w:t>
      </w:r>
      <w:r>
        <w:rPr>
          <w:rStyle w:val="FootnoteAnchor"/>
          <w:rtl w:val="true"/>
        </w:rPr>
        <w:footnoteReference w:id="3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المخالفة هنا بالمصير إلى النجاسة لم يثبت إلاّ عن المقنعة و موضع من النهاية و المبسوط، و عبارة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ذكر الكلب و الخنزير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الحكم في الفأرة و الوزغة يرشّ الموضع الّذي مسّاه بالماء من الثوب إذا لم يؤثّرا فيه، و إن رطّباه و أثّرا فيه غسل بالماء، و كذلك إن مسّ واحد ممّا ذكرناه جسد الإنسان، أو وقعت يده عليه و كان رطبا غسل ما أصابه منه، و إن كان يابسا مسحه بالتراب</w:t>
      </w:r>
      <w:r>
        <w:rPr>
          <w:rFonts w:eastAsia="Amiri" w:cs="Amiri" w:ascii="Amiri" w:hAnsi="Amiri"/>
          <w:color w:val="111111"/>
          <w:sz w:val="28"/>
          <w:szCs w:val="28"/>
          <w:rtl w:val="true"/>
          <w:lang w:bidi="ar-SA"/>
        </w:rPr>
        <w:t>»</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عبارة النهاية فقد سمعتها في مسألة سؤر الفأرة</w:t>
      </w:r>
      <w:r>
        <w:rPr>
          <w:rStyle w:val="FootnoteAnchor"/>
          <w:rtl w:val="true"/>
        </w:rPr>
        <w:footnoteReference w:id="3514"/>
      </w:r>
      <w:r>
        <w:rPr>
          <w:rFonts w:ascii="Amiri" w:hAnsi="Amiri" w:eastAsia="Amiri" w:cs="Amiri"/>
          <w:color w:val="111111"/>
          <w:sz w:val="28"/>
          <w:sz w:val="28"/>
          <w:szCs w:val="28"/>
          <w:rtl w:val="true"/>
          <w:lang w:bidi="ar-SA"/>
        </w:rPr>
        <w:t xml:space="preserve">، و أمّا عبارة المبسوط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باب تطهير الثياب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مسّ الكلب و الخنزير و الثعلب و الأرنب و الفأرة و الوزغة بسائر أبدانها إذا كانت رطبة، أو أدخلت أيديها و أرجلها في الماء وجب غسل الموضع و إراقة ذلك الماء، و لا يراعى في غسل ذلك العدد، لأنّ العدد يختصّ بالولوغ، و إن كان يابسا يرشّ الموضع بالماء، فإن لم يتعيّن الموضع غسل الثوب كلّه أو رشّ، و كذلك إن مسّ 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شيئا من ذلك و كان واحد منهما رطبا وجب غسل يده، و إن كان يابسا مسحه بالتراب، و قد رويت رخصة في استعمال ما يشرب منه سائر الحيوانات في البراري سوى الكلب و الخنزير، و ما شربت منه الفأرة في البيوت و الوزغ أو وقعا فيه و خرجا حيّين، لأنّه لا يمكن التحرّز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يذهب عليك أنّ ملاحظة هذه العبارة صدرا و ذيلا تقضي باختياره التفصيل بين المقامين، أي مقام ملاقاة ما يجب غسله في النجاسة من الثوب و الجسد، و مقام شرب الماء أو الوقوع فيه ثمّ الخروج حيّا، ففي الأوّل يجب الاجتناب بالغسل و الرشّ، و في الثاني لا يجب الاجتناب رخصة لعدم إمكان التحرّز، غير أنّه بملاحظة هذا التعليل ليس بظاهر في القول بطهارة الماء حينئذ، بل غايته الرخصة في استعماله من باب العفو الغير المنافي للنجاسة، نظير ما قيل في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ارتفع المنافاة بين عبارته المذكورة في هذا الموضع و عبارته في بحث السؤر</w:t>
      </w:r>
      <w:r>
        <w:rPr>
          <w:rStyle w:val="FootnoteAnchor"/>
          <w:rtl w:val="true"/>
        </w:rPr>
        <w:footnoteReference w:id="3515"/>
      </w:r>
      <w:r>
        <w:rPr>
          <w:rFonts w:ascii="Amiri" w:hAnsi="Amiri" w:eastAsia="Amiri" w:cs="Amiri"/>
          <w:color w:val="111111"/>
          <w:sz w:val="28"/>
          <w:sz w:val="28"/>
          <w:szCs w:val="28"/>
          <w:rtl w:val="true"/>
          <w:lang w:bidi="ar-SA"/>
        </w:rPr>
        <w:t>، حيث إنّه بعد ما حكم بعدم جواز استعمال سؤر ما لا يؤكل لحمه من الحيوان الإنسي استثنى منه الفأرة و نحوها ممّا يشقّ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يحصل الجمع أيضا بين عبارتيه في النهاية حسبما تقدّم ذكرهما في سؤر الفأرة، فما في كلام غير واحد</w:t>
      </w:r>
      <w:r>
        <w:rPr>
          <w:rStyle w:val="FootnoteAnchor"/>
          <w:rtl w:val="true"/>
        </w:rPr>
        <w:footnoteReference w:id="3516"/>
      </w:r>
      <w:r>
        <w:rPr>
          <w:rFonts w:ascii="Amiri" w:hAnsi="Amiri" w:eastAsia="Amiri" w:cs="Amiri"/>
          <w:color w:val="111111"/>
          <w:sz w:val="28"/>
          <w:sz w:val="28"/>
          <w:szCs w:val="28"/>
          <w:rtl w:val="true"/>
          <w:lang w:bidi="ar-SA"/>
        </w:rPr>
        <w:t>من استبعاد كون الاختلاف بين كلاميه في الكتابين مبنيّا على الفرق بين المقامين ليس في محلّه، و كأنّه نشأ عن عدم الاطّلاع على ذيل العبارة المذكورة، أو عدم إعمال النظر في فهمها صدرا و ذيلا على ما ينبغي</w:t>
      </w:r>
      <w:r>
        <w:rPr>
          <w:rFonts w:eastAsia="Amiri" w:cs="Amiri" w:ascii="Amiri" w:hAnsi="Amiri"/>
          <w:color w:val="111111"/>
          <w:sz w:val="28"/>
          <w:szCs w:val="28"/>
          <w:rtl w:val="true"/>
          <w:lang w:bidi="ar-SA"/>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كان، فالمنقول من حجّة هذا القول وجوه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و الوزغة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Style w:val="FootnoteAnchor"/>
          <w:rtl w:val="true"/>
        </w:rPr>
        <w:footnoteReference w:id="3517"/>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وجّهه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نجاسة الوزغة لما وجب لها النزح بالموت، فإنّ الموت إنّما يقتضي التنجيس في محلّ له نفس سائلة لا مطلقا</w:t>
      </w:r>
      <w:r>
        <w:rPr>
          <w:rFonts w:eastAsia="Amiri" w:cs="Amiri" w:ascii="Amiri" w:hAnsi="Amiri"/>
          <w:color w:val="111111"/>
          <w:sz w:val="28"/>
          <w:szCs w:val="28"/>
          <w:rtl w:val="true"/>
          <w:lang w:bidi="ar-SA"/>
        </w:rPr>
        <w:t>»</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ذكر الموت مع خلوّ الرواية عنه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فيه، أو لقرينة ذكر الفأرة في موضوع هذا الحكم الّذي لا توجبه إلاّ بالموت، لأنّها لا تنجّس إلاّ بالموت لما فيها من النفس السائلة، فما لم يفرض موتها لم يعقل لها نجاسة لكونها طاهرة العين، فإذا كان الحكم معلّقا على موتها كان بالقياس إلى الوزغة أيضا مفروضا حال الموت، و لا يمكن أن يكون ذلك لنجاستها الحاصلة بالموت، إذ ليس لها نفس سائلة، فيجب أن يكون لنجاستها العينيّة الثابتة لها في جميع الأحوال، و قضيّة ذلك نجاسة سؤرها أيضا، لكونه ماء قليلا أو مضافا لاقية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بالتقريب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النزح لا يكون إلاّ لنجاسة ما يقع في البئر، و النجاسة في الحيوان إمّا ذاتيّة كما في الكلب، أو عرضيّة تحصل بالموت كما في الفأرة، و حيث إنّ الوزغة لا يفرض لها نجاسة عرضيّة حاصلة بالموت لعدم كونها من ذوات الأنفس فلا بدّ و أن يكون نجاستها ذاتيّة كالكلب، فحينئذ لا يتفاوت الحال في انفعال القليل أو المضاف بملاقاتها بين حياتها و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منع بطلان التالي أوّلا، فإنّ النزح في جميع موارد ثبوته مبنيّ على الاستحباب كما سبق تحقيقه، فالوزغة حينئذ ليس نجسة، و النزح لموتها أيضا ليس بواجب، فتأمّل جيّدا</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الملازمة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ثبوت وجوب النزح مع انتفاء النجاسة في سببه بعادم النظير فيما بين المنزوحات، أ لا ترى أنّ النزح لاغتسال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لو مع خلوّ بدنه عن النجاسة، و لو سلّم فالرواية لا تقاوم لمعارضة ما سيأتي من الأخبار الخاصّة القاضية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موثّقة عمّار عن الصادق عليه السّلام من أنّه سئل عن العظاية</w:t>
      </w:r>
      <w:r>
        <w:rPr>
          <w:rStyle w:val="FootnoteAnchor"/>
          <w:rtl w:val="true"/>
        </w:rPr>
        <w:footnoteReference w:id="3519"/>
      </w:r>
      <w:r>
        <w:rPr>
          <w:rFonts w:ascii="Amiri" w:hAnsi="Amiri" w:eastAsia="Amiri" w:cs="Amiri"/>
          <w:color w:val="111111"/>
          <w:sz w:val="28"/>
          <w:sz w:val="28"/>
          <w:szCs w:val="28"/>
          <w:rtl w:val="true"/>
          <w:lang w:bidi="ar-SA"/>
        </w:rPr>
        <w:t>تقع في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اللبن،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Fonts w:eastAsia="Amiri" w:cs="Amiri" w:ascii="Amiri" w:hAnsi="Amiri"/>
          <w:color w:val="111111"/>
          <w:sz w:val="28"/>
          <w:szCs w:val="28"/>
          <w:rtl w:val="true"/>
          <w:lang w:bidi="ar-SA"/>
        </w:rPr>
        <w:t>»</w:t>
      </w:r>
      <w:r>
        <w:rPr>
          <w:rStyle w:val="FootnoteAnchor"/>
          <w:rtl w:val="true"/>
        </w:rPr>
        <w:footnoteReference w:id="3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عدم انطباق ذلك على البحث، فإنّ المطلوب هو النجاسة، و التعليل بالسمّية يأباها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فالكلام إنّما هو في الوزغة و ليست العظاية بنصّ أهل اللغة منها، قال الفيّومي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دويبة على خلقة سام أبرص</w:t>
      </w:r>
      <w:r>
        <w:rPr>
          <w:rFonts w:eastAsia="Amiri" w:cs="Amiri" w:ascii="Amiri" w:hAnsi="Amiri"/>
          <w:color w:val="111111"/>
          <w:sz w:val="28"/>
          <w:szCs w:val="28"/>
          <w:rtl w:val="true"/>
          <w:lang w:bidi="ar-SA"/>
        </w:rPr>
        <w:t>»</w:t>
      </w:r>
      <w:r>
        <w:rPr>
          <w:rStyle w:val="FootnoteAnchor"/>
          <w:rtl w:val="true"/>
        </w:rPr>
        <w:footnoteReference w:id="3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سام أبرص كبار الوزغ</w:t>
      </w:r>
      <w:r>
        <w:rPr>
          <w:rFonts w:eastAsia="Amiri" w:cs="Amiri" w:ascii="Amiri" w:hAnsi="Amiri"/>
          <w:color w:val="111111"/>
          <w:sz w:val="28"/>
          <w:szCs w:val="28"/>
          <w:rtl w:val="true"/>
          <w:lang w:bidi="ar-SA"/>
        </w:rPr>
        <w:t>»</w:t>
      </w:r>
      <w:r>
        <w:rPr>
          <w:rStyle w:val="FootnoteAnchor"/>
          <w:rtl w:val="true"/>
        </w:rPr>
        <w:footnoteReference w:id="3522"/>
      </w:r>
      <w:r>
        <w:rPr>
          <w:rFonts w:ascii="IRNazanin" w:hAnsi="IRNazanin" w:eastAsia="IRNazanin"/>
          <w:color w:val="111111"/>
          <w:sz w:val="28"/>
          <w:sz w:val="28"/>
          <w:szCs w:val="28"/>
          <w:rtl w:val="true"/>
          <w:lang w:bidi="fa-IR"/>
        </w:rPr>
        <w:t>و مثله المجمع</w:t>
      </w:r>
      <w:r>
        <w:rPr>
          <w:rStyle w:val="FootnoteAnchor"/>
          <w:rtl w:val="true"/>
        </w:rPr>
        <w:footnoteReference w:id="352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العظاء ممدود دويبة أكبر من الوزغة الواحدة عظاءة و عظاية، و جمع الاولى عظاء، و الثانية عظايات</w:t>
      </w:r>
      <w:r>
        <w:rPr>
          <w:rFonts w:eastAsia="Amiri" w:cs="Amiri" w:ascii="Amiri" w:hAnsi="Amiri"/>
          <w:color w:val="111111"/>
          <w:sz w:val="28"/>
          <w:szCs w:val="28"/>
          <w:rtl w:val="true"/>
          <w:lang w:bidi="ar-SA"/>
        </w:rPr>
        <w:t>»</w:t>
      </w:r>
      <w:r>
        <w:rPr>
          <w:rStyle w:val="FootnoteAnchor"/>
          <w:rtl w:val="true"/>
        </w:rPr>
        <w:footnoteReference w:id="3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في شرح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 واحد الأوزاغ و الوزغان و هي الّتي يقال لها سام أبرص، و هي حيوان صغير أصغر من العظاية</w:t>
      </w:r>
      <w:r>
        <w:rPr>
          <w:rFonts w:eastAsia="Amiri" w:cs="Amiri" w:ascii="Amiri" w:hAnsi="Amiri"/>
          <w:color w:val="111111"/>
          <w:sz w:val="28"/>
          <w:szCs w:val="28"/>
          <w:rtl w:val="true"/>
          <w:lang w:bidi="ar-SA"/>
        </w:rPr>
        <w:t>»</w:t>
      </w:r>
      <w:r>
        <w:rPr>
          <w:rStyle w:val="FootnoteAnchor"/>
          <w:rtl w:val="true"/>
        </w:rPr>
        <w:footnoteReference w:id="3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 محرّكة سام أبرص و الجمع وزغ</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الوزغ معروف و الانثى وزغة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جمع وزغة مثل قصب و قصبة، فيقع الوزغة على الذكر و الانثى، و الجمع أوزاغ، و وزغان بالضمّ و الكسر و الفتح، حكاه الأزهري،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سام أبرص</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الوزغ جمع وزغة به أيضا دابّة معروفة، و سام أبرص من أصنافه</w:t>
      </w:r>
      <w:r>
        <w:rPr>
          <w:rFonts w:eastAsia="Amiri" w:cs="Amiri" w:ascii="Amiri" w:hAnsi="Amiri"/>
          <w:color w:val="111111"/>
          <w:sz w:val="28"/>
          <w:szCs w:val="28"/>
          <w:rtl w:val="true"/>
          <w:lang w:bidi="ar-SA"/>
        </w:rPr>
        <w:t>»</w:t>
      </w:r>
      <w:r>
        <w:rPr>
          <w:rStyle w:val="FootnoteAnchor"/>
          <w:rtl w:val="true"/>
        </w:rPr>
        <w:footnoteReference w:id="3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المستفاد من كلام أهل اللغة و غيرهم أنّ العظاية مغايرة للوزغة، فتخرج الرواية عن محلّ الكلام بالمرّة، مع أنّ هذا الحكم في العظاية أيضا ممّا لم يثبت </w:t>
      </w:r>
    </w:p>
    <w:p>
      <w:pPr>
        <w:pStyle w:val="BookText"/>
        <w:rPr/>
      </w:pPr>
      <w:r>
        <w:rPr>
          <w:rFonts w:ascii="IRNazanin" w:hAnsi="IRNazanin" w:eastAsia="IRNazanin"/>
          <w:color w:val="111111"/>
          <w:sz w:val="28"/>
          <w:sz w:val="28"/>
          <w:szCs w:val="28"/>
          <w:rtl w:val="true"/>
          <w:lang w:bidi="fa-IR"/>
        </w:rPr>
        <w:t>به قائل عدا المقنع</w:t>
      </w:r>
      <w:r>
        <w:rPr>
          <w:rStyle w:val="FootnoteAnchor"/>
          <w:rtl w:val="true"/>
        </w:rPr>
        <w:footnoteReference w:id="3529"/>
      </w:r>
      <w:r>
        <w:rPr>
          <w:rFonts w:ascii="Amiri" w:hAnsi="Amiri" w:eastAsia="Amiri" w:cs="Amiri"/>
          <w:color w:val="111111"/>
          <w:sz w:val="28"/>
          <w:sz w:val="28"/>
          <w:szCs w:val="28"/>
          <w:rtl w:val="true"/>
          <w:lang w:bidi="ar-SA"/>
        </w:rPr>
        <w:t>،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أفتى بمضمونها، فلعلّها تسقط عن الحجّيّة من هذه الجهة، هذا مع عدم صلوحها لمعارضة ما يأتي في حجج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هارون بن حمزة الغنوي المتقدّمة المذيّلة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3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الانتفاع بما يقع فيه مبالغة في الكراهة، و تأكيد في استحباب التنزّه بملاحظة الأخبار المبيحة الآتية، مع أنّه لا ملازمة بينه و بين النجاسة كما هو محلّ النزاع، فلعلّه من جهة السمّية أيضا كما عرفت القول به عن التذكرة</w:t>
      </w:r>
      <w:r>
        <w:rPr>
          <w:rStyle w:val="FootnoteAnchor"/>
          <w:rtl w:val="true"/>
        </w:rPr>
        <w:footnoteReference w:id="3531"/>
      </w:r>
      <w:r>
        <w:rPr>
          <w:rFonts w:ascii="Amiri" w:hAnsi="Amiri" w:eastAsia="Amiri" w:cs="Amiri"/>
          <w:color w:val="111111"/>
          <w:sz w:val="28"/>
          <w:sz w:val="28"/>
          <w:szCs w:val="28"/>
          <w:rtl w:val="true"/>
          <w:lang w:bidi="ar-SA"/>
        </w:rPr>
        <w:t>و استحسنه المدارك</w:t>
      </w:r>
      <w:r>
        <w:rPr>
          <w:rStyle w:val="FootnoteAnchor"/>
          <w:rtl w:val="true"/>
        </w:rPr>
        <w:footnoteReference w:id="3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كلّه فهي غير صالحة لمعارضة الأخبار المشار إليها، فإنّها عموما و خصوصا كثيرة جدّا، فمن الأخبار العامّة صحيحة أبي العبّاس البقباق المتقدّمة</w:t>
      </w:r>
      <w:r>
        <w:rPr>
          <w:rStyle w:val="FootnoteAnchor"/>
          <w:rtl w:val="true"/>
        </w:rPr>
        <w:footnoteReference w:id="3533"/>
      </w:r>
      <w:r>
        <w:rPr>
          <w:rFonts w:ascii="Amiri" w:hAnsi="Amiri" w:eastAsia="Amiri" w:cs="Amiri"/>
          <w:color w:val="111111"/>
          <w:sz w:val="28"/>
          <w:sz w:val="28"/>
          <w:szCs w:val="28"/>
          <w:rtl w:val="true"/>
          <w:lang w:bidi="ar-SA"/>
        </w:rPr>
        <w:t>المشتملة على نفي البأس عن فضل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مسكان المتقدّمة</w:t>
      </w:r>
      <w:r>
        <w:rPr>
          <w:rStyle w:val="FootnoteAnchor"/>
          <w:rtl w:val="true"/>
        </w:rPr>
        <w:footnoteReference w:id="3534"/>
      </w:r>
      <w:r>
        <w:rPr>
          <w:rFonts w:ascii="Amiri" w:hAnsi="Amiri" w:eastAsia="Amiri" w:cs="Amiri"/>
          <w:color w:val="111111"/>
          <w:sz w:val="28"/>
          <w:sz w:val="28"/>
          <w:szCs w:val="28"/>
          <w:rtl w:val="true"/>
          <w:lang w:bidi="ar-SA"/>
        </w:rPr>
        <w:t>عن الوضوء ممّا ولغ فيه الكلب و السنّور، أو شرب منه جمل أو دابّة أو غير ذلك، أ يتوضّأ منه أو يغتسل؟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مع عدم قادحيّة خروج الكلب عن مدلولها بدليل، و حمل الماء على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ولوغ الكلب بعيد،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الخنفساء و الذباب و الجراد و النملة و ما أشبه ذلك، يموت في البئر و الزيت و السمن و 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w:t>
      </w:r>
      <w:r>
        <w:rPr>
          <w:rStyle w:val="FootnoteAnchor"/>
          <w:rtl w:val="true"/>
        </w:rPr>
        <w:footnoteReference w:id="3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حفص بن غياث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محمّد بن يحيى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تفسد الماء إلاّ ما كانت له </w:t>
      </w:r>
      <w:bookmarkStart w:id="1093" w:name="pg16144_233818"/>
    </w:p>
    <w:p>
      <w:pPr>
        <w:pStyle w:val="BookText"/>
        <w:rPr/>
      </w:pPr>
      <w:bookmarkEnd w:id="1093"/>
      <w:r>
        <w:rPr>
          <w:rFonts w:ascii="Amiri" w:hAnsi="Amiri" w:eastAsia="Amiri" w:cs="Amiri"/>
          <w:color w:val="111111"/>
          <w:sz w:val="28"/>
          <w:sz w:val="28"/>
          <w:szCs w:val="28"/>
          <w:rtl w:val="true"/>
          <w:lang w:bidi="ar-SA"/>
        </w:rPr>
        <w:t>نفس سائلة</w:t>
      </w:r>
      <w:r>
        <w:rPr>
          <w:rFonts w:eastAsia="Amiri" w:cs="Amiri" w:ascii="Amiri" w:hAnsi="Amiri"/>
          <w:color w:val="111111"/>
          <w:sz w:val="28"/>
          <w:szCs w:val="28"/>
          <w:rtl w:val="true"/>
          <w:lang w:bidi="ar-SA"/>
        </w:rPr>
        <w:t>»</w:t>
      </w:r>
      <w:r>
        <w:rPr>
          <w:rStyle w:val="FootnoteAnchor"/>
          <w:rtl w:val="true"/>
        </w:rPr>
        <w:footnoteReference w:id="3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التقريب في هذه واضح، بعد ملاحظة تسالمهم في أنّ الوزغة ليست من ذوات الأنفس، كما تبيّن عن تقريب الاستدلال على النجاسة بصحيحة معاوية بن عمّار</w:t>
      </w:r>
      <w:r>
        <w:rPr>
          <w:rStyle w:val="FootnoteAnchor"/>
          <w:rtl w:val="true"/>
        </w:rPr>
        <w:footnoteReference w:id="3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الأخبار الخاصّة الصحيح عن عليّ بن جعفر عن أخيه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العظاية، و الحيّة، و الوزغ يقع في الماء، فلا يموت، أ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كما ترى يصلح لأن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مغايرة العظاية للوزغ، كما أنّه يصلح لأن يؤخذ قرينة على أنّ الحرمة في الموثّقة المتقدّمة ليست على معناها الظاهر المصطلح عليه شرعا، ثمّ إذا انضمّ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استفادة الطهارة و جواز الاستعمال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رواية الوشّاء المتقدّمة، مضافة إلى الشهرة محقّقة و محكيّة، مع ضميمة قاعدة المسامحة ثمّ أمر الكراهة، فهو الأقوى في المسألة إن شاء اللّه</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1805190_1280447820"/>
      <w:bookmarkStart w:id="1095" w:name="_Toc426"/>
      <w:bookmarkEnd w:id="1094"/>
      <w:r>
        <w:rPr>
          <w:rtl w:val="true"/>
        </w:rPr>
        <w:t>المسألة الثانية عشرة</w:t>
      </w:r>
      <w:r>
        <w:rPr>
          <w:rtl w:val="true"/>
        </w:rPr>
        <w:t xml:space="preserve">: </w:t>
      </w:r>
      <w:r>
        <w:rPr>
          <w:rtl w:val="true"/>
        </w:rPr>
        <w:t>ذهب من عدا الشيخ في النهاية و ابن البرّاج و أبي الصلاح إلى طهارة ما مات فيه العقرب، و جواز استعماله على كراهية</w:t>
      </w:r>
      <w:r>
        <w:rPr>
          <w:rtl w:val="true"/>
        </w:rPr>
        <w:t>.</w:t>
      </w:r>
      <w:bookmarkEnd w:id="1095"/>
    </w:p>
    <w:p>
      <w:pPr>
        <w:pStyle w:val="BookText"/>
        <w:rPr/>
      </w:pPr>
      <w:r>
        <w:rPr>
          <w:rFonts w:ascii="Amiri" w:hAnsi="Amiri" w:eastAsia="Amiri" w:cs="Amiri"/>
          <w:color w:val="111111"/>
          <w:sz w:val="28"/>
          <w:sz w:val="28"/>
          <w:szCs w:val="28"/>
          <w:rtl w:val="true"/>
          <w:lang w:bidi="ar-SA"/>
        </w:rPr>
        <w:t>فإنّ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وقع في الماء، فمات فيه ممّا ليس له نفس سائلة، فلا بأس باستعمال ذلك الماء، إلاّ الوزغ و العقرب خاصّة، فإنّه يجب إهراق ما وقع فيه و غسل الإناء</w:t>
      </w:r>
      <w:r>
        <w:rPr>
          <w:rFonts w:eastAsia="Amiri" w:cs="Amiri" w:ascii="Amiri" w:hAnsi="Amiri"/>
          <w:color w:val="111111"/>
          <w:sz w:val="28"/>
          <w:szCs w:val="28"/>
          <w:rtl w:val="true"/>
          <w:lang w:bidi="ar-SA"/>
        </w:rPr>
        <w:t>»</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البرّاج حكم بنجاسته</w:t>
      </w:r>
      <w:r>
        <w:rPr>
          <w:rStyle w:val="FootnoteAnchor"/>
          <w:rtl w:val="true"/>
        </w:rPr>
        <w:footnoteReference w:id="3541"/>
      </w:r>
      <w:r>
        <w:rPr>
          <w:rFonts w:ascii="IRNazanin" w:hAnsi="IRNazanin" w:eastAsia="IRNazanin"/>
          <w:color w:val="111111"/>
          <w:sz w:val="28"/>
          <w:sz w:val="28"/>
          <w:szCs w:val="28"/>
          <w:rtl w:val="true"/>
          <w:lang w:bidi="fa-IR"/>
        </w:rPr>
        <w:t>، و أبو الصلاح أوجب النزح لها من البئر ثلاث دلاء</w:t>
      </w:r>
      <w:r>
        <w:rPr>
          <w:rStyle w:val="FootnoteAnchor"/>
          <w:rtl w:val="true"/>
        </w:rPr>
        <w:footnoteReference w:id="3542"/>
      </w:r>
      <w:r>
        <w:rPr>
          <w:rFonts w:ascii="Amiri" w:hAnsi="Amiri" w:eastAsia="Amiri" w:cs="Amiri"/>
          <w:color w:val="111111"/>
          <w:sz w:val="28"/>
          <w:sz w:val="28"/>
          <w:szCs w:val="28"/>
          <w:rtl w:val="true"/>
          <w:lang w:bidi="ar-SA"/>
        </w:rPr>
        <w:t>، و ذلك آية كونه ينجّسها</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شيئا وزغ أو عقرب فهو نجس، </w:t>
      </w:r>
    </w:p>
    <w:p>
      <w:pPr>
        <w:pStyle w:val="BookText"/>
        <w:rPr/>
      </w:pPr>
      <w:r>
        <w:rPr>
          <w:rFonts w:ascii="IRNazanin" w:hAnsi="IRNazanin" w:eastAsia="IRNazanin"/>
          <w:color w:val="111111"/>
          <w:sz w:val="28"/>
          <w:sz w:val="28"/>
          <w:szCs w:val="28"/>
          <w:rtl w:val="true"/>
          <w:lang w:bidi="fa-IR"/>
        </w:rPr>
        <w:t>و أطلق، و أوجب أبو الصلاح النزح لها من البئر ثلاث 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هو اختيار ابن إدريس، و هو الظاهر من كلام السيّد المرتضى، فإنّه حكم بأنّ كلّ ما لا نفس له سائلة كالذباب و الجراد و الزنابير و ما أشبهها لا ينجّس بالموت، و لا ينجّس الماء إذا وقع فيه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عليّ بن بابويه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فيه عقرب أو شيء من الحيّات</w:t>
      </w:r>
      <w:r>
        <w:rPr>
          <w:rStyle w:val="FootnoteAnchor"/>
          <w:rtl w:val="true"/>
        </w:rPr>
        <w:footnoteReference w:id="3543"/>
      </w:r>
      <w:r>
        <w:rPr>
          <w:rFonts w:ascii="Amiri" w:hAnsi="Amiri" w:eastAsia="Amiri" w:cs="Amiri"/>
          <w:color w:val="111111"/>
          <w:sz w:val="28"/>
          <w:sz w:val="28"/>
          <w:szCs w:val="28"/>
          <w:rtl w:val="true"/>
          <w:lang w:bidi="ar-SA"/>
        </w:rPr>
        <w:t>و بنات وردان، و الجراد، و كلّ ما ليس له دم فلا بأس باستعماله و الوضوء منه، مات أو لم يمت</w:t>
      </w:r>
      <w:r>
        <w:rPr>
          <w:rFonts w:eastAsia="Amiri" w:cs="Amiri" w:ascii="Amiri" w:hAnsi="Amiri"/>
          <w:color w:val="111111"/>
          <w:sz w:val="28"/>
          <w:szCs w:val="28"/>
          <w:rtl w:val="true"/>
          <w:lang w:bidi="ar-SA"/>
        </w:rPr>
        <w:t>»</w:t>
      </w:r>
      <w:r>
        <w:rPr>
          <w:rStyle w:val="FootnoteAnchor"/>
          <w:rtl w:val="true"/>
        </w:rPr>
        <w:footnoteReference w:id="35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الأقوى ما صار إليه الجماعة المدّعى عليه الشهرة من الطهارة، 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عموم موثّقة عمّار، و رواية حفص، و مرفوعة محمّد بن يحيى المتقدّمة، الحاصرة لإفساد الماء في ما له نفس سائلة، خصوص المرويّ عن قرب الأسناد في الصحيح عن عليّ بن جعفر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العقرب و الخنفساء و أشباههما، يموت في الجرّة أو الدّن، يتوضّأ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545"/>
      </w:r>
      <w:r>
        <w:rPr>
          <w:rFonts w:ascii="Amiri" w:hAnsi="Amiri" w:eastAsia="Amiri" w:cs="Amiri"/>
          <w:color w:val="111111"/>
          <w:sz w:val="28"/>
          <w:sz w:val="28"/>
          <w:szCs w:val="28"/>
          <w:rtl w:val="true"/>
          <w:lang w:bidi="ar-SA"/>
        </w:rPr>
        <w:t>و حسنة هارون بن حمزة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العقرب و أشباه ذلك، يقع في الماء و يخرج حيّا، هل يشرب من ذلك الماء و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يسكب منه ثلاث سكبات، قليله و كثيره بمنزلة واحدة، ثمّ يشرب منه و يتوضّأ</w:t>
      </w:r>
      <w:r>
        <w:rPr>
          <w:rFonts w:eastAsia="Amiri" w:cs="Amiri" w:ascii="Amiri" w:hAnsi="Amiri"/>
          <w:color w:val="111111"/>
          <w:sz w:val="28"/>
          <w:szCs w:val="28"/>
          <w:rtl w:val="true"/>
          <w:lang w:bidi="ar-SA"/>
        </w:rPr>
        <w:t>»</w:t>
      </w:r>
      <w:r>
        <w:rPr>
          <w:rStyle w:val="FootnoteAnchor"/>
          <w:rtl w:val="true"/>
        </w:rPr>
        <w:footnoteReference w:id="354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و إن اختصّ بحالة الحياة، غير أنّ الظاهر بملاحظة ما سبق في تقريب استدلال العلاّمة</w:t>
      </w:r>
      <w:r>
        <w:rPr>
          <w:rStyle w:val="FootnoteAnchor"/>
          <w:rtl w:val="true"/>
        </w:rPr>
        <w:footnoteReference w:id="3547"/>
      </w:r>
      <w:r>
        <w:rPr>
          <w:rFonts w:ascii="Amiri" w:hAnsi="Amiri" w:eastAsia="Amiri" w:cs="Amiri"/>
          <w:color w:val="111111"/>
          <w:sz w:val="28"/>
          <w:sz w:val="28"/>
          <w:szCs w:val="28"/>
          <w:rtl w:val="true"/>
          <w:lang w:bidi="ar-SA"/>
        </w:rPr>
        <w:t>على نجاسة الوزغة بصحيحة معاوية بن عمّار عدم اختصاص حكمه بها، فإنّ نجاسة الحيوان إمّا ذاتيّة فلا يتفاوت الحال في تنجيس الغير بين حياته و مماته، أو حاصلة بالموت فلا يوجب تنجّس الغير إلاّ بعد الموت، و الثاني منفيّ هنا بفرض انتفاء النفس السائلة، كما أنّ الثاني منفيّ بنصّ الحديث، و عن مختلف العلاّمة</w:t>
      </w:r>
      <w:r>
        <w:rPr>
          <w:rStyle w:val="FootnoteAnchor"/>
          <w:rtl w:val="true"/>
        </w:rPr>
        <w:footnoteReference w:id="3548"/>
      </w:r>
      <w:r>
        <w:rPr>
          <w:rFonts w:ascii="Amiri" w:hAnsi="Amiri" w:eastAsia="Amiri" w:cs="Amiri"/>
          <w:color w:val="111111"/>
          <w:sz w:val="28"/>
          <w:sz w:val="28"/>
          <w:szCs w:val="28"/>
          <w:rtl w:val="true"/>
          <w:lang w:bidi="ar-SA"/>
        </w:rPr>
        <w:t>الاستدلال على الحكم هنا بما وصفه بالصحّة من رواية ابن مسكان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عليه السّلام عمّا يقع في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يسقط في البئر ليس له دم مثل العقارب و الخنافس و أشباه ذلك، فلا بأس</w:t>
      </w:r>
      <w:r>
        <w:rPr>
          <w:rFonts w:eastAsia="Amiri" w:cs="Amiri" w:ascii="Amiri" w:hAnsi="Amiri"/>
          <w:color w:val="111111"/>
          <w:sz w:val="28"/>
          <w:szCs w:val="28"/>
          <w:rtl w:val="true"/>
          <w:lang w:bidi="ar-SA"/>
        </w:rPr>
        <w:t>»</w:t>
      </w:r>
      <w:r>
        <w:rPr>
          <w:rStyle w:val="FootnoteAnchor"/>
          <w:rtl w:val="true"/>
        </w:rPr>
        <w:footnoteReference w:id="3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البئر لا يقاس عليها غيره في الأحكام الثابتة لها، خصوصا على مذهبه فيها و هو عدم انفعالها بالملاقاة و إن أوجب النزح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جرّة وجد فيها خنفساء قد 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ألقها و توضّأ منه، و إن كان عقربا فأرق الماء و توضّأ من ماء غيره</w:t>
      </w:r>
      <w:r>
        <w:rPr>
          <w:rFonts w:eastAsia="Amiri" w:cs="Amiri" w:ascii="Amiri" w:hAnsi="Amiri"/>
          <w:color w:val="111111"/>
          <w:sz w:val="28"/>
          <w:szCs w:val="28"/>
          <w:rtl w:val="true"/>
          <w:lang w:bidi="ar-SA"/>
        </w:rPr>
        <w:t>»</w:t>
      </w:r>
      <w:r>
        <w:rPr>
          <w:rStyle w:val="FootnoteAnchor"/>
          <w:rtl w:val="true"/>
        </w:rPr>
        <w:footnoteReference w:id="3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الخنفساء يقع في الماء أ يتوضّأ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r>
        <w:rPr>
          <w:rStyle w:val="FootnoteAnchor"/>
          <w:rtl w:val="true"/>
        </w:rPr>
        <w:footnoteReference w:id="3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التقريب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ظهوره في المباشرة عن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في دليل الطهارة لاجتماعه جميع جهات الاعتبار و الوثوق ينهض قرينة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فيهما مرادا به الاستحباب، فمقتضاهما استحباب التنزّه عن هذا الماء، و هو ليس بنكير، مع ما فيهما من قوّة احتمال كون الجهة الداعية إلى ذلك وجود السمّية، فلم يلزم من ذلك ثبوت النجاسة على ما هو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الطهارة إلى النجاسة مع ملاحظة ما ذكر، لأجل ما ذكر، خلاف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استدلّ عليها في شرح الدروس</w:t>
      </w:r>
      <w:r>
        <w:rPr>
          <w:rStyle w:val="FootnoteAnchor"/>
          <w:rtl w:val="true"/>
        </w:rPr>
        <w:footnoteReference w:id="3552"/>
      </w:r>
      <w:r>
        <w:rPr>
          <w:rFonts w:ascii="Amiri" w:hAnsi="Amiri" w:eastAsia="Amiri" w:cs="Amiri"/>
          <w:color w:val="111111"/>
          <w:sz w:val="28"/>
          <w:sz w:val="28"/>
          <w:szCs w:val="28"/>
          <w:rtl w:val="true"/>
          <w:lang w:bidi="ar-SA"/>
        </w:rPr>
        <w:t>بمرسلة الوشّاء، و رواية ابن مسكان، و مضمرة سماعة المتقدّمة، لكن ليس شيء منها بشيء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فلورودها فيما له لحم، و العقرب ليست من ذوات اللحم</w:t>
      </w:r>
      <w:r>
        <w:rPr>
          <w:rFonts w:eastAsia="Amiri" w:cs="Amiri" w:ascii="Amiri" w:hAnsi="Amiri"/>
          <w:color w:val="111111"/>
          <w:sz w:val="28"/>
          <w:szCs w:val="28"/>
          <w:rtl w:val="true"/>
          <w:lang w:bidi="ar-SA"/>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فلورودها في شرب الدابّة فلا يتعدّى منه إلى المباشرة ميّتا، إذ ليس حكم الكراهة كحكم النجاسة، بحيث إذا ثبت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ثابتا في حال الممات أيضا كما لا يخفى، فلا يلزم من رجحان التنزّه عن سؤر العقرب رجحانه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فيه، هذا مع إمكان المناقشة في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يجري </w:t>
      </w:r>
      <w:bookmarkStart w:id="1096" w:name="pg16144_233821"/>
    </w:p>
    <w:p>
      <w:pPr>
        <w:pStyle w:val="BookText"/>
        <w:rPr/>
      </w:pPr>
      <w:bookmarkEnd w:id="1096"/>
      <w:r>
        <w:rPr>
          <w:rFonts w:ascii="Amiri" w:hAnsi="Amiri" w:eastAsia="Amiri" w:cs="Amiri"/>
          <w:color w:val="111111"/>
          <w:sz w:val="28"/>
          <w:sz w:val="28"/>
          <w:szCs w:val="28"/>
          <w:rtl w:val="true"/>
          <w:lang w:bidi="ar-SA"/>
        </w:rPr>
        <w:t>هذا الكلام بعينه في الثالثة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الكراهة هنا من جهة السند في غاية الإشكال، و إن أمكن إثباتها بملاحظة الشهرة</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805192_1280447820"/>
      <w:bookmarkStart w:id="1098" w:name="_Toc427"/>
      <w:bookmarkEnd w:id="1097"/>
      <w:r>
        <w:rPr>
          <w:rtl w:val="true"/>
        </w:rPr>
        <w:t>المسألة الثالثة عشر</w:t>
      </w:r>
      <w:r>
        <w:rPr>
          <w:rtl w:val="true"/>
        </w:rPr>
        <w:t xml:space="preserve">: </w:t>
      </w:r>
      <w:r>
        <w:rPr>
          <w:rtl w:val="true"/>
        </w:rPr>
        <w:t>في سؤر الحائض الّذي اختلفت كلمتهم فيه حكما و إطلاقا، و تقييدا و قيدا،</w:t>
      </w:r>
      <w:bookmarkEnd w:id="1098"/>
    </w:p>
    <w:p>
      <w:pPr>
        <w:pStyle w:val="Heading6"/>
        <w:numPr>
          <w:ilvl w:val="5"/>
          <w:numId w:val="1"/>
        </w:numPr>
        <w:rPr/>
      </w:pPr>
      <w:bookmarkStart w:id="1099" w:name="__RefHeading___Toc1805194_1280447820"/>
      <w:bookmarkStart w:id="1100" w:name="_Toc428"/>
      <w:bookmarkEnd w:id="1099"/>
      <w:r>
        <w:rPr>
          <w:rtl w:val="true"/>
        </w:rPr>
        <w:t>اشارة</w:t>
      </w:r>
      <w:bookmarkEnd w:id="1100"/>
    </w:p>
    <w:p>
      <w:pPr>
        <w:pStyle w:val="BookText"/>
        <w:rPr/>
      </w:pPr>
      <w:r>
        <w:rPr>
          <w:rFonts w:ascii="IRNazanin" w:hAnsi="IRNazanin" w:eastAsia="IRNazanin"/>
          <w:color w:val="111111"/>
          <w:sz w:val="28"/>
          <w:sz w:val="28"/>
          <w:szCs w:val="28"/>
          <w:rtl w:val="true"/>
          <w:lang w:bidi="fa-IR"/>
        </w:rPr>
        <w:t>فعن ظاهر المقنع</w:t>
      </w:r>
      <w:r>
        <w:rPr>
          <w:rStyle w:val="FootnoteAnchor"/>
          <w:rtl w:val="true"/>
        </w:rPr>
        <w:footnoteReference w:id="3553"/>
      </w:r>
      <w:r>
        <w:rPr>
          <w:rFonts w:ascii="Amiri" w:hAnsi="Amiri" w:eastAsia="Amiri" w:cs="Amiri"/>
          <w:color w:val="111111"/>
          <w:sz w:val="28"/>
          <w:sz w:val="28"/>
          <w:szCs w:val="28"/>
          <w:rtl w:val="true"/>
          <w:lang w:bidi="ar-SA"/>
        </w:rPr>
        <w:t>، و الشيخ في كتابي الحديث</w:t>
      </w:r>
      <w:r>
        <w:rPr>
          <w:rStyle w:val="FootnoteAnchor"/>
          <w:rtl w:val="true"/>
        </w:rPr>
        <w:footnoteReference w:id="3554"/>
      </w:r>
      <w:r>
        <w:rPr>
          <w:rFonts w:ascii="Amiri" w:hAnsi="Amiri" w:eastAsia="Amiri" w:cs="Amiri"/>
          <w:color w:val="111111"/>
          <w:sz w:val="28"/>
          <w:sz w:val="28"/>
          <w:szCs w:val="28"/>
          <w:rtl w:val="true"/>
          <w:lang w:bidi="ar-SA"/>
        </w:rPr>
        <w:t>المنع عن التوضّؤ به مطلقا، كما عن الأوّل قائلا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بسؤر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مأمونة</w:t>
      </w:r>
      <w:r>
        <w:rPr>
          <w:rFonts w:eastAsia="Amiri" w:cs="Amiri" w:ascii="Amiri" w:hAnsi="Amiri"/>
          <w:color w:val="111111"/>
          <w:sz w:val="28"/>
          <w:szCs w:val="28"/>
          <w:rtl w:val="true"/>
          <w:lang w:bidi="ar-SA"/>
        </w:rPr>
        <w:t>»</w:t>
      </w:r>
      <w:r>
        <w:rPr>
          <w:rStyle w:val="FootnoteAnchor"/>
          <w:rtl w:val="true"/>
        </w:rPr>
        <w:footnoteReference w:id="3555"/>
      </w:r>
      <w:r>
        <w:rPr>
          <w:rFonts w:ascii="Amiri" w:hAnsi="Amiri" w:eastAsia="Amiri" w:cs="Amiri"/>
          <w:color w:val="111111"/>
          <w:sz w:val="28"/>
          <w:sz w:val="28"/>
          <w:szCs w:val="28"/>
          <w:rtl w:val="true"/>
          <w:lang w:bidi="ar-SA"/>
        </w:rPr>
        <w:t xml:space="preserve">كما عن الثاني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رفع التنافي عمّا بين الأخبار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هذه الأخبار ما فصّله في الأخبار الأوّلة، و هو أنّه إذا لم تكن المرأة مأمونة فإنّه لا يجوز التوضّؤ بسؤرها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يكون المراد بها ضربا من الاستحباب</w:t>
      </w:r>
      <w:r>
        <w:rPr>
          <w:rFonts w:eastAsia="Amiri" w:cs="Amiri" w:ascii="Amiri" w:hAnsi="Amiri"/>
          <w:color w:val="111111"/>
          <w:sz w:val="28"/>
          <w:szCs w:val="28"/>
          <w:rtl w:val="true"/>
          <w:lang w:bidi="ar-SA"/>
        </w:rPr>
        <w:t>»</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الآخرون فقد أطبقوا على القول بالكراهة في استعماله مطلقا، غير أنّه عن مصباح علم الهدى</w:t>
      </w:r>
      <w:r>
        <w:rPr>
          <w:rStyle w:val="FootnoteAnchor"/>
          <w:rtl w:val="true"/>
        </w:rPr>
        <w:footnoteReference w:id="3557"/>
      </w:r>
      <w:r>
        <w:rPr>
          <w:rFonts w:ascii="Amiri" w:hAnsi="Amiri" w:eastAsia="Amiri" w:cs="Amiri"/>
          <w:color w:val="111111"/>
          <w:sz w:val="28"/>
          <w:sz w:val="28"/>
          <w:szCs w:val="28"/>
          <w:rtl w:val="true"/>
          <w:lang w:bidi="ar-SA"/>
        </w:rPr>
        <w:t>و مبسوط الشيخ</w:t>
      </w:r>
      <w:r>
        <w:rPr>
          <w:rStyle w:val="FootnoteAnchor"/>
          <w:rtl w:val="true"/>
        </w:rPr>
        <w:footnoteReference w:id="3558"/>
      </w:r>
      <w:r>
        <w:rPr>
          <w:rFonts w:ascii="Amiri" w:hAnsi="Amiri" w:eastAsia="Amiri" w:cs="Amiri"/>
          <w:color w:val="111111"/>
          <w:sz w:val="28"/>
          <w:sz w:val="28"/>
          <w:szCs w:val="28"/>
          <w:rtl w:val="true"/>
          <w:lang w:bidi="ar-SA"/>
        </w:rPr>
        <w:t>القول بها في مطلق الحائض، و عن المعظم القول بها في المقيّدة بغير المأمونة</w:t>
      </w:r>
      <w:r>
        <w:rPr>
          <w:rStyle w:val="FootnoteAnchor"/>
          <w:rtl w:val="true"/>
        </w:rPr>
        <w:footnoteReference w:id="3559"/>
      </w:r>
      <w:r>
        <w:rPr>
          <w:rFonts w:ascii="Amiri" w:hAnsi="Amiri" w:eastAsia="Amiri" w:cs="Amiri"/>
          <w:color w:val="111111"/>
          <w:sz w:val="28"/>
          <w:sz w:val="28"/>
          <w:szCs w:val="28"/>
          <w:rtl w:val="true"/>
          <w:lang w:bidi="ar-SA"/>
        </w:rPr>
        <w:t>، أو بالمتّهمة</w:t>
      </w:r>
      <w:r>
        <w:rPr>
          <w:rStyle w:val="FootnoteAnchor"/>
          <w:rtl w:val="true"/>
        </w:rPr>
        <w:footnoteReference w:id="3560"/>
      </w:r>
      <w:r>
        <w:rPr>
          <w:rFonts w:ascii="Amiri" w:hAnsi="Amiri" w:eastAsia="Amiri" w:cs="Amiri"/>
          <w:color w:val="111111"/>
          <w:sz w:val="28"/>
          <w:sz w:val="28"/>
          <w:szCs w:val="28"/>
          <w:rtl w:val="true"/>
          <w:lang w:bidi="ar-SA"/>
        </w:rPr>
        <w:t>، على الخلاف الآتي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يمنع مخالفة القولين الأوّلين للأخيرين، بمنع ظهور لفظ المقنع في الخلاف، فإنّه و إن كان بنفسه يفيد التحريم، غير أنّ الصدوق في الغالب يعبّر عن الحكم بلفظ الرواية، و الشيخ إنّما ذكر ذلك لمجرّد الجمع بين الأخبار المتنافية كما هو دأبه في غير المقام، لا أنّه ذكره عن اعتقاد، و لذا صرّح عقيب ذلك بإبداء احتمال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المراد بالأخبار الناهية عن التوضّؤ بفضل الحائض مطلقا ضربا من الاستحباب</w:t>
      </w:r>
      <w:r>
        <w:rPr>
          <w:rFonts w:eastAsia="Amiri" w:cs="Amiri" w:ascii="Amiri" w:hAnsi="Amiri"/>
          <w:color w:val="111111"/>
          <w:sz w:val="28"/>
          <w:szCs w:val="28"/>
          <w:rtl w:val="true"/>
          <w:lang w:bidi="ar-SA"/>
        </w:rPr>
        <w:t>»</w:t>
      </w:r>
      <w:r>
        <w:rPr>
          <w:rStyle w:val="FootnoteAnchor"/>
          <w:rtl w:val="true"/>
        </w:rPr>
        <w:footnoteReference w:id="3561"/>
      </w:r>
      <w:r>
        <w:rPr>
          <w:rFonts w:eastAsia="Times New Roman" w:cs="Times New Roman" w:ascii="Times New Roman" w:hAnsi="Times New Roman"/>
          <w:color w:val="111111"/>
          <w:sz w:val="28"/>
          <w:szCs w:val="28"/>
          <w:rtl w:val="true"/>
          <w:lang w:val="en-US" w:bidi="en-US"/>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ترى صاحب المدارك أنّه بعد ما نقل الكراهة المطلقة عن مبسوط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جمع في كتابي الحديث بين الأخبار تارة بالمنع من الوضوء بسؤر غير المأمونة، </w:t>
      </w:r>
    </w:p>
    <w:p>
      <w:pPr>
        <w:pStyle w:val="BookText"/>
        <w:rPr/>
      </w:pPr>
      <w:r>
        <w:rPr>
          <w:rFonts w:ascii="IRNazanin" w:hAnsi="IRNazanin" w:eastAsia="IRNazanin"/>
          <w:color w:val="111111"/>
          <w:sz w:val="28"/>
          <w:sz w:val="28"/>
          <w:szCs w:val="28"/>
          <w:rtl w:val="true"/>
          <w:lang w:bidi="fa-IR"/>
        </w:rPr>
        <w:t>و اخرى بالاستحباب</w:t>
      </w:r>
      <w:r>
        <w:rPr>
          <w:rFonts w:eastAsia="IRNazanin" w:cs="IRNazanin"/>
          <w:color w:val="111111"/>
          <w:sz w:val="28"/>
          <w:szCs w:val="28"/>
          <w:rtl w:val="true"/>
          <w:lang w:bidi="fa-IR"/>
        </w:rPr>
        <w:t>»</w:t>
      </w:r>
      <w:r>
        <w:rPr>
          <w:rStyle w:val="FootnoteAnchor"/>
          <w:rtl w:val="true"/>
        </w:rPr>
        <w:footnoteReference w:id="3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الاختلاف في كلماتهم كما ترى إنّما نشأ عن الاختلاف الواقع في أخبار الباب، فإنّ منها ما يظهر منه المنع المطلق عن التوضّؤ، و منها ما يظهر منه المنع المقيّد عن التوضّؤ أيضا، و منها ما يظهر منه الكراهة المطلقة عن التوضّؤ أيضا، و منها ما يتردّد بين المنع المطلق عن التوضّؤ و بين جواز التوضّؤ مطلقا و جوازه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عنبسة بن مصعب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الحائض يشرب منه و لا يتوضّأ</w:t>
      </w:r>
      <w:r>
        <w:rPr>
          <w:rFonts w:eastAsia="Amiri" w:cs="Amiri" w:ascii="Amiri" w:hAnsi="Amiri"/>
          <w:color w:val="111111"/>
          <w:sz w:val="28"/>
          <w:szCs w:val="28"/>
          <w:rtl w:val="true"/>
          <w:lang w:bidi="ar-SA"/>
        </w:rPr>
        <w:t>»</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 يتوضّأ الرجل من فضل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تعرف الوضوء يتوضّأ، و لا يتوضّأ من سؤر الحائض</w:t>
      </w:r>
      <w:r>
        <w:rPr>
          <w:rFonts w:eastAsia="Amiri" w:cs="Amiri" w:ascii="Amiri" w:hAnsi="Amiri"/>
          <w:color w:val="111111"/>
          <w:sz w:val="28"/>
          <w:szCs w:val="28"/>
          <w:rtl w:val="true"/>
          <w:lang w:bidi="ar-SA"/>
        </w:rPr>
        <w:t>»</w:t>
      </w:r>
      <w:r>
        <w:rPr>
          <w:rStyle w:val="FootnoteAnchor"/>
          <w:rtl w:val="true"/>
        </w:rPr>
        <w:footnoteReference w:id="3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الحسين بن أبي العلاء عن أبي عبد اللّه عليه السّلام 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من سؤرها و لا يتوضّأ منه</w:t>
      </w:r>
      <w:r>
        <w:rPr>
          <w:rFonts w:eastAsia="Amiri" w:cs="Amiri" w:ascii="Amiri" w:hAnsi="Amiri"/>
          <w:color w:val="111111"/>
          <w:sz w:val="28"/>
          <w:szCs w:val="28"/>
          <w:rtl w:val="true"/>
          <w:lang w:bidi="ar-SA"/>
        </w:rPr>
        <w:t>»</w:t>
      </w:r>
      <w:r>
        <w:rPr>
          <w:rStyle w:val="FootnoteAnchor"/>
          <w:rtl w:val="true"/>
        </w:rPr>
        <w:footnoteReference w:id="3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يتوضّأ عن فضل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يقطين عن أبي الحسن عليه السّلام في الرجل يتوضّأ بفضل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r>
        <w:rPr>
          <w:rStyle w:val="FootnoteAnchor"/>
          <w:rtl w:val="true"/>
        </w:rPr>
        <w:footnoteReference w:id="3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الطامث أشرب من فضل شرابها، و لا أحبّ أن أتوضّأ منه</w:t>
      </w:r>
      <w:r>
        <w:rPr>
          <w:rFonts w:eastAsia="Amiri" w:cs="Amiri" w:ascii="Amiri" w:hAnsi="Amiri"/>
          <w:color w:val="111111"/>
          <w:sz w:val="28"/>
          <w:szCs w:val="28"/>
          <w:rtl w:val="true"/>
          <w:lang w:bidi="ar-SA"/>
        </w:rPr>
        <w:t>»</w:t>
      </w:r>
      <w:r>
        <w:rPr>
          <w:rStyle w:val="FootnoteAnchor"/>
          <w:rtl w:val="true"/>
        </w:rPr>
        <w:footnoteReference w:id="3568"/>
      </w:r>
      <w:r>
        <w:rPr>
          <w:rFonts w:ascii="Amiri" w:hAnsi="Amiri" w:eastAsia="Amiri" w:cs="Amiri"/>
          <w:color w:val="111111"/>
          <w:sz w:val="28"/>
          <w:sz w:val="28"/>
          <w:szCs w:val="28"/>
          <w:rtl w:val="true"/>
          <w:lang w:bidi="ar-SA"/>
        </w:rPr>
        <w:t>بناء على أنّه يدلّ على نفي المحبوبيّة و هو أعمّ من المبغوضيّة، فلا يستفاد منه ما زاد على الكراهة، و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بظهور هذه اللفظة فيها</w:t>
      </w:r>
      <w:r>
        <w:rPr>
          <w:rFonts w:eastAsia="Amiri" w:cs="Amiri" w:ascii="Amiri" w:hAnsi="Amiri"/>
          <w:color w:val="111111"/>
          <w:sz w:val="28"/>
          <w:szCs w:val="28"/>
          <w:rtl w:val="true"/>
          <w:lang w:bidi="ar-SA"/>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عيص بن القاسم المرويّة في الكافي و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يغتسل الرجل و المرأة من إناء 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يفرغان على أيديهما قبل أن يضعا أيديهما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سؤر الحائض؟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توضّأ منه، و توضّأ من سؤر الجنب إذا كانت مأمونة، ثمّ تغسل يديها قبل أن تدخلهما في الإناء، و كان رسول اللّه صلّى اللّه عليه و آله يغتسل هو و عائشة في إناء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يغتسلان جميعا</w:t>
      </w:r>
      <w:r>
        <w:rPr>
          <w:rFonts w:eastAsia="Amiri" w:cs="Amiri" w:ascii="Amiri" w:hAnsi="Amiri"/>
          <w:color w:val="111111"/>
          <w:sz w:val="28"/>
          <w:szCs w:val="28"/>
          <w:rtl w:val="true"/>
          <w:lang w:bidi="ar-SA"/>
        </w:rPr>
        <w:t>»</w:t>
      </w:r>
      <w:r>
        <w:rPr>
          <w:rStyle w:val="FootnoteAnchor"/>
          <w:rtl w:val="true"/>
        </w:rPr>
        <w:footnoteReference w:id="3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في التهذيبين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سؤر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 و توضّأ من سؤر الجنب إذا كانت مأمونة</w:t>
      </w:r>
      <w:r>
        <w:rPr>
          <w:rFonts w:eastAsia="Amiri" w:cs="Amiri" w:ascii="Amiri" w:hAnsi="Amiri"/>
          <w:color w:val="111111"/>
          <w:sz w:val="28"/>
          <w:szCs w:val="28"/>
          <w:rtl w:val="true"/>
          <w:lang w:bidi="ar-SA"/>
        </w:rPr>
        <w:t>»</w:t>
      </w:r>
      <w:r>
        <w:rPr>
          <w:rStyle w:val="FootnoteAnchor"/>
          <w:rtl w:val="true"/>
        </w:rPr>
        <w:footnoteReference w:id="357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الجنب هنا مراد بها المرأة،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لفظ يستوي فيه المذكّر و المؤنّث،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الكافي لا يتحمّل قيدا لما حكم به لسؤر الحائض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فعليه يكون مفاد ذلك المنع المطلق على طبق القسم الأوّل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نسخة التهذيبين يحتمل كونه قيدا للجنب فقط، فيكون مفاد الرواية حينئذ بالقياس إلى سؤر الحائض الجواز المطلق، كما يحتمل كونه قيدا لها و لما قبلها على إرادة كلّ واحدة، فيكون مفادها حينئذ الجواز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ففيما بين تلك الأخبار من التنافي ما لا يخفى، و معه لا يمكن العمل بالجميع إلاّ بنوع من التصرّف يوجب الجمع بينها، و هو يتصوّر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القسم الأوّل، و في رواية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مع حمل إطلاقه على المنع المقيّد المستفاد من مفهوم رواية القسم الثاني و كذلك رواية القسم الرابع على نسخة التهذيبين، مع رجوع القيد إلى سؤر الحائض أيضا، بناء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بها نفي الحرمة خاصّة</w:t>
      </w:r>
      <w:r>
        <w:rPr>
          <w:rFonts w:eastAsia="Amiri" w:cs="Amiri" w:ascii="Amiri" w:hAnsi="Amiri"/>
          <w:color w:val="111111"/>
          <w:sz w:val="28"/>
          <w:szCs w:val="28"/>
          <w:rtl w:val="true"/>
          <w:lang w:bidi="ar-SA"/>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القسم الثالث على إرادة المبغوضيّة مع حمل إطلاقه على المنع المقيّد المذكور، ليكون مفاد المجموع حينئذ المنع من سؤر الغير المأمونة خاصّة، و هذا هو الّذي عزي إلى ظاهر التهذيبين، و اقتضاه ما ذكره أوّلا من وجه الجمع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القسم الثالث من إرادة الكراهة، ثمّ يجعل قرينة على 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القسم الأوّل و كذلك ما في رواية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الكراهة، مع حمل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القسم الثاني على نفي الحرمة الغير المنافي لثبوت الكراهة لمحلّ النطق و إلغاء المفهوم عن المسكوت عنه،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الإذن الموجودة في ضمن الكراهة مع عدم رجوع القيد إليه، فيكون مفاد الجميع حينئذ الكراهة المطلقة، و هذا هو الّذي نقل عن السيّد و الشيخ في المصباح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القسم الثاني على إرادة نفي المرجوحيّة المطلقة، حتّى الكراهة الغير المنافي لثبوتها في جانب المفهوم، ثمّ يؤخذ 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القسم الثالث و يجعل أيضا قرينة على إرادة الكراهة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الاخر، لكن مع تقييد الجميع بغير المأمونة عملا بمنطوق رواية القسم الثاني،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الإذن المطلق الّذي هو القدر المشترك بين الكراهة و الإباحة الخاصّة، فيكون مفاد الجميع كراهة سؤر الغير المأمونة مع انتفائها عن سؤر المأمونة، و هذا هو المشهور الّذي صار إليه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احتمالات اخر يظهر بالتأمّل، و لا ريب أنّ المصير إلى بعض ما ذكر من الوجوه الثلاث بعينه لا بدّ له من مرجّح عرفي يرجّح أحدها بعينه، و ظاهر أنّ مناط الترجيح هو الظهور و الأظهريّة، على ما هو مقرّر في المرجّحات الراجعة إلى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الوجه الأخير، بل هو الأقوى، و إن استلزم ذلك ارتكاب خلاف ظاهر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بحملها على نفي المرجوحيّة المطلقة، مع ظهورها عرفا في نفي الجهة المقتضية للمنع من نجاسة أو غيرها، و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الكراهة مع ظهورها في الحرمة، و فيها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التقييد بهما مع ظهورهما في الإطلاق</w:t>
      </w:r>
      <w:r>
        <w:rPr>
          <w:rFonts w:eastAsia="Amiri" w:cs="Amiri" w:ascii="Amiri" w:hAnsi="Amiri"/>
          <w:color w:val="111111"/>
          <w:sz w:val="28"/>
          <w:szCs w:val="28"/>
          <w:rtl w:val="true"/>
          <w:lang w:bidi="ar-SA"/>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إفادة الكراهة، و الجملة الشرطيّة أظهر </w:t>
      </w:r>
      <w:bookmarkStart w:id="1101" w:name="pg16144_233825"/>
    </w:p>
    <w:p>
      <w:pPr>
        <w:pStyle w:val="BookText"/>
        <w:rPr/>
      </w:pPr>
      <w:bookmarkEnd w:id="1101"/>
      <w:r>
        <w:rPr>
          <w:rFonts w:ascii="Amiri" w:hAnsi="Amiri" w:eastAsia="Amiri" w:cs="Amiri"/>
          <w:color w:val="111111"/>
          <w:sz w:val="28"/>
          <w:sz w:val="28"/>
          <w:szCs w:val="28"/>
          <w:rtl w:val="true"/>
          <w:lang w:bidi="ar-SA"/>
        </w:rPr>
        <w:t xml:space="preserve">في إفادة المفهوم من جميع الامور المذكورة في إفادة ظواهرها، و من البيّن وجوب تقديم الأظهر على غيره في مقام التعارض، فلا يصار معه إلى الوجه الأوّل لاستلزامه العدول عن ظاهر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مشاركته للوجه الأخير في اقتضاء التقييد، و لا إلى الوجه الثاني لأدائه إلى إلغاء المفهوم عن الجملة الشرطيّة، مع مشاركته للوجه الأخير في اقتضاء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الكراهة، مع إمكان المنع من ظهورها في التحريم، لأنّها جملة خبريّة و هي عند تعذّر الحقيقة ظاهرة في الإنشاء المطلق و منه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ظهورها فيه بالنوع فيتوهّن ذلك الظهور بمصير المعظم إلى خلافه، إن لم نقل بكون فهمهم الكراهة موجبا لظهورها، و بمثل ذلك أمكن منع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نفي البأس في المقيّدات بعد العلم بعدم الحرمة في غير المأمونة نفي الكراهة رأسا</w:t>
      </w:r>
      <w:r>
        <w:rPr>
          <w:rFonts w:eastAsia="Amiri" w:cs="Amiri" w:ascii="Amiri" w:hAnsi="Amiri"/>
          <w:color w:val="111111"/>
          <w:sz w:val="28"/>
          <w:szCs w:val="28"/>
          <w:rtl w:val="true"/>
          <w:lang w:bidi="ar-SA"/>
        </w:rPr>
        <w:t>»</w:t>
      </w:r>
      <w:r>
        <w:rPr>
          <w:rStyle w:val="FootnoteAnchor"/>
          <w:rtl w:val="true"/>
        </w:rPr>
        <w:footnoteReference w:id="3571"/>
      </w:r>
      <w:r>
        <w:rPr>
          <w:rFonts w:ascii="Amiri" w:hAnsi="Amiri" w:eastAsia="Amiri" w:cs="Amiri"/>
          <w:color w:val="111111"/>
          <w:sz w:val="28"/>
          <w:sz w:val="28"/>
          <w:szCs w:val="28"/>
          <w:rtl w:val="true"/>
          <w:lang w:bidi="ar-SA"/>
        </w:rPr>
        <w:t xml:space="preserve">، فإنّ العلم بانتفاء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قرينة على كون النظر في روايات الباب نفيا و إثباتا منطوقا و مفهوما إلى الكراهة خاصّة، و من هنا أمكن أيضا استظهار الكراهة من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1805196_1280447820"/>
      <w:bookmarkStart w:id="1103" w:name="_Toc429"/>
      <w:bookmarkEnd w:id="1102"/>
      <w:r>
        <w:rPr>
          <w:rtl w:val="true"/>
        </w:rPr>
        <w:t>ثمّ يبقى ممّا يتعلّق بالمسألة امور</w:t>
      </w:r>
      <w:r>
        <w:rPr>
          <w:rtl w:val="true"/>
        </w:rPr>
        <w:t>:</w:t>
      </w:r>
      <w:bookmarkEnd w:id="1103"/>
    </w:p>
    <w:p>
      <w:pPr>
        <w:pStyle w:val="Heading6"/>
        <w:numPr>
          <w:ilvl w:val="5"/>
          <w:numId w:val="1"/>
        </w:numPr>
        <w:rPr/>
      </w:pPr>
      <w:bookmarkStart w:id="1104" w:name="__RefHeading___Toc1805198_1280447820"/>
      <w:bookmarkStart w:id="1105" w:name="_Toc430"/>
      <w:bookmarkEnd w:id="1104"/>
      <w:r>
        <w:rPr>
          <w:rtl w:val="true"/>
        </w:rPr>
        <w:t>الأوّل</w:t>
      </w:r>
      <w:r>
        <w:rPr>
          <w:rtl w:val="true"/>
        </w:rPr>
        <w:t xml:space="preserve">: </w:t>
      </w:r>
      <w:r>
        <w:rPr>
          <w:rtl w:val="true"/>
        </w:rPr>
        <w:t>قد عرفت أنّ مقتضى الجمع بين الأخبار اختصاص الكراهة بالحائض الغير المأمونة،</w:t>
      </w:r>
      <w:bookmarkEnd w:id="1105"/>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هو صريح رواية عليّ بن يقطين، و رواية عيص بن القاسم على نسخة التهذيبين في أحد الوجهين، و قد ورد التقييد به في كلام جماعة من المقيّدين كالشرائع</w:t>
      </w:r>
      <w:r>
        <w:rPr>
          <w:rStyle w:val="FootnoteAnchor"/>
          <w:rtl w:val="true"/>
        </w:rPr>
        <w:footnoteReference w:id="3572"/>
      </w:r>
      <w:r>
        <w:rPr>
          <w:rFonts w:ascii="Amiri" w:hAnsi="Amiri" w:eastAsia="Amiri" w:cs="Amiri"/>
          <w:color w:val="111111"/>
          <w:sz w:val="28"/>
          <w:sz w:val="28"/>
          <w:szCs w:val="28"/>
          <w:rtl w:val="true"/>
          <w:lang w:bidi="ar-SA"/>
        </w:rPr>
        <w:t>و عن الذكرى</w:t>
      </w:r>
      <w:r>
        <w:rPr>
          <w:rStyle w:val="FootnoteAnchor"/>
          <w:rtl w:val="true"/>
        </w:rPr>
        <w:footnoteReference w:id="3573"/>
      </w:r>
      <w:r>
        <w:rPr>
          <w:rFonts w:ascii="IRNazanin" w:hAnsi="IRNazanin" w:eastAsia="IRNazanin"/>
          <w:color w:val="111111"/>
          <w:sz w:val="28"/>
          <w:sz w:val="28"/>
          <w:szCs w:val="28"/>
          <w:rtl w:val="true"/>
          <w:lang w:bidi="fa-IR"/>
        </w:rPr>
        <w:t>، و المراسم</w:t>
      </w:r>
      <w:r>
        <w:rPr>
          <w:rStyle w:val="FootnoteAnchor"/>
          <w:rtl w:val="true"/>
        </w:rPr>
        <w:footnoteReference w:id="3574"/>
      </w:r>
      <w:r>
        <w:rPr>
          <w:rFonts w:ascii="IRNazanin" w:hAnsi="IRNazanin" w:eastAsia="IRNazanin"/>
          <w:color w:val="111111"/>
          <w:sz w:val="28"/>
          <w:sz w:val="28"/>
          <w:szCs w:val="28"/>
          <w:rtl w:val="true"/>
          <w:lang w:bidi="fa-IR"/>
        </w:rPr>
        <w:t>، و الجامع</w:t>
      </w:r>
      <w:r>
        <w:rPr>
          <w:rStyle w:val="FootnoteAnchor"/>
          <w:rtl w:val="true"/>
        </w:rPr>
        <w:footnoteReference w:id="3575"/>
      </w:r>
      <w:r>
        <w:rPr>
          <w:rFonts w:ascii="Amiri" w:hAnsi="Amiri" w:eastAsia="Amiri" w:cs="Amiri"/>
          <w:color w:val="111111"/>
          <w:sz w:val="28"/>
          <w:sz w:val="28"/>
          <w:szCs w:val="28"/>
          <w:rtl w:val="true"/>
          <w:lang w:bidi="ar-SA"/>
        </w:rPr>
        <w:t>، و المهذّب</w:t>
      </w:r>
      <w:r>
        <w:rPr>
          <w:rStyle w:val="FootnoteAnchor"/>
          <w:rtl w:val="true"/>
        </w:rPr>
        <w:footnoteReference w:id="3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الدروس</w:t>
      </w:r>
      <w:r>
        <w:rPr>
          <w:rStyle w:val="FootnoteAnchor"/>
          <w:rtl w:val="true"/>
        </w:rPr>
        <w:footnoteReference w:id="3577"/>
      </w:r>
      <w:r>
        <w:rPr>
          <w:rFonts w:ascii="Amiri" w:hAnsi="Amiri" w:eastAsia="Amiri" w:cs="Amiri"/>
          <w:color w:val="111111"/>
          <w:sz w:val="28"/>
          <w:sz w:val="28"/>
          <w:szCs w:val="28"/>
          <w:rtl w:val="true"/>
          <w:lang w:bidi="ar-SA"/>
        </w:rPr>
        <w:t>تبديل الغير المأمونة بالمتّهمة، كما عن السرائر</w:t>
      </w:r>
      <w:r>
        <w:rPr>
          <w:rStyle w:val="FootnoteAnchor"/>
          <w:rtl w:val="true"/>
        </w:rPr>
        <w:footnoteReference w:id="3578"/>
      </w:r>
      <w:r>
        <w:rPr>
          <w:rFonts w:ascii="IRNazanin" w:hAnsi="IRNazanin" w:eastAsia="IRNazanin"/>
          <w:color w:val="111111"/>
          <w:sz w:val="28"/>
          <w:sz w:val="28"/>
          <w:szCs w:val="28"/>
          <w:rtl w:val="true"/>
          <w:lang w:bidi="fa-IR"/>
        </w:rPr>
        <w:t>و المعتبر</w:t>
      </w:r>
      <w:r>
        <w:rPr>
          <w:rStyle w:val="FootnoteAnchor"/>
          <w:rtl w:val="true"/>
        </w:rPr>
        <w:footnoteReference w:id="3579"/>
      </w:r>
      <w:r>
        <w:rPr>
          <w:rFonts w:ascii="IRNazanin" w:hAnsi="IRNazanin" w:eastAsia="IRNazanin"/>
          <w:color w:val="111111"/>
          <w:sz w:val="28"/>
          <w:sz w:val="28"/>
          <w:szCs w:val="28"/>
          <w:rtl w:val="true"/>
          <w:lang w:bidi="fa-IR"/>
        </w:rPr>
        <w:t>، و المنتهى</w:t>
      </w:r>
      <w:r>
        <w:rPr>
          <w:rStyle w:val="FootnoteAnchor"/>
          <w:rtl w:val="true"/>
        </w:rPr>
        <w:footnoteReference w:id="3580"/>
      </w:r>
      <w:r>
        <w:rPr>
          <w:rFonts w:ascii="IRNazanin" w:hAnsi="IRNazanin" w:eastAsia="IRNazanin"/>
          <w:color w:val="111111"/>
          <w:sz w:val="28"/>
          <w:sz w:val="28"/>
          <w:szCs w:val="28"/>
          <w:rtl w:val="true"/>
          <w:lang w:bidi="fa-IR"/>
        </w:rPr>
        <w:t>، و المختلف</w:t>
      </w:r>
      <w:r>
        <w:rPr>
          <w:rStyle w:val="FootnoteAnchor"/>
          <w:rtl w:val="true"/>
        </w:rPr>
        <w:footnoteReference w:id="3581"/>
      </w:r>
      <w:r>
        <w:rPr>
          <w:rFonts w:ascii="Amiri" w:hAnsi="Amiri" w:eastAsia="Amiri" w:cs="Amiri"/>
          <w:color w:val="111111"/>
          <w:sz w:val="28"/>
          <w:sz w:val="28"/>
          <w:szCs w:val="28"/>
          <w:rtl w:val="true"/>
          <w:lang w:bidi="ar-SA"/>
        </w:rPr>
        <w:t>، و التحرير</w:t>
      </w:r>
      <w:r>
        <w:rPr>
          <w:rStyle w:val="FootnoteAnchor"/>
          <w:rtl w:val="true"/>
        </w:rPr>
        <w:footnoteReference w:id="358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القواعد</w:t>
      </w:r>
      <w:r>
        <w:rPr>
          <w:rStyle w:val="FootnoteAnchor"/>
          <w:rtl w:val="true"/>
        </w:rPr>
        <w:footnoteReference w:id="3583"/>
      </w:r>
      <w:r>
        <w:rPr>
          <w:rFonts w:ascii="IRNazanin" w:hAnsi="IRNazanin" w:eastAsia="IRNazanin"/>
          <w:color w:val="111111"/>
          <w:sz w:val="28"/>
          <w:sz w:val="28"/>
          <w:szCs w:val="28"/>
          <w:rtl w:val="true"/>
          <w:lang w:bidi="fa-IR"/>
        </w:rPr>
        <w:t>، و الإرشاد</w:t>
      </w:r>
      <w:r>
        <w:rPr>
          <w:rStyle w:val="FootnoteAnchor"/>
          <w:rtl w:val="true"/>
        </w:rPr>
        <w:footnoteReference w:id="3584"/>
      </w:r>
      <w:r>
        <w:rPr>
          <w:rFonts w:ascii="Amiri" w:hAnsi="Amiri" w:eastAsia="Amiri" w:cs="Amiri"/>
          <w:color w:val="111111"/>
          <w:sz w:val="28"/>
          <w:sz w:val="28"/>
          <w:szCs w:val="28"/>
          <w:rtl w:val="true"/>
          <w:lang w:bidi="ar-SA"/>
        </w:rPr>
        <w:t>، و اللمعة</w:t>
      </w:r>
      <w:r>
        <w:rPr>
          <w:rStyle w:val="FootnoteAnchor"/>
          <w:rtl w:val="true"/>
        </w:rPr>
        <w:footnoteReference w:id="3585"/>
      </w:r>
      <w:r>
        <w:rPr>
          <w:rFonts w:ascii="Amiri" w:hAnsi="Amiri" w:eastAsia="Amiri" w:cs="Amiri"/>
          <w:color w:val="111111"/>
          <w:sz w:val="28"/>
          <w:sz w:val="28"/>
          <w:szCs w:val="28"/>
          <w:rtl w:val="true"/>
          <w:lang w:bidi="ar-SA"/>
        </w:rPr>
        <w:t>، و الجعفريّة</w:t>
      </w:r>
      <w:r>
        <w:rPr>
          <w:rStyle w:val="FootnoteAnchor"/>
          <w:rtl w:val="true"/>
        </w:rPr>
        <w:footnoteReference w:id="3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كلام غير واحد أنّ الثمرة تظهر في الحائض المجهولة الحال، فإنّ سؤرها مكروه على الأوّل دون الثاني، لأنّ المتّهمة أخصّ من غير المأمونة، حيث إنّها تشمل المجهولة دون المتّهمة، و لعلّه كذلك بملاحظة مضمونها لغة،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الأمن أو الأمانة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و الاطمئنان، فالمأمونة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الّتي يوثق بطهارتها و يطمئنّ على تحفّظها عن النجاسة، و لا ريب أنّ الوثوق و الاطمئنان منحصر في صورة العلم أو الظنّ بالتحفّظ، فغير المأمونة حينئذ من لم يعلم و لا يظنّ تحفّظها عن النجاسة، سواء علم أو ظنّ بالعدم كما في 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الظنّ بالعدم، نظرا إلى أنّ الاتّهام عبارة عن سوء الظنّ، فالمتّهمة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بسوء تحفّظها عن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يعلم و لا يظنّ كالمجهولة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حكم في المدارك بأولويّة إناطة الكراهة بغير المأمونة من المتّهمة، تعليلا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النصّ إنّما يقتضي انتفاء المرجوحيّة إذا كانت مأمونة، و هو أخصّ من كونها غير متّهمة، لتحقّق الثاني في ضمن من لا يعلم حالها دون الأوّل</w:t>
      </w:r>
      <w:r>
        <w:rPr>
          <w:rFonts w:eastAsia="Amiri" w:cs="Amiri" w:ascii="Amiri" w:hAnsi="Amiri"/>
          <w:color w:val="111111"/>
          <w:sz w:val="28"/>
          <w:szCs w:val="28"/>
          <w:rtl w:val="true"/>
          <w:lang w:bidi="ar-SA"/>
        </w:rPr>
        <w:t>»</w:t>
      </w:r>
      <w:r>
        <w:rPr>
          <w:rStyle w:val="FootnoteAnchor"/>
          <w:rtl w:val="true"/>
        </w:rPr>
        <w:footnoteReference w:id="3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باتّحادهما عرفا، على معنى أنّ المتبادر عرفا من المأمونة هي الّتي لا تتّهم، و كأنّه إلى ذلك يرجع ما عن بعض المحقّقين من أنّ غير المأمونة هي المتّهمة، إذ لا واسطة بين المأمونة و من لا أمانة لها، و الّتي لا أمانة لها هي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يتوجّه إليه ما في المدارك من الاعتراض عليه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المتبادر من المأمونة من ظنّ تحفّظها من النجاسات، و نقيضها من لم يظنّ بها ذلك، و هو أعمّ من المتّهمة و المجهولة</w:t>
      </w:r>
      <w:r>
        <w:rPr>
          <w:rFonts w:eastAsia="Amiri" w:cs="Amiri" w:ascii="Amiri" w:hAnsi="Amiri"/>
          <w:color w:val="111111"/>
          <w:sz w:val="28"/>
          <w:szCs w:val="28"/>
          <w:rtl w:val="true"/>
          <w:lang w:bidi="ar-SA"/>
        </w:rPr>
        <w:t>»</w:t>
      </w:r>
      <w:r>
        <w:rPr>
          <w:rStyle w:val="FootnoteAnchor"/>
          <w:rtl w:val="true"/>
        </w:rPr>
        <w:footnoteReference w:id="3588"/>
      </w:r>
      <w:r>
        <w:rPr>
          <w:rFonts w:eastAsia="Times New Roman" w:cs="Times New Roman" w:ascii="Times New Roman" w:hAnsi="Times New Roman"/>
          <w:color w:val="111111"/>
          <w:sz w:val="28"/>
          <w:szCs w:val="28"/>
          <w:rtl w:val="true"/>
          <w:lang w:val="en-US" w:bidi="en-US"/>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مرجع ما ذكر إلى منع كون غير المأمونة أعمّ من المتّهمة، بل هما متساويان في العرف، و كما أنّ من لم يعلم حالها لا تدخل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تدخل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المأمونة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التعبيرين لا يحكم عليها بشيء من الكراهة و العدم واقعا، و إن كان مقتضى استحباب الحالة السابقة الثابتة للماء هو عدم الكراهة في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يبقى الكلام في صحّة دعوى التبادر العرفي و لعلّها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مبنى الإشكال على دخول الظنّ في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قضيّة ذلك كون نقيض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لا 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الروايات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السلامة و الحفظ و الخلوص عن النجاسة ليكون أمرا واقعيّا من غير مدخليّة للعلم أو الظنّ فيه إلاّ من باب الطريقيّة، أمكن القول بدخول المجهولة بحسب الواقع إمّا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نقيضها، فلا يحكم عليها بحسب الواقع بشيء من الكراهة و العدم، و إن وجب الحكم في الظاهر بعدمها استصحابا للحالة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يرجع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نمنع أخذ الظنّ في المأمونة، بل المراد منها المتحفّظة عن النجاسة واقعا، فتارة يظنّ و تارة يقطع، و غير المأمونة غير المتحفظة في الواقع، و على كلّ حال فمجهولة الحال لا يحكم عليها بشيء و إن كان الواقع لا يخلو منهما، كما يرشد إليه قول ابن إدريس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المتّهمة الّتي لا تتوقّى عن النجاسات</w:t>
      </w:r>
      <w:r>
        <w:rPr>
          <w:rFonts w:eastAsia="Amiri" w:cs="Amiri" w:ascii="Amiri" w:hAnsi="Amiri"/>
          <w:color w:val="111111"/>
          <w:sz w:val="28"/>
          <w:szCs w:val="28"/>
          <w:rtl w:val="true"/>
          <w:lang w:bidi="ar-SA"/>
        </w:rPr>
        <w:t>»</w:t>
      </w:r>
      <w:r>
        <w:rPr>
          <w:rStyle w:val="FootnoteAnchor"/>
          <w:rtl w:val="true"/>
        </w:rPr>
        <w:footnoteReference w:id="3589"/>
      </w: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سؤر الحائض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منه إذا كانت تغسل يديها</w:t>
      </w:r>
      <w:r>
        <w:rPr>
          <w:rFonts w:eastAsia="Amiri" w:cs="Amiri" w:ascii="Amiri" w:hAnsi="Amiri"/>
          <w:color w:val="111111"/>
          <w:sz w:val="28"/>
          <w:szCs w:val="28"/>
          <w:rtl w:val="true"/>
          <w:lang w:bidi="ar-SA"/>
        </w:rPr>
        <w:t>»</w:t>
      </w:r>
      <w:r>
        <w:rPr>
          <w:rStyle w:val="FootnoteAnchor"/>
          <w:rtl w:val="true"/>
        </w:rPr>
        <w:footnoteReference w:id="3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كما ترى لا يجدي نفعا في إصلاح التعبير بالمتّهمة عن غير المأمونة، بل قضيّة هذا التوجيه إناطة الكراهة وجودا و عدما بموضع القطع بالتحفّظ و الخلوص عن النجاسة و عدمه، لا لأنّ القطع له مدخليّة في موضوع الحكمين، بل لأنّه هو الطريق الموصل إلى الواقع على حدّ ما هو في سائر الموضوعات، فيلزم أن لا يحكم في الّتي ظنّ تحفّظها و الّتي ظنّ عدم تحفّظها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شكّ في حالها بشيء من الكراهة و العدم في الواقع، و إن قضى الظاهر بالحكم بعدمها حتّى في المتّهمة أيضا</w:t>
      </w:r>
      <w:r>
        <w:rPr>
          <w:rFonts w:eastAsia="Amiri" w:cs="Amiri" w:ascii="Amiri" w:hAnsi="Amiri"/>
          <w:color w:val="111111"/>
          <w:sz w:val="28"/>
          <w:szCs w:val="28"/>
          <w:rtl w:val="true"/>
          <w:lang w:bidi="ar-SA"/>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بناء على الاقتصار في العمل على الروايات المقيّدة بالمأمونة، و أمّا بناء على العمل بالروايات الناهية على الإطلاق و أخذ الروايات المقيّدة مخصّصة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مبنى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الحكم بالكراهة في جميع الأقسام الثلاث المذكورة، إذ لم يعلم بملاحظة المخصّص إلاّ خروج المأمونة عنها، و هي الّتي علم أمانتها في الواقع</w:t>
      </w:r>
      <w:r>
        <w:rPr>
          <w:rFonts w:eastAsia="Amiri" w:cs="Amiri" w:ascii="Amiri" w:hAnsi="Amiri"/>
          <w:color w:val="111111"/>
          <w:sz w:val="28"/>
          <w:szCs w:val="28"/>
          <w:rtl w:val="true"/>
          <w:lang w:bidi="ar-SA"/>
        </w:rPr>
        <w:t xml:space="preserve">. </w:t>
      </w:r>
      <w:bookmarkStart w:id="1106" w:name="pg16144_233828"/>
    </w:p>
    <w:p>
      <w:pPr>
        <w:pStyle w:val="BookText"/>
        <w:rPr/>
      </w:pPr>
      <w:bookmarkEnd w:id="1106"/>
      <w:r>
        <w:rPr>
          <w:rFonts w:ascii="Amiri" w:hAnsi="Amiri" w:eastAsia="Amiri" w:cs="Amiri"/>
          <w:color w:val="111111"/>
          <w:sz w:val="28"/>
          <w:sz w:val="28"/>
          <w:szCs w:val="28"/>
          <w:rtl w:val="true"/>
          <w:lang w:bidi="ar-SA"/>
        </w:rPr>
        <w:t>و من هنا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نهت عن الوضوء بسؤر الحائض مطلقا، أقصى ما هناك أنّه خرجت المأمونة عن هذا الإطلاق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فالتعبير بالمتّهمة مع الاقتصار عليها ليس على ما ينبغي، إذ النظر في الحكم بالكراهة هنا إن كان إلى إطلاق الروايات المطلقة في غير ما خرج بالدليل، فهي مقتضية للكراهة فيما يعمّ المتّهمة و غيرها كالمجهولة إذا لم يؤخذ المتّهمة فيها عنوان الحكم بل العنوان هو الحائض، غاية الأمر أنّه خرج عنها المأمونة هي الّتي يوثق بطهارتها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يقطع بتحفّظها عن النجاسة بالخصوص، و إن كان إلى مفهوم الروايات المقيّدة، فهو على تقدير يوجب الحكم فيما يعمّ غير المتّهمة أيضا، و على تقدير آخر لا يوجبه في المتّهمة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جميع ما ذكر آل الكلام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بملاحظة إطلاق الأخبار الناهية عن سؤر الحائض كراهة سؤر جميع أفرادها عدا المأمونة، و هي المحفوظة عن النجاسة في الواقع، فلا يحكم بها إلاّ مع العلم بالحفظ، بل ينبغي أن يستثنى من هذا الإطلاق الّتي علم بعدم سلامتها عن النجاسة الشخصيّة لثبوت المنع هنا بملاحظة أدلّة اخر، و أمّا الّتي ظنّ بعدم سلامتها عن شخص النجاسة فاستثناؤها و العدم يدور على القول بالظنّ في ثبوت النجاسات و عدمه</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1805200_1280447820"/>
      <w:bookmarkStart w:id="1108" w:name="_Toc431"/>
      <w:bookmarkEnd w:id="1107"/>
      <w:r>
        <w:rPr>
          <w:rtl w:val="true"/>
        </w:rPr>
        <w:t>الأمر الثاني</w:t>
      </w:r>
      <w:r>
        <w:rPr>
          <w:rtl w:val="true"/>
        </w:rPr>
        <w:t xml:space="preserve">: </w:t>
      </w:r>
      <w:r>
        <w:rPr>
          <w:rtl w:val="true"/>
        </w:rPr>
        <w:t>قد عرفت بملاحظة ما تقدّم أنّ المأخوذ في موضوع حكم الكراهة إنّما هو الوضوء بسؤر الحائض مطلقة أو مقيّدة،</w:t>
      </w:r>
      <w:bookmarkEnd w:id="1108"/>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عرفت أنّها فارقة في النهي و الترخيص بين الوضوء و الشرب، حتّى أنّه قد خرجت أكثرها مصرّحة بالشرب مع النهي عن الوضوء المحمول على إرادة الكراهة، و من هنا استشكل بعضهم في حكم الشرب، لكن المعروف من مذهبهم عدم الفرق بينهما، بل عن المحقّق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الاقتصار على الوضوء لم نقل به فقيه</w:t>
      </w:r>
      <w:r>
        <w:rPr>
          <w:rFonts w:eastAsia="Amiri" w:cs="Amiri" w:ascii="Amiri" w:hAnsi="Amiri"/>
          <w:color w:val="111111"/>
          <w:sz w:val="28"/>
          <w:szCs w:val="28"/>
          <w:rtl w:val="true"/>
          <w:lang w:bidi="ar-SA"/>
        </w:rPr>
        <w:t>»</w:t>
      </w:r>
      <w:r>
        <w:rPr>
          <w:rStyle w:val="FootnoteAnchor"/>
          <w:rtl w:val="true"/>
        </w:rPr>
        <w:footnoteReference w:id="3591"/>
      </w:r>
      <w:r>
        <w:rPr>
          <w:rFonts w:ascii="Amiri" w:hAnsi="Amiri" w:eastAsia="Amiri" w:cs="Amiri"/>
          <w:color w:val="111111"/>
          <w:sz w:val="28"/>
          <w:sz w:val="28"/>
          <w:szCs w:val="28"/>
          <w:rtl w:val="true"/>
          <w:lang w:bidi="ar-SA"/>
        </w:rPr>
        <w:t>و لعلّه من جهة التسامح، و عليه يحمل النهي الوارد في الأخبار بالقياس إلى الوضوء على شدّة الكراهة لا على اختصاصها به، و لا يخلو عن إشكال</w:t>
      </w:r>
      <w:r>
        <w:rPr>
          <w:rFonts w:eastAsia="Amiri" w:cs="Amiri" w:ascii="Amiri" w:hAnsi="Amiri"/>
          <w:color w:val="111111"/>
          <w:sz w:val="28"/>
          <w:szCs w:val="28"/>
          <w:rtl w:val="true"/>
          <w:lang w:bidi="ar-SA"/>
        </w:rPr>
        <w:t xml:space="preserve">. </w:t>
      </w:r>
      <w:bookmarkStart w:id="1109" w:name="pg16144_233829"/>
    </w:p>
    <w:p>
      <w:pPr>
        <w:pStyle w:val="Heading6"/>
        <w:numPr>
          <w:ilvl w:val="5"/>
          <w:numId w:val="1"/>
        </w:numPr>
        <w:rPr/>
      </w:pPr>
      <w:bookmarkStart w:id="1110" w:name="__RefHeading___Toc1805202_1280447820"/>
      <w:bookmarkStart w:id="1111" w:name="_Toc432"/>
      <w:bookmarkEnd w:id="1109"/>
      <w:bookmarkEnd w:id="1110"/>
      <w:r>
        <w:rPr>
          <w:rtl w:val="true"/>
        </w:rPr>
        <w:t>الأمر الثالث</w:t>
      </w:r>
      <w:r>
        <w:rPr>
          <w:rtl w:val="true"/>
        </w:rPr>
        <w:t xml:space="preserve">: </w:t>
      </w:r>
      <w:r>
        <w:rPr>
          <w:rtl w:val="true"/>
        </w:rPr>
        <w:t>مقتضى بعض الروايات المتقدّمة كون سؤر الجنب أيضا في حكم سؤر الحائض،</w:t>
      </w:r>
      <w:bookmarkEnd w:id="1111"/>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مكروها مع عدم المأمونيّة، و قد يلحق بهما سؤر المستحاضة أيضا و النفساء، بل عن غير واحد كالشهيدين في البيان</w:t>
      </w:r>
      <w:r>
        <w:rPr>
          <w:rStyle w:val="FootnoteAnchor"/>
          <w:rtl w:val="true"/>
        </w:rPr>
        <w:footnoteReference w:id="3592"/>
      </w:r>
      <w:r>
        <w:rPr>
          <w:rFonts w:ascii="Amiri" w:hAnsi="Amiri" w:eastAsia="Amiri" w:cs="Amiri"/>
          <w:color w:val="111111"/>
          <w:sz w:val="28"/>
          <w:sz w:val="28"/>
          <w:szCs w:val="28"/>
          <w:rtl w:val="true"/>
          <w:lang w:bidi="ar-SA"/>
        </w:rPr>
        <w:t>و الروضة</w:t>
      </w:r>
      <w:r>
        <w:rPr>
          <w:rStyle w:val="FootnoteAnchor"/>
          <w:rtl w:val="true"/>
        </w:rPr>
        <w:footnoteReference w:id="3593"/>
      </w:r>
      <w:r>
        <w:rPr>
          <w:rFonts w:ascii="Amiri" w:hAnsi="Amiri" w:eastAsia="Amiri" w:cs="Amiri"/>
          <w:color w:val="111111"/>
          <w:sz w:val="28"/>
          <w:sz w:val="28"/>
          <w:szCs w:val="28"/>
          <w:rtl w:val="true"/>
          <w:lang w:bidi="ar-SA"/>
        </w:rPr>
        <w:t>، و ظاهر الشيخين</w:t>
      </w:r>
      <w:r>
        <w:rPr>
          <w:rStyle w:val="FootnoteAnchor"/>
          <w:rtl w:val="true"/>
        </w:rPr>
        <w:footnoteReference w:id="3594"/>
      </w:r>
      <w:r>
        <w:rPr>
          <w:rFonts w:ascii="Amiri" w:hAnsi="Amiri" w:eastAsia="Amiri" w:cs="Amiri"/>
          <w:color w:val="111111"/>
          <w:sz w:val="28"/>
          <w:sz w:val="28"/>
          <w:szCs w:val="28"/>
          <w:rtl w:val="true"/>
          <w:lang w:bidi="ar-SA"/>
        </w:rPr>
        <w:t>و الحلّي</w:t>
      </w:r>
      <w:r>
        <w:rPr>
          <w:rStyle w:val="FootnoteAnchor"/>
          <w:rtl w:val="true"/>
        </w:rPr>
        <w:footnoteReference w:id="3595"/>
      </w:r>
      <w:r>
        <w:rPr>
          <w:rFonts w:ascii="Amiri" w:hAnsi="Amiri" w:eastAsia="Amiri" w:cs="Amiri"/>
          <w:color w:val="111111"/>
          <w:sz w:val="28"/>
          <w:sz w:val="28"/>
          <w:szCs w:val="28"/>
          <w:rtl w:val="true"/>
          <w:lang w:bidi="ar-SA"/>
        </w:rPr>
        <w:t>و المحقّق</w:t>
      </w:r>
      <w:r>
        <w:rPr>
          <w:rStyle w:val="FootnoteAnchor"/>
          <w:rtl w:val="true"/>
        </w:rPr>
        <w:footnoteReference w:id="3596"/>
      </w:r>
      <w:r>
        <w:rPr>
          <w:rFonts w:ascii="Amiri" w:hAnsi="Amiri" w:eastAsia="Amiri" w:cs="Amiri"/>
          <w:color w:val="111111"/>
          <w:sz w:val="28"/>
          <w:sz w:val="28"/>
          <w:szCs w:val="28"/>
          <w:rtl w:val="true"/>
          <w:lang w:bidi="ar-SA"/>
        </w:rPr>
        <w:t>إلحاق سؤر كلّ متّهم بها، و عن المحقّق الشيخ عليّ المناقشة فيه بكونه تصرّفا في النصّ، بل عنه بعين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تصرّف في التصرّف</w:t>
      </w:r>
      <w:r>
        <w:rPr>
          <w:rFonts w:eastAsia="Amiri" w:cs="Amiri" w:ascii="Amiri" w:hAnsi="Amiri"/>
          <w:color w:val="111111"/>
          <w:sz w:val="28"/>
          <w:szCs w:val="28"/>
          <w:rtl w:val="true"/>
          <w:lang w:bidi="ar-SA"/>
        </w:rPr>
        <w:t>»</w:t>
      </w:r>
      <w:r>
        <w:rPr>
          <w:rStyle w:val="FootnoteAnchor"/>
          <w:rtl w:val="true"/>
        </w:rPr>
        <w:footnoteReference w:id="3597"/>
      </w:r>
      <w:r>
        <w:rPr>
          <w:rFonts w:ascii="Amiri" w:hAnsi="Amiri" w:eastAsia="Amiri" w:cs="Amiri"/>
          <w:color w:val="111111"/>
          <w:sz w:val="28"/>
          <w:sz w:val="28"/>
          <w:szCs w:val="28"/>
          <w:rtl w:val="true"/>
          <w:lang w:bidi="ar-SA"/>
        </w:rPr>
        <w:t>و لا يخلو عن قوّة، و ربّما يؤيّد ذلك بما يظهر من الأخبار من استحباب التنزّه عمّن لا يتنزّه، بل قد يستظهر ذلك من رواية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 الرجل من فضل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تعرف الوضوء يتوضّأ</w:t>
      </w:r>
      <w:r>
        <w:rPr>
          <w:rFonts w:eastAsia="Amiri" w:cs="Amiri" w:ascii="Amiri" w:hAnsi="Amiri"/>
          <w:color w:val="111111"/>
          <w:sz w:val="28"/>
          <w:szCs w:val="28"/>
          <w:rtl w:val="true"/>
          <w:lang w:bidi="ar-SA"/>
        </w:rPr>
        <w:t>»</w:t>
      </w:r>
      <w:r>
        <w:rPr>
          <w:rStyle w:val="FootnoteAnchor"/>
          <w:rtl w:val="true"/>
        </w:rPr>
        <w:footnoteReference w:id="3598"/>
      </w:r>
      <w:r>
        <w:rPr>
          <w:rFonts w:ascii="Amiri" w:hAnsi="Amiri" w:eastAsia="Amiri" w:cs="Amiri"/>
          <w:color w:val="111111"/>
          <w:sz w:val="28"/>
          <w:sz w:val="28"/>
          <w:szCs w:val="28"/>
          <w:rtl w:val="true"/>
          <w:lang w:bidi="ar-SA"/>
        </w:rPr>
        <w:t>بناء على أنّ الظاهر من الوضوء الاستنجاء أو إزالة مطلق الخبث</w:t>
      </w:r>
      <w:r>
        <w:rPr>
          <w:rFonts w:eastAsia="Amiri" w:cs="Amiri" w:ascii="Amiri" w:hAnsi="Amiri"/>
          <w:color w:val="111111"/>
          <w:sz w:val="28"/>
          <w:szCs w:val="28"/>
          <w:rtl w:val="true"/>
          <w:lang w:bidi="ar-SA"/>
        </w:rPr>
        <w:t>.</w:t>
      </w:r>
      <w:bookmarkStart w:id="1112" w:name="pg16144_233830"/>
    </w:p>
    <w:p>
      <w:pPr>
        <w:pStyle w:val="Heading3"/>
        <w:numPr>
          <w:ilvl w:val="2"/>
          <w:numId w:val="1"/>
        </w:numPr>
        <w:rPr/>
      </w:pPr>
      <w:bookmarkStart w:id="1113" w:name="__RefHeading___Toc1805204_1280447820"/>
      <w:bookmarkStart w:id="1114" w:name="_Toc433"/>
      <w:bookmarkEnd w:id="1112"/>
      <w:bookmarkEnd w:id="1113"/>
      <w:r>
        <w:rPr>
          <w:rtl w:val="true"/>
        </w:rPr>
        <w:t xml:space="preserve">ينبوع </w:t>
      </w:r>
      <w:r>
        <w:rPr>
          <w:rtl w:val="true"/>
        </w:rPr>
        <w:t>[</w:t>
      </w:r>
      <w:r>
        <w:rPr>
          <w:rtl w:val="true"/>
        </w:rPr>
        <w:t>الماء المسخن بالشمس</w:t>
      </w:r>
      <w:r>
        <w:rPr>
          <w:rtl w:val="true"/>
        </w:rPr>
        <w:t>]</w:t>
      </w:r>
      <w:bookmarkEnd w:id="1114"/>
    </w:p>
    <w:p>
      <w:pPr>
        <w:pStyle w:val="Heading4"/>
        <w:numPr>
          <w:ilvl w:val="3"/>
          <w:numId w:val="1"/>
        </w:numPr>
        <w:rPr/>
      </w:pPr>
      <w:bookmarkStart w:id="1115" w:name="__RefHeading___Toc1805206_1280447820"/>
      <w:bookmarkStart w:id="1116" w:name="_Toc434"/>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و ممّا حكم عليه بكراهة استعماله مطلقا، أو في الطهارة مطلقا، أو في الوضوء خاصّة، الماء الّذي سخّنته الشمس، نصّ عليه غير واحد من الأصحاب، و عن 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مشهور بين الأصحاب</w:t>
      </w:r>
      <w:r>
        <w:rPr>
          <w:rFonts w:eastAsia="Amiri" w:cs="Amiri" w:ascii="Amiri" w:hAnsi="Amiri"/>
          <w:color w:val="111111"/>
          <w:sz w:val="28"/>
          <w:szCs w:val="28"/>
          <w:rtl w:val="true"/>
          <w:lang w:bidi="ar-SA"/>
        </w:rPr>
        <w:t>»</w:t>
      </w:r>
      <w:r>
        <w:rPr>
          <w:rStyle w:val="FootnoteAnchor"/>
          <w:rtl w:val="true"/>
        </w:rPr>
        <w:footnoteReference w:id="3599"/>
      </w:r>
      <w:r>
        <w:rPr>
          <w:rFonts w:ascii="IRNazanin" w:hAnsi="IRNazanin" w:eastAsia="IRNazanin"/>
          <w:color w:val="111111"/>
          <w:sz w:val="28"/>
          <w:sz w:val="28"/>
          <w:szCs w:val="28"/>
          <w:rtl w:val="true"/>
          <w:lang w:bidi="fa-IR"/>
        </w:rPr>
        <w:t>بل عن الخلاف</w:t>
      </w:r>
      <w:r>
        <w:rPr>
          <w:rStyle w:val="FootnoteAnchor"/>
          <w:rtl w:val="true"/>
        </w:rPr>
        <w:footnoteReference w:id="3600"/>
      </w:r>
      <w:r>
        <w:rPr>
          <w:rFonts w:ascii="Amiri" w:hAnsi="Amiri" w:eastAsia="Amiri" w:cs="Amiri"/>
          <w:color w:val="111111"/>
          <w:sz w:val="28"/>
          <w:sz w:val="28"/>
          <w:szCs w:val="28"/>
          <w:rtl w:val="true"/>
          <w:lang w:bidi="ar-SA"/>
        </w:rPr>
        <w:t>الإجماع على كراهة الوضوء بالمسخّن بالشمس إن قصد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رواية إبراهيم بن عبد الحميد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على عائشة و قد وضعت قمقمتها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 ما هذا؟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أغسل رأسي و جسدي،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w:t>
      </w:r>
      <w:r>
        <w:rPr>
          <w:rStyle w:val="FootnoteAnchor"/>
          <w:rtl w:val="true"/>
        </w:rPr>
        <w:footnoteReference w:id="3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إسماعيل بن أبي زياد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لا تتوضّئوا به، و لا تغسلوا به، و لا تعجنوا به، فإنّه يورث البرص</w:t>
      </w:r>
      <w:r>
        <w:rPr>
          <w:rFonts w:eastAsia="Amiri" w:cs="Amiri" w:ascii="Amiri" w:hAnsi="Amiri"/>
          <w:color w:val="111111"/>
          <w:sz w:val="28"/>
          <w:szCs w:val="28"/>
          <w:rtl w:val="true"/>
          <w:lang w:bidi="ar-SA"/>
        </w:rPr>
        <w:t>»</w:t>
      </w:r>
      <w:r>
        <w:rPr>
          <w:rStyle w:val="FootnoteAnchor"/>
          <w:rtl w:val="true"/>
        </w:rPr>
        <w:footnoteReference w:id="3602"/>
      </w:r>
      <w:r>
        <w:rPr>
          <w:rFonts w:eastAsia="Times New Roman" w:cs="Times New Roman" w:ascii="Times New Roman" w:hAnsi="Times New Roman"/>
          <w:color w:val="111111"/>
          <w:sz w:val="28"/>
          <w:szCs w:val="28"/>
          <w:rtl w:val="true"/>
          <w:lang w:val="en-US" w:bidi="en-US"/>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الخصال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يوم الجمعة و يوم الأربعاء، و التوضّؤ و الاغتسال بالماء الّذي تسخّنه الشمس، و الأكل على الجنابة، و غشيان المرأة في أيّام حيضها، و الأكل على الشبع</w:t>
      </w:r>
      <w:r>
        <w:rPr>
          <w:rFonts w:eastAsia="Amiri" w:cs="Amiri" w:ascii="Amiri" w:hAnsi="Amiri"/>
          <w:color w:val="111111"/>
          <w:sz w:val="28"/>
          <w:szCs w:val="28"/>
          <w:rtl w:val="true"/>
          <w:lang w:bidi="ar-SA"/>
        </w:rPr>
        <w:t>»</w:t>
      </w:r>
      <w:r>
        <w:rPr>
          <w:rStyle w:val="FootnoteAnchor"/>
          <w:rtl w:val="true"/>
        </w:rPr>
        <w:footnoteReference w:id="3603"/>
      </w:r>
      <w:r>
        <w:rPr>
          <w:rFonts w:ascii="Amiri" w:hAnsi="Amiri" w:eastAsia="Amiri" w:cs="Amiri"/>
          <w:color w:val="111111"/>
          <w:sz w:val="28"/>
          <w:sz w:val="28"/>
          <w:szCs w:val="28"/>
          <w:rtl w:val="true"/>
          <w:lang w:bidi="ar-SA"/>
        </w:rPr>
        <w:t>و إنّما حمل النهي في الروايتين الاوليين على الكراهة مع ظهوره في الحرمة لما في سنديهما من الضعف، الموجب لعدم صلاحيتهما لإثبات الحرمة، فحمل النهي على الكراهة مسامحة في دليلها</w:t>
      </w:r>
      <w:r>
        <w:rPr>
          <w:rFonts w:eastAsia="Amiri" w:cs="Amiri" w:ascii="Amiri" w:hAnsi="Amiri"/>
          <w:color w:val="111111"/>
          <w:sz w:val="28"/>
          <w:szCs w:val="28"/>
          <w:rtl w:val="true"/>
          <w:lang w:bidi="ar-SA"/>
        </w:rPr>
        <w:t xml:space="preserve">. </w:t>
      </w:r>
      <w:bookmarkStart w:id="1117" w:name="pg16144_233831"/>
    </w:p>
    <w:p>
      <w:pPr>
        <w:pStyle w:val="BookText"/>
        <w:rPr/>
      </w:pPr>
      <w:bookmarkEnd w:id="1117"/>
      <w:r>
        <w:rPr>
          <w:rFonts w:ascii="Amiri" w:hAnsi="Amiri" w:eastAsia="Amiri" w:cs="Amiri"/>
          <w:color w:val="111111"/>
          <w:sz w:val="28"/>
          <w:sz w:val="28"/>
          <w:szCs w:val="28"/>
          <w:rtl w:val="true"/>
          <w:lang w:bidi="ar-SA"/>
        </w:rPr>
        <w:t>و يؤيّده الشهرة و الإجماع المنقولان، مضافا إلى أنّه مقتضى الجمع بين الروايات المذكورة و بين مرسلة محمّد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الّذي يوضع في الشمس</w:t>
      </w:r>
      <w:r>
        <w:rPr>
          <w:rFonts w:eastAsia="Amiri" w:cs="Amiri" w:ascii="Amiri" w:hAnsi="Amiri"/>
          <w:color w:val="111111"/>
          <w:sz w:val="28"/>
          <w:szCs w:val="28"/>
          <w:rtl w:val="true"/>
          <w:lang w:bidi="ar-SA"/>
        </w:rPr>
        <w:t>»</w:t>
      </w:r>
      <w:r>
        <w:rPr>
          <w:rStyle w:val="FootnoteAnchor"/>
          <w:rtl w:val="true"/>
        </w:rPr>
        <w:footnoteReference w:id="3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الرواية الثالثة كالتعليل في الاوليين حرمة استعمال الماء لأنّ البرص ضرر أخبر به المعصوم، و من أحكام الضرر أن يجب دفعه و لو كان ممّا يرجع إلى الدنيا، إذ لا يستفاد منها كونه علّة تامّة لإيراث البرص، بل غاية ما يستفاد أنّه ممّا من شأنه ذلك، فحين شخص الاستعمال لا يقطع و لا يظنّ بأنّه يؤثّر لا محالة، بل قصارى ما هنالك الاحتمال، و هو لا يقضي إلاّ باستحباب التجنّب و الاحتياط</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805208_1280447820"/>
      <w:bookmarkStart w:id="1119" w:name="_Toc435"/>
      <w:bookmarkEnd w:id="1118"/>
      <w:r>
        <w:rPr>
          <w:rtl w:val="true"/>
        </w:rPr>
        <w:t>ثمّ في المقام فروع ينبغي التعرّض لها</w:t>
      </w:r>
      <w:r>
        <w:rPr>
          <w:rtl w:val="true"/>
        </w:rPr>
        <w:t>.</w:t>
      </w:r>
      <w:bookmarkEnd w:id="1119"/>
    </w:p>
    <w:p>
      <w:pPr>
        <w:pStyle w:val="Heading5"/>
        <w:numPr>
          <w:ilvl w:val="4"/>
          <w:numId w:val="1"/>
        </w:numPr>
        <w:rPr/>
      </w:pPr>
      <w:bookmarkStart w:id="1120" w:name="__RefHeading___Toc1805210_1280447820"/>
      <w:bookmarkStart w:id="1121" w:name="_Toc436"/>
      <w:bookmarkEnd w:id="1120"/>
      <w:r>
        <w:rPr>
          <w:rtl w:val="true"/>
        </w:rPr>
        <w:t>الأوّل</w:t>
      </w:r>
      <w:r>
        <w:rPr>
          <w:rtl w:val="true"/>
        </w:rPr>
        <w:t xml:space="preserve">: </w:t>
      </w:r>
      <w:r>
        <w:rPr>
          <w:rtl w:val="true"/>
        </w:rPr>
        <w:t xml:space="preserve">أنّه يستفاد من المحقّق في ظاهر الشرائع </w:t>
      </w:r>
      <w:r>
        <w:rPr>
          <w:rtl w:val="true"/>
        </w:rPr>
        <w:t>[</w:t>
      </w:r>
      <w:r>
        <w:rPr>
          <w:rtl w:val="true"/>
        </w:rPr>
        <w:t>اعتبار قصد التسخين في موضوع حكم الكراهة</w:t>
      </w:r>
      <w:r>
        <w:rPr>
          <w:rtl w:val="true"/>
        </w:rPr>
        <w:t>]</w:t>
      </w:r>
      <w:bookmarkEnd w:id="1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عبّر عن المسألة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الطهارة بماء اسخن بالشمس في آنية</w:t>
      </w:r>
      <w:r>
        <w:rPr>
          <w:rFonts w:eastAsia="Amiri" w:cs="Amiri" w:ascii="Amiri" w:hAnsi="Amiri"/>
          <w:color w:val="111111"/>
          <w:sz w:val="28"/>
          <w:szCs w:val="28"/>
          <w:rtl w:val="true"/>
          <w:lang w:bidi="ar-SA"/>
        </w:rPr>
        <w:t>» -</w:t>
      </w:r>
      <w:r>
        <w:rPr>
          <w:rStyle w:val="FootnoteAnchor"/>
          <w:rtl w:val="true"/>
        </w:rPr>
        <w:footnoteReference w:id="3605"/>
      </w:r>
      <w:r>
        <w:rPr>
          <w:rFonts w:ascii="Amiri" w:hAnsi="Amiri" w:eastAsia="Amiri" w:cs="Amiri"/>
          <w:color w:val="111111"/>
          <w:sz w:val="28"/>
          <w:sz w:val="28"/>
          <w:szCs w:val="28"/>
          <w:rtl w:val="true"/>
          <w:lang w:bidi="ar-SA"/>
        </w:rPr>
        <w:t>اعتبار قصد التسخين في موضوع حكم الكراهة، بل هو صريح الخلاف على ما تقدّم عنه من نقل الإجماع، المذيّل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به ذلك</w:t>
      </w:r>
      <w:r>
        <w:rPr>
          <w:rFonts w:eastAsia="Amiri" w:cs="Amiri" w:ascii="Amiri" w:hAnsi="Amiri"/>
          <w:color w:val="111111"/>
          <w:sz w:val="28"/>
          <w:szCs w:val="28"/>
          <w:rtl w:val="true"/>
          <w:lang w:bidi="ar-SA"/>
        </w:rPr>
        <w:t>»</w:t>
      </w:r>
      <w:r>
        <w:rPr>
          <w:rStyle w:val="FootnoteAnchor"/>
          <w:rtl w:val="true"/>
        </w:rPr>
        <w:footnoteReference w:id="3606"/>
      </w:r>
      <w:r>
        <w:rPr>
          <w:rFonts w:ascii="Amiri" w:hAnsi="Amiri" w:eastAsia="Amiri" w:cs="Amiri"/>
          <w:color w:val="111111"/>
          <w:sz w:val="28"/>
          <w:sz w:val="28"/>
          <w:szCs w:val="28"/>
          <w:rtl w:val="true"/>
          <w:lang w:bidi="ar-SA"/>
        </w:rPr>
        <w:t>و صريح المحكيّ عن السرائر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أسخنته الشمس بجعل جاعل له في إناء، و تعمّده لذلك، فإنّه مكروه في الطهارتين معا فحسب</w:t>
      </w:r>
      <w:r>
        <w:rPr>
          <w:rFonts w:eastAsia="Amiri" w:cs="Amiri" w:ascii="Amiri" w:hAnsi="Amiri"/>
          <w:color w:val="111111"/>
          <w:sz w:val="28"/>
          <w:szCs w:val="28"/>
          <w:rtl w:val="true"/>
          <w:lang w:bidi="ar-SA"/>
        </w:rPr>
        <w:t>»</w:t>
      </w:r>
      <w:r>
        <w:rPr>
          <w:rStyle w:val="FootnoteAnchor"/>
          <w:rtl w:val="true"/>
        </w:rPr>
        <w:footnoteReference w:id="3607"/>
      </w:r>
      <w:r>
        <w:rPr>
          <w:rFonts w:ascii="Amiri" w:hAnsi="Amiri" w:eastAsia="Amiri" w:cs="Amiri"/>
          <w:color w:val="111111"/>
          <w:sz w:val="28"/>
          <w:sz w:val="28"/>
          <w:szCs w:val="28"/>
          <w:rtl w:val="true"/>
          <w:lang w:bidi="ar-SA"/>
        </w:rPr>
        <w:t>و حكي عن ظاهر غير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الشاملة لما لا قصد إلى تسخينه، و ليس فيها ما يخصّصها عدا ما يوهم الرواية الاولى،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وضعت قمقمتها في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الاعتذار لهم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الاقتصار فيما خالف الأصل على القدر المتيقّن، فإنّ ذلك إنّما يستقيم في موضع الإجمال الّذي هو منتف هنا جزما فالإطلاق لا صارف عنه هنا قطعا</w:t>
      </w:r>
      <w:r>
        <w:rPr>
          <w:rFonts w:eastAsia="Amiri" w:cs="Amiri" w:ascii="Amiri" w:hAnsi="Amiri"/>
          <w:color w:val="111111"/>
          <w:sz w:val="28"/>
          <w:szCs w:val="28"/>
          <w:rtl w:val="true"/>
          <w:lang w:bidi="ar-SA"/>
        </w:rPr>
        <w:t xml:space="preserve">. </w:t>
      </w:r>
      <w:bookmarkStart w:id="1122" w:name="pg16144_233832"/>
    </w:p>
    <w:p>
      <w:pPr>
        <w:pStyle w:val="BookText"/>
        <w:rPr/>
      </w:pPr>
      <w:bookmarkEnd w:id="1122"/>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الكراهة بالقياس إلى صورتي القصد و عدمه، عملا بالإطلاق المنجبر ضعفه بعمل المعظم كما قيل، مضافا إلى أنّ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بإيراث البرص أيضا ممّا ينفي هذا التوهّم، لأنّ ذلك إنّما يترتّب عليه من باب الخاصّيّة، فليس للقصد فيها مدخليّة</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805212_1280447820"/>
      <w:bookmarkStart w:id="1124" w:name="_Toc437"/>
      <w:bookmarkEnd w:id="1123"/>
      <w:r>
        <w:rPr>
          <w:rtl w:val="true"/>
        </w:rPr>
        <w:t>الثاني</w:t>
      </w:r>
      <w:r>
        <w:rPr>
          <w:rtl w:val="true"/>
        </w:rPr>
        <w:t xml:space="preserve">: </w:t>
      </w:r>
      <w:r>
        <w:rPr>
          <w:rtl w:val="true"/>
        </w:rPr>
        <w:t>و ممّا يستفاد من عبارة الخلاف المتقدّمة اختصاص الكراهة بالوضوء،</w:t>
      </w:r>
      <w:bookmarkEnd w:id="1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يستفاد من عبارة الخلاف المتقدّمة</w:t>
      </w:r>
      <w:r>
        <w:rPr>
          <w:rStyle w:val="FootnoteAnchor"/>
          <w:rtl w:val="true"/>
        </w:rPr>
        <w:footnoteReference w:id="3608"/>
      </w:r>
      <w:r>
        <w:rPr>
          <w:rFonts w:ascii="Amiri" w:hAnsi="Amiri" w:eastAsia="Amiri" w:cs="Amiri"/>
          <w:color w:val="111111"/>
          <w:sz w:val="28"/>
          <w:sz w:val="28"/>
          <w:szCs w:val="28"/>
          <w:rtl w:val="true"/>
          <w:lang w:bidi="ar-SA"/>
        </w:rPr>
        <w:t>اختصاص الكراهة بالوضوء،</w:t>
      </w:r>
    </w:p>
    <w:p>
      <w:pPr>
        <w:pStyle w:val="BookText"/>
        <w:rPr/>
      </w:pPr>
      <w:r>
        <w:rPr>
          <w:rFonts w:ascii="Amiri" w:hAnsi="Amiri" w:eastAsia="Amiri" w:cs="Amiri"/>
          <w:color w:val="111111"/>
          <w:sz w:val="28"/>
          <w:sz w:val="28"/>
          <w:szCs w:val="28"/>
          <w:rtl w:val="true"/>
          <w:lang w:bidi="ar-SA"/>
        </w:rPr>
        <w:t>كما أنّ المستفاد من عبارة الشرائع</w:t>
      </w:r>
      <w:r>
        <w:rPr>
          <w:rStyle w:val="FootnoteAnchor"/>
          <w:rtl w:val="true"/>
        </w:rPr>
        <w:footnoteReference w:id="3609"/>
      </w:r>
      <w:r>
        <w:rPr>
          <w:rFonts w:ascii="Amiri" w:hAnsi="Amiri" w:eastAsia="Amiri" w:cs="Amiri"/>
          <w:color w:val="111111"/>
          <w:sz w:val="28"/>
          <w:sz w:val="28"/>
          <w:szCs w:val="28"/>
          <w:rtl w:val="true"/>
          <w:lang w:bidi="ar-SA"/>
        </w:rPr>
        <w:t>المتقدّمة اختصاصها بالطهارة، و من صريح ما تقدّم عن التحرير</w:t>
      </w:r>
      <w:r>
        <w:rPr>
          <w:rStyle w:val="FootnoteAnchor"/>
          <w:rtl w:val="true"/>
        </w:rPr>
        <w:footnoteReference w:id="3610"/>
      </w:r>
      <w:r>
        <w:rPr>
          <w:rFonts w:ascii="Amiri" w:hAnsi="Amiri" w:eastAsia="Amiri" w:cs="Amiri"/>
          <w:color w:val="111111"/>
          <w:sz w:val="28"/>
          <w:sz w:val="28"/>
          <w:szCs w:val="28"/>
          <w:rtl w:val="true"/>
          <w:lang w:bidi="ar-SA"/>
        </w:rPr>
        <w:t>قصر الحكم على الطهارتين فحسب، و عن الشهيد في الذكرى</w:t>
      </w:r>
      <w:r>
        <w:rPr>
          <w:rStyle w:val="FootnoteAnchor"/>
          <w:rtl w:val="true"/>
        </w:rPr>
        <w:footnoteReference w:id="3611"/>
      </w:r>
      <w:r>
        <w:rPr>
          <w:rFonts w:ascii="Amiri" w:hAnsi="Amiri" w:eastAsia="Amiri" w:cs="Amiri"/>
          <w:color w:val="111111"/>
          <w:sz w:val="28"/>
          <w:sz w:val="28"/>
          <w:szCs w:val="28"/>
          <w:rtl w:val="true"/>
          <w:lang w:bidi="ar-SA"/>
        </w:rPr>
        <w:t>تخصيص الحكم بالطهارة مع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وفاقا لغير واحد من الأجلّة عدم الفرق بين سائر الاستعمالات أيضا، لإطلاق الرواية الاولى المحفوف بترك الاستفصال، و ليس في المقام ما يوهم الخروج عنه إلاّ ما في الرواية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به أخذ بمفهوم اللقب، و هو من أصله فاسد، و معه فلا يقاوم إطلاق منطوق الرواية الاولى، و مع الغضّ عن ذلك فثبوت المفهوم عند القائلين به في جميع موارده منوط بعدم ورود المنطوق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النكتة في عدم التعرّض لذكر سائر الاستعمالات الّتي منها الشرب أنّه قلّما يتّفق من سائر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سخّنته الشمس، بل النفوس تراها كارهة عن شرب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يغلب فيه الاستعمال في الطهارتين و العجين، و لا سيّما في أوقات الشتاء، بل الناس تراهم متعمّدين في تسخين الماء لهذه الاستعمالات خصوصا العجين، فوردت الروايتان على طبق ما يغلب في عملهم، و لا ينافي مثل ذلك ثبوت الحكم للمسكوت عنه أيضا</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805214_1280447820"/>
      <w:bookmarkStart w:id="1126" w:name="_Toc438"/>
      <w:bookmarkEnd w:id="1125"/>
      <w:r>
        <w:rPr>
          <w:rtl w:val="true"/>
        </w:rPr>
        <w:t>و الثالث</w:t>
      </w:r>
      <w:r>
        <w:rPr>
          <w:rtl w:val="true"/>
        </w:rPr>
        <w:t xml:space="preserve">: </w:t>
      </w:r>
      <w:r>
        <w:rPr>
          <w:rtl w:val="true"/>
        </w:rPr>
        <w:t xml:space="preserve">المستفاد من عبارة السرائر و الشرائع المتقدّمتين، و كذلك النافع </w:t>
      </w:r>
      <w:r>
        <w:rPr>
          <w:rtl w:val="true"/>
        </w:rPr>
        <w:t>[</w:t>
      </w:r>
      <w:r>
        <w:rPr>
          <w:rtl w:val="true"/>
        </w:rPr>
        <w:t>اختصاص الحكم بالآنية و انتفاؤه عن غيرها</w:t>
      </w:r>
      <w:r>
        <w:rPr>
          <w:rtl w:val="true"/>
        </w:rPr>
        <w:t>]</w:t>
      </w:r>
      <w:bookmarkEnd w:id="1126"/>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عبارة السرائر</w:t>
      </w:r>
      <w:r>
        <w:rPr>
          <w:rStyle w:val="FootnoteAnchor"/>
          <w:rtl w:val="true"/>
        </w:rPr>
        <w:footnoteReference w:id="3612"/>
      </w:r>
      <w:r>
        <w:rPr>
          <w:rFonts w:ascii="IRNazanin" w:hAnsi="IRNazanin" w:eastAsia="IRNazanin"/>
          <w:color w:val="111111"/>
          <w:sz w:val="28"/>
          <w:sz w:val="28"/>
          <w:szCs w:val="28"/>
          <w:rtl w:val="true"/>
          <w:lang w:bidi="fa-IR"/>
        </w:rPr>
        <w:t>و الشرائع</w:t>
      </w:r>
      <w:r>
        <w:rPr>
          <w:rStyle w:val="FootnoteAnchor"/>
          <w:rtl w:val="true"/>
        </w:rPr>
        <w:footnoteReference w:id="3613"/>
      </w:r>
      <w:r>
        <w:rPr>
          <w:rFonts w:ascii="Amiri" w:hAnsi="Amiri" w:eastAsia="Amiri" w:cs="Amiri"/>
          <w:color w:val="111111"/>
          <w:sz w:val="28"/>
          <w:sz w:val="28"/>
          <w:szCs w:val="28"/>
          <w:rtl w:val="true"/>
          <w:lang w:bidi="ar-SA"/>
        </w:rPr>
        <w:t xml:space="preserve">المتقدّمتين، و كذلك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الحكم بالآنية و انتفاؤه عن غيرها</w:t>
      </w:r>
      <w:r>
        <w:rPr>
          <w:rFonts w:eastAsia="Amiri" w:cs="Amiri" w:ascii="Amiri" w:hAnsi="Amiri"/>
          <w:color w:val="111111"/>
          <w:sz w:val="28"/>
          <w:szCs w:val="28"/>
          <w:rtl w:val="true"/>
          <w:lang w:bidi="ar-SA"/>
        </w:rPr>
        <w:t>]</w:t>
      </w:r>
      <w:r>
        <w:rPr>
          <w:rStyle w:val="FootnoteAnchor"/>
          <w:rtl w:val="true"/>
        </w:rPr>
        <w:footnoteReference w:id="3614"/>
      </w:r>
    </w:p>
    <w:p>
      <w:pPr>
        <w:pStyle w:val="BookText"/>
        <w:rPr/>
      </w:pPr>
      <w:r>
        <w:rPr>
          <w:rFonts w:ascii="IRNazanin" w:hAnsi="IRNazanin" w:eastAsia="IRNazanin"/>
          <w:color w:val="111111"/>
          <w:sz w:val="28"/>
          <w:sz w:val="28"/>
          <w:szCs w:val="28"/>
          <w:rtl w:val="true"/>
          <w:lang w:bidi="fa-IR"/>
        </w:rPr>
        <w:t>و المنتهى</w:t>
      </w:r>
      <w:r>
        <w:rPr>
          <w:rStyle w:val="FootnoteAnchor"/>
          <w:rtl w:val="true"/>
        </w:rPr>
        <w:footnoteReference w:id="3615"/>
      </w:r>
      <w:r>
        <w:rPr>
          <w:rFonts w:ascii="Amiri" w:hAnsi="Amiri" w:eastAsia="Amiri" w:cs="Amiri"/>
          <w:color w:val="111111"/>
          <w:sz w:val="28"/>
          <w:sz w:val="28"/>
          <w:szCs w:val="28"/>
          <w:rtl w:val="true"/>
          <w:lang w:bidi="ar-SA"/>
        </w:rPr>
        <w:t>و كلام الشيخ عليّ في حاشية الشرائع</w:t>
      </w:r>
      <w:r>
        <w:rPr>
          <w:rStyle w:val="FootnoteAnchor"/>
          <w:rtl w:val="true"/>
        </w:rPr>
        <w:footnoteReference w:id="3616"/>
      </w:r>
      <w:r>
        <w:rPr>
          <w:rFonts w:ascii="Amiri" w:hAnsi="Amiri" w:eastAsia="Amiri" w:cs="Amiri"/>
          <w:color w:val="111111"/>
          <w:sz w:val="28"/>
          <w:sz w:val="28"/>
          <w:szCs w:val="28"/>
          <w:rtl w:val="true"/>
          <w:lang w:bidi="ar-SA"/>
        </w:rPr>
        <w:t>اختصاص الحكم بالآنية و انتفاؤه عن غيرها، بل عن التذكرة</w:t>
      </w:r>
      <w:r>
        <w:rPr>
          <w:rStyle w:val="FootnoteAnchor"/>
          <w:rtl w:val="true"/>
        </w:rPr>
        <w:footnoteReference w:id="3617"/>
      </w:r>
      <w:r>
        <w:rPr>
          <w:rFonts w:ascii="Amiri" w:hAnsi="Amiri" w:eastAsia="Amiri" w:cs="Amiri"/>
          <w:color w:val="111111"/>
          <w:sz w:val="28"/>
          <w:sz w:val="28"/>
          <w:szCs w:val="28"/>
          <w:rtl w:val="true"/>
          <w:lang w:bidi="ar-SA"/>
        </w:rPr>
        <w:t>و نهاية الإحكام</w:t>
      </w:r>
      <w:r>
        <w:rPr>
          <w:rStyle w:val="FootnoteAnchor"/>
          <w:rtl w:val="true"/>
        </w:rPr>
        <w:footnoteReference w:id="3618"/>
      </w:r>
      <w:r>
        <w:rPr>
          <w:rFonts w:ascii="Amiri" w:hAnsi="Amiri" w:eastAsia="Amiri" w:cs="Amiri"/>
          <w:color w:val="111111"/>
          <w:sz w:val="28"/>
          <w:sz w:val="28"/>
          <w:szCs w:val="28"/>
          <w:rtl w:val="true"/>
          <w:lang w:bidi="ar-SA"/>
        </w:rPr>
        <w:t>الإجماع على نفيها عن غيرها من الأنهار و الحياض و المصانع، و كأنّهم استفادوه عن الرواية الاولى المشتملة على ذكر القمقمة، و إلاّ فالنصوص الاخر مطلقة، مع توجّه المنع إلى استفادته من الرواية المذكورة أيضا، فإن ثبت ذلك إجماعا و إلاّ فللمناقشة فيه مجال واسع، إلاّ أن تدفع بتعسّر الاجتناب عمّا أسخنته في غير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الاختصاص بالآنية ظاهرهم بل صريح غير واحد عموم الحكم للأواني المنطبعة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المصنوعة من الصفر و الحديد و الرصاص و النحاس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لغيرها، و عدم الفرق أيضا بين البلاد الحارّة و غيرها من البلاد المعتدلة، و كلّ ذلك لعموم النصّ و الفتاوي، و نقل الإجماع أيضا و عن التذكرة</w:t>
      </w:r>
      <w:r>
        <w:rPr>
          <w:rStyle w:val="FootnoteAnchor"/>
          <w:rtl w:val="true"/>
        </w:rPr>
        <w:footnoteReference w:id="3619"/>
      </w:r>
      <w:r>
        <w:rPr>
          <w:rFonts w:ascii="Amiri" w:hAnsi="Amiri" w:eastAsia="Amiri" w:cs="Amiri"/>
          <w:color w:val="111111"/>
          <w:sz w:val="28"/>
          <w:sz w:val="28"/>
          <w:szCs w:val="28"/>
          <w:rtl w:val="true"/>
          <w:lang w:bidi="ar-SA"/>
        </w:rPr>
        <w:t>القطع به، خلافا لما عن النهاية من دعوى التخصيص،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التعليل بكونه يورث البرص يقتضي قصر الحكم على الأواني المنطبعة غير الذهب و الفضّة في البلاد الحارّة، لأنّ الشمس إذا أثّرت في تلك الأواني استخرجت منها زهومة</w:t>
      </w:r>
      <w:r>
        <w:rPr>
          <w:rStyle w:val="FootnoteAnchor"/>
          <w:rtl w:val="true"/>
        </w:rPr>
        <w:footnoteReference w:id="3620"/>
      </w:r>
      <w:r>
        <w:rPr>
          <w:rFonts w:ascii="Amiri" w:hAnsi="Amiri" w:eastAsia="Amiri" w:cs="Amiri"/>
          <w:color w:val="111111"/>
          <w:sz w:val="28"/>
          <w:sz w:val="28"/>
          <w:szCs w:val="28"/>
          <w:rtl w:val="true"/>
          <w:lang w:bidi="ar-SA"/>
        </w:rPr>
        <w:t>تعلو الماء، و منها يتولّد المحذور</w:t>
      </w:r>
      <w:r>
        <w:rPr>
          <w:rFonts w:eastAsia="Amiri" w:cs="Amiri" w:ascii="Amiri" w:hAnsi="Amiri"/>
          <w:color w:val="111111"/>
          <w:sz w:val="28"/>
          <w:szCs w:val="28"/>
          <w:rtl w:val="true"/>
          <w:lang w:bidi="ar-SA"/>
        </w:rPr>
        <w:t xml:space="preserve">» </w:t>
      </w:r>
      <w:r>
        <w:rPr>
          <w:rStyle w:val="FootnoteAnchor"/>
          <w:rtl w:val="true"/>
        </w:rPr>
        <w:footnoteReference w:id="3621"/>
      </w:r>
      <w:r>
        <w:rPr>
          <w:rFonts w:ascii="Amiri" w:hAnsi="Amiri" w:eastAsia="Amiri" w:cs="Amiri"/>
          <w:color w:val="111111"/>
          <w:sz w:val="28"/>
          <w:sz w:val="28"/>
          <w:szCs w:val="28"/>
          <w:rtl w:val="true"/>
          <w:lang w:bidi="ar-SA"/>
        </w:rPr>
        <w:t>و لا يخفى ما فيه من الاعتبار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غير واحد بقاء الكراهية و إن زالت السخونة و الحرارة الحادثة من الشمس، و علّل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الاحتجاج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بقاء المبدأ في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المبنى، لما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الابتناء، إذ ليس الحكم في نصوص الباب معلّقا على المشتقّ ليترتّب عليه ما ذكر</w:t>
      </w:r>
      <w:r>
        <w:rPr>
          <w:rFonts w:eastAsia="Amiri" w:cs="Amiri" w:ascii="Amiri" w:hAnsi="Amiri"/>
          <w:color w:val="111111"/>
          <w:sz w:val="28"/>
          <w:szCs w:val="28"/>
          <w:rtl w:val="true"/>
          <w:lang w:bidi="ar-SA"/>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التمسّك بالاستصحاب لا ضير فيه، بناء على أنّ المستفاد من النصوص بملاحظة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سببيّة حدوث السخونة لحدوث الكراهة، و أمّا كون </w:t>
      </w:r>
      <w:bookmarkStart w:id="1127" w:name="pg16144_233834"/>
    </w:p>
    <w:p>
      <w:pPr>
        <w:pStyle w:val="BookText"/>
        <w:rPr/>
      </w:pPr>
      <w:bookmarkEnd w:id="1127"/>
      <w:r>
        <w:rPr>
          <w:rFonts w:ascii="Amiri" w:hAnsi="Amiri" w:eastAsia="Amiri" w:cs="Amiri"/>
          <w:color w:val="111111"/>
          <w:sz w:val="28"/>
          <w:sz w:val="28"/>
          <w:szCs w:val="28"/>
          <w:rtl w:val="true"/>
          <w:lang w:bidi="ar-SA"/>
        </w:rPr>
        <w:t>بقائها سببا للبقاء أيضا فلا، غاية الأمر وقوع الشكّ في البقاء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اشتراط القلّة هنا في موضوع الكراهة و عدمه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تقدّم من كراهة مطلق الاستعمال إنّما هو فيما استلزم المباشرة بالجسد أو عضو منه، و أمّا مع عدم المباشرة كما لو أزال به نجاسته أو سقى به دابّة أو نحو ذلك فالظاهر انتفاء الكراهة، نظرا إلى التعليل بإيراث البرص، و على قياس ذلك في انتفاء الكراهة ما لو سخّنت الشمس آنية خالية، ثمّ وضع فيها ماء و هي حارّة، فأفادت فيه سخونة و حرارة من غير أن يستند ذلك حينئذ إلى تأثير من الشمس، فإنّ ذلك غير معلوم الاندراج في دليل الكراهة و لا فتاوى الطائفة إن لم ندّع العلم بعدم اندراجه، بل نظيره ما لو تسخّن ماء الآنية بتأثير من الشمس و النار على نحو الشركة بحيث لو لا أحدهما لم يكن الآخر كافيا في تسخينه، فإنّ المستفاد من النصوص كون الشمس علّة تامّة للسخونة، و مثله ما لو وجد الماء متسخّنا في موضع صالح لأن يستند سخونته إلى الشمس أو النار من غير أن يتبيّن عنده أحد الأمرين، سواء بقي شاكّا أو ظانّا ما لم يكن الظنّ مستندا إلى دليل شرعي، فإنّ الأصل في كلّ من هاتين الصورتين سليم عن معارضة الغير</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805216_1280447820"/>
      <w:bookmarkStart w:id="1129" w:name="_Toc439"/>
      <w:bookmarkEnd w:id="1128"/>
      <w:r>
        <w:rPr>
          <w:rtl w:val="true"/>
        </w:rPr>
        <w:t>و لنختم الكتاب بذكر امور اخر تلحق بهذا الباب</w:t>
      </w:r>
      <w:r>
        <w:rPr>
          <w:rtl w:val="true"/>
        </w:rPr>
        <w:t>.</w:t>
      </w:r>
      <w:bookmarkEnd w:id="1129"/>
    </w:p>
    <w:p>
      <w:pPr>
        <w:pStyle w:val="Heading5"/>
        <w:numPr>
          <w:ilvl w:val="4"/>
          <w:numId w:val="1"/>
        </w:numPr>
        <w:rPr/>
      </w:pPr>
      <w:bookmarkStart w:id="1130" w:name="__RefHeading___Toc1805218_1280447820"/>
      <w:bookmarkStart w:id="1131" w:name="_Toc440"/>
      <w:bookmarkEnd w:id="1130"/>
      <w:r>
        <w:rPr>
          <w:rtl w:val="true"/>
        </w:rPr>
        <w:t>أحدها</w:t>
      </w:r>
      <w:r>
        <w:rPr>
          <w:rtl w:val="true"/>
        </w:rPr>
        <w:t xml:space="preserve">: </w:t>
      </w:r>
      <w:r>
        <w:rPr>
          <w:rtl w:val="true"/>
        </w:rPr>
        <w:t>أنّه يكره استعمال ما اسخن بالنار في تغسيل الموتى ما دام الغاسل متمكّنا من استعمال الماء البارد،</w:t>
      </w:r>
      <w:bookmarkEnd w:id="1131"/>
    </w:p>
    <w:p>
      <w:pPr>
        <w:pStyle w:val="BookText"/>
        <w:rPr/>
      </w:pPr>
      <w:r>
        <w:rPr>
          <w:rFonts w:ascii="Amiri" w:hAnsi="Amiri" w:eastAsia="Amiri" w:cs="Amiri"/>
          <w:color w:val="111111"/>
          <w:sz w:val="28"/>
          <w:sz w:val="28"/>
          <w:szCs w:val="28"/>
          <w:rtl w:val="true"/>
          <w:lang w:bidi="ar-SA"/>
        </w:rPr>
        <w:t>أو لم يكن على بدن الميّت ما لا يقلعه إلاّ الماء الحارّ من نجاسة أو وسخ أو نحو ذلك، من غير خلاف يحكى في المقام، بل في كلام غير واحد</w:t>
      </w:r>
      <w:r>
        <w:rPr>
          <w:rStyle w:val="FootnoteAnchor"/>
          <w:rtl w:val="true"/>
        </w:rPr>
        <w:footnoteReference w:id="3622"/>
      </w:r>
      <w:r>
        <w:rPr>
          <w:rFonts w:ascii="Amiri" w:hAnsi="Amiri" w:eastAsia="Amiri" w:cs="Amiri"/>
          <w:color w:val="111111"/>
          <w:sz w:val="28"/>
          <w:sz w:val="28"/>
          <w:szCs w:val="28"/>
          <w:rtl w:val="true"/>
          <w:lang w:bidi="ar-SA"/>
        </w:rPr>
        <w:t>نفي الخلاف، بل عن خلاف الشيخ</w:t>
      </w:r>
      <w:r>
        <w:rPr>
          <w:rStyle w:val="FootnoteAnchor"/>
          <w:rtl w:val="true"/>
        </w:rPr>
        <w:footnoteReference w:id="3623"/>
      </w:r>
      <w:r>
        <w:rPr>
          <w:rFonts w:ascii="Amiri" w:hAnsi="Amiri" w:eastAsia="Amiri" w:cs="Amiri"/>
          <w:color w:val="111111"/>
          <w:sz w:val="28"/>
          <w:sz w:val="28"/>
          <w:szCs w:val="28"/>
          <w:rtl w:val="true"/>
          <w:lang w:bidi="ar-SA"/>
        </w:rPr>
        <w:t>إجماع الفرقة و أخبارهم عليه،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حكاه في المنتهى</w:t>
      </w:r>
      <w:r>
        <w:rPr>
          <w:rFonts w:eastAsia="Amiri" w:cs="Amiri" w:ascii="Amiri" w:hAnsi="Amiri"/>
          <w:color w:val="111111"/>
          <w:sz w:val="28"/>
          <w:szCs w:val="28"/>
          <w:rtl w:val="true"/>
          <w:lang w:bidi="ar-SA"/>
        </w:rPr>
        <w:t>»</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r>
        <w:rPr>
          <w:rStyle w:val="FootnoteAnchor"/>
          <w:rtl w:val="true"/>
        </w:rPr>
        <w:footnoteReference w:id="3625"/>
      </w:r>
      <w:r>
        <w:rPr>
          <w:rFonts w:ascii="Amiri" w:hAnsi="Amiri" w:eastAsia="Amiri" w:cs="Amiri"/>
          <w:color w:val="111111"/>
          <w:sz w:val="28"/>
          <w:sz w:val="28"/>
          <w:szCs w:val="28"/>
          <w:rtl w:val="true"/>
          <w:lang w:bidi="ar-SA"/>
        </w:rPr>
        <w:t xml:space="preserve">و مرسلة </w:t>
      </w:r>
      <w:bookmarkStart w:id="1132" w:name="pg16144_233835"/>
    </w:p>
    <w:p>
      <w:pPr>
        <w:pStyle w:val="BookText"/>
        <w:rPr/>
      </w:pPr>
      <w:bookmarkEnd w:id="1132"/>
      <w:r>
        <w:rPr>
          <w:rFonts w:ascii="Amiri" w:hAnsi="Amiri" w:eastAsia="Amiri" w:cs="Amiri"/>
          <w:color w:val="111111"/>
          <w:sz w:val="28"/>
          <w:sz w:val="28"/>
          <w:szCs w:val="28"/>
          <w:rtl w:val="true"/>
          <w:lang w:bidi="ar-SA"/>
        </w:rPr>
        <w:t>عبد اللّه بن المغيرة عن أبي جعفر عليه السّلام و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الميّت ماء حميما</w:t>
      </w:r>
      <w:r>
        <w:rPr>
          <w:rFonts w:eastAsia="Amiri" w:cs="Amiri" w:ascii="Amiri" w:hAnsi="Amiri"/>
          <w:color w:val="111111"/>
          <w:sz w:val="28"/>
          <w:szCs w:val="28"/>
          <w:rtl w:val="true"/>
          <w:lang w:bidi="ar-SA"/>
        </w:rPr>
        <w:t>»</w:t>
      </w:r>
      <w:r>
        <w:rPr>
          <w:rStyle w:val="FootnoteAnchor"/>
          <w:rtl w:val="true"/>
        </w:rPr>
        <w:footnoteReference w:id="3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يعقوب بن يزيد عن عدّة من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للميّت الماء، لا تعجل له النار</w:t>
      </w:r>
      <w:r>
        <w:rPr>
          <w:rFonts w:eastAsia="Amiri" w:cs="Amiri" w:ascii="Amiri" w:hAnsi="Amiri"/>
          <w:color w:val="111111"/>
          <w:sz w:val="28"/>
          <w:szCs w:val="28"/>
          <w:rtl w:val="true"/>
          <w:lang w:bidi="ar-SA"/>
        </w:rPr>
        <w:t>»</w:t>
      </w:r>
      <w:r>
        <w:rPr>
          <w:rStyle w:val="FootnoteAnchor"/>
          <w:rtl w:val="true"/>
        </w:rPr>
        <w:footnoteReference w:id="3627"/>
      </w:r>
      <w:r>
        <w:rPr>
          <w:rFonts w:ascii="Amiri" w:hAnsi="Amiri" w:eastAsia="Amiri" w:cs="Amiri"/>
          <w:color w:val="111111"/>
          <w:sz w:val="28"/>
          <w:sz w:val="28"/>
          <w:szCs w:val="28"/>
          <w:rtl w:val="true"/>
          <w:lang w:bidi="ar-SA"/>
        </w:rPr>
        <w:t>و رواية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يسخّن الماء للميّت، قال 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شتاء باردا فتوفّي الميّت ممّا توقّي منه نفسك</w:t>
      </w:r>
      <w:r>
        <w:rPr>
          <w:rFonts w:eastAsia="Amiri" w:cs="Amiri" w:ascii="Amiri" w:hAnsi="Amiri"/>
          <w:color w:val="111111"/>
          <w:sz w:val="28"/>
          <w:szCs w:val="28"/>
          <w:rtl w:val="true"/>
          <w:lang w:bidi="ar-SA"/>
        </w:rPr>
        <w:t>»</w:t>
      </w:r>
      <w:r>
        <w:rPr>
          <w:rStyle w:val="FootnoteAnchor"/>
          <w:rtl w:val="true"/>
        </w:rPr>
        <w:footnoteReference w:id="3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تسخّن له ماء إلاّ أن يكون ماء باردا جدّا فتوقّي الميّت ممّا توقّي منه نفسك</w:t>
      </w:r>
      <w:r>
        <w:rPr>
          <w:rFonts w:eastAsia="Amiri" w:cs="Amiri" w:ascii="Amiri" w:hAnsi="Amiri"/>
          <w:color w:val="111111"/>
          <w:sz w:val="28"/>
          <w:szCs w:val="28"/>
          <w:rtl w:val="true"/>
          <w:lang w:bidi="ar-SA"/>
        </w:rPr>
        <w:t>»</w:t>
      </w:r>
      <w:r>
        <w:rPr>
          <w:rStyle w:val="FootnoteAnchor"/>
          <w:rtl w:val="true"/>
        </w:rPr>
        <w:footnoteReference w:id="3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إشارة إلى الرضوي المذكور في الرياض</w:t>
      </w:r>
      <w:r>
        <w:rPr>
          <w:rStyle w:val="FootnoteAnchor"/>
          <w:rtl w:val="true"/>
        </w:rPr>
        <w:footnoteReference w:id="3630"/>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النهي و إن كان حقيقة في التحريم لكنّه محمول على الكراهة، لاتّفاق الأصحاب على أنّ ذلك غير محرّم</w:t>
      </w:r>
      <w:r>
        <w:rPr>
          <w:rFonts w:eastAsia="Amiri" w:cs="Amiri" w:ascii="Amiri" w:hAnsi="Amiri"/>
          <w:color w:val="111111"/>
          <w:sz w:val="28"/>
          <w:szCs w:val="28"/>
          <w:rtl w:val="true"/>
          <w:lang w:bidi="ar-SA"/>
        </w:rPr>
        <w:t>»</w:t>
      </w:r>
      <w:r>
        <w:rPr>
          <w:rStyle w:val="FootnoteAnchor"/>
          <w:rtl w:val="true"/>
        </w:rPr>
        <w:footnoteReference w:id="36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فبذلك علم وجه الاستدلال بتلك الأخبار، كما علم بما ذكر فيها وجه الاستثناء المتقدّم، و لذا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في الكتاب المشار إليه</w:t>
      </w:r>
      <w:r>
        <w:rPr>
          <w:rStyle w:val="FootnoteAnchor"/>
          <w:rtl w:val="true"/>
        </w:rPr>
        <w:footnoteReference w:id="3632"/>
      </w:r>
      <w:r>
        <w:rPr>
          <w:rFonts w:ascii="Amiri" w:hAnsi="Amiri" w:eastAsia="Amiri" w:cs="Amiri"/>
          <w:color w:val="111111"/>
          <w:sz w:val="28"/>
          <w:sz w:val="28"/>
          <w:szCs w:val="28"/>
          <w:rtl w:val="true"/>
          <w:lang w:bidi="ar-SA"/>
        </w:rPr>
        <w:t xml:space="preserve">، و استحسنه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خشي الغاسل من البرد انتفت الكراهة</w:t>
      </w:r>
      <w:r>
        <w:rPr>
          <w:rFonts w:eastAsia="Amiri" w:cs="Amiri" w:ascii="Amiri" w:hAnsi="Amiri"/>
          <w:color w:val="111111"/>
          <w:sz w:val="28"/>
          <w:szCs w:val="28"/>
          <w:rtl w:val="true"/>
          <w:lang w:bidi="ar-SA"/>
        </w:rPr>
        <w:t>»</w:t>
      </w:r>
      <w:r>
        <w:rPr>
          <w:rStyle w:val="FootnoteAnchor"/>
          <w:rtl w:val="true"/>
        </w:rPr>
        <w:footnoteReference w:id="3633"/>
      </w:r>
      <w:r>
        <w:rPr>
          <w:rFonts w:ascii="Amiri" w:hAnsi="Amiri" w:eastAsia="Amiri" w:cs="Amiri"/>
          <w:color w:val="111111"/>
          <w:sz w:val="28"/>
          <w:sz w:val="28"/>
          <w:szCs w:val="28"/>
          <w:rtl w:val="true"/>
          <w:lang w:bidi="ar-SA"/>
        </w:rPr>
        <w:t>و وافقه على ذلك كلّ من أفتى هنا بالكراهة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الاقتصار على ما تندفع به الضرورة كما نصّ عليه جماعة، و ممّا يلحق بالضرورة إسخانه لتليين أعضائه و أصابعه، و هو حسن في موضع توقّف الغسل على التليين و توقّف التليين على حرارة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بعضهم تجويز ذلك و لو مع عدم الضرورة، تعليلا بخروجه عن الغسل، و هو فاسد لعدم إناطة الكراهة بالغسل كما يظهر بملاحظة الأخبار المطلقة المتقدّمة، إلاّ أن يدّعى انصراف إطلاقها إلى الغسل، و لعلّه في حيّز المنع كما يرشد إليه النهي عن تعجيل النار له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1805220_1280447820"/>
      <w:bookmarkStart w:id="1134" w:name="_Toc441"/>
      <w:bookmarkEnd w:id="1133"/>
      <w:r>
        <w:rPr>
          <w:rtl w:val="true"/>
        </w:rPr>
        <w:t>و ثانيها</w:t>
      </w:r>
      <w:r>
        <w:rPr>
          <w:rtl w:val="true"/>
        </w:rPr>
        <w:t xml:space="preserve">: </w:t>
      </w:r>
      <w:r>
        <w:rPr>
          <w:rtl w:val="true"/>
        </w:rPr>
        <w:t>لا يكره استعمال الماء المتسخّن بالنار في غير تغسيل الأموات،</w:t>
      </w:r>
      <w:bookmarkEnd w:id="1134"/>
    </w:p>
    <w:p>
      <w:pPr>
        <w:pStyle w:val="BookText"/>
        <w:rPr/>
      </w:pPr>
      <w:r>
        <w:rPr>
          <w:rFonts w:ascii="Amiri" w:hAnsi="Amiri" w:eastAsia="Amiri" w:cs="Amiri"/>
          <w:color w:val="111111"/>
          <w:sz w:val="28"/>
          <w:sz w:val="28"/>
          <w:szCs w:val="28"/>
          <w:rtl w:val="true"/>
          <w:lang w:bidi="ar-SA"/>
        </w:rPr>
        <w:t>للأصل، و السيرة المعلومة</w:t>
      </w:r>
      <w:r>
        <w:rPr>
          <w:rFonts w:eastAsia="Amiri" w:cs="Amiri" w:ascii="Amiri" w:hAnsi="Amiri"/>
          <w:color w:val="111111"/>
          <w:sz w:val="28"/>
          <w:szCs w:val="28"/>
          <w:rtl w:val="true"/>
          <w:lang w:bidi="ar-SA"/>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المسخّن بالنار لا بأس باستعماله، لبقاء الاسم، خلافا </w:t>
      </w:r>
      <w:bookmarkStart w:id="1135" w:name="pg16144_233836"/>
    </w:p>
    <w:p>
      <w:pPr>
        <w:pStyle w:val="BookText"/>
        <w:rPr/>
      </w:pPr>
      <w:bookmarkEnd w:id="1135"/>
      <w:r>
        <w:rPr>
          <w:rFonts w:ascii="Amiri" w:hAnsi="Amiri" w:eastAsia="Amiri" w:cs="Amiri"/>
          <w:color w:val="111111"/>
          <w:sz w:val="28"/>
          <w:sz w:val="28"/>
          <w:szCs w:val="28"/>
          <w:rtl w:val="true"/>
          <w:lang w:bidi="ar-SA"/>
        </w:rPr>
        <w:t xml:space="preserve">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يكره تغسيل الميّت منه</w:t>
      </w:r>
      <w:r>
        <w:rPr>
          <w:rFonts w:eastAsia="Amiri" w:cs="Amiri" w:ascii="Amiri" w:hAnsi="Amiri"/>
          <w:color w:val="111111"/>
          <w:sz w:val="28"/>
          <w:szCs w:val="28"/>
          <w:rtl w:val="true"/>
          <w:lang w:bidi="ar-SA"/>
        </w:rPr>
        <w:t>»</w:t>
      </w:r>
      <w:r>
        <w:rPr>
          <w:rStyle w:val="FootnoteAnchor"/>
          <w:rtl w:val="true"/>
        </w:rPr>
        <w:footnoteReference w:id="3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يسخّن بالنار لا يكره استعماله في حال</w:t>
      </w:r>
      <w:r>
        <w:rPr>
          <w:rFonts w:eastAsia="Amiri" w:cs="Amiri" w:ascii="Amiri" w:hAnsi="Amiri"/>
          <w:color w:val="111111"/>
          <w:sz w:val="28"/>
          <w:szCs w:val="28"/>
          <w:rtl w:val="true"/>
          <w:lang w:bidi="ar-SA"/>
        </w:rPr>
        <w:t>»</w:t>
      </w:r>
      <w:r>
        <w:rPr>
          <w:rStyle w:val="FootnoteAnchor"/>
          <w:rtl w:val="true"/>
        </w:rPr>
        <w:footnoteReference w:id="3635"/>
      </w:r>
      <w:r>
        <w:rPr>
          <w:rFonts w:ascii="Amiri" w:hAnsi="Amiri" w:eastAsia="Amiri" w:cs="Amiri"/>
          <w:color w:val="111111"/>
          <w:sz w:val="28"/>
          <w:sz w:val="28"/>
          <w:szCs w:val="28"/>
          <w:rtl w:val="true"/>
          <w:lang w:bidi="ar-SA"/>
        </w:rPr>
        <w:t>، بل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قال به جميع الفقهاء إلاّ مجاهد فإنّه كرهه</w:t>
      </w:r>
      <w:r>
        <w:rPr>
          <w:rFonts w:eastAsia="Amiri" w:cs="Amiri" w:ascii="Amiri" w:hAnsi="Amiri"/>
          <w:color w:val="111111"/>
          <w:sz w:val="28"/>
          <w:szCs w:val="28"/>
          <w:rtl w:val="true"/>
          <w:lang w:bidi="ar-SA"/>
        </w:rPr>
        <w:t>»</w:t>
      </w:r>
      <w:r>
        <w:rPr>
          <w:rStyle w:val="FootnoteAnchor"/>
          <w:rtl w:val="true"/>
        </w:rPr>
        <w:footnoteReference w:id="3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العلاّمة في المنتهى</w:t>
      </w:r>
      <w:r>
        <w:rPr>
          <w:rStyle w:val="FootnoteAnchor"/>
          <w:rtl w:val="true"/>
        </w:rPr>
        <w:footnoteReference w:id="3637"/>
      </w:r>
      <w:r>
        <w:rPr>
          <w:rFonts w:ascii="Amiri" w:hAnsi="Amiri" w:eastAsia="Amiri" w:cs="Amiri"/>
          <w:color w:val="111111"/>
          <w:sz w:val="28"/>
          <w:sz w:val="28"/>
          <w:szCs w:val="28"/>
          <w:rtl w:val="true"/>
          <w:lang w:bidi="ar-SA"/>
        </w:rPr>
        <w:t>احتجّ عليه من طريق العامّة بما رواه الجمهور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و أنا مع رسول اللّه صلّى اللّه عليه و آله، فجمعت حطبا و أحميت الماء فاغتسلت، فأخبرت النبيّ صلّى اللّه عليه و آله فلم ينكر</w:t>
      </w:r>
      <w:r>
        <w:rPr>
          <w:rStyle w:val="FootnoteAnchor"/>
          <w:rtl w:val="true"/>
        </w:rPr>
        <w:footnoteReference w:id="3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 بما رواه الشيخ في الصحيح عن أبي عبد اللّه عليه السّلام أنّه اضطرّ إليه و هو مريض فأتوه به مسخّنا فاغتسل،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w:t>
      </w:r>
      <w:r>
        <w:rPr>
          <w:rStyle w:val="FootnoteAnchor"/>
          <w:rtl w:val="true"/>
        </w:rPr>
        <w:footnoteReference w:id="3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بعدم صلاحية شيء من ذلك دليلا على نفي الكراهة، نعم ينبغي أن يعلم أنّ الثاني لا يدلّ على الكراهة أيضا، و إن كان قد يوهمها بملاحظة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عود الضمير إلى الغسل كما قيل، أو إلى الماء، لا إلى تسخينه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عوده إليه فعدم الاضطرار إلى التسخين أعمّ من كونه بنفسه مرجوحا كما لا يخفى</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805222_1280447820"/>
      <w:bookmarkStart w:id="1137" w:name="_Toc442"/>
      <w:bookmarkEnd w:id="1136"/>
      <w:r>
        <w:rPr>
          <w:rtl w:val="true"/>
        </w:rPr>
        <w:t>و ثالثها</w:t>
      </w:r>
      <w:r>
        <w:rPr>
          <w:rtl w:val="true"/>
        </w:rPr>
        <w:t xml:space="preserve">: </w:t>
      </w:r>
      <w:r>
        <w:rPr>
          <w:rtl w:val="true"/>
        </w:rPr>
        <w:t xml:space="preserve">في المنتهى </w:t>
      </w:r>
      <w:r>
        <w:rPr>
          <w:rtl w:val="true"/>
        </w:rPr>
        <w:t xml:space="preserve">- </w:t>
      </w:r>
      <w:r>
        <w:rPr>
          <w:rtl w:val="true"/>
        </w:rPr>
        <w:t xml:space="preserve">عن ابن بابويه رحمه اللّه </w:t>
      </w:r>
      <w:r>
        <w:rPr>
          <w:rtl w:val="true"/>
        </w:rPr>
        <w:t>-: «</w:t>
      </w:r>
      <w:r>
        <w:rPr>
          <w:rtl w:val="true"/>
        </w:rPr>
        <w:t>و يكره التداوي بالمياه الحارّة من الجبال الّتي يشمّ منها رائحة الكبريت،</w:t>
      </w:r>
      <w:bookmarkEnd w:id="1137"/>
    </w:p>
    <w:p>
      <w:pPr>
        <w:pStyle w:val="BookText"/>
        <w:rPr/>
      </w:pPr>
      <w:r>
        <w:rPr>
          <w:rFonts w:ascii="Amiri" w:hAnsi="Amiri" w:eastAsia="Amiri" w:cs="Amiri"/>
          <w:color w:val="111111"/>
          <w:sz w:val="28"/>
          <w:sz w:val="28"/>
          <w:szCs w:val="28"/>
          <w:rtl w:val="true"/>
          <w:lang w:bidi="ar-SA"/>
        </w:rPr>
        <w:t>لأنّها من فوح جهنّم</w:t>
      </w:r>
      <w:r>
        <w:rPr>
          <w:rFonts w:eastAsia="Amiri" w:cs="Amiri" w:ascii="Amiri" w:hAnsi="Amiri"/>
          <w:color w:val="111111"/>
          <w:sz w:val="28"/>
          <w:szCs w:val="28"/>
          <w:rtl w:val="true"/>
          <w:lang w:bidi="ar-SA"/>
        </w:rPr>
        <w:t>»</w:t>
      </w:r>
      <w:r>
        <w:rPr>
          <w:rStyle w:val="FootnoteAnchor"/>
          <w:rtl w:val="true"/>
        </w:rPr>
        <w:footnoteReference w:id="3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ما رواه في الوسائل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ماء الحمات</w:t>
      </w:r>
      <w:r>
        <w:rPr>
          <w:rStyle w:val="FootnoteAnchor"/>
          <w:rtl w:val="true"/>
        </w:rPr>
        <w:footnoteReference w:id="3641"/>
      </w:r>
      <w:r>
        <w:rPr>
          <w:rFonts w:ascii="Amiri" w:hAnsi="Amiri" w:eastAsia="Amiri" w:cs="Amiri"/>
          <w:color w:val="111111"/>
          <w:sz w:val="28"/>
          <w:sz w:val="28"/>
          <w:szCs w:val="28"/>
          <w:rtl w:val="true"/>
          <w:lang w:bidi="ar-SA"/>
        </w:rPr>
        <w:t>، فإنّ النبيّ صلّى اللّه عليه و آله إنّما نهى أن يستشفى بها و لم ينه عن التوضّؤ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المياه الحارّة الّتي يكون في الجبال يشمّ منها رائحة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فوح جهنّم</w:t>
      </w:r>
      <w:r>
        <w:rPr>
          <w:rStyle w:val="FootnoteAnchor"/>
          <w:rtl w:val="true"/>
        </w:rPr>
        <w:footnoteReference w:id="3642"/>
      </w:r>
      <w:r>
        <w:rPr>
          <w:rFonts w:eastAsia="Times New Roman" w:cs="Times New Roman" w:ascii="Times New Roman" w:hAnsi="Times New Roman"/>
          <w:color w:val="111111"/>
          <w:sz w:val="28"/>
          <w:szCs w:val="28"/>
          <w:rtl w:val="true"/>
          <w:lang w:val="en-US" w:bidi="en-US"/>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مسعدة بن صدقة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الاستشفاء </w:t>
      </w:r>
    </w:p>
    <w:p>
      <w:pPr>
        <w:pStyle w:val="BookText"/>
        <w:rPr/>
      </w:pPr>
      <w:r>
        <w:rPr>
          <w:rFonts w:ascii="Amiri" w:hAnsi="Amiri" w:eastAsia="Amiri" w:cs="Amiri"/>
          <w:color w:val="111111"/>
          <w:sz w:val="28"/>
          <w:sz w:val="28"/>
          <w:szCs w:val="28"/>
          <w:rtl w:val="true"/>
          <w:lang w:bidi="ar-SA"/>
        </w:rPr>
        <w:t>بالحمات،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الجارية الّتي تكون في الجبال توجد منها رائحة الكبريت، فإنّها من فوح جهنّم</w:t>
      </w:r>
      <w:r>
        <w:rPr>
          <w:rFonts w:eastAsia="Amiri" w:cs="Amiri" w:ascii="Amiri" w:hAnsi="Amiri"/>
          <w:color w:val="111111"/>
          <w:sz w:val="28"/>
          <w:szCs w:val="28"/>
          <w:rtl w:val="true"/>
          <w:lang w:bidi="ar-SA"/>
        </w:rPr>
        <w:t>»</w:t>
      </w:r>
      <w:r>
        <w:rPr>
          <w:rStyle w:val="FootnoteAnchor"/>
          <w:rtl w:val="true"/>
        </w:rPr>
        <w:footnoteReference w:id="3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مسعدة بن زياد عن أبي عبد اللّه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نهى أن يستشفى بالحمات الّتي توجد في الجبال</w:t>
      </w:r>
      <w:r>
        <w:rPr>
          <w:rFonts w:eastAsia="Amiri" w:cs="Amiri" w:ascii="Amiri" w:hAnsi="Amiri"/>
          <w:color w:val="111111"/>
          <w:sz w:val="28"/>
          <w:szCs w:val="28"/>
          <w:rtl w:val="true"/>
          <w:lang w:bidi="ar-SA"/>
        </w:rPr>
        <w:t>»</w:t>
      </w:r>
      <w:r>
        <w:rPr>
          <w:rStyle w:val="FootnoteAnchor"/>
          <w:rtl w:val="true"/>
        </w:rPr>
        <w:footnoteReference w:id="3644"/>
      </w:r>
      <w:r>
        <w:rPr>
          <w:rFonts w:ascii="Amiri" w:hAnsi="Amiri" w:eastAsia="Amiri" w:cs="Amiri"/>
          <w:color w:val="111111"/>
          <w:sz w:val="28"/>
          <w:sz w:val="28"/>
          <w:szCs w:val="28"/>
          <w:rtl w:val="true"/>
          <w:lang w:bidi="ar-SA"/>
        </w:rPr>
        <w:t>فالكراهة أيضا ممّا لا إشكال فيه، لكن بعد ملاحظة السيرة النافية للحرمة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أن يعلم أنّ الكراهة في جميع ما حكم عليه بالكراهة من أوّل الكتاب إلى هذه الأبواب إنّما تثبت ما لم يتعيّن استعمال هذا الماء، كما في موضع الانحصار مع الضرورة إليه، و مع تعيّنه زالت الكراهة، ضرورة امتناع اجتماعها مع الوجوب في شيء واحد، فيخصّص به دليل الكراهة، تقديما لأقوى المصلحتين على الاخرى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معنى الكراهة حيثما تضاف إلى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تقرّر في الاصول، و لا حاجة إلى التعرّض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أوردناه في كتاب المياه، و يتلوه الجزء الثاني من الكتاب بعون اللّه الملك الوهّاب، الّذي له الحمد أوّلا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فرغ من تسويده مؤلّفه الفقير إلى اللّه الغنيّ عليّ محمّد بن إسماعيل المرحوم الموسوي، عند طلوع الفجر من يوم الثلاثاء الاثنى عشر من شهر الرجب المرجّب من شهور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645"/>
      </w:r>
    </w:p>
    <w:p>
      <w:pPr>
        <w:pStyle w:val="BookText"/>
        <w:rPr/>
      </w:pPr>
      <w:r>
        <w:rPr>
          <w:rFonts w:ascii="Amiri" w:hAnsi="Amiri" w:eastAsia="Amiri" w:cs="Amiri"/>
          <w:color w:val="111111"/>
          <w:sz w:val="28"/>
          <w:sz w:val="28"/>
          <w:szCs w:val="28"/>
          <w:rtl w:val="true"/>
          <w:lang w:bidi="ar-SA"/>
        </w:rPr>
        <w:t>نسأل اللّه أن يجعله ممّا ينتفع به الباحثون، فيصير ذخرا ليوم لا ينفع مال و 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تصحيحه ليلة الغدير من شهور سنة اثنين و عشرين و أربعمائة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هاجرها ألف سلام و تحية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حفيد المؤلّف السيّد عليّ العلوي القزويني </w:t>
      </w:r>
      <w:bookmarkStart w:id="1138" w:name="pg16144_233838"/>
    </w:p>
    <w:p>
      <w:pPr>
        <w:pStyle w:val="Heading2"/>
        <w:numPr>
          <w:ilvl w:val="1"/>
          <w:numId w:val="1"/>
        </w:numPr>
        <w:rPr/>
      </w:pPr>
      <w:bookmarkStart w:id="1139" w:name="__RefHeading___Toc1805224_1280447820"/>
      <w:bookmarkStart w:id="1140" w:name="_Toc443"/>
      <w:bookmarkEnd w:id="1138"/>
      <w:bookmarkEnd w:id="1139"/>
      <w:r>
        <w:rPr>
          <w:rtl w:val="true"/>
        </w:rPr>
        <w:t>الفهرس</w:t>
      </w:r>
      <w:bookmarkEnd w:id="1140"/>
    </w:p>
    <w:p>
      <w:pPr>
        <w:pStyle w:val="BookText"/>
        <w:rPr/>
      </w:pPr>
      <w:r>
        <w:rPr>
          <w:rFonts w:ascii="Amiri" w:hAnsi="Amiri" w:eastAsia="Amiri" w:cs="Amiri"/>
          <w:color w:val="111111"/>
          <w:sz w:val="28"/>
          <w:sz w:val="28"/>
          <w:szCs w:val="28"/>
          <w:rtl w:val="true"/>
          <w:lang w:bidi="ar-SA"/>
        </w:rPr>
        <w:t>الصورة</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1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1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2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ختام المجلد الأوّل من حاشيته على القوانين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تمّ بيد مؤلّفه الفقير إلى اللّه الغني عليّ بن إسماعيل الموسوي القزويني مولدا و مسكنا في العشر الأوّل من الربيع الأوّل سنة اثني و تسعين و مائتين بعد الألف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النبويّة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المجلد الثالث من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تجزئتنا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الأوامر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يعتبر كون الأمر مستفادا من القول أو أعمّ منه و ممّا يستفاد من الفعل؟ فيه وجهان بل قولان، اختار أوّلهما العلاّمة في التهذيب و النهاية و صار إلى ثانيهما جمع من متأخّري الأعلام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عمّنا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و علّله السيّد في ضوابطه بأنّ المتبادر عند الإطلاق و إن كان هو الأوّل و لكنّه إطلاقي لعدم صحّة السلب عن طلب الأخرس بالإشارة أو الكتابة إلى آخره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بقم المشرفة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المآثر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سيّد رضي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قزويني، خال آقا سيّد علي صاحب تعليقۀ معالم و حاشيۀ قوانين بود و در قزوين و متعلّقاتش رياستى بزرگ و مجلس فقه خارجى به مثابۀ رؤساى عراق عرب مشحون به گروهى از مستعدّين علماى عجم داشت، جلالت قدر و عظمت شأن آن بزرگوار در اين گونه اختصارات نمى گنجد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كيوان نامه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الشريف المعروف بشريف العلماء المازندراني أصلا و الحائري مسكنا و مدفنا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تتلمذ عنده السيّد إبراهيم القزويني صاحب ضوابط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ايران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 چهاردهى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كيوان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كيوان 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تلامذة صاحب الفصول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آنذاك قاطنا بكربلاء المعلّى و ابتلي أيضا بالطاعون و لكن نجى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ذي القعدة الحرام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بى دروغ تخمينا در كربلاى معلّى دويست و پنجاه تا سيصد نفر از طاعون مى ميرند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جناب شريف العلماء اليوم وفات كرد و زنش و دختر و پسرش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مشاهير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سياحت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نجفى قوچاني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فهرست مشاهير علماء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روابط ايران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الوديعة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 في مكتبة والدي دام ظلّه بقزوين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تاريخ و فرهنگ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پرويز و رجاوند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كيوان نامه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رسالة العدالة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صورة ما 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قاطبه مؤمنين أيّدهم اللّه تعالى مخفى نماند كه جناب مستطاب سلالة السادات العظام عمدة العلماء الأعلام كرّوبى نصاب، قدسى خطاب آقا سيّد باقر ابن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 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سيّد علي أعلى اللّه مقامه، آراسته به زينت تقوى و متحلّى به حليه پرهيزكارى از جمله موثّقين بوده و مى باشند لهذا آن جناب مأذون مى باشد در تصرف كردن در جميع امور حسبيه كمال احتياط را مراعات خواهند فرمود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معروفة بقزوين،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فيها أربعة أنبياء من بني إسرائيل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الأوّل في المياه، و النظر في المطلق و المضاف و الأسآر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في المياه و فيه أطراف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ما بين المعقوفتين من نسخة الأصل و لذا أثبتناه في المتن لاستقامة العبارة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 بن المسيّب بن حزن بن أبي وهب المحزومي القرشي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الفقهاء السبعة بالمدينة، ولد لسنتين مضتا من خلافة عمر، سمع من عمر و عثمان و زيد بن ثابت و عائشة و أبي هريرة و سعد بن أبي وقّاص، و اختلف في سنة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حكى عنهما الشيخ الطوسي في الخلاف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قول ابن المسيّب و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فإنّ خلاف المذكورين منقرض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كونه طاهرا مطهّرا من الحدث و الخبث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وقع عليه إجماع المسلمين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ما بين المعقوفين من نسخة الأصل و لذا أضفناه في المتن لاستقامة العبارة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تمكّن جميع من في الأرض عن ماء البحر، بل هو كذلك بالنسبة إلى أكثرهم، لوقوعهم في البلاد النائية عن البحر، فيتمّ الامتنان بالنسبة إليهم، و إن لم يتمّ بالنسبة إلى المتمكّنين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تماميّته بالنسبة إليهم، لعدم كون ماء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كونه مالحا بل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ينتفع به في الشرب و الطعام، فتأمّل أيضا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لساعدة بن جؤيّة كما في خزانة الأدب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كلام الشيخ المتقدّم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لتوجّه المنع إلى ذلك، و عدم ثبوت الوضع بالاستدلال كما لا يخفى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العبارة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العبارة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العبارة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معالم الاصول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سيصدر قريبا إن شاء اللّه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احتمال إرادة المعنى الاسمي، أي ما يتطهّر به، في معنى الطهور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احتيج في وصفه به حينئذ إلى نوع تأويل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الأربعة </w:t>
      </w:r>
      <w:r>
        <w:rPr>
          <w:rFonts w:eastAsia="IRNazanin" w:cs="IRNazanin"/>
          <w:b w:val="false"/>
          <w:bCs w:val="false"/>
          <w:i w:val="false"/>
          <w:iCs w:val="false"/>
          <w:color w:val="333333"/>
          <w:sz w:val="20"/>
          <w:szCs w:val="20"/>
        </w:rPr>
        <w:t>15/201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71/19:1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724/240:1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1064/356:1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اللّه عليكم بأوسع 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153/53:1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مجمع البيان </w:t>
      </w:r>
      <w:r>
        <w:rPr>
          <w:rFonts w:eastAsia="IRNazanin" w:cs="IRNazanin"/>
          <w:b w:val="false"/>
          <w:bCs w:val="false"/>
          <w:i w:val="false"/>
          <w:iCs w:val="false"/>
          <w:color w:val="333333"/>
          <w:sz w:val="20"/>
          <w:szCs w:val="20"/>
        </w:rPr>
        <w:t>623:10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153/53:1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وجدناه في المجمع، و الظاهر أنّ فرض النسبة كما ذكر تحريف من قلم الناسخ، و إلاّ فالاعتبار مع الشرط المذكور فيما بعد تقضيان انعكاس النسبة، كما لا يخفى على المتدبّر،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نقله عنه في جواهر الكلام أيضا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 أنّ هذا النقل إنّما تحقّق في تلك اللفظة من جهات ثلاث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1064/356:1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223/60:1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الفقيه السيّد رضي الدين القزويني، قال العلاّمة الطهراني في ترجمته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خال السيّد علي القزويني، صاحب حاشية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 والد المترجم له السيّد علي أكبر و أنّه كان ابن عمّ السيّد إبراهيم بن محمّد باقر الموسوي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لكنّا لم نعثر على ما نقل عنه المصنّف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1064/356:1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أنّ المراد منه حاشية الارشاد كما أثبتناه في المتن، و لكنّا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676/234:1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87/33:1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625/216:1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26652/396:9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يتطهّر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الإناء المعروف من 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ما في نسخة اخرى غير منسوبة إلى الوسائل، و أمّا ما نقلنا عنه من الوسائل فهو خال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53/22:1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رجل ضعيف جدّا لا يعوّل عليه و لا يلتفت إلى ما تفرّد 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النجاشي في رجاله،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قتيبة النيشابوري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احلّ لكم أن ترووا أحاديث محمّد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اختلف علماؤنا في شأنه، فالشيخ المفيد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 و أمّا الشيخ الطوسي رحمه اللّه فإنّه ضعّفه و كذا قال النجاشي، و ابن الغضائري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غال لا يلتفت إليه، و روى الكشّي فيه قدحا عظيما، و أثنى عليه أيضا، و الوجه عندي التوقّف فيما يرويه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تغيّر الماء و تغيّر الطعم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حريز بن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الصلاة كبير و آخر ألطف منه و له كتاب نوادر روى عنه 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1298/412:1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80/30:1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ينتن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626/217:1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1287/409:1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1294/411:1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بذا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عرفا أنّ الماء قد غيّرته النجاسة، و لو مع العلم بكونها جزءا للعلّة، و أنّ لها في إيراث التغيّر في الماء شريكا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غلبت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53/22:1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القاف، صبغ معروف، قيل عربيّ، و قيل معرّب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كمرجل الصبّاغ جاش بقّمه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المقطوع كونه سهوا من قلمه الشريف، و لذا صحّحناه بما في المتن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مدارك الاحكام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إدريس في السرائر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411:26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53/22:1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حكاه عنه في جواهر الكلام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حكاه عنه في جواهر الكلام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يعتبر ما هو الأحوط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عنه في الحدائق الناضرة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الناضرة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الناضرة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1286/408:1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67/97:1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المبسوط للسرخي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بن سلامة الأزديّ الحجريّ المصريّ الطحاويّ، شيخ الحنفيّة، روى عن هارون بن سعيد الأيلي و عبد الغني بن رفاعة و طائفة من أصحاب ابن عينية، و روى عنه أحمد بن القاسم الخشّاب و الطبراني، له تصانيف كثيرة، ولد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تذكرة الحفّاظ </w:t>
      </w:r>
      <w:r>
        <w:rPr>
          <w:rFonts w:eastAsia="IRNazanin" w:cs="IRNazanin"/>
          <w:b w:val="false"/>
          <w:bCs w:val="false"/>
          <w:i w:val="false"/>
          <w:iCs w:val="false"/>
          <w:color w:val="333333"/>
          <w:sz w:val="20"/>
          <w:szCs w:val="20"/>
        </w:rPr>
        <w:t>808:3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حكاية الطحاوي فيما بأيدينا من المصادر، و نقل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 الكتاب الطحاوي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الفقهاء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في التهذيب </w:t>
      </w:r>
      <w:r>
        <w:rPr>
          <w:rFonts w:eastAsia="IRNazanin" w:cs="IRNazanin"/>
          <w:b w:val="false"/>
          <w:bCs w:val="false"/>
          <w:i w:val="false"/>
          <w:iCs w:val="false"/>
          <w:color w:val="333333"/>
          <w:sz w:val="20"/>
          <w:szCs w:val="20"/>
        </w:rPr>
        <w:t>109/40:1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1308/414:1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115/41:1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1309/415:1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54/22:1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1311/415:1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1307/414:1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650/226:1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830/283:1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644/225:1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39/18:1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759/261:1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713/249:1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1281/407:1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بسند آخر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645/225:1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حريز عمّن أخبره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ولغ الكلب في الإناء فصبّه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420/197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 بالكسر الموضع الّذي يتّخذ الماء و الجمع أصناع، و يقال له مصنع و مصانع، و المصنع ما يضع مجمع الماء كالبركة و نحوها، و الجمع مصانع، كذا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مرتضى الأنصاري قدس سرّه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العلاّمة في 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مرتضى الأنصاري قدّس سرّه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يظهر، عدم اشراط تساوي السطح في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ماء الحمّام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الاستثناء من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اعتبار تساوي السطوح كما هو الغالب في ماء الحمّام، و الحقّ أنّ ماء غير الحمّام أيضا كذلك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تلخّص بما ذكرنا أنّ الظاهر عدم اشتراط مساواة السطح في الكرّ مطلقا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1317/417:1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السيّد رضيّ الدين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لكنّا لم نعثر على ما نقل عنه المصنّف قدّس سرّه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أيضا عنه في مدارك الأحكام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1308/414:1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1317/417:1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1308/414:1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كلّه طاهر حتّى يعلم أنّه قذر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في أماليه،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الاّ أنّه أسقط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لا ينجّسه شيء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ذيله في الوسائل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صدره في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1308/414:1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ذيله في الوسائل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صدره في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1308/414:1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1298/412:1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1298/412:1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1298/412:1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118/42:1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1309/415:1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1309/415:1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الغلاّت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163/49:2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قضيّة التحديد الوارد في الرواية أن يكون كلّ رطل مائة و ثلاثين وزنة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فسّرت الوزنة في كلام بعض الأصحاب بالدرهم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نيل الأوطار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هشام بن محمّد بن السائب بن بشر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كلب بن مرّة الناسب، العالم بالأيّام، المشهور بالفضل و العلم، و كان يختصّ بمذهبنا و كان أبو عبد اللّه عليه السّلام يقرّبه،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بين أبيه محمّد بن السائب الّذي عدّه الشيخ الطوسي في رجاله من أصحاب الباقر و الصادق عليهما السّلام،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الغالب التعبير عن هشام بابن الكلبي و أيضا المناسب لترك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الراوي هو الأب دون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629/220:1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الحدائق الناضرة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المهذّب البارع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تصغ</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تزييف أدلّة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الأقوى قول 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القول به غير بعيد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البهائي قدّس سرّه في الحبل المتين عن حواشيه على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ذكرى الشيعة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ذكرى الشيعة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ما بين المعقوفات من 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أضفناه إلى المتن لاستقامة العبارة و زيادة الفائدة، و المظنون قويّا أنّ المصنّف رحمه اللّه نقله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في المدارك الّذي يحضرنا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منشورات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الحاكي هو السيّد المجاهد في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المهذّب البارع و كذا في مهذّب ابن البرّاج، نعم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الكرّ هو ما كان مقدار ألف رطل و مائتي رطل بالعراقي، أو ثلاثة أشبار و نصف طولا في ذلك عرضا في مثل ذلك عمقا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احتمال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غير بعيد في نفسه، إلاّ أنّه لم يوجد في التهذيب أيضا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88/33:1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88/33:1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88/33:1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116/42:1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55/42:1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الخوانساري في مشارق الشموس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الخوانساري في مشارق الشموس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1282/408:1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115/41:1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عدم بلوغ هذه الصورة حدّ الكرّ حتّى على مذهب الراوندي قدّس سرّه، و اللّه العالم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عليّ 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العماني الحذّاء، فقيه متكلّم، ثقة، و عرّفه الشيخ بالحسن بن عيسى، يكنّى أبا علي، وجه من وجوه أصحابنا، و هو أوّل من هذّب الفقه و استعمل النظر و فتق البحث عن الاصول و الفروع في ابتداء الغيبة الكبرى، و 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المتمسّك بحبل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الوالبي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مولى بني والبة، تابعيّ كوفيّ، نزيل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المحدّث، روى عن ابن عبّاس و عديّ بن حاتم، و روى عنه جعفر بن أبي المغيرة و الأعمش و عطاء بن السائب و غيره، و عدّه الشيخ من أصحاب الإمام عليّ بن الحسين، و كان يسمّى جهبذة العلماء، قتله الحجّاج بعد محاورة طويلة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الخطّاب بن نقيل القرشي العدويّ، أبو عبد الرحمن، روى عن النبيّ و أبيه و أبي بكر و أبي ذر و معاذ و غيرهم، و روى عنه عبد الرحمن بن عوف و سعيد بن المسيّب و عون بن عبد اللّه، ولد سنة ثلاث من المبعث، و مات سنه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المخزوني مولى السائب بن أبي السائب المخزومي، سمع سعدا و عائشة و أبا هريرة و أمّ هاني و عبد اللّه بن عمرو و ابن عبّاس و لزمه مدّة، و قرأ عليه القرآن، روى عنه قتادة و الحكم بن عتيبة و عمرو بن دينار و منصور و الأعمش و غيرهم، 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يعقوب إسحاق بن ابراهيم بن مخلّد الحنظلي التميمي المروزي، نزيل نيشابور و عالمها،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ابن المبارك و فضيل بن عياض، و أخذ عنه أحمد بن حنبل و البخاري و مسلم و الترمذي و النسائي و أبو العبّاس بن السّراج ولد سنة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مات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البغداديّ اللغوي الفقيه ولي القضاء بمدينة طرسوس، سمع شريكا و ابن المبارك و حدّث عنه الدارمي و أبو بكر بن أبي الدنيا و ابن أبي اسامة، أخذ عن الاصمعي و الكسائي و الفرّاء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حسل، و يقال حسيل اليمان بن جابر بن عمرو بن ربيعة بن جروة بن الحارث، يكنّى أبا عبد اللّه العبسي، شهد حذيفة و أخوه صفوان أحدا و كان من كبار الصحابة، معروف فيهم بصاحب سرّ رسول اللّه صلّى اللّه عليه و آله في تمييز المنافقين، روى عن النبيّ، و روى عنه ابنه أبو عبيدة و عمر بن الخطّاب و قيس بن أبي حازم، و أبو وائل و زيد بن وهب و غيرهم، مات بالمدائن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الدوسي، و دوس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عدنان بن عبد اللّه بن زهران بن كعب بن الحارث، اختلفوا في اسمه و اسم أبيه اختلافا كثيرا لا يحاط به و لا يضبط في الجاهليّة و الإسلام،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شمس في الجاهليّة، صحب النبيّ و روى عنه الإصابة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بن هاشم بن عبد مناف، روى عن النبيّ صلّى اللّه عليه و آله و عليّ عليه السّلام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 بن حزن بن أبي وهب بن عمرو بن عائد بن عمران بن مخزوم القرشي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أحد الفقهاء السبعة بالمدينة، ولد لسنتين مضتا من خلافة عمر، سمع من عمر و عثمان و زيد بن ثابت و عائشة و أبي هريرة و سعد بن أبي وقّاص، و اختلف في سنة وفاته، فقيل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البصريّ مولى زيد بن ثابت الأنصاري، و أمّه خيرة مولاة أمّ سلمة، حدّث عن عثمان و عمران بن حصين و المغيرة بن شعبة و ابن عبّاس،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563:4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عبد اللّه مولى عبد اللّه بن عبّاس، أصله من البربر، روى عن مولاه و عليّ بن أبي طالب عليه السّلام و أبي سعيد و أبي هريرة و عائشة، و استبعد الذهبي روايته عن عليّ عليه السّلام، و كان ينتقل من بلد إلى بلد، مات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أسلم القرشي، مفتي أهل مكّة و محدّثهم، روى عن عائشة و أبي هريرة و جابر بن عبد اللّه و ابن عبّاس و أبي سعيد و طائفة، و روى عنه أيّوب و عمرو بن دينار و ابن جريح و أبو إسحاق و الأوزاعيّ و أبو حنيفة و خلق كثير، 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طاوس بن كيسان اليماني الجنديّ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من أبناء الفرس، روى عن ابن عبّاس و زيد بن أرقم، و زيد بن ثابت، و روى عنه ابنه عبد اللّه و الزهري و إبراهيم بن ميسرة و حنظلة بن أبي سفيان و كان شيخ أهل اليمن و كان كثير الحج مات بمكّة قبل يوم التروية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زيد الأزدي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الشعثاء صاحب ابن عبّاس و روى عنه، روى عنه قتادة و أيّوب و عمرو بن دينار و كان من فقهاء البصرة، 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أبي ليلى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مفتي الكوفة و قاضيها، حدّث عن الشعبي و عطاء و الحكم بن عيينة و نافع و طائفة، و حدّث عنه شعبة و سفيان بن سعيد الثوري و وكيع و أبو نعيم، 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مالك بن أنس بن أبي عامر بن عمرو بن الحارث الحميري الأصبحي المدني، إمام المذهب المالكي، حدّث عن نافع و المقبري و الزهري و غيرهم، ولد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الرحمن بن عمر بن محمّد الدمشقي الأوزاعي الفقيه، حدّث عن عطاء بن أبي رباح و القاسم بن مخيمرة و ربيعة بن يزيد و شدّاد بن أبي عمّار و الزهري و قتادة و يحيى بن أبي كثير، و حدّث عنه شعبة و ابن المبارك و الوليد بن مسلم، ولد ببعلبك و نشأ بالبقاع ثمّ نزل بيروت فمات فيها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سفيان بن مسروق الثوري الفقيه الكوفي، حدّث عن أبيه و زبيد بن الحارث و حبيب بن أبي ثابت و زياد بن علاقة و محارب بن دثار و يحيى القطّان و ابن وهب و وكيع و قبيصة و جمع كثير، مات بالبصرة بعد أن كان مختفيا من المهدي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المنذر بن عبد اللّه الحزامي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المدنيّ محدّث المدينة، روى عن مالك و سفيان بن عينية و الوليد بن مسلم و ابن وهب و أبي ضمرة، و روى عنه البخاري و ابن ماجة و محمّد بن إبراهيم البوشنجي و خلق كثير، مات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غير أبي بكر محمّد بن إبراهيم بن المنذر من فقهاء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648/225:1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ابن ميسرة بن شريح، و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كما يظهر من الأخبار، و قال الصدوق عند ذكر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معاوية بن شريح فقد رويته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ميسرة بن شريح هذا و صرّح مولانا عناية اللّه باتّحاده مع ابن ميسرة، 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ذيله في الوسائل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644/225:1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760/261:1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64/119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940/223:1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102/38:1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662/229:1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660/228:1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64/25:1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41/418:1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1320/418:1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650/226:1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1143/373:1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645/225:1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485/112:9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420/197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112/40:1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638/223:1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36/18:1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1305/414:1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54/22:1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ذيله في الوسائل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1308/414:1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1115/376:1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368/133:1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830/283:1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632/221:1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632/221:1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618/215:1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621/216:1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1264/404:1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1064/356:1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425/149:1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1289/409:1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1285/408:1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1316/417:1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1311/415:1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1284/408:1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1314/416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1307/414:1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1296/411:1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1298/412:1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649/226:1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650/226:1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ذيل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فليس في هذا الخبر رخصة فيما ولغ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و أيضا أحاديث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427/150:1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640/223:1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717/250:1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لا تصلّي فيها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1304/414:1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في المتن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1284/408:1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1258/4:1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1296/411:1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1301/413:1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1313/416:1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705/244:1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223/85:1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1176/379:1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639/223:1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646/225:1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103/308:1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1115/367:1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830/283:1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ابن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المسألة السادسة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المياه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41/418:1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645/225:1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1142/373:1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830/283:1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تقدّم في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الأعلى لا تسري إليه النجاسة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الأعلى فظاهر كلامهم، الاتّفاق على عدم نجاسته؛ لعدم تعقّل سريان النجاسة إلى الأعلى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الإجماع منعقد على أنّ النجاسة لا تسري إلى الأعلى مطلقا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هو الشيخ الأنصاري قدّس سرّه في كتاب الطهارة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411:26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ينجس القليل و الكثير منه و لا يشترط التغيير</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تقدّم في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133/46:1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الشيخ عن محمّد بن الحسن الصفار، عن أيّوب بن نوح عن صفوان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عمرو بن أبي نصر إلخ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144/49:1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228/86:1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223/85:1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162/41:1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228/86:1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ما يزال به الخبث إذا لم تغيّره النجاسة قولان، أشبههما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التنجّس عدا ماء الاستنجاء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الحدائق الموجود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فشرّع العفو للعسر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عبارة صاحب المناهل في كتابه الآخر الّذي لم نعثر عليه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نفى البأس و إن كان أعمّ من الطهارة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فرق بين الطبيعي و غيره إذا صار معتادا لإطلاق الحكم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المعتذر هو الفاضل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جهة المعارضة بين الكرّ الغير المتغيّر و بين الملاقي للنجاسة إنّما هي ذات الكرّ دون قيده، فلا داعي إلى حمل الملاقي على عدم التغيّر، بل غايته أنّه يحمل على ما عدا الكرّ، و كذلك جهة العارضة بين ما دون الكرّ الغير المتغيّر و بين الملاقي إنّما هو عموم الملاقي للكرّ، فيحمل على ما دون الكرّ نفسه دونه مع وصفه، و معه لا داعي إلى أخذ عدم التغيّر في موضوع حكم الانفعال ليكون ماء الاستنجاء مخرجا عنه مقيّدا بهذا الوصف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المستعمل في الاستنجاء طاهر ما لم يتغيّر أو تلاقه نجاسة اخرى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عدم ذكره هذا الشرط في عداد شرائط طهارة ماء الاستنجاء</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وزن له في نظر الاعتبار كما لا يخفى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البهبهانى على المدارك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بصريح في ذلك، راجع الحدائق الناضرة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حكى عنه في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تمسّكا بأصالة الطهارة عموما و خصوصا و صدق الماء المطلق عليه، فيجوز شربه و إزالة الخبث به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المعالم في فقه المعالم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رفع الحدث به أو لغيره ممّا يزال النجاسة فلا، إجماعا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الحدث بمثل هذا الماء أو بغيره ممّا يزيل النجاسة لا يجوز إجماعا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630/221:1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427/150:1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تبلغ بملاحظة كلماتنا الآتية إلى ستّة بل سبعة، إن عدّ التوقّف الّذي صار إليه صاحب الحدائق 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630/221:1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هو الشيخ الأنصاري رحمه اللّه في كتاب الطهارة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2259:5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 قلمه الشريف، لأنّ ما ذكره الشيخ رحمه اللّه في الفهرست انّما هو ترجمة لعليّ ابن أحمد بن أحمد الكوفي، المتوفّى سنة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هو غير عليّ بن أحمد بن أبي جيد، الّذي لا يذكر في الفهرست و لا في رجال النجاشي، لعدم كونه من المؤلّفين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فراجع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إنّما هو من الوحيد البهبهاني صاحب التعليقة، و خاله الّذي من معاصري المحقّق البحراني المتوفّى سنة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المجلسي المتوفّى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xml:space="preserve">، و في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فضّال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في الذكرى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يوجد فيه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بأن المحلّ طاهر مع بقاء مائها فيه الخ</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عنه الشيخ الأنصاري رحمه اللّه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سلسلة الينابيع الفقهيّة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الشيخ الأنصاري رحمه اللّه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لوامع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الناضرة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اعترف بأنّه لا دليل على النجاسة سوى الاحتياط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630/221:1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الانصارى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رواه أبو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أعرابي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ارحمني و ارحم محمّدا و لا ترحم معنا أحدا، 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تحجّرت 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 أن بال في ناحية المسجد، فكأنّهم عجلوا إليه، فنهاهم النبيّ صلّى اللّه عليه و آله ثمّ أمر بذنوب من ماء فاهريق، ثمّ قال</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ما رواه في الوسائل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الثوب يصيبه البول؟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اغسله في المركن مرّتين، فإن غسلته في ماء جار فمرّة واحدة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فانضحه بالماء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875/222:2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المعقوفين من قلمه الشريف في نسخة الأصل و لذا أدرجناه في المتن لاستقامة العبارة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المرتضى قدّس سرّه في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 و حاشيتا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أيضا حكاه عنه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الشهيد في ذكرى الشيعة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روض الجنان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الإيراد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موجود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717/250:1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في العبارة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في العبارة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1143/373:1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1174/379:1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38/503:6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630/221:1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631/221:1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المقال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38/503:6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38/503:6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225/86:1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364/132:1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عنهما في مختلف الشيعة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اكتفى فيه بنقل الرواية فقط من دون حملها على الضرورة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1315/416:1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مكان منخفض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الغسل بالكسر ما يغسل به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الاستبصار؛ لم نعثر عليه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1316/417:1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ينافي هذا المعنى ما في رواية ابن مسكان الخ</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اكتفى فيه بنقل الرواية فقط من دون حملها على الضرورة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1316/417:1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1317/417:1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المستعمل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225/86:1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1172/378:1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630/221:1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توقّف ابن الغضائرى في حديثه إلاّ فيما يرويه عن الحسن بن محبوب من كتاب المشيخة، و محمّد بن أبي عمير من نوادره الخ</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1143/373:1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1175/379:1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مبنى الاستدلال بذلك إمّا على جعل النهي على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عبارة الشهيد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كلامه هذا ليس فيه تصريح بأنّ القائل من الأصحاب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38/503:6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الشيخ قدّس سرّه هذه الرواية إلى الأئمّة عليهم السّلام، و نقلها السيّد المرتضى قدّس سرّه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الناضرة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استدلال العلاّمة في المختلف بالحديث السابع و الثامن، يعطي أنّ الخلاف ليس في الماء المنفصل عن أعضاء الغسل فقط، بل هو جار في الكرّ الّذي يغتسل فيه أيضا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1316/417:1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قائله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411:26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فقه المعالم عن بعض فوائده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حكاه أيضا في مشارق الشموس عن بعضهم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أيضا في فقه المعالم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المعاني؛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و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الصلاح الحلبي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لسلسلة الينابيع الفقهيّة </w:t>
      </w:r>
      <w:r>
        <w:rPr>
          <w:rFonts w:eastAsia="IRNazanin" w:cs="IRNazanin"/>
          <w:b w:val="false"/>
          <w:bCs w:val="false"/>
          <w:i w:val="false"/>
          <w:iCs w:val="false"/>
          <w:color w:val="333333"/>
          <w:sz w:val="20"/>
          <w:szCs w:val="20"/>
        </w:rPr>
        <w:t>411:26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الجمل و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للقاضي ابن 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كلّه طاهر حتّى يعلم أنّه قذر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رواها أيضا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672/234:1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89/34:1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717/250:1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1170/378:1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بين الأنهار الكبار و الصغار، نعم، الأقرب اشتراط الكرّيّة، لانفعال الناقص عنها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أضعف منه الاعتراض عليه الخ</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619/215:1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كلّه طاهر حتّى يعلم أنّه قذر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1168/378:1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فالقول بأنّ الهيئة 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1170/378:1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قطعة منه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1171/378:1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1168/378:1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منتهى المقال عن تعليقات الشهيد الثاني على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داود نقلا 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إمامي ثقة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الكشّي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تعليقات الشهيد على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ينبغى التنبيه بشيء و هو أنّ المادّة لا بدّ أن تكون أزيد من الكرّ، إذ لو كانت كرّا فقط لكان ورود شيء منها على ماء الحمّام موجبا لخروجها عن الكرّيّة فيقبل الانفعال حينئذ</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صاحب الجواهر رحمه اللّه، راجع جواهر الكلام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الشهيد الثاني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المطلب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حكم ماء الحمّام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له مادّة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1168/378:1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المحدّث الأسترآبادي رحمه اللّه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الدليل على الأمر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الإجماع أيضا على تقدير كون المادّة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تغيير يسير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يسير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621/216:1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735/253:1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166/42:1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1322/418:1</w:t>
      </w:r>
      <w:r>
        <w:rPr>
          <w:rFonts w:ascii="IRNazanin" w:hAnsi="IRNazanin" w:eastAsia="IRNazanin"/>
          <w:b w:val="false"/>
          <w:b w:val="false"/>
          <w:bCs w:val="false"/>
          <w:i w:val="false"/>
          <w:i w:val="false"/>
          <w:iCs w:val="false"/>
          <w:color w:val="333333"/>
          <w:sz w:val="20"/>
          <w:sz w:val="20"/>
          <w:szCs w:val="20"/>
          <w:rtl w:val="true"/>
        </w:rPr>
        <w:t xml:space="preserve">، في الفقيه 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منسلخة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729/252:1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237/159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237/159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1347/424:1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1335/421:1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1335/421:1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9/406:3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ابو عبد اللّه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أبي أبا عبد اللّه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1495/361:2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7/398:3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وجدناه في الوسائل، و لكن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ذكر الغراء و الكيمخت، و الغراء ككتاب شيء يتّخذ من أطراف الجلود ملصق به، و ربّما من السمك و الغراء كعصا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 من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ما طلى به أو لصق به، أو شيء يستخرج من السمك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811/172:1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1530/368:2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1545/371:2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1545/371:2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28/403:3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31/404:3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862/219:2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794/168:1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342/90:4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حيثما أطلق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الأعظم الأنصاري رحمه اللّه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مؤلّفاته رحمه اللّه في الاصول حاشيته المعروفة على القوانين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التعليقة على معالم الأصول في سبعة مجلّدات كبار من أوّل مباحث الألفاظ إلى آخر التعادل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920/234:2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فيه حتّى تعلم أنّه ميّتة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في فقه المعالم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5/398:3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بفتح الصاد و كسر الراء المهملة من يجد البرد سريعا، و منه رجل مصراد لمن يشتدّ عليه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بالتحريك ورق السّلم يدبّغ به الأديم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4/379:3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766/263:1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5/405:3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1532/368:2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فقه المعالم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المعالم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المعالم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مع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العبارة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قائله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مياه الموازيب الجارية من المطر حكمها حكم الماء الجاري سواء</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الاستبصار و لكن وجدناه في 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المياه الجارية من الميازيب من المطر كالمياه الجارية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411:26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1297/411:1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1321/418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1348/426:1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يكفّ و كفاء و كيفا، التقاطر من سقف البيت، كذا استحصلناه من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 صدره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الكافي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مسائل عليّ بن جعفر </w:t>
      </w:r>
      <w:r>
        <w:rPr>
          <w:rFonts w:eastAsia="IRNazanin" w:cs="IRNazanin"/>
          <w:b w:val="false"/>
          <w:bCs w:val="false"/>
          <w:i w:val="false"/>
          <w:iCs w:val="false"/>
          <w:color w:val="333333"/>
          <w:sz w:val="20"/>
          <w:szCs w:val="20"/>
        </w:rPr>
        <w:t>433/204</w:t>
      </w:r>
      <w:r>
        <w:rPr>
          <w:rFonts w:ascii="IRNazanin" w:hAnsi="IRNazanin" w:eastAsia="IRNazanin"/>
          <w:b w:val="false"/>
          <w:b w:val="false"/>
          <w:bCs w:val="false"/>
          <w:i w:val="false"/>
          <w:i w:val="false"/>
          <w:iCs w:val="false"/>
          <w:color w:val="333333"/>
          <w:sz w:val="20"/>
          <w:sz w:val="20"/>
          <w:szCs w:val="20"/>
          <w:rtl w:val="true"/>
        </w:rPr>
        <w:t>؛ و ما بين المعقوفين غير موجود في المخطوط و إنّما اضفناه من المصدر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368/192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115/130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 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الاستدلال على عدم انفعال ماء المطر بملاقاة النجاسة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مرّ مرارا أنّ عموم انفعال القليل لا دليل عليه سوى عدم القول بالفصل في بعض الموارد و القول بالفصل هاهنا موجود، فالظاهر البناء على أصالة الطهارة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للبول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الطوسي قدّس سرّه في النهاية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الشهيد الأوّل في الدروس الشرعيّة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الروضة البهيّة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غاية المراد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فيه دعوى عدم الخلاف في المسألة، قال فيه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لأصحابنا في هذه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 و وجوب النزح للتطهير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المفيد قدّس سرّه و الشيخ أبي جعفر الطوسي في النهاية و علم الهدى من تابعهم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تنجّس إلاّ بالتغيّر و لا يجب النزح إلاّ معه، و هو اختيار قوم من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 هو الأوّل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مكتبة الإعلام الإسلامى بقمّ المشرّفة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412:26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حكاه فيه عن جماعة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صار جماعة من الأصحاب إلى إيجاب النزح مع القول بعدم الانفعال تمسّكا بظاهر الأوامر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كما ترى لا يرتبط بهذا القول، بل هو قول آخر من أقوال المسألة كما ذكره في مفتاح الكرامة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87/33:1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234/676:1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الاعتراض على الرواية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متروك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 و 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مدارك الأحكام للمحقّق البهبهانى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خمسين 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 دلوا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80/30:1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671/233:1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منتهى المقال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الناووسيّة و باقي السند 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عبّرنا عنها بالرواية لجهالة ابن عيينة، و إن ذكر فيه شيء ربّما يمكن التعويل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672/233:1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82/31:1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673/233:1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83/31:1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674/233:1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84/31:1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703/244:1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707/245:1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114/41:1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التهذيب الموجود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708/245:1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الوزغ، و هو معرفة إلاّ أنّه تعريف جنس، و هما اسمان جعلا واحدا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677/234:1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1289/409:1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1301/413:1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الضعف في ذلك اشتمال السند على أبي زياد النهدي، و هو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693/239:1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33/15:1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1312/416:1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535/185:1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705/244:1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124/44:1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686/237:1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101/37:1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699/242:1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104/38:1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يجري فيه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 لزوقا، و التزق به، أى لصق به، و ألزقه به غيره،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لزقي و بلزقي، أي بجنبي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1549:4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يثبت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1293/410:1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1293/410:1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ثاني الوجهين الأوّلين الّذي أشار إليهما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فتعيّن حينئذ أحد الوجهين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26652</w:t>
      </w:r>
      <w:r>
        <w:rPr>
          <w:rFonts w:ascii="IRNazanin" w:hAnsi="IRNazanin" w:eastAsia="IRNazanin"/>
          <w:b w:val="false"/>
          <w:b w:val="false"/>
          <w:bCs w:val="false"/>
          <w:i w:val="false"/>
          <w:i w:val="false"/>
          <w:iCs w:val="false"/>
          <w:color w:val="333333"/>
          <w:sz w:val="20"/>
          <w:sz w:val="20"/>
          <w:szCs w:val="20"/>
          <w:rtl w:val="true"/>
        </w:rPr>
        <w:t>، و رواها أيضا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على التقدير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في المتن نظرا إلى السياق</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1282/408:1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88/33:1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لأحد أن يجعل ذلك دليلا أنّ المراد بمقادير النزح ضرب من الاستحباب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النسخة الموجودة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المورد هو الشيخ الأنصاري رحمه اللّه في كتاب الطهارة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إيراد الشيخ الأعظم رحمه اللّه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1289/409:1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693/239:1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625/216:1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646/225:1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الروضة نعم هو موجود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640/223:1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649/226:1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427/150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تغيّر أحد اوصافه بنجاسة تحصل فيه فلا يجوز استعماله إلاّ عند الضرورة للشرب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أن يشرب المضطرّ من المياه النجسة بمخالطة الميتة لها، و الدم و ما أشبه ذلك و لا يجوز له شربها مع الاختيار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المضاف إلى النجس فليس بطاهر و لا مطهّر، و لا يجوز شربه و لا استعماله على وجه إلاّ أن تدعو إلى شربه ضرورة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يقتضي تحريم استعمال الماء المخالط للنجاسة مطلقا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و الفوائد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النجاسة ما حرم استعماله في الصلاة و الأغذية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غير ذلك من العبارة الّتي تدلّ على المطلوب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الّتي عندنا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فإجماعيّة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الناسب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المقال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مع اختلاف يسير في العبارة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 لا يعتبر ممازجته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مع اختلاف يسير في العبارة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فيكفي لنا دليلا على اعتبارها ذهاب جمع من الأصحاب إلى اعتبارها و عدم دليل لنا على التطهير بدونها فتأمّل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هو صاحب فقه المعالم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لشرائع الإسلام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الأنصاري رحمه اللّه في كتاب الطهارة عن شارح الروضة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المناهج السويّة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كلمات هؤلاء الأعلام آنفا، فلا نعيد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إليهم المحقّق الشيخ أسد اللّه الكاظمي في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الأنصاري رحمه اللّه في كتاب الطهارة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معاصريه، و لعلّه صاحب الجواهر، راجع جواهر الكلام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كلّه في إلقاء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أبدا بالشكّ و انّما تنقضه بيقين آخر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منع هذه الكبرى تارة بمنع ثبوت أصلها رأسا،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أصالة عدم الشرطيّة ممّا لا دليل عليها في الشريعة، أو بمنع جريانها في خصوص المقام لانتفاء صغراها، و الأوّل خلاف الفرض، فتعيّن الثاني و معه يلزم الدور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الأنصاري رحمه اللّه في كتاب الطهارة عن بعض الأفاضل،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الظاهر أنّه هو المحقّق الشيخ أسد اللّه الدزفولي الكاظمي في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ميزابين سالا، أحدهما ميزاب بول و الآخر ميزاب ماء، فاختلطا ثمّ أصابك ما كان به بأس</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فالمعوّل في عدم نجاسة الحوض الصغير بملاقاة النجاسة حال كونه متّصلا بالمادّة الإجماع كما هو الظاهر، و كذا في تطهيره بعد النجاسة بجريان المادّة إليه إذا كانت كرّا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تطهيره بالجاري في الجملة ممّا لا خلاف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ثانيها 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يحكم بطهارته إلاّ إذا ورد عليه كرّ من الماء فصاعدا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مختلف الشيعة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الرسيّة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أصحابنا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تمّمت بطاهر كرّا زال عنها حكم النجاسة و هو قويّ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109/40:1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الرسيّة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الرسيّة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صاحب الجواهر رحمه اللّه، راجع جواهر الكلام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علمه و شكّ في سبق النجاسة، فالأصل الطهارة الخ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ترى ليس من الاستناد بالإجماع</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رواه أحمد في مسنده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و أبو داود في السنن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روي الترمذي في جامعه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القطعة الأخيرة منه المتعلّقة بالتيمّم و الغسل و روى ابن العربي في شرحه على جامع الترمذي الحديث بتمامه، و رواه أيضا البيهقي في السنن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الشوكاني في نيل الأوطار عن أحمد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فاحثي على رأسي ثلاث حثيات ثمّ أفيض فإذا أنا قد طهرت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أنا قد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من حديث صحيح و لا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وقع من حديث أمّ سلمة،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يكفيك أن تحثي على رأسك ثلاث حثيات ثمّ تفيضين الماء عليك فإذا أنت قد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أفاض على رأسه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أنا فأفيض على رأسي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بيديه كلتيهما، و هكذا رواه مسلم في صحيحه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النسائي في سننه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ابن ماجة في سننه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 أبو داود في سننه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ابن حجر في مجمع الزوائد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و رواه أيضا ابن ماجه في سننه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فأحثو على رأسي ثلاثا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المرحلة الاولى في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تطهير المتغيّر إن كان جاريا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واقعا فبأن يطرأ عليه من الماء الطاهر المطلق ما يرفع تغيّره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تمّم كرّا فزال معه لم يطهر و يجيء على قول من يطهّر النجس ببلوغه كرّا أن يقول بالطهارة هنا</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ارتفع التغيّر عنه من قبل نفسه، أو بتراب يحصل فيه، أو بالرياح الّتي تصفقها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يحكم بطهارته الخ</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الماء كرّا لم يحمل خبثا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المحقّق الخوانساري رحمه اللّه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المعتبر مرسلا عن الجمهور، لاحظ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العبارة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يتغيّر به</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الطريق إلى تطهيرها تقويتها بالمياه الجارية، و دفعها حتّى يزول عنها التغيّر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تطهيره بإكثار الماء إلى حدّ يزيل حكم الاستيلاء</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بين الأنهار الكبار و الصغار، نعم، الأقرب اشتراط الكرّيّة، لانفعال الناقص عنه مطلق</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المرحلة الثانية في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697/241:1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96/35:1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80/30:1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70/27:1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692/239:1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حكى عنه و عن والده في مختلف الشيعة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تعذّر نزح الكلّ، ينزح حتّى يطيب</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سقط هذا الفقرة من الحدائق ط مؤسّسة النشر الإسلامي لاحظ الحدائق الناضرة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أرجعناه إلى الطبعة الحجريّة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فقه المعالم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فقه المعالم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ففي وجوب نزح الجميع حينئذ أو الاكتفاء بما يزول به التغيّر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الأقرب الثاني و هو الظاهر من كلام الشهيد رحمه اللّه في البيان، و اختيار والدي رحمه اللّه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يسير في العبارة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705/244:1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124/44:1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 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كشف اللثام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الغزالي في بسيطه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مادّة بعر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694/240:1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92/34:1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93/34:1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679/235:1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91/34:1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المياه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السلاّر في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الأظهر إلحاق الثور و البقرة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يوجب نزح كرّ، و هو مرّت خمس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و البغال، و الحمير أهليّة كانت أو غير أهليّة، و البقر وحشيّة كانت أو غير وحشيّة، أو ما ماثلها في مقدار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ريب في دخول الثور في ما ماثلها في مقدار الجسم</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696/241:1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94/35:1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ينزح الماء كلّه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هو الفاضل الهندي في كشف اللثام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لا يخفى أنّ الاحتجاج برواية زرارة يكون من الحاكي لا من المحكيّ عنه، و إن كان استناد المحكيّ عنه إليه أيضا غير بعيد و لذا قال في مدارك الأحكام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كان مستنده رواية زرارة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697/241:1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96/35:1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95/35:1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125/45:1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هو العلاّمة في منتهى المطلب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3/408:6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منتهى المطلب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في 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544/125:9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373/96:4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536/124:9</w:t>
      </w:r>
      <w:r>
        <w:rPr>
          <w:rFonts w:ascii="IRNazanin" w:hAnsi="IRNazanin" w:eastAsia="IRNazanin"/>
          <w:b w:val="false"/>
          <w:b w:val="false"/>
          <w:bCs w:val="false"/>
          <w:i w:val="false"/>
          <w:i w:val="false"/>
          <w:iCs w:val="false"/>
          <w:color w:val="333333"/>
          <w:sz w:val="20"/>
          <w:sz w:val="20"/>
          <w:szCs w:val="20"/>
          <w:rtl w:val="true"/>
        </w:rPr>
        <w:t>، مع اختلاف في العبارة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خميرة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صاحب المدارك، لاحظ مدارك الأحكام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الفيل،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 ما كان جسمه مقدار جسمه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أكثر</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يشمّ منها الرائحة الكريهة كالجيفة 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1300/413:1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كشف اللثام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حكاه في مدارك الأحكام عن شرح الإرشاد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بعض الأصحاب إلى نزح الجميع و نفى عنه الشهيد في الشرح البأس الخ</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1300/413:1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الشيخ في المبسوط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النهاية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أبو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السّلار في المراسم العدّية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699/242:1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ذكر القرائن الّتي تدلّ على صحّة أخبار الآحاد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حكاه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699/242:1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آنفا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آنفا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المحقّق البهبهاني في حاشية مدارك الأحكام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و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679/235:1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 عنه سابقا القدح في سندها</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التقيّ المجلسي رحمه اللّه في روضة المتّقين </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الشيخ في الموثّق ما يدلّ على توثيقه في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الأوقات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هو ما رواه الشيخ في التهذيب </w:t>
      </w:r>
      <w:r>
        <w:rPr>
          <w:rFonts w:eastAsia="IRNazanin" w:cs="IRNazanin"/>
          <w:b w:val="false"/>
          <w:bCs w:val="false"/>
          <w:i w:val="false"/>
          <w:iCs w:val="false"/>
          <w:color w:val="333333"/>
          <w:sz w:val="20"/>
          <w:szCs w:val="20"/>
        </w:rPr>
        <w:t>62/22:2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891/248:1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الصحيح عن عمرو بن سعيد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أكاد ألقاك إلاّ في السنين فأوصني بشيء،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بتقوى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679/235:1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682/236:1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علماؤنا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حيث نسبه إلى علمائنا القائلين بالتنجيس</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678/234:1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العبارة</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منع زيادة نجاسته بعد الموت بزوال الاعتقاد الّذي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الموجّه شيخنا الاستاذ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في المتن نظرا إلى السياق</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 اختلاف يسير في العبارة</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فناء الدار، الخارج المملوك منها و هو حريمها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خرأ</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ذابت فيها فأربعون دلوا إلى خمسين دلوا</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مفتاح الكرامة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412:26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1288/409:1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29/20:1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 عن قرب</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123/44:1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678/234:1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705/244:1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اضيف فيه إلى المذكورات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كونه </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683/237:1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699/242:1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679/235:1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684/237:1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المراد بالخمسة هم والد الصدوق و السيّد، نقله عنهما في المعتبر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كما في الفقيه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الهداية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المفيد في المقنعة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الشيخ كما في التهذيب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باتباعهم هما أبو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السلاّر في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700/243:1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90/34:1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بذلك يطرح ما يعارضها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المنتهى، بل هو من كلام الشيخ الأنصاري رحمه اللّه في كتاب الطهارة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نقل عنه المصنّف رحمه اللّه عبارة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بالتتبّع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أنّه من تتمّة كلام العلاّمة رحمه اللّه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الموجّه هو الشيخ الأعظم الأنصاري في كتاب الطهارة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698/241:1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696/241:1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مع اختلاف يسير في العبارة</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 البول البشري البالغ</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نقل ابن زهرة الإجماع على أربعين في بول الإنسان و كذلك ابن إدريس محتجّا بتواتر الأخبار في ذلك</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 إلى الأكثر عدم الفرق بين المؤمن و الكافر لعموم اللفظ</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1300/413:1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120/43:1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المعتضدة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فالصحيح من المذهب و الأقوال الّذي يعضده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مع اختلاف يسير في العبارة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بهذا هو صاحب المعالم رحمه اللّه في فقه المعالم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1288/409:1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إرشاد الأذهان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412:26</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و لم ينسبه إلى الصادق عليه السّلام،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سبع لموت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عليّ بن أبي حمزة عن الصادق عليه السّلام و فسّر بالحمامة و النعامة و ما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في مفتاح الكرامة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طهارة الشيخ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و من المظنون قويّا كون السبب فيه قراءتهم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المعلوم، من دون المراجعة إلى أصل الرواية</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الشيخ في 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ابن زهرة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ماثلهما</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كما نقله عنه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الشيخ في النهاية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ذكره الأصحاب</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674/233:1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681/236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680/235:1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687/237:1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الأصل، و لكنّها موجودة في نسخة صاحب الوسائل رحمه اللّه و كتب مصنّفه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ذيل الوسائل المطبوعة باهتمام مؤسّسة آل البيت لإحياء التراث</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699/242:1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684/237:1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المعتذر هو صاحب المعالم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أورد كلام ابن إدريس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الحجّة جيّدة على أصل ابن إدريس في ترك العمل بخبر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المعالم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2398:6</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المصباح و حكاه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رحمه اللّه في فقه المعالم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701/243:1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701/243:1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نطالبهم بلفظ الرضيع أين نقل و كيف قدّر لبوله دلو واحد</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696/241:1</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كمنتهى المطلب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عن المصنّف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المدارك عن المصنّف في المعتبر</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680/235:1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673/233:1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691/239:1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110/39:1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أيضا في النافع، لاحظ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للفأرة إن تفسّخت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فثلاث الخ</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688/238:1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الشيخ الطوسي في النهاية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694/420:1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703/244:1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93/34:1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703/244:1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426/149:1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تكون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لزوال الطهوريّة عنه أو لنجاسة ماء البئر 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يستقيم ما سيجيء منه قدّس سرّه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محكيّ عن كتب ثاني الشهيدين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الشهيد رحمه اللّه من القائلين بكون العلّة في وجوب النزح هو نجاسة البئر و إن كان بدنه خاليا من النجاسة،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باستعمال المياه و إن كانت قد استعملت مرّة اخرى في الطهارة، إلاّ أن يكون استعمالها في الغسل من الجنابة أو الحيض، أو ما يجري مجراهما، أو في إزالة النجاسة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يرفع به الأكبر طاهر و في رفع الحدث به ثانيا قولان، المرويّ المنع</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الأولى عندي تجنّبه و الوجه التفصّي من الاختلاف و الأخذ بالاحتياط</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في هامش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الدجاج الجلاّلة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الطوسي في النهاية انظر 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688/238:1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106/39:1</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689/238:1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678/234:1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683/237:1</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832/284</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666/231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جامع الشتات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فحصنا عنه في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يوجد مع شدّة الفحص</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سمعت ثقة قتلها و شاهد أنّ لها دما سيّالا في غاية القوّة كالسائل عن الفصد، و سمعت بعض مشايخنا أيضا أنّه سمع ثقة آخر كذلك</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الطوسي في النهاية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1325/419:1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30/15:1</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عثيم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ميثم</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690/238:1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666/230</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الحديث أصحّ ما رأيته في هذا الباب، و عليه أعتمد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667/231:1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667/131:1</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الطوسي في النهاية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 السلاّر في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في شرح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هو صاحب المعالم رحمه اللّه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دخول العصفور في لفظ الحيوان بالنظر إلى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678/234:1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طائر حال صغره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الطوسي في 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700/243:1</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الاستفصال من الراوي و التفصيل من الإمام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هامش الأصل بخطّ مؤلّفه رحمه اللّه</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في المتن</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فقه المعالم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المعالم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بالدلو النجرية</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معالم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هو صاحب المعالم رحمه اللّه في فقه المعالم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المحقّق الخوانساري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مشارق الشموس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تعلّق النزح بمائها لا دخل له في المقام، إذ الكلام في أنّ أرض البئر كانت نجسة و لم يعلم لها مزيل، إذ ما علم من الشرع أنّه مزيل لها إنّما هو النزح و قياس الغور عليه قياس مع الفارق كما ذكرناه، فيستصحب نجاستها، فكلّما ينبع منها الماء يصير نجسا الخ</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انبثّ و انتشر، كما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مع اختلاف يسير في بعض العبارات</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مسامّ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النزح الزائد على المقدّر في بعض النجاسات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مدارك الأحكام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مسالك الأفهام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تكثّرت النجاسة تداخل النزح مع الاختلاف و عدمه</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الأنصاري رحمه اللّه في كتاب الطهارة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هو الشيخ الأنصاري رحمه اللّه في المصدر السابق</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1294/411:1</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الهاشميّة ذراع و ثلث باليد، فذراع اليد أربع و عشرون إصبعا عرضا، و ذراع الهاشميّة اثنان و ثلاثون إصبعا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فقه المعالم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271:26</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فسّر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يكفي البعد بهذا المقدار من جانب واحد من جوانب البئر إذا كان البعد بالنظر إليها متفاوتا، و ذلك مع استدارة رأس البئر، فربّما يبلغ المساحة السبع إذا قيس إلى جانب و لا يبلغه بالقياس إلى جانب آخر، فالمعتبر </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1290/410:1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126/45:1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1291/410:1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1292/410:1</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أيضا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الديلمي من الغلاة الكبار</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الشمال مشرف على الجنوب بحسب وضع الأرض، لأنّ كرة الأرض واقعة في البحر، ثلثاها في الماء و ثلثها خارج البحر، و قبّة الأرض و رأسها محاز للقطب الشمالي، فالماء بالطبع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إلى الجنوب سواء كان فوق الأرض أو جاريا في أعماق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هامش الأصل بخطّ مصنّفه قدّس سرّه</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بملاحظة متن الرواية، و لعلّها سقطت من قلمه الشريف سهوا</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1293/410:1</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1294/411:1</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129/46:1</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في المتن</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540/188:1</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627/218:1</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عدم المعارض الناصّ</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المعتبر، و لكنّه موجود في 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عرفت عن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ما ذكره المحقّق رحمه اللّه من الجواب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قائل هنا بالفرق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موجودا في المعتبر، بل يكون في المسائل المصريّة كما أشرنا إليه في محلّه</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147/50:1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805/273:1</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799/271:1</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أيضا 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طهارة للشيخ الأنصاري رحمه اللّه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هو الشيخ الأنصاري رحمه اللّه في كتاب الطهارة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المحقّق الخوانساري رحمه اللّه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158/40:1</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1350/425:1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هذه الفقرة لا يرتبط بالجواب عن الرواية المبحوث عنها، بل هي جواب عن دليل آخر على المدّعى الّذي أورده في الرياض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تبعيّة النجاسة للعين، فإذا زالت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 تأمّل</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رواية حكم بن حكيم الصيرفي الّذي عبّر عنها في الرياض 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رياض المسائل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160/69:1</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820/279:1</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237/159</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759/261:1</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5/264:6</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4/263:6</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1333/421:1</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1548/372:2</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الكاشاني في مفاتيح الشرائع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مفاتيح الشرائع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الشيخ الأنصاري رحمه اللّه في كتاب الطهارة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1327/420:1</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تلك الإجماعات تقتضي نجاسة جميع أجزاء المضاف من غير فرق بين الأجزاء الّتي هي تحت الجزء المتّصل بالنجس و الّتي فوقه و الّتي تساويه من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الشيخ الأنصاري رحمه اللّه في كتاب الطهارة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الامتياز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سهو منه رحمه اللّه و اللّه العالم</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مختلف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الروضة البهيّة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عبارة التذكرة فهكذا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طريق تطهيره إلقاء كرّ عليه إن لم يسلبه الإطلاق، فإن سلبه فكرّ آخر و هكذا، و لو لم يسلبه لكن غيّر أحد أوصافه فالأقوى الطهارة خلافا للشيخ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أمّا ما في النهاية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مزج المضاف النجس بالمطلق فسلبه إطلاق الاسم، خرج عن كونه مطهّرا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بإلقاء كرّ دفعة و إن بقي التغيّر ما لم يسلبه الإطلاق فيخرج عن الطهوريّة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لا يخفى عدم مطابقته مع ما في المبسوط، و إليك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طريق إلى تطهيرها بحال إلاّ أن يختلط بما زاد على الكرّ من المياه الطاهرة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نسخة الموجودة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فقه المعالم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فقه المعالم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عنه هو صاحب المعالم رحمه اللّه في فقه المعالم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العلامة رحمه اللّه</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فقه المعالم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546/140:2</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يتخيّر</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البهبهاني على مدارك الأحكام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662/229:1</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712/248:1</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728/252:1</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238/159</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 فيهما جميعا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887/225:2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757/161:1</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1002/216:3</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336/79:9</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40/313:5</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أظنّ كلّهم يسمّون هذه البربر و هذه السودان</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1299/412:1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حاشية الشرائع</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1335/421:1</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الانصاري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صرّح به جمع من الأصحاب المنع و هو الظاهر</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الناضرة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تعاقبا على رفع الحدث</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770/264:1</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الشيخ الطوسي كما في النهاية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337/79:9</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 و الصواب ما أثبتناه في المتن نظرا إلى السياق</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650/226:1</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السؤر في اللغة ما يبقى بعد الشرب، قاله الجوهري</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أ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655/227:1</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العيص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العيص عن القاسم</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633/222:1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في بعض العبارات</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البهيّة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البهبهاني على مدارك الأحكام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ما يقتضي طهارة الحيوان فلاحظ</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فقه المعالم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المطلب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 الدروس الشرعيّة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ولد الزنا لا يكون قطّ طاهرا و لا مؤمنا بإيثاره و اختياره، و إن أظهر الإيمان</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سهو منه رحمه اللّه، لأنّ الّذي استثنى سؤر آكل الجيف هو الشيخ رحمه اللّه في 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العلاّمة رحمه اللّه فهو من القائلين بكراهته سؤره كما في نهاية الإحكام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نسبة القول بالكراهة إليه في جمل العلم و العمل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استثناه من المباح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الفضل أبو العبّاس البقباق</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دويبة معروفة،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السام الأبرص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عمّار بن موسى الساباطي</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660/228:1</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لم نجده في الحدائق، و لكنّه يوجد الاحتمالين في جواهر الكلام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البقباق و حسنة معاوية بن شريح المتقدّمتان في المسألة الثانية من مسائل هذا الباب آنفا</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642/224:1</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الحكم بطهارة سؤر هذين النوعين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الجلاّل و آكل الجيف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بالقيد المذكور و كراهة مباشرته هو المشهور بين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مدارك الأحكام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رحمه اللّه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هامش الوسائل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علماؤنا على كراهة سؤر الجلاّل بحديث هشام و أحاديث ما لا يؤكل لحمه، و دلالة الثاني ظاهرة واضحة و دلالة الأوّل مبنيّة على أنّهم أجمعوا على تساوي حكم العرق و السؤر هنا، بل في جميع الأفراد، و الفرق إحداث قول ثالث، و أيضا فإنّ بدن الحيوان لا يخلو أبدا من العرق إمّا رطبا و إمّا جافّا، فيتّصل السؤر به، فحكمه حكمه، و على كلّ حال فضعف الدلالة منجبر بأحاديث 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اكل لحمه يتوضّأ بسؤره و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كلّ ما لا يؤكل لحمه لا يجوز التوضّؤ به و الشرب منه الخ</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 من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 من الماء</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653/227:1</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654/227:1</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 منتهى المطلب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يبعد صحّة ما في الأصل، بناء على ما سيجيء منه قدّس سرّه في بيان معنى العبارة</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الفقرات</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رحمه اللّه لاحظ جواهر الكلام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660/228:1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المطبوعة من طهارة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يخفى أنّ ما في المتن هو الصواب بالنظر إلى مقتضى التعليل الّذي ذكره، و لكن لا يناسبه قوله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لأصالة بقاء الأوّلين على عمومهما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بحصول التقدّم و التأخّر فيما تقدّم فلاحظ و تأمّل</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الأنصاري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الطهارة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649/226:1</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657/227:1</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642/224:1</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1323/419:1</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690/238:1</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663/229:1</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761/261:1</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يفهم من المعتبر أنّه لا يكرهه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كذا في جواهر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خلافا لما يظهر من المعتبر و المنتهى من نفي الكراهة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الجواهر رحمه اللّه، لاحظ جواهر الكلام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 سؤر ما شرب منه الدجاج خاصّة على كلّ حال</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شرطه في الحسن هو الحسن</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المعالم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منتهى المطلب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1302/413:1</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آخر بحث منزوحات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إذا مات فيها عقرب أو وزغة، فلا ينجّس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ما في بحث الأسآر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العلاّمة في منتهى المطلب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و فخر المحقّقين في إيضاح الفوائد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ولده العلاّمة في مختلف الشيعة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بأسآر جميع حشرات الأرض و سباع ذرات الأربع الاّ أن يكون كلبا أو خنزيرا، و هذا يدلّ على طهارة ما عدا هذين و يدخل فيه الثعلب و الأرنب و الفأرة و الوزغة</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الوجه الكراهة من حيث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في منتهى المطلب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أصاب ثوب الإنسان كلب أو خنزير أو ثعلب أو أرنب أو فأرة أو وزغة و كان رطبا وجب غسل الموضع الّذي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الكلام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كلاميه في النهاية و المبسوط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احتمال الفرق بين الموضعين في غاية البعد</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688/238:1</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العين المهملة على الظاء المعجمة على وزن 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الأصل بخط مصنّفه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هي دويبة ملساء أصغر من الحرذون، تمشي مشيا سريعا ثمّ تقف، 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مارمولك</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الوزغة</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وزغان بالكسر و الضمّ حكاه الأزهري الخ</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690/238:1</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688/238:1</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1326/419:1</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ليس ينجّس الماء ممّا يقع فيه من الحيوان إلاّ أن تكون له نفس سائلة، و أمّا ما يقع فيه ممّا ليس له نفس سائلة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العقرب و 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ينجّسه</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مختلف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الحيّات</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سكبات</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مختلف الشيعة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مختلف الشيعة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666/230:1</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664/230:1</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634/222:1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 منه و لا توضّأ</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636/222:1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636/222:1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633/222:1</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الأنصاري رحمه اللّه في كتاب الطهارة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الاستاذ إنّ الاقتصار على الوضوء لم يقل به فقيه، فالظاهر أنّ التعميم محلّ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النهاية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الموجودة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تعدية الحكم إلى كلّ متّهم تصرّف 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نقل العبارة في الحدائق عن بعض فضلاء المتأخرين بما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1113/366:1</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1114/366:1</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لشرائع الإسلام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المسخّن بالشمس إذا اريد به ذلك، فهو مكروه إجماعا</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الكلام </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منتهى المطلب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938/322:1</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397/86:1</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576/198:1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عن رجل تصيبه الجنابة في أرض باردة، و لا يجد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ذكر أبو عبد اللّه عليه السّلام</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الحارّة يستشفي بها المرضى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1904:5</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بذلنا غاية الجهد في تحقيقه و تصحيحه طبقا للنسخة الفريدة بخطّ المؤلّف قدّس اللّه تعالى نفسه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 بحمد اللّه تعالى الجزء الأوّل من هذا التراث الفقهي، و يتلوه إن شاء اللّه تعالى الجزء الثاني،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فهذا الجزء الثاني من كتاب ينابيع الأحكام في تحرير الحلال و الحرام المتكفّل لما يتعلّق بالطهارات الثلاث و توابعها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image" Target="media/image3.jpeg"/><Relationship Id="rId911" Type="http://schemas.openxmlformats.org/officeDocument/2006/relationships/image" Target="media/image3.jpeg"/><Relationship Id="rId912" Type="http://schemas.openxmlformats.org/officeDocument/2006/relationships/footer" Target="footer905.xml"/><Relationship Id="rId913" Type="http://schemas.openxmlformats.org/officeDocument/2006/relationships/image" Target="media/image4.jpeg"/><Relationship Id="rId914" Type="http://schemas.openxmlformats.org/officeDocument/2006/relationships/image" Target="media/image4.jpeg"/><Relationship Id="rId915" Type="http://schemas.openxmlformats.org/officeDocument/2006/relationships/footer" Target="footer906.xml"/><Relationship Id="rId916" Type="http://schemas.openxmlformats.org/officeDocument/2006/relationships/image" Target="media/image5.jpeg"/><Relationship Id="rId917" Type="http://schemas.openxmlformats.org/officeDocument/2006/relationships/image" Target="media/image5.jpeg"/><Relationship Id="rId918" Type="http://schemas.openxmlformats.org/officeDocument/2006/relationships/footer" Target="footer907.xml"/><Relationship Id="rId919" Type="http://schemas.openxmlformats.org/officeDocument/2006/relationships/image" Target="media/image6.jpeg"/><Relationship Id="rId920" Type="http://schemas.openxmlformats.org/officeDocument/2006/relationships/image" Target="media/image6.jpeg"/><Relationship Id="rId921" Type="http://schemas.openxmlformats.org/officeDocument/2006/relationships/footer" Target="footer908.xml"/><Relationship Id="rId922" Type="http://schemas.openxmlformats.org/officeDocument/2006/relationships/image" Target="media/image2.jpeg"/><Relationship Id="rId923" Type="http://schemas.openxmlformats.org/officeDocument/2006/relationships/image" Target="media/image2.jpeg"/><Relationship Id="rId924" Type="http://schemas.openxmlformats.org/officeDocument/2006/relationships/footer" Target="footer909.xml"/><Relationship Id="rId925" Type="http://schemas.openxmlformats.org/officeDocument/2006/relationships/footnotes" Target="footnotes.xml"/><Relationship Id="rId926" Type="http://schemas.openxmlformats.org/officeDocument/2006/relationships/numbering" Target="numbering.xml"/><Relationship Id="rId927" Type="http://schemas.openxmlformats.org/officeDocument/2006/relationships/fontTable" Target="fontTable.xml"/><Relationship Id="rId928" Type="http://schemas.openxmlformats.org/officeDocument/2006/relationships/settings" Target="settings.xml"/><Relationship Id="rId9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930</Pages>
  <Words>54136</Words>
  <Characters>225835</Characters>
  <CharactersWithSpaces>278895</CharactersWithSpaces>
  <Paragraphs>1255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2026-08-25T09:39:54Z</dcterms:created>
  <dc:creator>ghaemiyeh.com</dc:creator>
  <dc:description/>
  <dc:language>en-US</dc:language>
  <cp:lastModifiedBy/>
  <dcterms:modified xsi:type="dcterms:W3CDTF">2026-08-25T13:10:35Z</dcterms:modified>
  <cp:revision>1</cp:revision>
  <dc:subject/>
  <dc:title>ینابیع الأحکام فی معرفة الحلال و الحرام جلد 1</dc:title>
</cp:coreProperties>
</file>

<file path=docProps/custom.xml><?xml version="1.0" encoding="utf-8"?>
<Properties xmlns="http://schemas.openxmlformats.org/officeDocument/2006/custom-properties" xmlns:vt="http://schemas.openxmlformats.org/officeDocument/2006/docPropsVTypes"/>
</file>